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0"/>
          <w:szCs w:val="30"/>
          <w:b w:val="1"/>
          <w:bCs w:val="1"/>
          <w:color w:val="auto"/>
        </w:rPr>
        <w:drawing>
          <wp:anchor simplePos="0" relativeHeight="251657728" behindDoc="1" locked="0" layoutInCell="0" allowOverlap="1">
            <wp:simplePos x="0" y="0"/>
            <wp:positionH relativeFrom="page">
              <wp:posOffset>155575</wp:posOffset>
            </wp:positionH>
            <wp:positionV relativeFrom="page">
              <wp:posOffset>172085</wp:posOffset>
            </wp:positionV>
            <wp:extent cx="72504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189230</wp:posOffset>
            </wp:positionV>
            <wp:extent cx="72504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2489835</wp:posOffset>
            </wp:positionH>
            <wp:positionV relativeFrom="paragraph">
              <wp:posOffset>42545</wp:posOffset>
            </wp:positionV>
            <wp:extent cx="22777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77745" cy="8255"/>
                    </a:xfrm>
                    <a:prstGeom prst="rect">
                      <a:avLst/>
                    </a:prstGeom>
                    <a:noFill/>
                  </pic:spPr>
                </pic:pic>
              </a:graphicData>
            </a:graphic>
          </wp:anchor>
        </w:drawing>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2489835</wp:posOffset>
            </wp:positionH>
            <wp:positionV relativeFrom="paragraph">
              <wp:posOffset>71120</wp:posOffset>
            </wp:positionV>
            <wp:extent cx="22777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77745" cy="8255"/>
                    </a:xfrm>
                    <a:prstGeom prst="rect">
                      <a:avLst/>
                    </a:prstGeom>
                    <a:noFill/>
                  </pic:spPr>
                </pic:pic>
              </a:graphicData>
            </a:graphic>
          </wp:anchor>
        </w:drawing>
      </w:r>
    </w:p>
    <w:p>
      <w:pPr>
        <w:spacing w:after="0" w:line="143" w:lineRule="exact"/>
        <w:rPr>
          <w:sz w:val="24"/>
          <w:szCs w:val="24"/>
          <w:color w:val="auto"/>
        </w:rPr>
      </w:pPr>
    </w:p>
    <w:p>
      <w:pPr>
        <w:ind w:left="520" w:hanging="515"/>
        <w:spacing w:after="0"/>
        <w:tabs>
          <w:tab w:leader="none" w:pos="520" w:val="left"/>
        </w:tabs>
        <w:numPr>
          <w:ilvl w:val="0"/>
          <w:numId w:val="1"/>
        </w:numPr>
        <w:rPr>
          <w:rFonts w:ascii="MS PGothic" w:cs="MS PGothic" w:eastAsia="MS PGothic" w:hAnsi="MS PGothic"/>
          <w:sz w:val="21"/>
          <w:szCs w:val="21"/>
          <w:color w:val="auto"/>
          <w:highlight w:val="black"/>
        </w:rPr>
      </w:pPr>
      <w:r>
        <w:rPr>
          <w:rFonts w:ascii="Arial" w:cs="Arial" w:eastAsia="Arial" w:hAnsi="Arial"/>
          <w:sz w:val="21"/>
          <w:szCs w:val="21"/>
          <w:b w:val="1"/>
          <w:bCs w:val="1"/>
          <w:color w:val="auto"/>
        </w:rPr>
        <w:t>ANNUAL REPORT PURSUANT TO SECTION 13 OR 15(d) OF THE SECURITIES EXCHANGE ACT OF 1934</w:t>
      </w:r>
    </w:p>
    <w:p>
      <w:pPr>
        <w:spacing w:after="0" w:line="8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fiscal year ended December 31, 2017</w:t>
      </w:r>
    </w:p>
    <w:p>
      <w:pPr>
        <w:spacing w:after="0" w:line="6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52" w:lineRule="exact"/>
        <w:rPr>
          <w:sz w:val="24"/>
          <w:szCs w:val="24"/>
          <w:color w:val="auto"/>
        </w:rPr>
      </w:pPr>
    </w:p>
    <w:p>
      <w:pPr>
        <w:ind w:left="520" w:hanging="515"/>
        <w:spacing w:after="0"/>
        <w:tabs>
          <w:tab w:leader="none" w:pos="520" w:val="left"/>
        </w:tabs>
        <w:numPr>
          <w:ilvl w:val="0"/>
          <w:numId w:val="2"/>
        </w:numPr>
        <w:rPr>
          <w:rFonts w:ascii="MS PGothic" w:cs="MS PGothic" w:eastAsia="MS PGothic" w:hAnsi="MS PGothic"/>
          <w:sz w:val="21"/>
          <w:szCs w:val="21"/>
          <w:color w:val="auto"/>
          <w:highlight w:val="black"/>
        </w:rPr>
      </w:pPr>
      <w:r>
        <w:rPr>
          <w:rFonts w:ascii="Arial" w:cs="Arial" w:eastAsia="Arial" w:hAnsi="Arial"/>
          <w:sz w:val="21"/>
          <w:szCs w:val="21"/>
          <w:b w:val="1"/>
          <w:bCs w:val="1"/>
          <w:color w:val="auto"/>
        </w:rPr>
        <w:t>TRANSITION REPORT PURSUANT TO SECTION 13 OR 15(d) OF THE SECURITIES EXCHANGE ACT OF 1934</w:t>
      </w:r>
    </w:p>
    <w:p>
      <w:pPr>
        <w:spacing w:after="0" w:line="7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1-9861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2489835</wp:posOffset>
            </wp:positionH>
            <wp:positionV relativeFrom="paragraph">
              <wp:posOffset>50800</wp:posOffset>
            </wp:positionV>
            <wp:extent cx="22777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77745" cy="8255"/>
                    </a:xfrm>
                    <a:prstGeom prst="rect">
                      <a:avLst/>
                    </a:prstGeom>
                    <a:noFill/>
                  </pic:spPr>
                </pic:pic>
              </a:graphicData>
            </a:graphic>
          </wp:anchor>
        </w:drawing>
      </w:r>
    </w:p>
    <w:p>
      <w:pPr>
        <w:spacing w:after="0" w:line="80" w:lineRule="exact"/>
        <w:rPr>
          <w:sz w:val="24"/>
          <w:szCs w:val="24"/>
          <w:color w:val="auto"/>
        </w:rPr>
      </w:pPr>
    </w:p>
    <w:p>
      <w:pPr>
        <w:jc w:val="center"/>
        <w:spacing w:after="0"/>
        <w:rPr>
          <w:sz w:val="20"/>
          <w:szCs w:val="20"/>
          <w:color w:val="auto"/>
        </w:rPr>
      </w:pPr>
      <w:r>
        <w:rPr>
          <w:rFonts w:ascii="Arial" w:cs="Arial" w:eastAsia="Arial" w:hAnsi="Arial"/>
          <w:sz w:val="39"/>
          <w:szCs w:val="39"/>
          <w:b w:val="1"/>
          <w:bCs w:val="1"/>
          <w:color w:val="auto"/>
        </w:rPr>
        <w:t>M&amp;T BANK CORPORATION</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2489835</wp:posOffset>
            </wp:positionH>
            <wp:positionV relativeFrom="paragraph">
              <wp:posOffset>55880</wp:posOffset>
            </wp:positionV>
            <wp:extent cx="22777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77745" cy="8255"/>
                    </a:xfrm>
                    <a:prstGeom prst="rect">
                      <a:avLst/>
                    </a:prstGeom>
                    <a:noFill/>
                  </pic:spPr>
                </pic:pic>
              </a:graphicData>
            </a:graphic>
          </wp:anchor>
        </w:drawing>
      </w:r>
    </w:p>
    <w:p>
      <w:pPr>
        <w:spacing w:after="0" w:line="172" w:lineRule="exact"/>
        <w:rPr>
          <w:sz w:val="24"/>
          <w:szCs w:val="24"/>
          <w:color w:val="auto"/>
        </w:rPr>
      </w:pPr>
    </w:p>
    <w:tbl>
      <w:tblPr>
        <w:tblLayout w:type="fixed"/>
        <w:tblInd w:w="520" w:type="dxa"/>
        <w:tblCellMar>
          <w:top w:w="0" w:type="dxa"/>
          <w:left w:w="0" w:type="dxa"/>
          <w:bottom w:w="0" w:type="dxa"/>
          <w:right w:w="0" w:type="dxa"/>
        </w:tblCellMar>
      </w:tblPr>
      <w:tr>
        <w:trPr>
          <w:trHeight w:val="192"/>
        </w:trPr>
        <w:tc>
          <w:tcPr>
            <w:tcW w:w="1780" w:type="dxa"/>
            <w:vAlign w:val="bottom"/>
          </w:tcPr>
          <w:p>
            <w:pPr>
              <w:spacing w:after="0"/>
              <w:rPr>
                <w:sz w:val="16"/>
                <w:szCs w:val="16"/>
                <w:color w:val="auto"/>
              </w:rPr>
            </w:pPr>
          </w:p>
        </w:tc>
        <w:tc>
          <w:tcPr>
            <w:tcW w:w="2460" w:type="dxa"/>
            <w:vAlign w:val="bottom"/>
            <w:gridSpan w:val="3"/>
          </w:tcPr>
          <w:p>
            <w:pPr>
              <w:jc w:val="center"/>
              <w:ind w:right="1261"/>
              <w:spacing w:after="0"/>
              <w:rPr>
                <w:sz w:val="20"/>
                <w:szCs w:val="20"/>
                <w:color w:val="auto"/>
              </w:rPr>
            </w:pPr>
            <w:r>
              <w:rPr>
                <w:rFonts w:ascii="Arial" w:cs="Arial" w:eastAsia="Arial" w:hAnsi="Arial"/>
                <w:sz w:val="16"/>
                <w:szCs w:val="16"/>
                <w:b w:val="1"/>
                <w:bCs w:val="1"/>
                <w:color w:val="auto"/>
                <w:w w:val="93"/>
              </w:rPr>
              <w:t>New York</w:t>
            </w:r>
          </w:p>
        </w:tc>
        <w:tc>
          <w:tcPr>
            <w:tcW w:w="2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920" w:type="dxa"/>
            <w:vAlign w:val="bottom"/>
          </w:tcPr>
          <w:p>
            <w:pPr>
              <w:jc w:val="right"/>
              <w:ind w:right="965"/>
              <w:spacing w:after="0"/>
              <w:rPr>
                <w:sz w:val="20"/>
                <w:szCs w:val="20"/>
                <w:color w:val="auto"/>
              </w:rPr>
            </w:pPr>
            <w:r>
              <w:rPr>
                <w:rFonts w:ascii="Arial" w:cs="Arial" w:eastAsia="Arial" w:hAnsi="Arial"/>
                <w:sz w:val="16"/>
                <w:szCs w:val="16"/>
                <w:b w:val="1"/>
                <w:bCs w:val="1"/>
                <w:color w:val="auto"/>
              </w:rPr>
              <w:t>16-0968385</w:t>
            </w:r>
          </w:p>
        </w:tc>
        <w:tc>
          <w:tcPr>
            <w:tcW w:w="0" w:type="dxa"/>
            <w:vAlign w:val="bottom"/>
          </w:tcPr>
          <w:p>
            <w:pPr>
              <w:spacing w:after="0"/>
              <w:rPr>
                <w:sz w:val="1"/>
                <w:szCs w:val="1"/>
                <w:color w:val="auto"/>
              </w:rPr>
            </w:pPr>
          </w:p>
        </w:tc>
      </w:tr>
      <w:tr>
        <w:trPr>
          <w:trHeight w:val="179"/>
        </w:trPr>
        <w:tc>
          <w:tcPr>
            <w:tcW w:w="4240" w:type="dxa"/>
            <w:vAlign w:val="bottom"/>
            <w:gridSpan w:val="4"/>
          </w:tcPr>
          <w:p>
            <w:pPr>
              <w:jc w:val="center"/>
              <w:ind w:left="369"/>
              <w:spacing w:after="0"/>
              <w:rPr>
                <w:sz w:val="20"/>
                <w:szCs w:val="20"/>
                <w:color w:val="auto"/>
              </w:rPr>
            </w:pPr>
            <w:r>
              <w:rPr>
                <w:rFonts w:ascii="Arial" w:cs="Arial" w:eastAsia="Arial" w:hAnsi="Arial"/>
                <w:sz w:val="14"/>
                <w:szCs w:val="14"/>
                <w:i w:val="1"/>
                <w:iCs w:val="1"/>
                <w:color w:val="auto"/>
                <w:w w:val="92"/>
              </w:rPr>
              <w:t>(State of incorporation)</w:t>
            </w:r>
          </w:p>
        </w:tc>
        <w:tc>
          <w:tcPr>
            <w:tcW w:w="2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500" w:type="dxa"/>
            <w:vAlign w:val="bottom"/>
            <w:gridSpan w:val="3"/>
          </w:tcPr>
          <w:p>
            <w:pPr>
              <w:jc w:val="center"/>
              <w:ind w:right="265"/>
              <w:spacing w:after="0"/>
              <w:rPr>
                <w:sz w:val="20"/>
                <w:szCs w:val="20"/>
                <w:color w:val="auto"/>
              </w:rPr>
            </w:pPr>
            <w:r>
              <w:rPr>
                <w:rFonts w:ascii="Arial" w:cs="Arial" w:eastAsia="Arial" w:hAnsi="Arial"/>
                <w:sz w:val="14"/>
                <w:szCs w:val="14"/>
                <w:i w:val="1"/>
                <w:iCs w:val="1"/>
                <w:color w:val="auto"/>
                <w:w w:val="92"/>
              </w:rPr>
              <w:t>(I.R.S. Employer Identification No.)</w:t>
            </w:r>
          </w:p>
        </w:tc>
        <w:tc>
          <w:tcPr>
            <w:tcW w:w="0" w:type="dxa"/>
            <w:vAlign w:val="bottom"/>
          </w:tcPr>
          <w:p>
            <w:pPr>
              <w:spacing w:after="0"/>
              <w:rPr>
                <w:sz w:val="1"/>
                <w:szCs w:val="1"/>
                <w:color w:val="auto"/>
              </w:rPr>
            </w:pPr>
          </w:p>
        </w:tc>
      </w:tr>
      <w:tr>
        <w:trPr>
          <w:trHeight w:val="242"/>
        </w:trPr>
        <w:tc>
          <w:tcPr>
            <w:tcW w:w="4240" w:type="dxa"/>
            <w:vAlign w:val="bottom"/>
            <w:gridSpan w:val="4"/>
          </w:tcPr>
          <w:p>
            <w:pPr>
              <w:jc w:val="center"/>
              <w:ind w:left="369"/>
              <w:spacing w:after="0"/>
              <w:rPr>
                <w:sz w:val="20"/>
                <w:szCs w:val="20"/>
                <w:color w:val="auto"/>
              </w:rPr>
            </w:pPr>
            <w:r>
              <w:rPr>
                <w:rFonts w:ascii="Arial" w:cs="Arial" w:eastAsia="Arial" w:hAnsi="Arial"/>
                <w:sz w:val="16"/>
                <w:szCs w:val="16"/>
                <w:b w:val="1"/>
                <w:bCs w:val="1"/>
                <w:color w:val="auto"/>
                <w:w w:val="93"/>
              </w:rPr>
              <w:t>One M&amp;T Plaza, Buffalo, New York</w:t>
            </w:r>
          </w:p>
        </w:tc>
        <w:tc>
          <w:tcPr>
            <w:tcW w:w="2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920" w:type="dxa"/>
            <w:vAlign w:val="bottom"/>
          </w:tcPr>
          <w:p>
            <w:pPr>
              <w:jc w:val="right"/>
              <w:ind w:right="1165"/>
              <w:spacing w:after="0"/>
              <w:rPr>
                <w:sz w:val="20"/>
                <w:szCs w:val="20"/>
                <w:color w:val="auto"/>
              </w:rPr>
            </w:pPr>
            <w:r>
              <w:rPr>
                <w:rFonts w:ascii="Arial" w:cs="Arial" w:eastAsia="Arial" w:hAnsi="Arial"/>
                <w:sz w:val="16"/>
                <w:szCs w:val="16"/>
                <w:b w:val="1"/>
                <w:bCs w:val="1"/>
                <w:color w:val="auto"/>
              </w:rPr>
              <w:t>14203</w:t>
            </w:r>
          </w:p>
        </w:tc>
        <w:tc>
          <w:tcPr>
            <w:tcW w:w="0" w:type="dxa"/>
            <w:vAlign w:val="bottom"/>
          </w:tcPr>
          <w:p>
            <w:pPr>
              <w:spacing w:after="0"/>
              <w:rPr>
                <w:sz w:val="1"/>
                <w:szCs w:val="1"/>
                <w:color w:val="auto"/>
              </w:rPr>
            </w:pPr>
          </w:p>
        </w:tc>
      </w:tr>
      <w:tr>
        <w:trPr>
          <w:trHeight w:val="179"/>
        </w:trPr>
        <w:tc>
          <w:tcPr>
            <w:tcW w:w="4240" w:type="dxa"/>
            <w:vAlign w:val="bottom"/>
            <w:gridSpan w:val="4"/>
          </w:tcPr>
          <w:p>
            <w:pPr>
              <w:jc w:val="center"/>
              <w:ind w:left="369"/>
              <w:spacing w:after="0"/>
              <w:rPr>
                <w:sz w:val="20"/>
                <w:szCs w:val="20"/>
                <w:color w:val="auto"/>
              </w:rPr>
            </w:pPr>
            <w:r>
              <w:rPr>
                <w:rFonts w:ascii="Arial" w:cs="Arial" w:eastAsia="Arial" w:hAnsi="Arial"/>
                <w:sz w:val="14"/>
                <w:szCs w:val="14"/>
                <w:i w:val="1"/>
                <w:iCs w:val="1"/>
                <w:color w:val="auto"/>
                <w:w w:val="91"/>
              </w:rPr>
              <w:t>(Address of principal executive offices)</w:t>
            </w:r>
          </w:p>
        </w:tc>
        <w:tc>
          <w:tcPr>
            <w:tcW w:w="2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920" w:type="dxa"/>
            <w:vAlign w:val="bottom"/>
          </w:tcPr>
          <w:p>
            <w:pPr>
              <w:jc w:val="center"/>
              <w:ind w:right="865"/>
              <w:spacing w:after="0"/>
              <w:rPr>
                <w:sz w:val="20"/>
                <w:szCs w:val="20"/>
                <w:color w:val="auto"/>
              </w:rPr>
            </w:pPr>
            <w:r>
              <w:rPr>
                <w:rFonts w:ascii="Arial" w:cs="Arial" w:eastAsia="Arial" w:hAnsi="Arial"/>
                <w:sz w:val="14"/>
                <w:szCs w:val="14"/>
                <w:i w:val="1"/>
                <w:iCs w:val="1"/>
                <w:color w:val="auto"/>
                <w:w w:val="93"/>
              </w:rPr>
              <w:t>(Zip Code)</w:t>
            </w:r>
          </w:p>
        </w:tc>
        <w:tc>
          <w:tcPr>
            <w:tcW w:w="0" w:type="dxa"/>
            <w:vAlign w:val="bottom"/>
          </w:tcPr>
          <w:p>
            <w:pPr>
              <w:spacing w:after="0"/>
              <w:rPr>
                <w:sz w:val="1"/>
                <w:szCs w:val="1"/>
                <w:color w:val="auto"/>
              </w:rPr>
            </w:pPr>
          </w:p>
        </w:tc>
      </w:tr>
      <w:tr>
        <w:trPr>
          <w:trHeight w:val="227"/>
        </w:trPr>
        <w:tc>
          <w:tcPr>
            <w:tcW w:w="17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720" w:type="dxa"/>
            <w:vAlign w:val="bottom"/>
            <w:gridSpan w:val="4"/>
          </w:tcPr>
          <w:p>
            <w:pPr>
              <w:jc w:val="center"/>
              <w:ind w:right="70"/>
              <w:spacing w:after="0"/>
              <w:rPr>
                <w:sz w:val="20"/>
                <w:szCs w:val="20"/>
                <w:color w:val="auto"/>
              </w:rPr>
            </w:pPr>
            <w:r>
              <w:rPr>
                <w:rFonts w:ascii="Arial" w:cs="Arial" w:eastAsia="Arial" w:hAnsi="Arial"/>
                <w:sz w:val="16"/>
                <w:szCs w:val="16"/>
                <w:b w:val="1"/>
                <w:bCs w:val="1"/>
                <w:color w:val="auto"/>
                <w:w w:val="87"/>
              </w:rPr>
              <w:t>Registrant’s telephone number, including area code:</w:t>
            </w:r>
          </w:p>
        </w:tc>
        <w:tc>
          <w:tcPr>
            <w:tcW w:w="4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500" w:type="dxa"/>
            <w:vAlign w:val="bottom"/>
          </w:tcPr>
          <w:p>
            <w:pPr>
              <w:jc w:val="center"/>
              <w:ind w:right="521"/>
              <w:spacing w:after="0"/>
              <w:rPr>
                <w:sz w:val="20"/>
                <w:szCs w:val="20"/>
                <w:color w:val="auto"/>
              </w:rPr>
            </w:pPr>
            <w:r>
              <w:rPr>
                <w:rFonts w:ascii="Arial" w:cs="Arial" w:eastAsia="Arial" w:hAnsi="Arial"/>
                <w:sz w:val="16"/>
                <w:szCs w:val="16"/>
                <w:b w:val="1"/>
                <w:bCs w:val="1"/>
                <w:color w:val="auto"/>
                <w:w w:val="90"/>
              </w:rPr>
              <w:t>716-635-4000</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20" w:type="dxa"/>
            <w:vAlign w:val="bottom"/>
            <w:gridSpan w:val="5"/>
          </w:tcPr>
          <w:p>
            <w:pPr>
              <w:jc w:val="center"/>
              <w:ind w:left="286"/>
              <w:spacing w:after="0"/>
              <w:rPr>
                <w:sz w:val="20"/>
                <w:szCs w:val="20"/>
                <w:color w:val="auto"/>
              </w:rPr>
            </w:pPr>
            <w:r>
              <w:rPr>
                <w:rFonts w:ascii="Arial" w:cs="Arial" w:eastAsia="Arial" w:hAnsi="Arial"/>
                <w:sz w:val="16"/>
                <w:szCs w:val="16"/>
                <w:b w:val="1"/>
                <w:bCs w:val="1"/>
                <w:color w:val="auto"/>
                <w:w w:val="87"/>
              </w:rPr>
              <w:t>Securities registered pursuant to Section 12(b) of the Act:</w:t>
            </w:r>
          </w:p>
        </w:tc>
        <w:tc>
          <w:tcPr>
            <w:tcW w:w="4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1780" w:type="dxa"/>
            <w:vAlign w:val="bottom"/>
          </w:tcPr>
          <w:p>
            <w:pPr>
              <w:spacing w:after="0"/>
              <w:rPr>
                <w:sz w:val="17"/>
                <w:szCs w:val="17"/>
                <w:color w:val="auto"/>
              </w:rPr>
            </w:pPr>
          </w:p>
        </w:tc>
        <w:tc>
          <w:tcPr>
            <w:tcW w:w="2460" w:type="dxa"/>
            <w:vAlign w:val="bottom"/>
            <w:gridSpan w:val="3"/>
          </w:tcPr>
          <w:p>
            <w:pPr>
              <w:jc w:val="center"/>
              <w:ind w:right="1261"/>
              <w:spacing w:after="0"/>
              <w:rPr>
                <w:sz w:val="20"/>
                <w:szCs w:val="20"/>
                <w:color w:val="auto"/>
              </w:rPr>
            </w:pPr>
            <w:r>
              <w:rPr>
                <w:rFonts w:ascii="Arial" w:cs="Arial" w:eastAsia="Arial" w:hAnsi="Arial"/>
                <w:sz w:val="14"/>
                <w:szCs w:val="14"/>
                <w:b w:val="1"/>
                <w:bCs w:val="1"/>
                <w:color w:val="auto"/>
                <w:w w:val="89"/>
              </w:rPr>
              <w:t>Title of Each Class</w:t>
            </w:r>
          </w:p>
        </w:tc>
        <w:tc>
          <w:tcPr>
            <w:tcW w:w="2500" w:type="dxa"/>
            <w:vAlign w:val="bottom"/>
          </w:tcPr>
          <w:p>
            <w:pPr>
              <w:spacing w:after="0"/>
              <w:rPr>
                <w:sz w:val="17"/>
                <w:szCs w:val="17"/>
                <w:color w:val="auto"/>
              </w:rPr>
            </w:pPr>
          </w:p>
        </w:tc>
        <w:tc>
          <w:tcPr>
            <w:tcW w:w="2740" w:type="dxa"/>
            <w:vAlign w:val="bottom"/>
            <w:gridSpan w:val="4"/>
          </w:tcPr>
          <w:p>
            <w:pPr>
              <w:spacing w:after="0"/>
              <w:rPr>
                <w:sz w:val="20"/>
                <w:szCs w:val="20"/>
                <w:color w:val="auto"/>
              </w:rPr>
            </w:pPr>
            <w:r>
              <w:rPr>
                <w:rFonts w:ascii="Arial" w:cs="Arial" w:eastAsia="Arial" w:hAnsi="Arial"/>
                <w:sz w:val="14"/>
                <w:szCs w:val="14"/>
                <w:b w:val="1"/>
                <w:bCs w:val="1"/>
                <w:color w:val="auto"/>
                <w:w w:val="88"/>
              </w:rPr>
              <w:t>Name of Each Exchange on Which Registered</w:t>
            </w: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340" w:type="dxa"/>
            <w:vAlign w:val="bottom"/>
            <w:gridSpan w:val="2"/>
            <w:vMerge w:val="restart"/>
          </w:tcPr>
          <w:p>
            <w:pPr>
              <w:ind w:left="20"/>
              <w:spacing w:after="0" w:line="139" w:lineRule="exact"/>
              <w:rPr>
                <w:sz w:val="20"/>
                <w:szCs w:val="20"/>
                <w:color w:val="auto"/>
              </w:rPr>
            </w:pPr>
            <w:r>
              <w:rPr>
                <w:rFonts w:ascii="Arial" w:cs="Arial" w:eastAsia="Arial" w:hAnsi="Arial"/>
                <w:sz w:val="14"/>
                <w:szCs w:val="14"/>
                <w:color w:val="auto"/>
              </w:rPr>
              <w:t>value</w:t>
            </w:r>
          </w:p>
        </w:tc>
        <w:tc>
          <w:tcPr>
            <w:tcW w:w="25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36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2900" w:type="dxa"/>
            <w:vAlign w:val="bottom"/>
            <w:gridSpan w:val="2"/>
          </w:tcPr>
          <w:p>
            <w:pPr>
              <w:ind w:left="1480"/>
              <w:spacing w:after="0" w:line="119" w:lineRule="exact"/>
              <w:rPr>
                <w:sz w:val="20"/>
                <w:szCs w:val="20"/>
                <w:color w:val="auto"/>
              </w:rPr>
            </w:pPr>
            <w:r>
              <w:rPr>
                <w:rFonts w:ascii="Arial" w:cs="Arial" w:eastAsia="Arial" w:hAnsi="Arial"/>
                <w:sz w:val="13"/>
                <w:szCs w:val="13"/>
                <w:color w:val="auto"/>
                <w:w w:val="97"/>
              </w:rPr>
              <w:t>Common Stock, $.50 par</w:t>
            </w:r>
          </w:p>
        </w:tc>
        <w:tc>
          <w:tcPr>
            <w:tcW w:w="1340" w:type="dxa"/>
            <w:vAlign w:val="bottom"/>
            <w:gridSpan w:val="2"/>
            <w:vMerge w:val="continue"/>
          </w:tcPr>
          <w:p>
            <w:pPr>
              <w:spacing w:after="0"/>
              <w:rPr>
                <w:sz w:val="10"/>
                <w:szCs w:val="10"/>
                <w:color w:val="auto"/>
              </w:rPr>
            </w:pPr>
          </w:p>
        </w:tc>
        <w:tc>
          <w:tcPr>
            <w:tcW w:w="2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360" w:type="dxa"/>
            <w:vAlign w:val="bottom"/>
            <w:gridSpan w:val="2"/>
          </w:tcPr>
          <w:p>
            <w:pPr>
              <w:jc w:val="center"/>
              <w:ind w:right="425"/>
              <w:spacing w:after="0" w:line="119" w:lineRule="exact"/>
              <w:rPr>
                <w:sz w:val="20"/>
                <w:szCs w:val="20"/>
                <w:color w:val="auto"/>
              </w:rPr>
            </w:pPr>
            <w:r>
              <w:rPr>
                <w:rFonts w:ascii="Arial" w:cs="Arial" w:eastAsia="Arial" w:hAnsi="Arial"/>
                <w:sz w:val="13"/>
                <w:szCs w:val="13"/>
                <w:color w:val="auto"/>
                <w:w w:val="97"/>
              </w:rPr>
              <w:t>New York Stock Exchange</w:t>
            </w:r>
          </w:p>
        </w:tc>
        <w:tc>
          <w:tcPr>
            <w:tcW w:w="0" w:type="dxa"/>
            <w:vAlign w:val="bottom"/>
          </w:tcPr>
          <w:p>
            <w:pPr>
              <w:spacing w:after="0"/>
              <w:rPr>
                <w:sz w:val="1"/>
                <w:szCs w:val="1"/>
                <w:color w:val="auto"/>
              </w:rPr>
            </w:pPr>
          </w:p>
        </w:tc>
      </w:tr>
      <w:tr>
        <w:trPr>
          <w:trHeight w:val="145"/>
        </w:trPr>
        <w:tc>
          <w:tcPr>
            <w:tcW w:w="4240" w:type="dxa"/>
            <w:vAlign w:val="bottom"/>
            <w:gridSpan w:val="4"/>
          </w:tcPr>
          <w:p>
            <w:pPr>
              <w:jc w:val="center"/>
              <w:ind w:left="369"/>
              <w:spacing w:after="0" w:line="145" w:lineRule="exact"/>
              <w:rPr>
                <w:sz w:val="20"/>
                <w:szCs w:val="20"/>
                <w:color w:val="auto"/>
              </w:rPr>
            </w:pPr>
            <w:r>
              <w:rPr>
                <w:rFonts w:ascii="Arial" w:cs="Arial" w:eastAsia="Arial" w:hAnsi="Arial"/>
                <w:sz w:val="14"/>
                <w:szCs w:val="14"/>
                <w:color w:val="auto"/>
                <w:w w:val="90"/>
              </w:rPr>
              <w:t>6.375% Cumulative Perpetual Preferred Stock,</w:t>
            </w:r>
          </w:p>
        </w:tc>
        <w:tc>
          <w:tcPr>
            <w:tcW w:w="2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60" w:type="dxa"/>
            <w:vAlign w:val="bottom"/>
            <w:gridSpan w:val="2"/>
          </w:tcPr>
          <w:p>
            <w:pPr>
              <w:jc w:val="center"/>
              <w:ind w:right="425"/>
              <w:spacing w:after="0" w:line="145" w:lineRule="exact"/>
              <w:rPr>
                <w:sz w:val="20"/>
                <w:szCs w:val="20"/>
                <w:color w:val="auto"/>
              </w:rPr>
            </w:pPr>
            <w:r>
              <w:rPr>
                <w:rFonts w:ascii="Arial" w:cs="Arial" w:eastAsia="Arial" w:hAnsi="Arial"/>
                <w:sz w:val="14"/>
                <w:szCs w:val="14"/>
                <w:color w:val="auto"/>
                <w:w w:val="90"/>
              </w:rPr>
              <w:t>New York Stock Exchange</w:t>
            </w:r>
          </w:p>
        </w:tc>
        <w:tc>
          <w:tcPr>
            <w:tcW w:w="0" w:type="dxa"/>
            <w:vAlign w:val="bottom"/>
          </w:tcPr>
          <w:p>
            <w:pPr>
              <w:spacing w:after="0"/>
              <w:rPr>
                <w:sz w:val="1"/>
                <w:szCs w:val="1"/>
                <w:color w:val="auto"/>
              </w:rPr>
            </w:pPr>
          </w:p>
        </w:tc>
      </w:tr>
      <w:tr>
        <w:trPr>
          <w:trHeight w:val="145"/>
        </w:trPr>
        <w:tc>
          <w:tcPr>
            <w:tcW w:w="4240" w:type="dxa"/>
            <w:vAlign w:val="bottom"/>
            <w:gridSpan w:val="4"/>
          </w:tcPr>
          <w:p>
            <w:pPr>
              <w:jc w:val="center"/>
              <w:ind w:left="389"/>
              <w:spacing w:after="0" w:line="145" w:lineRule="exact"/>
              <w:rPr>
                <w:sz w:val="20"/>
                <w:szCs w:val="20"/>
                <w:color w:val="auto"/>
              </w:rPr>
            </w:pPr>
            <w:r>
              <w:rPr>
                <w:rFonts w:ascii="Arial" w:cs="Arial" w:eastAsia="Arial" w:hAnsi="Arial"/>
                <w:sz w:val="14"/>
                <w:szCs w:val="14"/>
                <w:color w:val="auto"/>
                <w:w w:val="90"/>
              </w:rPr>
              <w:t>Series A, $1,000 liquidation preference per share</w:t>
            </w:r>
          </w:p>
        </w:tc>
        <w:tc>
          <w:tcPr>
            <w:tcW w:w="2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240" w:type="dxa"/>
            <w:vAlign w:val="bottom"/>
            <w:gridSpan w:val="4"/>
          </w:tcPr>
          <w:p>
            <w:pPr>
              <w:jc w:val="center"/>
              <w:ind w:left="369"/>
              <w:spacing w:after="0" w:line="145" w:lineRule="exact"/>
              <w:rPr>
                <w:sz w:val="20"/>
                <w:szCs w:val="20"/>
                <w:color w:val="auto"/>
              </w:rPr>
            </w:pPr>
            <w:r>
              <w:rPr>
                <w:rFonts w:ascii="Arial" w:cs="Arial" w:eastAsia="Arial" w:hAnsi="Arial"/>
                <w:sz w:val="14"/>
                <w:szCs w:val="14"/>
                <w:color w:val="auto"/>
                <w:w w:val="90"/>
              </w:rPr>
              <w:t>6.375% Cumulative Perpetual Preferred Stock,</w:t>
            </w:r>
          </w:p>
        </w:tc>
        <w:tc>
          <w:tcPr>
            <w:tcW w:w="2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60" w:type="dxa"/>
            <w:vAlign w:val="bottom"/>
            <w:gridSpan w:val="2"/>
          </w:tcPr>
          <w:p>
            <w:pPr>
              <w:jc w:val="center"/>
              <w:ind w:right="425"/>
              <w:spacing w:after="0" w:line="145" w:lineRule="exact"/>
              <w:rPr>
                <w:sz w:val="20"/>
                <w:szCs w:val="20"/>
                <w:color w:val="auto"/>
              </w:rPr>
            </w:pPr>
            <w:r>
              <w:rPr>
                <w:rFonts w:ascii="Arial" w:cs="Arial" w:eastAsia="Arial" w:hAnsi="Arial"/>
                <w:sz w:val="14"/>
                <w:szCs w:val="14"/>
                <w:color w:val="auto"/>
                <w:w w:val="90"/>
              </w:rPr>
              <w:t>New York Stock Exchange</w:t>
            </w:r>
          </w:p>
        </w:tc>
        <w:tc>
          <w:tcPr>
            <w:tcW w:w="0" w:type="dxa"/>
            <w:vAlign w:val="bottom"/>
          </w:tcPr>
          <w:p>
            <w:pPr>
              <w:spacing w:after="0"/>
              <w:rPr>
                <w:sz w:val="1"/>
                <w:szCs w:val="1"/>
                <w:color w:val="auto"/>
              </w:rPr>
            </w:pPr>
          </w:p>
        </w:tc>
      </w:tr>
      <w:tr>
        <w:trPr>
          <w:trHeight w:val="145"/>
        </w:trPr>
        <w:tc>
          <w:tcPr>
            <w:tcW w:w="4240" w:type="dxa"/>
            <w:vAlign w:val="bottom"/>
            <w:gridSpan w:val="4"/>
          </w:tcPr>
          <w:p>
            <w:pPr>
              <w:jc w:val="center"/>
              <w:ind w:left="389"/>
              <w:spacing w:after="0" w:line="145" w:lineRule="exact"/>
              <w:rPr>
                <w:sz w:val="20"/>
                <w:szCs w:val="20"/>
                <w:color w:val="auto"/>
              </w:rPr>
            </w:pPr>
            <w:r>
              <w:rPr>
                <w:rFonts w:ascii="Arial" w:cs="Arial" w:eastAsia="Arial" w:hAnsi="Arial"/>
                <w:sz w:val="14"/>
                <w:szCs w:val="14"/>
                <w:color w:val="auto"/>
                <w:w w:val="89"/>
              </w:rPr>
              <w:t>Series C, $1,000 liquidation preference per share</w:t>
            </w:r>
          </w:p>
        </w:tc>
        <w:tc>
          <w:tcPr>
            <w:tcW w:w="2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240" w:type="dxa"/>
            <w:vAlign w:val="bottom"/>
            <w:gridSpan w:val="4"/>
          </w:tcPr>
          <w:p>
            <w:pPr>
              <w:jc w:val="center"/>
              <w:ind w:left="389"/>
              <w:spacing w:after="0" w:line="145" w:lineRule="exact"/>
              <w:rPr>
                <w:sz w:val="20"/>
                <w:szCs w:val="20"/>
                <w:color w:val="auto"/>
              </w:rPr>
            </w:pPr>
            <w:r>
              <w:rPr>
                <w:rFonts w:ascii="Arial" w:cs="Arial" w:eastAsia="Arial" w:hAnsi="Arial"/>
                <w:sz w:val="14"/>
                <w:szCs w:val="14"/>
                <w:color w:val="auto"/>
                <w:w w:val="88"/>
              </w:rPr>
              <w:t>Warrants to purchase shares of Common Stock</w:t>
            </w:r>
          </w:p>
        </w:tc>
        <w:tc>
          <w:tcPr>
            <w:tcW w:w="2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60" w:type="dxa"/>
            <w:vAlign w:val="bottom"/>
            <w:gridSpan w:val="2"/>
          </w:tcPr>
          <w:p>
            <w:pPr>
              <w:jc w:val="center"/>
              <w:ind w:right="425"/>
              <w:spacing w:after="0" w:line="145" w:lineRule="exact"/>
              <w:rPr>
                <w:sz w:val="20"/>
                <w:szCs w:val="20"/>
                <w:color w:val="auto"/>
              </w:rPr>
            </w:pPr>
            <w:r>
              <w:rPr>
                <w:rFonts w:ascii="Arial" w:cs="Arial" w:eastAsia="Arial" w:hAnsi="Arial"/>
                <w:sz w:val="14"/>
                <w:szCs w:val="14"/>
                <w:color w:val="auto"/>
                <w:w w:val="90"/>
              </w:rPr>
              <w:t>New York Stock Exchange</w:t>
            </w:r>
          </w:p>
        </w:tc>
        <w:tc>
          <w:tcPr>
            <w:tcW w:w="0" w:type="dxa"/>
            <w:vAlign w:val="bottom"/>
          </w:tcPr>
          <w:p>
            <w:pPr>
              <w:spacing w:after="0"/>
              <w:rPr>
                <w:sz w:val="1"/>
                <w:szCs w:val="1"/>
                <w:color w:val="auto"/>
              </w:rPr>
            </w:pPr>
          </w:p>
        </w:tc>
      </w:tr>
      <w:tr>
        <w:trPr>
          <w:trHeight w:val="179"/>
        </w:trPr>
        <w:tc>
          <w:tcPr>
            <w:tcW w:w="4240" w:type="dxa"/>
            <w:vAlign w:val="bottom"/>
            <w:gridSpan w:val="4"/>
          </w:tcPr>
          <w:p>
            <w:pPr>
              <w:jc w:val="center"/>
              <w:ind w:left="389"/>
              <w:spacing w:after="0"/>
              <w:rPr>
                <w:sz w:val="20"/>
                <w:szCs w:val="20"/>
                <w:color w:val="auto"/>
              </w:rPr>
            </w:pPr>
            <w:r>
              <w:rPr>
                <w:rFonts w:ascii="Arial" w:cs="Arial" w:eastAsia="Arial" w:hAnsi="Arial"/>
                <w:sz w:val="14"/>
                <w:szCs w:val="14"/>
                <w:color w:val="auto"/>
                <w:w w:val="91"/>
              </w:rPr>
              <w:t>(expiring December 23, 2018)</w:t>
            </w:r>
          </w:p>
        </w:tc>
        <w:tc>
          <w:tcPr>
            <w:tcW w:w="2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1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3340" w:type="dxa"/>
            <w:vAlign w:val="bottom"/>
            <w:tcBorders>
              <w:bottom w:val="single" w:sz="8" w:color="auto"/>
            </w:tcBorders>
            <w:gridSpan w:val="2"/>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vMerge w:val="restart"/>
          </w:tcPr>
          <w:p>
            <w:pPr>
              <w:ind w:left="20"/>
              <w:spacing w:after="0" w:line="173" w:lineRule="exact"/>
              <w:rPr>
                <w:sz w:val="20"/>
                <w:szCs w:val="20"/>
                <w:color w:val="auto"/>
              </w:rPr>
            </w:pPr>
            <w:r>
              <w:rPr>
                <w:rFonts w:ascii="Arial" w:cs="Arial" w:eastAsia="Arial" w:hAnsi="Arial"/>
                <w:sz w:val="15"/>
                <w:szCs w:val="15"/>
                <w:color w:val="auto"/>
                <w:w w:val="88"/>
              </w:rPr>
              <w:t xml:space="preserve">Yes </w:t>
            </w:r>
            <w:r>
              <w:rPr>
                <w:rFonts w:ascii="MS PGothic" w:cs="MS PGothic" w:eastAsia="MS PGothic" w:hAnsi="MS PGothic"/>
                <w:sz w:val="15"/>
                <w:szCs w:val="15"/>
                <w:color w:val="auto"/>
                <w:w w:val="88"/>
              </w:rPr>
              <w:t>☒</w:t>
            </w:r>
          </w:p>
        </w:tc>
        <w:tc>
          <w:tcPr>
            <w:tcW w:w="1920" w:type="dxa"/>
            <w:vAlign w:val="bottom"/>
            <w:vMerge w:val="restart"/>
          </w:tcPr>
          <w:p>
            <w:pPr>
              <w:jc w:val="center"/>
              <w:ind w:right="1185"/>
              <w:spacing w:after="0" w:line="173" w:lineRule="exact"/>
              <w:rPr>
                <w:sz w:val="20"/>
                <w:szCs w:val="20"/>
                <w:color w:val="auto"/>
              </w:rPr>
            </w:pPr>
            <w:r>
              <w:rPr>
                <w:rFonts w:ascii="Arial" w:cs="Arial" w:eastAsia="Arial" w:hAnsi="Arial"/>
                <w:sz w:val="15"/>
                <w:szCs w:val="15"/>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50"/>
        </w:trPr>
        <w:tc>
          <w:tcPr>
            <w:tcW w:w="7120" w:type="dxa"/>
            <w:vAlign w:val="bottom"/>
            <w:gridSpan w:val="7"/>
          </w:tcPr>
          <w:p>
            <w:pPr>
              <w:spacing w:after="0"/>
              <w:rPr>
                <w:sz w:val="20"/>
                <w:szCs w:val="20"/>
                <w:color w:val="auto"/>
              </w:rPr>
            </w:pPr>
            <w:r>
              <w:rPr>
                <w:rFonts w:ascii="Arial" w:cs="Arial" w:eastAsia="Arial" w:hAnsi="Arial"/>
                <w:sz w:val="15"/>
                <w:szCs w:val="15"/>
                <w:color w:val="auto"/>
                <w:w w:val="91"/>
              </w:rPr>
              <w:t>Indicate by check mark if the registrant is a well-known seasoned issuer, as defined in Rule 405 of the Securities Act.</w:t>
            </w:r>
          </w:p>
        </w:tc>
        <w:tc>
          <w:tcPr>
            <w:tcW w:w="440" w:type="dxa"/>
            <w:vAlign w:val="bottom"/>
            <w:vMerge w:val="continue"/>
          </w:tcPr>
          <w:p>
            <w:pPr>
              <w:spacing w:after="0"/>
              <w:rPr>
                <w:sz w:val="21"/>
                <w:szCs w:val="21"/>
                <w:color w:val="auto"/>
              </w:rPr>
            </w:pPr>
          </w:p>
        </w:tc>
        <w:tc>
          <w:tcPr>
            <w:tcW w:w="19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120" w:type="dxa"/>
            <w:vAlign w:val="bottom"/>
            <w:gridSpan w:val="7"/>
          </w:tcPr>
          <w:p>
            <w:pPr>
              <w:spacing w:after="0"/>
              <w:rPr>
                <w:sz w:val="20"/>
                <w:szCs w:val="20"/>
                <w:color w:val="auto"/>
              </w:rPr>
            </w:pPr>
            <w:r>
              <w:rPr>
                <w:rFonts w:ascii="Arial" w:cs="Arial" w:eastAsia="Arial" w:hAnsi="Arial"/>
                <w:sz w:val="15"/>
                <w:szCs w:val="15"/>
                <w:color w:val="auto"/>
                <w:w w:val="90"/>
              </w:rPr>
              <w:t>Indicate by check mark if the registrant is not required to file reports pursuant to Section 13 or Section 15(d) of the Act.</w:t>
            </w:r>
          </w:p>
        </w:tc>
        <w:tc>
          <w:tcPr>
            <w:tcW w:w="440" w:type="dxa"/>
            <w:vAlign w:val="bottom"/>
          </w:tcPr>
          <w:p>
            <w:pPr>
              <w:ind w:left="140"/>
              <w:spacing w:after="0"/>
              <w:rPr>
                <w:sz w:val="20"/>
                <w:szCs w:val="20"/>
                <w:color w:val="auto"/>
              </w:rPr>
            </w:pPr>
            <w:r>
              <w:rPr>
                <w:rFonts w:ascii="Arial" w:cs="Arial" w:eastAsia="Arial" w:hAnsi="Arial"/>
                <w:sz w:val="15"/>
                <w:szCs w:val="15"/>
                <w:color w:val="auto"/>
              </w:rPr>
              <w:t>Yes</w:t>
            </w:r>
          </w:p>
        </w:tc>
        <w:tc>
          <w:tcPr>
            <w:tcW w:w="1920" w:type="dxa"/>
            <w:vAlign w:val="bottom"/>
          </w:tcPr>
          <w:p>
            <w:pPr>
              <w:jc w:val="center"/>
              <w:ind w:right="1185"/>
              <w:spacing w:after="0" w:line="173"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tc>
        <w:tc>
          <w:tcPr>
            <w:tcW w:w="0" w:type="dxa"/>
            <w:vAlign w:val="bottom"/>
          </w:tcPr>
          <w:p>
            <w:pPr>
              <w:spacing w:after="0"/>
              <w:rPr>
                <w:sz w:val="1"/>
                <w:szCs w:val="1"/>
                <w:color w:val="auto"/>
              </w:rPr>
            </w:pPr>
          </w:p>
        </w:tc>
      </w:tr>
    </w:tbl>
    <w:p>
      <w:pPr>
        <w:spacing w:after="0" w:line="19" w:lineRule="exact"/>
        <w:rPr>
          <w:sz w:val="24"/>
          <w:szCs w:val="24"/>
          <w:color w:val="auto"/>
        </w:rPr>
      </w:pPr>
    </w:p>
    <w:p>
      <w:pPr>
        <w:ind w:firstLine="518"/>
        <w:spacing w:after="0" w:line="188" w:lineRule="exact"/>
        <w:rPr>
          <w:sz w:val="20"/>
          <w:szCs w:val="20"/>
          <w:color w:val="auto"/>
        </w:rPr>
      </w:pPr>
      <w:r>
        <w:rPr>
          <w:rFonts w:ascii="Arial" w:cs="Arial" w:eastAsia="Arial" w:hAnsi="Arial"/>
          <w:sz w:val="15"/>
          <w:szCs w:val="15"/>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4"/>
          <w:szCs w:val="14"/>
          <w:color w:val="auto"/>
        </w:rPr>
        <w:t>☐</w:t>
      </w:r>
    </w:p>
    <w:p>
      <w:pPr>
        <w:spacing w:after="0" w:line="19" w:lineRule="exact"/>
        <w:rPr>
          <w:sz w:val="24"/>
          <w:szCs w:val="24"/>
          <w:color w:val="auto"/>
        </w:rPr>
      </w:pPr>
    </w:p>
    <w:p>
      <w:pPr>
        <w:ind w:firstLine="518"/>
        <w:spacing w:after="0" w:line="188" w:lineRule="exact"/>
        <w:rPr>
          <w:sz w:val="20"/>
          <w:szCs w:val="20"/>
          <w:color w:val="auto"/>
        </w:rPr>
      </w:pPr>
      <w:r>
        <w:rPr>
          <w:rFonts w:ascii="Arial" w:cs="Arial" w:eastAsia="Arial" w:hAnsi="Arial"/>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3"/>
          <w:szCs w:val="13"/>
          <w:color w:val="auto"/>
        </w:rPr>
        <w:t>☐</w:t>
      </w:r>
    </w:p>
    <w:p>
      <w:pPr>
        <w:spacing w:after="0" w:line="20" w:lineRule="exact"/>
        <w:rPr>
          <w:sz w:val="24"/>
          <w:szCs w:val="24"/>
          <w:color w:val="auto"/>
        </w:rPr>
      </w:pPr>
    </w:p>
    <w:p>
      <w:pPr>
        <w:ind w:firstLine="518"/>
        <w:spacing w:after="0" w:line="179" w:lineRule="exact"/>
        <w:rPr>
          <w:sz w:val="20"/>
          <w:szCs w:val="20"/>
          <w:color w:val="auto"/>
        </w:rPr>
      </w:pPr>
      <w:r>
        <w:rPr>
          <w:rFonts w:ascii="Arial" w:cs="Arial" w:eastAsia="Arial" w:hAnsi="Arial"/>
          <w:sz w:val="15"/>
          <w:szCs w:val="15"/>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23" w:lineRule="exact"/>
        <w:rPr>
          <w:sz w:val="24"/>
          <w:szCs w:val="24"/>
          <w:color w:val="auto"/>
        </w:rPr>
      </w:pPr>
    </w:p>
    <w:p>
      <w:pPr>
        <w:ind w:firstLine="518"/>
        <w:spacing w:after="0"/>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326" w:right="239" w:bottom="1440" w:gutter="0" w:footer="0" w:header="0"/>
        </w:sectPr>
      </w:pPr>
    </w:p>
    <w:p>
      <w:pPr>
        <w:spacing w:after="0" w:line="36"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9" w:lineRule="exact"/>
        <w:rPr>
          <w:sz w:val="24"/>
          <w:szCs w:val="24"/>
          <w:color w:val="auto"/>
        </w:rPr>
      </w:pPr>
    </w:p>
    <w:p>
      <w:pPr>
        <w:spacing w:after="0"/>
        <w:rPr>
          <w:sz w:val="20"/>
          <w:szCs w:val="20"/>
          <w:color w:val="auto"/>
        </w:rPr>
      </w:pPr>
      <w:r>
        <w:rPr>
          <w:rFonts w:ascii="Arial" w:cs="Arial" w:eastAsia="Arial" w:hAnsi="Arial"/>
          <w:sz w:val="15"/>
          <w:szCs w:val="15"/>
          <w:color w:val="auto"/>
        </w:rPr>
        <w:t>Non-accelerated filer</w:t>
      </w:r>
    </w:p>
    <w:p>
      <w:pPr>
        <w:spacing w:after="0"/>
        <w:rPr>
          <w:sz w:val="20"/>
          <w:szCs w:val="20"/>
          <w:color w:val="auto"/>
        </w:rPr>
      </w:pPr>
      <w:r>
        <w:rPr>
          <w:rFonts w:ascii="Arial" w:cs="Arial" w:eastAsia="Arial" w:hAnsi="Arial"/>
          <w:sz w:val="13"/>
          <w:szCs w:val="13"/>
          <w:color w:val="auto"/>
        </w:rPr>
        <w:t>Emerging growth company</w:t>
      </w:r>
    </w:p>
    <w:p>
      <w:pPr>
        <w:spacing w:after="0" w:line="20" w:lineRule="exact"/>
        <w:rPr>
          <w:sz w:val="24"/>
          <w:szCs w:val="24"/>
          <w:color w:val="auto"/>
        </w:rPr>
      </w:pPr>
      <w:r>
        <w:rPr>
          <w:sz w:val="24"/>
          <w:szCs w:val="24"/>
          <w:color w:val="auto"/>
        </w:rPr>
        <w:br w:type="column"/>
      </w:r>
    </w:p>
    <w:p>
      <w:pPr>
        <w:spacing w:after="0" w:line="154" w:lineRule="exact"/>
        <w:tabs>
          <w:tab w:leader="none" w:pos="6120" w:val="left"/>
          <w:tab w:leader="none" w:pos="8540" w:val="left"/>
        </w:tabs>
        <w:rPr>
          <w:sz w:val="20"/>
          <w:szCs w:val="20"/>
          <w:color w:val="auto"/>
        </w:rPr>
      </w:pPr>
      <w:r>
        <w:rPr>
          <w:rFonts w:ascii="MS PGothic" w:cs="MS PGothic" w:eastAsia="MS PGothic" w:hAnsi="MS PGothic"/>
          <w:sz w:val="15"/>
          <w:szCs w:val="15"/>
          <w:color w:val="auto"/>
        </w:rPr>
        <w:t>☒</w:t>
      </w:r>
      <w:r>
        <w:rPr>
          <w:sz w:val="20"/>
          <w:szCs w:val="20"/>
          <w:color w:val="auto"/>
        </w:rPr>
        <w:tab/>
      </w:r>
      <w:r>
        <w:rPr>
          <w:rFonts w:ascii="Arial" w:cs="Arial" w:eastAsia="Arial" w:hAnsi="Arial"/>
          <w:sz w:val="15"/>
          <w:szCs w:val="15"/>
          <w:color w:val="auto"/>
        </w:rPr>
        <w:t>Accelerated filer</w:t>
      </w:r>
      <w:r>
        <w:rPr>
          <w:sz w:val="20"/>
          <w:szCs w:val="20"/>
          <w:color w:val="auto"/>
        </w:rPr>
        <w:tab/>
      </w:r>
      <w:r>
        <w:rPr>
          <w:rFonts w:ascii="MS PGothic" w:cs="MS PGothic" w:eastAsia="MS PGothic" w:hAnsi="MS PGothic"/>
          <w:sz w:val="12"/>
          <w:szCs w:val="12"/>
          <w:color w:val="auto"/>
        </w:rPr>
        <w:t>☐</w:t>
      </w:r>
    </w:p>
    <w:p>
      <w:pPr>
        <w:spacing w:after="0" w:line="33" w:lineRule="exact"/>
        <w:rPr>
          <w:sz w:val="24"/>
          <w:szCs w:val="24"/>
          <w:color w:val="auto"/>
        </w:rPr>
      </w:pPr>
    </w:p>
    <w:p>
      <w:pPr>
        <w:spacing w:after="0" w:line="173" w:lineRule="exact"/>
        <w:tabs>
          <w:tab w:leader="none" w:pos="460" w:val="left"/>
          <w:tab w:leader="none" w:pos="6120" w:val="left"/>
          <w:tab w:leader="none" w:pos="8540" w:val="left"/>
        </w:tabs>
        <w:rPr>
          <w:sz w:val="20"/>
          <w:szCs w:val="20"/>
          <w:color w:val="auto"/>
        </w:rPr>
      </w:pPr>
      <w:r>
        <w:rPr>
          <w:rFonts w:ascii="MS PGothic" w:cs="MS PGothic" w:eastAsia="MS PGothic" w:hAnsi="MS PGothic"/>
          <w:sz w:val="14"/>
          <w:szCs w:val="14"/>
          <w:color w:val="auto"/>
        </w:rPr>
        <w:t>☐</w:t>
      </w:r>
      <w:r>
        <w:rPr>
          <w:sz w:val="20"/>
          <w:szCs w:val="20"/>
          <w:color w:val="auto"/>
        </w:rPr>
        <w:tab/>
      </w:r>
      <w:r>
        <w:rPr>
          <w:rFonts w:ascii="Arial" w:cs="Arial" w:eastAsia="Arial" w:hAnsi="Arial"/>
          <w:sz w:val="15"/>
          <w:szCs w:val="15"/>
          <w:color w:val="auto"/>
        </w:rPr>
        <w:t>(Do not check if a smaller reporting company)</w:t>
      </w:r>
      <w:r>
        <w:rPr>
          <w:sz w:val="20"/>
          <w:szCs w:val="20"/>
          <w:color w:val="auto"/>
        </w:rPr>
        <w:tab/>
      </w:r>
      <w:r>
        <w:rPr>
          <w:rFonts w:ascii="Arial" w:cs="Arial" w:eastAsia="Arial" w:hAnsi="Arial"/>
          <w:sz w:val="15"/>
          <w:szCs w:val="15"/>
          <w:color w:val="auto"/>
        </w:rPr>
        <w:t>Smaller reporting company</w:t>
      </w:r>
      <w:r>
        <w:rPr>
          <w:sz w:val="20"/>
          <w:szCs w:val="20"/>
          <w:color w:val="auto"/>
        </w:rPr>
        <w:tab/>
      </w:r>
      <w:r>
        <w:rPr>
          <w:rFonts w:ascii="MS PGothic" w:cs="MS PGothic" w:eastAsia="MS PGothic" w:hAnsi="MS PGothic"/>
          <w:sz w:val="12"/>
          <w:szCs w:val="12"/>
          <w:color w:val="auto"/>
        </w:rPr>
        <w:t>☐</w:t>
      </w:r>
    </w:p>
    <w:p>
      <w:pPr>
        <w:spacing w:after="0" w:line="141" w:lineRule="exact"/>
        <w:rPr>
          <w:sz w:val="20"/>
          <w:szCs w:val="20"/>
          <w:color w:val="auto"/>
        </w:rPr>
      </w:pPr>
      <w:r>
        <w:rPr>
          <w:rFonts w:ascii="MS PGothic" w:cs="MS PGothic" w:eastAsia="MS PGothic" w:hAnsi="MS PGothic"/>
          <w:sz w:val="14"/>
          <w:szCs w:val="14"/>
          <w:color w:val="auto"/>
        </w:rPr>
        <w:t>☐</w:t>
      </w:r>
    </w:p>
    <w:p>
      <w:pPr>
        <w:spacing w:after="0" w:line="68" w:lineRule="exact"/>
        <w:rPr>
          <w:sz w:val="24"/>
          <w:szCs w:val="24"/>
          <w:color w:val="auto"/>
        </w:rPr>
      </w:pPr>
    </w:p>
    <w:p>
      <w:pPr>
        <w:sectPr>
          <w:pgSz w:w="11900" w:h="16838" w:orient="portrait"/>
          <w:cols w:equalWidth="0" w:num="2">
            <w:col w:w="1680" w:space="720"/>
            <w:col w:w="9020"/>
          </w:cols>
          <w:pgMar w:left="240" w:top="326" w:right="239" w:bottom="1440" w:gutter="0" w:footer="0" w:header="0"/>
          <w:type w:val="continuous"/>
        </w:sectPr>
      </w:pPr>
    </w:p>
    <w:p>
      <w:pPr>
        <w:ind w:firstLine="518"/>
        <w:spacing w:after="0" w:line="179"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9" w:lineRule="exact"/>
        <w:rPr>
          <w:sz w:val="24"/>
          <w:szCs w:val="24"/>
          <w:color w:val="auto"/>
        </w:rPr>
      </w:pPr>
    </w:p>
    <w:p>
      <w:pPr>
        <w:ind w:left="520"/>
        <w:spacing w:after="0" w:line="173" w:lineRule="exact"/>
        <w:tabs>
          <w:tab w:leader="none" w:pos="6780" w:val="left"/>
          <w:tab w:leader="none" w:pos="736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w:t>
      </w:r>
      <w:r>
        <w:rPr>
          <w:sz w:val="20"/>
          <w:szCs w:val="20"/>
          <w:color w:val="auto"/>
        </w:rPr>
        <w:tab/>
      </w:r>
      <w:r>
        <w:rPr>
          <w:rFonts w:ascii="Arial" w:cs="Arial" w:eastAsia="Arial" w:hAnsi="Arial"/>
          <w:sz w:val="15"/>
          <w:szCs w:val="15"/>
          <w:color w:val="auto"/>
        </w:rPr>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78" w:lineRule="exact"/>
        <w:rPr>
          <w:sz w:val="24"/>
          <w:szCs w:val="24"/>
          <w:color w:val="auto"/>
        </w:rPr>
      </w:pPr>
    </w:p>
    <w:p>
      <w:pPr>
        <w:ind w:firstLine="518"/>
        <w:spacing w:after="0" w:line="241" w:lineRule="auto"/>
        <w:rPr>
          <w:sz w:val="20"/>
          <w:szCs w:val="20"/>
          <w:color w:val="auto"/>
        </w:rPr>
      </w:pPr>
      <w:r>
        <w:rPr>
          <w:rFonts w:ascii="Arial" w:cs="Arial" w:eastAsia="Arial" w:hAnsi="Arial"/>
          <w:sz w:val="15"/>
          <w:szCs w:val="15"/>
          <w:color w:val="auto"/>
        </w:rPr>
        <w:t>Aggregate market value of the Common Stock, $0.50 par value, held by non-affiliates of the registrant, computed by reference to the closing price as of the close of business on June 30, 2017: $22,601,176,633.</w:t>
      </w:r>
    </w:p>
    <w:p>
      <w:pPr>
        <w:spacing w:after="0" w:line="21" w:lineRule="exact"/>
        <w:rPr>
          <w:sz w:val="24"/>
          <w:szCs w:val="24"/>
          <w:color w:val="auto"/>
        </w:rPr>
      </w:pPr>
    </w:p>
    <w:p>
      <w:pPr>
        <w:ind w:left="520"/>
        <w:spacing w:after="0"/>
        <w:rPr>
          <w:sz w:val="20"/>
          <w:szCs w:val="20"/>
          <w:color w:val="auto"/>
        </w:rPr>
      </w:pPr>
      <w:r>
        <w:rPr>
          <w:rFonts w:ascii="Arial" w:cs="Arial" w:eastAsia="Arial" w:hAnsi="Arial"/>
          <w:sz w:val="15"/>
          <w:szCs w:val="15"/>
          <w:color w:val="auto"/>
        </w:rPr>
        <w:t>Number of shares of the Common Stock, $0.50 par value, outstanding as of the close of business on January 31, 2018: 150,176,904 shares.</w:t>
      </w:r>
    </w:p>
    <w:p>
      <w:pPr>
        <w:spacing w:after="0" w:line="34" w:lineRule="exact"/>
        <w:rPr>
          <w:sz w:val="24"/>
          <w:szCs w:val="24"/>
          <w:color w:val="auto"/>
        </w:rPr>
      </w:pPr>
    </w:p>
    <w:p>
      <w:pPr>
        <w:ind w:left="4460"/>
        <w:spacing w:after="0"/>
        <w:rPr>
          <w:sz w:val="20"/>
          <w:szCs w:val="20"/>
          <w:color w:val="auto"/>
        </w:rPr>
      </w:pPr>
      <w:r>
        <w:rPr>
          <w:rFonts w:ascii="Arial" w:cs="Arial" w:eastAsia="Arial" w:hAnsi="Arial"/>
          <w:sz w:val="15"/>
          <w:szCs w:val="15"/>
          <w:b w:val="1"/>
          <w:bCs w:val="1"/>
          <w:color w:val="auto"/>
        </w:rPr>
        <w:t>Documents Incorporated By Reference:</w:t>
      </w:r>
    </w:p>
    <w:p>
      <w:pPr>
        <w:spacing w:after="0" w:line="42" w:lineRule="exact"/>
        <w:rPr>
          <w:sz w:val="24"/>
          <w:szCs w:val="24"/>
          <w:color w:val="auto"/>
        </w:rPr>
      </w:pPr>
    </w:p>
    <w:p>
      <w:pPr>
        <w:ind w:left="520"/>
        <w:spacing w:after="0"/>
        <w:rPr>
          <w:sz w:val="20"/>
          <w:szCs w:val="20"/>
          <w:color w:val="auto"/>
        </w:rPr>
      </w:pPr>
      <w:r>
        <w:rPr>
          <w:rFonts w:ascii="Arial" w:cs="Arial" w:eastAsia="Arial" w:hAnsi="Arial"/>
          <w:sz w:val="15"/>
          <w:szCs w:val="15"/>
          <w:color w:val="auto"/>
        </w:rPr>
        <w:t>(1) Portions of the Proxy Statement for the 2018 Annual Meeting of Shareholders of M&amp;T Bank Corporation in Parts II and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2504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82550</wp:posOffset>
            </wp:positionV>
            <wp:extent cx="72504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245110</wp:posOffset>
            </wp:positionV>
            <wp:extent cx="729234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26" w:right="23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20"/>
          <w:szCs w:val="20"/>
          <w:b w:val="1"/>
          <w:bCs w:val="1"/>
          <w:color w:val="auto"/>
        </w:rPr>
        <w:t>M&amp;T BANK CORPORATION</w:t>
      </w:r>
    </w:p>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Form 10-K for the year ended December 31, 2017</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CROSS-REFERENCE SHEET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200" w:type="dxa"/>
            <w:vAlign w:val="bottom"/>
          </w:tcPr>
          <w:p>
            <w:pPr>
              <w:jc w:val="center"/>
              <w:spacing w:after="0"/>
              <w:rPr>
                <w:sz w:val="20"/>
                <w:szCs w:val="20"/>
                <w:color w:val="auto"/>
              </w:rPr>
            </w:pPr>
            <w:r>
              <w:rPr>
                <w:rFonts w:ascii="Arial" w:cs="Arial" w:eastAsia="Arial" w:hAnsi="Arial"/>
                <w:sz w:val="14"/>
                <w:szCs w:val="14"/>
                <w:b w:val="1"/>
                <w:bCs w:val="1"/>
                <w:color w:val="auto"/>
                <w:w w:val="95"/>
              </w:rPr>
              <w:t>Form 10-K</w:t>
            </w:r>
          </w:p>
        </w:tc>
        <w:tc>
          <w:tcPr>
            <w:tcW w:w="0" w:type="dxa"/>
            <w:vAlign w:val="bottom"/>
          </w:tcPr>
          <w:p>
            <w:pPr>
              <w:spacing w:after="0"/>
              <w:rPr>
                <w:sz w:val="1"/>
                <w:szCs w:val="1"/>
                <w:color w:val="auto"/>
              </w:rPr>
            </w:pPr>
          </w:p>
        </w:tc>
      </w:tr>
      <w:tr>
        <w:trPr>
          <w:trHeight w:val="167"/>
        </w:trPr>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3840" w:type="dxa"/>
            <w:vAlign w:val="bottom"/>
            <w:gridSpan w:val="2"/>
            <w:vMerge w:val="restart"/>
          </w:tcPr>
          <w:p>
            <w:pPr>
              <w:spacing w:after="0"/>
              <w:rPr>
                <w:rFonts w:ascii="Arial" w:cs="Arial" w:eastAsia="Arial" w:hAnsi="Arial"/>
                <w:sz w:val="20"/>
                <w:szCs w:val="20"/>
                <w:b w:val="1"/>
                <w:bCs w:val="1"/>
                <w:color w:val="0000EE"/>
              </w:rPr>
            </w:pPr>
            <w:hyperlink w:anchor="page4">
              <w:r>
                <w:rPr>
                  <w:rFonts w:ascii="Arial" w:cs="Arial" w:eastAsia="Arial" w:hAnsi="Arial"/>
                  <w:sz w:val="20"/>
                  <w:szCs w:val="20"/>
                  <w:b w:val="1"/>
                  <w:bCs w:val="1"/>
                  <w:color w:val="0000EE"/>
                </w:rPr>
                <w:t>PART I</w:t>
              </w:r>
            </w:hyperlink>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77"/>
        </w:trPr>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3840" w:type="dxa"/>
            <w:vAlign w:val="bottom"/>
            <w:gridSpan w:val="2"/>
            <w:vMerge w:val="continue"/>
          </w:tcPr>
          <w:p>
            <w:pPr>
              <w:spacing w:after="0"/>
              <w:rPr>
                <w:sz w:val="15"/>
                <w:szCs w:val="15"/>
                <w:color w:val="auto"/>
              </w:rPr>
            </w:pPr>
          </w:p>
        </w:tc>
        <w:tc>
          <w:tcPr>
            <w:tcW w:w="2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120" w:type="dxa"/>
            <w:vAlign w:val="bottom"/>
          </w:tcPr>
          <w:p>
            <w:pPr>
              <w:spacing w:after="0" w:line="216" w:lineRule="exact"/>
              <w:rPr>
                <w:sz w:val="20"/>
                <w:szCs w:val="20"/>
                <w:color w:val="auto"/>
              </w:rPr>
            </w:pPr>
            <w:r>
              <w:rPr>
                <w:rFonts w:ascii="Arial" w:cs="Arial" w:eastAsia="Arial" w:hAnsi="Arial"/>
                <w:sz w:val="20"/>
                <w:szCs w:val="20"/>
                <w:color w:val="auto"/>
              </w:rPr>
              <w:t>Item 1.</w:t>
            </w:r>
          </w:p>
        </w:tc>
        <w:tc>
          <w:tcPr>
            <w:tcW w:w="720" w:type="dxa"/>
            <w:vAlign w:val="bottom"/>
            <w:tcBorders>
              <w:bottom w:val="single" w:sz="8" w:color="0000EE"/>
            </w:tcBorders>
          </w:tcPr>
          <w:p>
            <w:pPr>
              <w:spacing w:after="0" w:line="216" w:lineRule="exact"/>
              <w:rPr>
                <w:rFonts w:ascii="Arial" w:cs="Arial" w:eastAsia="Arial" w:hAnsi="Arial"/>
                <w:sz w:val="20"/>
                <w:szCs w:val="20"/>
                <w:color w:val="0000EE"/>
                <w:w w:val="86"/>
              </w:rPr>
            </w:pPr>
            <w:hyperlink w:anchor="page4">
              <w:r>
                <w:rPr>
                  <w:rFonts w:ascii="Arial" w:cs="Arial" w:eastAsia="Arial" w:hAnsi="Arial"/>
                  <w:sz w:val="20"/>
                  <w:szCs w:val="20"/>
                  <w:color w:val="0000EE"/>
                  <w:w w:val="86"/>
                </w:rPr>
                <w:t>Business</w:t>
              </w:r>
            </w:hyperlink>
          </w:p>
        </w:tc>
        <w:tc>
          <w:tcPr>
            <w:tcW w:w="3540" w:type="dxa"/>
            <w:vAlign w:val="bottom"/>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5380" w:type="dxa"/>
            <w:vAlign w:val="bottom"/>
            <w:gridSpan w:val="2"/>
          </w:tcPr>
          <w:p>
            <w:pPr>
              <w:jc w:val="center"/>
              <w:ind w:left="3099"/>
              <w:spacing w:after="0" w:line="216" w:lineRule="exact"/>
              <w:rPr>
                <w:sz w:val="20"/>
                <w:szCs w:val="20"/>
                <w:color w:val="auto"/>
              </w:rPr>
            </w:pPr>
            <w:r>
              <w:rPr>
                <w:rFonts w:ascii="Arial" w:cs="Arial" w:eastAsia="Arial" w:hAnsi="Arial"/>
                <w:sz w:val="20"/>
                <w:szCs w:val="20"/>
                <w:color w:val="auto"/>
                <w:w w:val="89"/>
              </w:rPr>
              <w:t>4</w:t>
            </w:r>
          </w:p>
        </w:tc>
        <w:tc>
          <w:tcPr>
            <w:tcW w:w="0" w:type="dxa"/>
            <w:vAlign w:val="bottom"/>
          </w:tcPr>
          <w:p>
            <w:pPr>
              <w:spacing w:after="0"/>
              <w:rPr>
                <w:sz w:val="1"/>
                <w:szCs w:val="1"/>
                <w:color w:val="auto"/>
              </w:rPr>
            </w:pPr>
          </w:p>
        </w:tc>
      </w:tr>
      <w:tr>
        <w:trPr>
          <w:trHeight w:val="260"/>
        </w:trPr>
        <w:tc>
          <w:tcPr>
            <w:tcW w:w="5380" w:type="dxa"/>
            <w:vAlign w:val="bottom"/>
            <w:gridSpan w:val="3"/>
          </w:tcPr>
          <w:p>
            <w:pPr>
              <w:spacing w:after="0"/>
              <w:rPr>
                <w:sz w:val="20"/>
                <w:szCs w:val="20"/>
                <w:color w:val="auto"/>
              </w:rPr>
            </w:pPr>
            <w:r>
              <w:rPr>
                <w:rFonts w:ascii="Arial" w:cs="Arial" w:eastAsia="Arial" w:hAnsi="Arial"/>
                <w:sz w:val="20"/>
                <w:szCs w:val="20"/>
                <w:color w:val="auto"/>
              </w:rPr>
              <w:t>Statistical disclosure pursuant to Guide 3</w:t>
            </w:r>
          </w:p>
        </w:tc>
        <w:tc>
          <w:tcPr>
            <w:tcW w:w="660" w:type="dxa"/>
            <w:vAlign w:val="bottom"/>
          </w:tcPr>
          <w:p>
            <w:pPr>
              <w:spacing w:after="0"/>
              <w:rPr>
                <w:sz w:val="22"/>
                <w:szCs w:val="22"/>
                <w:color w:val="auto"/>
              </w:rPr>
            </w:pPr>
          </w:p>
        </w:tc>
        <w:tc>
          <w:tcPr>
            <w:tcW w:w="318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ind w:left="1120" w:hanging="721"/>
        <w:spacing w:after="0"/>
        <w:tabs>
          <w:tab w:leader="none" w:pos="1120" w:val="left"/>
        </w:tabs>
        <w:numPr>
          <w:ilvl w:val="0"/>
          <w:numId w:val="3"/>
        </w:numPr>
        <w:rPr>
          <w:rFonts w:ascii="Arial" w:cs="Arial" w:eastAsia="Arial" w:hAnsi="Arial"/>
          <w:sz w:val="20"/>
          <w:szCs w:val="20"/>
          <w:color w:val="auto"/>
        </w:rPr>
      </w:pPr>
      <w:r>
        <w:rPr>
          <w:rFonts w:ascii="Arial" w:cs="Arial" w:eastAsia="Arial" w:hAnsi="Arial"/>
          <w:sz w:val="20"/>
          <w:szCs w:val="20"/>
          <w:color w:val="auto"/>
        </w:rPr>
        <w:t>Distribution of assets, liabilities, and shareholders’ equity; interest rates and interest differential</w:t>
      </w:r>
    </w:p>
    <w:tbl>
      <w:tblPr>
        <w:tblLayout w:type="fixed"/>
        <w:tblInd w:w="1120" w:type="dxa"/>
        <w:tblCellMar>
          <w:top w:w="0" w:type="dxa"/>
          <w:left w:w="0" w:type="dxa"/>
          <w:bottom w:w="0" w:type="dxa"/>
          <w:right w:w="0" w:type="dxa"/>
        </w:tblCellMar>
      </w:tblPr>
      <w:tr>
        <w:trPr>
          <w:trHeight w:val="225"/>
        </w:trPr>
        <w:tc>
          <w:tcPr>
            <w:tcW w:w="280" w:type="dxa"/>
            <w:vAlign w:val="bottom"/>
          </w:tcPr>
          <w:p>
            <w:pPr>
              <w:spacing w:after="0" w:line="225" w:lineRule="exact"/>
              <w:rPr>
                <w:sz w:val="20"/>
                <w:szCs w:val="20"/>
                <w:color w:val="auto"/>
              </w:rPr>
            </w:pPr>
            <w:r>
              <w:rPr>
                <w:rFonts w:ascii="Arial" w:cs="Arial" w:eastAsia="Arial" w:hAnsi="Arial"/>
                <w:sz w:val="20"/>
                <w:szCs w:val="20"/>
                <w:color w:val="auto"/>
              </w:rPr>
              <w:t>A.</w:t>
            </w:r>
          </w:p>
        </w:tc>
        <w:tc>
          <w:tcPr>
            <w:tcW w:w="7860" w:type="dxa"/>
            <w:vAlign w:val="bottom"/>
          </w:tcPr>
          <w:p>
            <w:pPr>
              <w:ind w:left="80"/>
              <w:spacing w:after="0" w:line="225" w:lineRule="exact"/>
              <w:rPr>
                <w:sz w:val="20"/>
                <w:szCs w:val="20"/>
                <w:color w:val="auto"/>
              </w:rPr>
            </w:pPr>
            <w:r>
              <w:rPr>
                <w:rFonts w:ascii="Arial" w:cs="Arial" w:eastAsia="Arial" w:hAnsi="Arial"/>
                <w:sz w:val="20"/>
                <w:szCs w:val="20"/>
                <w:color w:val="auto"/>
              </w:rPr>
              <w:t>Average balance sheets</w:t>
            </w:r>
          </w:p>
        </w:tc>
        <w:tc>
          <w:tcPr>
            <w:tcW w:w="1160" w:type="dxa"/>
            <w:vAlign w:val="bottom"/>
          </w:tcPr>
          <w:p>
            <w:pPr>
              <w:jc w:val="right"/>
              <w:spacing w:after="0" w:line="225" w:lineRule="exact"/>
              <w:rPr>
                <w:sz w:val="20"/>
                <w:szCs w:val="20"/>
                <w:color w:val="auto"/>
              </w:rPr>
            </w:pPr>
            <w:r>
              <w:rPr>
                <w:rFonts w:ascii="Arial" w:cs="Arial" w:eastAsia="Arial" w:hAnsi="Arial"/>
                <w:sz w:val="20"/>
                <w:szCs w:val="20"/>
                <w:color w:val="auto"/>
              </w:rPr>
              <w:t>55</w:t>
            </w:r>
          </w:p>
        </w:tc>
      </w:tr>
      <w:tr>
        <w:trPr>
          <w:trHeight w:val="237"/>
        </w:trPr>
        <w:tc>
          <w:tcPr>
            <w:tcW w:w="280" w:type="dxa"/>
            <w:vAlign w:val="bottom"/>
          </w:tcPr>
          <w:p>
            <w:pPr>
              <w:spacing w:after="0"/>
              <w:rPr>
                <w:sz w:val="20"/>
                <w:szCs w:val="20"/>
                <w:color w:val="auto"/>
              </w:rPr>
            </w:pPr>
            <w:r>
              <w:rPr>
                <w:rFonts w:ascii="Arial" w:cs="Arial" w:eastAsia="Arial" w:hAnsi="Arial"/>
                <w:sz w:val="20"/>
                <w:szCs w:val="20"/>
                <w:color w:val="auto"/>
              </w:rPr>
              <w:t>B.</w:t>
            </w:r>
          </w:p>
        </w:tc>
        <w:tc>
          <w:tcPr>
            <w:tcW w:w="7860" w:type="dxa"/>
            <w:vAlign w:val="bottom"/>
          </w:tcPr>
          <w:p>
            <w:pPr>
              <w:ind w:left="80"/>
              <w:spacing w:after="0"/>
              <w:rPr>
                <w:sz w:val="20"/>
                <w:szCs w:val="20"/>
                <w:color w:val="auto"/>
              </w:rPr>
            </w:pPr>
            <w:r>
              <w:rPr>
                <w:rFonts w:ascii="Arial" w:cs="Arial" w:eastAsia="Arial" w:hAnsi="Arial"/>
                <w:sz w:val="20"/>
                <w:szCs w:val="20"/>
                <w:color w:val="auto"/>
              </w:rPr>
              <w:t>Interest income/expense and resulting yield or rate on average interest-earning assets</w:t>
            </w:r>
          </w:p>
        </w:tc>
        <w:tc>
          <w:tcPr>
            <w:tcW w:w="1160" w:type="dxa"/>
            <w:vAlign w:val="bottom"/>
          </w:tcPr>
          <w:p>
            <w:pPr>
              <w:spacing w:after="0"/>
              <w:rPr>
                <w:sz w:val="20"/>
                <w:szCs w:val="20"/>
                <w:color w:val="auto"/>
              </w:rPr>
            </w:pPr>
          </w:p>
        </w:tc>
      </w:tr>
      <w:tr>
        <w:trPr>
          <w:trHeight w:val="237"/>
        </w:trPr>
        <w:tc>
          <w:tcPr>
            <w:tcW w:w="280" w:type="dxa"/>
            <w:vAlign w:val="bottom"/>
          </w:tcPr>
          <w:p>
            <w:pPr>
              <w:spacing w:after="0"/>
              <w:rPr>
                <w:sz w:val="20"/>
                <w:szCs w:val="20"/>
                <w:color w:val="auto"/>
              </w:rPr>
            </w:pPr>
          </w:p>
        </w:tc>
        <w:tc>
          <w:tcPr>
            <w:tcW w:w="7860" w:type="dxa"/>
            <w:vAlign w:val="bottom"/>
          </w:tcPr>
          <w:p>
            <w:pPr>
              <w:ind w:left="300"/>
              <w:spacing w:after="0" w:line="230" w:lineRule="exact"/>
              <w:rPr>
                <w:sz w:val="20"/>
                <w:szCs w:val="20"/>
                <w:color w:val="auto"/>
              </w:rPr>
            </w:pPr>
            <w:r>
              <w:rPr>
                <w:rFonts w:ascii="Arial" w:cs="Arial" w:eastAsia="Arial" w:hAnsi="Arial"/>
                <w:sz w:val="20"/>
                <w:szCs w:val="20"/>
                <w:color w:val="auto"/>
              </w:rPr>
              <w:t>(including non-accrual loans) and interest</w:t>
            </w:r>
            <w:r>
              <w:rPr>
                <w:rFonts w:ascii="MS PGothic" w:cs="MS PGothic" w:eastAsia="MS PGothic" w:hAnsi="MS PGothic"/>
                <w:sz w:val="20"/>
                <w:szCs w:val="20"/>
                <w:color w:val="auto"/>
              </w:rPr>
              <w:t>‑</w:t>
            </w:r>
            <w:r>
              <w:rPr>
                <w:rFonts w:ascii="Arial" w:cs="Arial" w:eastAsia="Arial" w:hAnsi="Arial"/>
                <w:sz w:val="20"/>
                <w:szCs w:val="20"/>
                <w:color w:val="auto"/>
              </w:rPr>
              <w:t>bearing liabilities</w:t>
            </w:r>
          </w:p>
        </w:tc>
        <w:tc>
          <w:tcPr>
            <w:tcW w:w="1160" w:type="dxa"/>
            <w:vAlign w:val="bottom"/>
          </w:tcPr>
          <w:p>
            <w:pPr>
              <w:jc w:val="right"/>
              <w:spacing w:after="0"/>
              <w:rPr>
                <w:sz w:val="20"/>
                <w:szCs w:val="20"/>
                <w:color w:val="auto"/>
              </w:rPr>
            </w:pPr>
            <w:r>
              <w:rPr>
                <w:rFonts w:ascii="Arial" w:cs="Arial" w:eastAsia="Arial" w:hAnsi="Arial"/>
                <w:sz w:val="20"/>
                <w:szCs w:val="20"/>
                <w:color w:val="auto"/>
              </w:rPr>
              <w:t>55</w:t>
            </w:r>
          </w:p>
        </w:tc>
      </w:tr>
      <w:tr>
        <w:trPr>
          <w:trHeight w:val="255"/>
        </w:trPr>
        <w:tc>
          <w:tcPr>
            <w:tcW w:w="280" w:type="dxa"/>
            <w:vAlign w:val="bottom"/>
          </w:tcPr>
          <w:p>
            <w:pPr>
              <w:spacing w:after="0"/>
              <w:rPr>
                <w:sz w:val="20"/>
                <w:szCs w:val="20"/>
                <w:color w:val="auto"/>
              </w:rPr>
            </w:pPr>
            <w:r>
              <w:rPr>
                <w:rFonts w:ascii="Arial" w:cs="Arial" w:eastAsia="Arial" w:hAnsi="Arial"/>
                <w:sz w:val="20"/>
                <w:szCs w:val="20"/>
                <w:color w:val="auto"/>
              </w:rPr>
              <w:t>C.</w:t>
            </w:r>
          </w:p>
        </w:tc>
        <w:tc>
          <w:tcPr>
            <w:tcW w:w="7860" w:type="dxa"/>
            <w:vAlign w:val="bottom"/>
          </w:tcPr>
          <w:p>
            <w:pPr>
              <w:ind w:left="80"/>
              <w:spacing w:after="0"/>
              <w:rPr>
                <w:sz w:val="20"/>
                <w:szCs w:val="20"/>
                <w:color w:val="auto"/>
              </w:rPr>
            </w:pPr>
            <w:r>
              <w:rPr>
                <w:rFonts w:ascii="Arial" w:cs="Arial" w:eastAsia="Arial" w:hAnsi="Arial"/>
                <w:sz w:val="20"/>
                <w:szCs w:val="20"/>
                <w:color w:val="auto"/>
              </w:rPr>
              <w:t>Rate/volume variances</w:t>
            </w:r>
          </w:p>
        </w:tc>
        <w:tc>
          <w:tcPr>
            <w:tcW w:w="1160" w:type="dxa"/>
            <w:vAlign w:val="bottom"/>
          </w:tcPr>
          <w:p>
            <w:pPr>
              <w:jc w:val="right"/>
              <w:spacing w:after="0"/>
              <w:rPr>
                <w:sz w:val="20"/>
                <w:szCs w:val="20"/>
                <w:color w:val="auto"/>
              </w:rPr>
            </w:pPr>
            <w:r>
              <w:rPr>
                <w:rFonts w:ascii="Arial" w:cs="Arial" w:eastAsia="Arial" w:hAnsi="Arial"/>
                <w:sz w:val="20"/>
                <w:szCs w:val="20"/>
                <w:color w:val="auto"/>
              </w:rPr>
              <w:t>26</w:t>
            </w:r>
          </w:p>
        </w:tc>
      </w:tr>
    </w:tbl>
    <w:p>
      <w:pPr>
        <w:ind w:left="1120" w:hanging="721"/>
        <w:spacing w:after="0"/>
        <w:tabs>
          <w:tab w:leader="none" w:pos="1120" w:val="left"/>
        </w:tabs>
        <w:numPr>
          <w:ilvl w:val="0"/>
          <w:numId w:val="4"/>
        </w:numPr>
        <w:rPr>
          <w:rFonts w:ascii="Arial" w:cs="Arial" w:eastAsia="Arial" w:hAnsi="Arial"/>
          <w:sz w:val="20"/>
          <w:szCs w:val="20"/>
          <w:color w:val="auto"/>
        </w:rPr>
      </w:pPr>
      <w:r>
        <w:rPr>
          <w:rFonts w:ascii="Arial" w:cs="Arial" w:eastAsia="Arial" w:hAnsi="Arial"/>
          <w:sz w:val="20"/>
          <w:szCs w:val="20"/>
          <w:color w:val="auto"/>
        </w:rPr>
        <w:t>Investment portfolio</w:t>
      </w:r>
    </w:p>
    <w:tbl>
      <w:tblPr>
        <w:tblLayout w:type="fixed"/>
        <w:tblInd w:w="1120" w:type="dxa"/>
        <w:tblCellMar>
          <w:top w:w="0" w:type="dxa"/>
          <w:left w:w="0" w:type="dxa"/>
          <w:bottom w:w="0" w:type="dxa"/>
          <w:right w:w="0" w:type="dxa"/>
        </w:tblCellMar>
      </w:tblPr>
      <w:tr>
        <w:trPr>
          <w:trHeight w:val="225"/>
        </w:trPr>
        <w:tc>
          <w:tcPr>
            <w:tcW w:w="320" w:type="dxa"/>
            <w:vAlign w:val="bottom"/>
          </w:tcPr>
          <w:p>
            <w:pPr>
              <w:spacing w:after="0" w:line="225" w:lineRule="exact"/>
              <w:rPr>
                <w:sz w:val="20"/>
                <w:szCs w:val="20"/>
                <w:color w:val="auto"/>
              </w:rPr>
            </w:pPr>
            <w:r>
              <w:rPr>
                <w:rFonts w:ascii="Arial" w:cs="Arial" w:eastAsia="Arial" w:hAnsi="Arial"/>
                <w:sz w:val="20"/>
                <w:szCs w:val="20"/>
                <w:color w:val="auto"/>
              </w:rPr>
              <w:t>A.</w:t>
            </w:r>
          </w:p>
        </w:tc>
        <w:tc>
          <w:tcPr>
            <w:tcW w:w="7720" w:type="dxa"/>
            <w:vAlign w:val="bottom"/>
          </w:tcPr>
          <w:p>
            <w:pPr>
              <w:ind w:left="120"/>
              <w:spacing w:after="0" w:line="225" w:lineRule="exact"/>
              <w:rPr>
                <w:sz w:val="20"/>
                <w:szCs w:val="20"/>
                <w:color w:val="auto"/>
              </w:rPr>
            </w:pPr>
            <w:r>
              <w:rPr>
                <w:rFonts w:ascii="Arial" w:cs="Arial" w:eastAsia="Arial" w:hAnsi="Arial"/>
                <w:sz w:val="20"/>
                <w:szCs w:val="20"/>
                <w:color w:val="auto"/>
              </w:rPr>
              <w:t>Year-end balances</w:t>
            </w:r>
          </w:p>
        </w:tc>
        <w:tc>
          <w:tcPr>
            <w:tcW w:w="1620" w:type="dxa"/>
            <w:vAlign w:val="bottom"/>
          </w:tcPr>
          <w:p>
            <w:pPr>
              <w:jc w:val="right"/>
              <w:spacing w:after="0" w:line="225" w:lineRule="exact"/>
              <w:rPr>
                <w:sz w:val="20"/>
                <w:szCs w:val="20"/>
                <w:color w:val="auto"/>
              </w:rPr>
            </w:pPr>
            <w:r>
              <w:rPr>
                <w:rFonts w:ascii="Arial" w:cs="Arial" w:eastAsia="Arial" w:hAnsi="Arial"/>
                <w:sz w:val="20"/>
                <w:szCs w:val="20"/>
                <w:color w:val="auto"/>
              </w:rPr>
              <w:t>24,122-123</w:t>
            </w:r>
          </w:p>
        </w:tc>
      </w:tr>
      <w:tr>
        <w:trPr>
          <w:trHeight w:val="237"/>
        </w:trPr>
        <w:tc>
          <w:tcPr>
            <w:tcW w:w="320" w:type="dxa"/>
            <w:vAlign w:val="bottom"/>
          </w:tcPr>
          <w:p>
            <w:pPr>
              <w:spacing w:after="0"/>
              <w:rPr>
                <w:sz w:val="20"/>
                <w:szCs w:val="20"/>
                <w:color w:val="auto"/>
              </w:rPr>
            </w:pPr>
            <w:r>
              <w:rPr>
                <w:rFonts w:ascii="Arial" w:cs="Arial" w:eastAsia="Arial" w:hAnsi="Arial"/>
                <w:sz w:val="20"/>
                <w:szCs w:val="20"/>
                <w:color w:val="auto"/>
              </w:rPr>
              <w:t>B.</w:t>
            </w:r>
          </w:p>
        </w:tc>
        <w:tc>
          <w:tcPr>
            <w:tcW w:w="7720" w:type="dxa"/>
            <w:vAlign w:val="bottom"/>
          </w:tcPr>
          <w:p>
            <w:pPr>
              <w:ind w:left="120"/>
              <w:spacing w:after="0"/>
              <w:rPr>
                <w:sz w:val="20"/>
                <w:szCs w:val="20"/>
                <w:color w:val="auto"/>
              </w:rPr>
            </w:pPr>
            <w:r>
              <w:rPr>
                <w:rFonts w:ascii="Arial" w:cs="Arial" w:eastAsia="Arial" w:hAnsi="Arial"/>
                <w:sz w:val="20"/>
                <w:szCs w:val="20"/>
                <w:color w:val="auto"/>
              </w:rPr>
              <w:t>Maturity schedule and weighted average yield</w:t>
            </w:r>
          </w:p>
        </w:tc>
        <w:tc>
          <w:tcPr>
            <w:tcW w:w="1620" w:type="dxa"/>
            <w:vAlign w:val="bottom"/>
          </w:tcPr>
          <w:p>
            <w:pPr>
              <w:jc w:val="right"/>
              <w:ind w:right="259"/>
              <w:spacing w:after="0"/>
              <w:rPr>
                <w:sz w:val="20"/>
                <w:szCs w:val="20"/>
                <w:color w:val="auto"/>
              </w:rPr>
            </w:pPr>
            <w:r>
              <w:rPr>
                <w:rFonts w:ascii="Arial" w:cs="Arial" w:eastAsia="Arial" w:hAnsi="Arial"/>
                <w:sz w:val="20"/>
                <w:szCs w:val="20"/>
                <w:color w:val="auto"/>
              </w:rPr>
              <w:t>89</w:t>
            </w:r>
          </w:p>
        </w:tc>
      </w:tr>
      <w:tr>
        <w:trPr>
          <w:trHeight w:val="255"/>
        </w:trPr>
        <w:tc>
          <w:tcPr>
            <w:tcW w:w="320" w:type="dxa"/>
            <w:vAlign w:val="bottom"/>
          </w:tcPr>
          <w:p>
            <w:pPr>
              <w:spacing w:after="0"/>
              <w:rPr>
                <w:sz w:val="20"/>
                <w:szCs w:val="20"/>
                <w:color w:val="auto"/>
              </w:rPr>
            </w:pPr>
            <w:r>
              <w:rPr>
                <w:rFonts w:ascii="Arial" w:cs="Arial" w:eastAsia="Arial" w:hAnsi="Arial"/>
                <w:sz w:val="20"/>
                <w:szCs w:val="20"/>
                <w:color w:val="auto"/>
              </w:rPr>
              <w:t>C.</w:t>
            </w:r>
          </w:p>
        </w:tc>
        <w:tc>
          <w:tcPr>
            <w:tcW w:w="7720" w:type="dxa"/>
            <w:vAlign w:val="bottom"/>
          </w:tcPr>
          <w:p>
            <w:pPr>
              <w:ind w:left="120"/>
              <w:spacing w:after="0"/>
              <w:rPr>
                <w:sz w:val="20"/>
                <w:szCs w:val="20"/>
                <w:color w:val="auto"/>
              </w:rPr>
            </w:pPr>
            <w:r>
              <w:rPr>
                <w:rFonts w:ascii="Arial" w:cs="Arial" w:eastAsia="Arial" w:hAnsi="Arial"/>
                <w:sz w:val="20"/>
                <w:szCs w:val="20"/>
                <w:color w:val="auto"/>
              </w:rPr>
              <w:t>Aggregate carrying value of securities that exceed ten percent of shareholders’ equity</w:t>
            </w:r>
          </w:p>
        </w:tc>
        <w:tc>
          <w:tcPr>
            <w:tcW w:w="1620" w:type="dxa"/>
            <w:vAlign w:val="bottom"/>
          </w:tcPr>
          <w:p>
            <w:pPr>
              <w:jc w:val="right"/>
              <w:ind w:right="199"/>
              <w:spacing w:after="0"/>
              <w:rPr>
                <w:sz w:val="20"/>
                <w:szCs w:val="20"/>
                <w:color w:val="auto"/>
              </w:rPr>
            </w:pPr>
            <w:r>
              <w:rPr>
                <w:rFonts w:ascii="Arial" w:cs="Arial" w:eastAsia="Arial" w:hAnsi="Arial"/>
                <w:sz w:val="20"/>
                <w:szCs w:val="20"/>
                <w:color w:val="auto"/>
              </w:rPr>
              <w:t>123</w:t>
            </w:r>
          </w:p>
        </w:tc>
      </w:tr>
    </w:tbl>
    <w:p>
      <w:pPr>
        <w:ind w:left="1120" w:hanging="721"/>
        <w:spacing w:after="0"/>
        <w:tabs>
          <w:tab w:leader="none" w:pos="1120" w:val="left"/>
        </w:tabs>
        <w:numPr>
          <w:ilvl w:val="0"/>
          <w:numId w:val="5"/>
        </w:numPr>
        <w:rPr>
          <w:rFonts w:ascii="Arial" w:cs="Arial" w:eastAsia="Arial" w:hAnsi="Arial"/>
          <w:sz w:val="20"/>
          <w:szCs w:val="20"/>
          <w:color w:val="auto"/>
        </w:rPr>
      </w:pPr>
      <w:r>
        <w:rPr>
          <w:rFonts w:ascii="Arial" w:cs="Arial" w:eastAsia="Arial" w:hAnsi="Arial"/>
          <w:sz w:val="20"/>
          <w:szCs w:val="20"/>
          <w:color w:val="auto"/>
        </w:rPr>
        <w:t>Loan portfolio</w:t>
      </w:r>
    </w:p>
    <w:tbl>
      <w:tblPr>
        <w:tblLayout w:type="fixed"/>
        <w:tblInd w:w="400" w:type="dxa"/>
        <w:tblCellMar>
          <w:top w:w="0" w:type="dxa"/>
          <w:left w:w="0" w:type="dxa"/>
          <w:bottom w:w="0" w:type="dxa"/>
          <w:right w:w="0" w:type="dxa"/>
        </w:tblCellMar>
      </w:tblPr>
      <w:tr>
        <w:trPr>
          <w:trHeight w:val="225"/>
        </w:trPr>
        <w:tc>
          <w:tcPr>
            <w:tcW w:w="480" w:type="dxa"/>
            <w:vAlign w:val="bottom"/>
          </w:tcPr>
          <w:p>
            <w:pPr>
              <w:spacing w:after="0"/>
              <w:rPr>
                <w:sz w:val="19"/>
                <w:szCs w:val="19"/>
                <w:color w:val="auto"/>
              </w:rPr>
            </w:pPr>
          </w:p>
        </w:tc>
        <w:tc>
          <w:tcPr>
            <w:tcW w:w="560" w:type="dxa"/>
            <w:vAlign w:val="bottom"/>
          </w:tcPr>
          <w:p>
            <w:pPr>
              <w:ind w:left="240"/>
              <w:spacing w:after="0" w:line="225" w:lineRule="exact"/>
              <w:rPr>
                <w:sz w:val="20"/>
                <w:szCs w:val="20"/>
                <w:color w:val="auto"/>
              </w:rPr>
            </w:pPr>
            <w:r>
              <w:rPr>
                <w:rFonts w:ascii="Arial" w:cs="Arial" w:eastAsia="Arial" w:hAnsi="Arial"/>
                <w:sz w:val="20"/>
                <w:szCs w:val="20"/>
                <w:color w:val="auto"/>
              </w:rPr>
              <w:t>A.</w:t>
            </w:r>
          </w:p>
        </w:tc>
        <w:tc>
          <w:tcPr>
            <w:tcW w:w="7740" w:type="dxa"/>
            <w:vAlign w:val="bottom"/>
          </w:tcPr>
          <w:p>
            <w:pPr>
              <w:ind w:left="120"/>
              <w:spacing w:after="0" w:line="225" w:lineRule="exact"/>
              <w:rPr>
                <w:sz w:val="20"/>
                <w:szCs w:val="20"/>
                <w:color w:val="auto"/>
              </w:rPr>
            </w:pPr>
            <w:r>
              <w:rPr>
                <w:rFonts w:ascii="Arial" w:cs="Arial" w:eastAsia="Arial" w:hAnsi="Arial"/>
                <w:sz w:val="20"/>
                <w:szCs w:val="20"/>
                <w:color w:val="auto"/>
              </w:rPr>
              <w:t>Year-end balances</w:t>
            </w:r>
          </w:p>
        </w:tc>
        <w:tc>
          <w:tcPr>
            <w:tcW w:w="1920" w:type="dxa"/>
            <w:vAlign w:val="bottom"/>
          </w:tcPr>
          <w:p>
            <w:pPr>
              <w:jc w:val="center"/>
              <w:ind w:left="259"/>
              <w:spacing w:after="0" w:line="225" w:lineRule="exact"/>
              <w:rPr>
                <w:sz w:val="20"/>
                <w:szCs w:val="20"/>
                <w:color w:val="auto"/>
              </w:rPr>
            </w:pPr>
            <w:r>
              <w:rPr>
                <w:rFonts w:ascii="Arial" w:cs="Arial" w:eastAsia="Arial" w:hAnsi="Arial"/>
                <w:sz w:val="20"/>
                <w:szCs w:val="20"/>
                <w:color w:val="auto"/>
                <w:w w:val="91"/>
              </w:rPr>
              <w:t>24,126</w:t>
            </w:r>
          </w:p>
        </w:tc>
      </w:tr>
      <w:tr>
        <w:trPr>
          <w:trHeight w:val="237"/>
        </w:trPr>
        <w:tc>
          <w:tcPr>
            <w:tcW w:w="480" w:type="dxa"/>
            <w:vAlign w:val="bottom"/>
          </w:tcPr>
          <w:p>
            <w:pPr>
              <w:spacing w:after="0"/>
              <w:rPr>
                <w:sz w:val="20"/>
                <w:szCs w:val="20"/>
                <w:color w:val="auto"/>
              </w:rPr>
            </w:pPr>
          </w:p>
        </w:tc>
        <w:tc>
          <w:tcPr>
            <w:tcW w:w="560" w:type="dxa"/>
            <w:vAlign w:val="bottom"/>
          </w:tcPr>
          <w:p>
            <w:pPr>
              <w:ind w:left="240"/>
              <w:spacing w:after="0"/>
              <w:rPr>
                <w:sz w:val="20"/>
                <w:szCs w:val="20"/>
                <w:color w:val="auto"/>
              </w:rPr>
            </w:pPr>
            <w:r>
              <w:rPr>
                <w:rFonts w:ascii="Arial" w:cs="Arial" w:eastAsia="Arial" w:hAnsi="Arial"/>
                <w:sz w:val="20"/>
                <w:szCs w:val="20"/>
                <w:color w:val="auto"/>
              </w:rPr>
              <w:t>B.</w:t>
            </w:r>
          </w:p>
        </w:tc>
        <w:tc>
          <w:tcPr>
            <w:tcW w:w="7740" w:type="dxa"/>
            <w:vAlign w:val="bottom"/>
          </w:tcPr>
          <w:p>
            <w:pPr>
              <w:ind w:left="120"/>
              <w:spacing w:after="0"/>
              <w:rPr>
                <w:sz w:val="20"/>
                <w:szCs w:val="20"/>
                <w:color w:val="auto"/>
              </w:rPr>
            </w:pPr>
            <w:r>
              <w:rPr>
                <w:rFonts w:ascii="Arial" w:cs="Arial" w:eastAsia="Arial" w:hAnsi="Arial"/>
                <w:sz w:val="20"/>
                <w:szCs w:val="20"/>
                <w:color w:val="auto"/>
              </w:rPr>
              <w:t>Maturities and sensitivities to changes in interest rates</w:t>
            </w:r>
          </w:p>
        </w:tc>
        <w:tc>
          <w:tcPr>
            <w:tcW w:w="1920" w:type="dxa"/>
            <w:vAlign w:val="bottom"/>
          </w:tcPr>
          <w:p>
            <w:pPr>
              <w:jc w:val="center"/>
              <w:ind w:left="259"/>
              <w:spacing w:after="0"/>
              <w:rPr>
                <w:sz w:val="20"/>
                <w:szCs w:val="20"/>
                <w:color w:val="auto"/>
              </w:rPr>
            </w:pPr>
            <w:r>
              <w:rPr>
                <w:rFonts w:ascii="Arial" w:cs="Arial" w:eastAsia="Arial" w:hAnsi="Arial"/>
                <w:sz w:val="20"/>
                <w:szCs w:val="20"/>
                <w:color w:val="auto"/>
                <w:w w:val="89"/>
              </w:rPr>
              <w:t>87</w:t>
            </w:r>
          </w:p>
        </w:tc>
      </w:tr>
      <w:tr>
        <w:trPr>
          <w:trHeight w:val="237"/>
        </w:trPr>
        <w:tc>
          <w:tcPr>
            <w:tcW w:w="480" w:type="dxa"/>
            <w:vAlign w:val="bottom"/>
          </w:tcPr>
          <w:p>
            <w:pPr>
              <w:spacing w:after="0"/>
              <w:rPr>
                <w:sz w:val="20"/>
                <w:szCs w:val="20"/>
                <w:color w:val="auto"/>
              </w:rPr>
            </w:pPr>
          </w:p>
        </w:tc>
        <w:tc>
          <w:tcPr>
            <w:tcW w:w="560" w:type="dxa"/>
            <w:vAlign w:val="bottom"/>
          </w:tcPr>
          <w:p>
            <w:pPr>
              <w:ind w:left="240"/>
              <w:spacing w:after="0"/>
              <w:rPr>
                <w:sz w:val="20"/>
                <w:szCs w:val="20"/>
                <w:color w:val="auto"/>
              </w:rPr>
            </w:pPr>
            <w:r>
              <w:rPr>
                <w:rFonts w:ascii="Arial" w:cs="Arial" w:eastAsia="Arial" w:hAnsi="Arial"/>
                <w:sz w:val="20"/>
                <w:szCs w:val="20"/>
                <w:color w:val="auto"/>
              </w:rPr>
              <w:t>C.</w:t>
            </w:r>
          </w:p>
        </w:tc>
        <w:tc>
          <w:tcPr>
            <w:tcW w:w="7740" w:type="dxa"/>
            <w:vAlign w:val="bottom"/>
          </w:tcPr>
          <w:p>
            <w:pPr>
              <w:ind w:left="120"/>
              <w:spacing w:after="0"/>
              <w:rPr>
                <w:sz w:val="20"/>
                <w:szCs w:val="20"/>
                <w:color w:val="auto"/>
              </w:rPr>
            </w:pPr>
            <w:r>
              <w:rPr>
                <w:rFonts w:ascii="Arial" w:cs="Arial" w:eastAsia="Arial" w:hAnsi="Arial"/>
                <w:sz w:val="20"/>
                <w:szCs w:val="20"/>
                <w:color w:val="auto"/>
              </w:rPr>
              <w:t>Risk elements</w:t>
            </w:r>
          </w:p>
        </w:tc>
        <w:tc>
          <w:tcPr>
            <w:tcW w:w="1920" w:type="dxa"/>
            <w:vAlign w:val="bottom"/>
          </w:tcPr>
          <w:p>
            <w:pPr>
              <w:spacing w:after="0"/>
              <w:rPr>
                <w:sz w:val="20"/>
                <w:szCs w:val="20"/>
                <w:color w:val="auto"/>
              </w:rPr>
            </w:pPr>
          </w:p>
        </w:tc>
      </w:tr>
      <w:tr>
        <w:trPr>
          <w:trHeight w:val="237"/>
        </w:trPr>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740" w:type="dxa"/>
            <w:vAlign w:val="bottom"/>
          </w:tcPr>
          <w:p>
            <w:pPr>
              <w:ind w:left="120"/>
              <w:spacing w:after="0"/>
              <w:rPr>
                <w:sz w:val="20"/>
                <w:szCs w:val="20"/>
                <w:color w:val="auto"/>
              </w:rPr>
            </w:pPr>
            <w:r>
              <w:rPr>
                <w:rFonts w:ascii="Arial" w:cs="Arial" w:eastAsia="Arial" w:hAnsi="Arial"/>
                <w:sz w:val="20"/>
                <w:szCs w:val="20"/>
                <w:color w:val="auto"/>
              </w:rPr>
              <w:t>Nonaccrual, past due and renegotiated loans</w:t>
            </w:r>
          </w:p>
        </w:tc>
        <w:tc>
          <w:tcPr>
            <w:tcW w:w="1920" w:type="dxa"/>
            <w:vAlign w:val="bottom"/>
          </w:tcPr>
          <w:p>
            <w:pPr>
              <w:jc w:val="center"/>
              <w:ind w:left="259"/>
              <w:spacing w:after="0"/>
              <w:rPr>
                <w:sz w:val="20"/>
                <w:szCs w:val="20"/>
                <w:color w:val="auto"/>
              </w:rPr>
            </w:pPr>
            <w:r>
              <w:rPr>
                <w:rFonts w:ascii="Arial" w:cs="Arial" w:eastAsia="Arial" w:hAnsi="Arial"/>
                <w:sz w:val="20"/>
                <w:szCs w:val="20"/>
                <w:color w:val="auto"/>
                <w:w w:val="90"/>
              </w:rPr>
              <w:t>70,127-130</w:t>
            </w:r>
          </w:p>
        </w:tc>
      </w:tr>
      <w:tr>
        <w:trPr>
          <w:trHeight w:val="237"/>
        </w:trPr>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740" w:type="dxa"/>
            <w:vAlign w:val="bottom"/>
          </w:tcPr>
          <w:p>
            <w:pPr>
              <w:ind w:left="120"/>
              <w:spacing w:after="0"/>
              <w:rPr>
                <w:sz w:val="20"/>
                <w:szCs w:val="20"/>
                <w:color w:val="auto"/>
              </w:rPr>
            </w:pPr>
            <w:r>
              <w:rPr>
                <w:rFonts w:ascii="Arial" w:cs="Arial" w:eastAsia="Arial" w:hAnsi="Arial"/>
                <w:sz w:val="20"/>
                <w:szCs w:val="20"/>
                <w:color w:val="auto"/>
              </w:rPr>
              <w:t>Actual and pro forma interest on certain loans</w:t>
            </w:r>
          </w:p>
        </w:tc>
        <w:tc>
          <w:tcPr>
            <w:tcW w:w="1920" w:type="dxa"/>
            <w:vAlign w:val="bottom"/>
          </w:tcPr>
          <w:p>
            <w:pPr>
              <w:jc w:val="center"/>
              <w:ind w:left="279"/>
              <w:spacing w:after="0"/>
              <w:rPr>
                <w:sz w:val="20"/>
                <w:szCs w:val="20"/>
                <w:color w:val="auto"/>
              </w:rPr>
            </w:pPr>
            <w:r>
              <w:rPr>
                <w:rFonts w:ascii="Arial" w:cs="Arial" w:eastAsia="Arial" w:hAnsi="Arial"/>
                <w:sz w:val="20"/>
                <w:szCs w:val="20"/>
                <w:color w:val="auto"/>
                <w:w w:val="91"/>
              </w:rPr>
              <w:t>128,134</w:t>
            </w:r>
          </w:p>
        </w:tc>
      </w:tr>
      <w:tr>
        <w:trPr>
          <w:trHeight w:val="237"/>
        </w:trPr>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740" w:type="dxa"/>
            <w:vAlign w:val="bottom"/>
          </w:tcPr>
          <w:p>
            <w:pPr>
              <w:ind w:left="120"/>
              <w:spacing w:after="0"/>
              <w:rPr>
                <w:sz w:val="20"/>
                <w:szCs w:val="20"/>
                <w:color w:val="auto"/>
              </w:rPr>
            </w:pPr>
            <w:r>
              <w:rPr>
                <w:rFonts w:ascii="Arial" w:cs="Arial" w:eastAsia="Arial" w:hAnsi="Arial"/>
                <w:sz w:val="20"/>
                <w:szCs w:val="20"/>
                <w:color w:val="auto"/>
              </w:rPr>
              <w:t>Nonaccrual policy</w:t>
            </w:r>
          </w:p>
        </w:tc>
        <w:tc>
          <w:tcPr>
            <w:tcW w:w="1920" w:type="dxa"/>
            <w:vAlign w:val="bottom"/>
          </w:tcPr>
          <w:p>
            <w:pPr>
              <w:jc w:val="center"/>
              <w:ind w:left="279"/>
              <w:spacing w:after="0"/>
              <w:rPr>
                <w:sz w:val="20"/>
                <w:szCs w:val="20"/>
                <w:color w:val="auto"/>
              </w:rPr>
            </w:pPr>
            <w:r>
              <w:rPr>
                <w:rFonts w:ascii="Arial" w:cs="Arial" w:eastAsia="Arial" w:hAnsi="Arial"/>
                <w:sz w:val="20"/>
                <w:szCs w:val="20"/>
                <w:color w:val="auto"/>
                <w:w w:val="89"/>
              </w:rPr>
              <w:t>115-116</w:t>
            </w:r>
          </w:p>
        </w:tc>
      </w:tr>
      <w:tr>
        <w:trPr>
          <w:trHeight w:val="237"/>
        </w:trPr>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740" w:type="dxa"/>
            <w:vAlign w:val="bottom"/>
          </w:tcPr>
          <w:p>
            <w:pPr>
              <w:ind w:left="120"/>
              <w:spacing w:after="0"/>
              <w:rPr>
                <w:sz w:val="20"/>
                <w:szCs w:val="20"/>
                <w:color w:val="auto"/>
              </w:rPr>
            </w:pPr>
            <w:r>
              <w:rPr>
                <w:rFonts w:ascii="Arial" w:cs="Arial" w:eastAsia="Arial" w:hAnsi="Arial"/>
                <w:sz w:val="20"/>
                <w:szCs w:val="20"/>
                <w:color w:val="auto"/>
              </w:rPr>
              <w:t>Loan concentrations</w:t>
            </w:r>
          </w:p>
        </w:tc>
        <w:tc>
          <w:tcPr>
            <w:tcW w:w="1920" w:type="dxa"/>
            <w:vAlign w:val="bottom"/>
          </w:tcPr>
          <w:p>
            <w:pPr>
              <w:jc w:val="center"/>
              <w:ind w:left="259"/>
              <w:spacing w:after="0"/>
              <w:rPr>
                <w:sz w:val="20"/>
                <w:szCs w:val="20"/>
                <w:color w:val="auto"/>
              </w:rPr>
            </w:pPr>
            <w:r>
              <w:rPr>
                <w:rFonts w:ascii="Arial" w:cs="Arial" w:eastAsia="Arial" w:hAnsi="Arial"/>
                <w:sz w:val="20"/>
                <w:szCs w:val="20"/>
                <w:color w:val="auto"/>
                <w:w w:val="89"/>
              </w:rPr>
              <w:t>79</w:t>
            </w:r>
          </w:p>
        </w:tc>
      </w:tr>
      <w:tr>
        <w:trPr>
          <w:trHeight w:val="237"/>
        </w:trPr>
        <w:tc>
          <w:tcPr>
            <w:tcW w:w="480" w:type="dxa"/>
            <w:vAlign w:val="bottom"/>
          </w:tcPr>
          <w:p>
            <w:pPr>
              <w:spacing w:after="0"/>
              <w:rPr>
                <w:sz w:val="20"/>
                <w:szCs w:val="20"/>
                <w:color w:val="auto"/>
              </w:rPr>
            </w:pPr>
            <w:r>
              <w:rPr>
                <w:rFonts w:ascii="Arial" w:cs="Arial" w:eastAsia="Arial" w:hAnsi="Arial"/>
                <w:sz w:val="20"/>
                <w:szCs w:val="20"/>
                <w:color w:val="auto"/>
              </w:rPr>
              <w:t>IV.</w:t>
            </w:r>
          </w:p>
        </w:tc>
        <w:tc>
          <w:tcPr>
            <w:tcW w:w="8300" w:type="dxa"/>
            <w:vAlign w:val="bottom"/>
            <w:gridSpan w:val="2"/>
          </w:tcPr>
          <w:p>
            <w:pPr>
              <w:ind w:left="240"/>
              <w:spacing w:after="0"/>
              <w:rPr>
                <w:sz w:val="20"/>
                <w:szCs w:val="20"/>
                <w:color w:val="auto"/>
              </w:rPr>
            </w:pPr>
            <w:r>
              <w:rPr>
                <w:rFonts w:ascii="Arial" w:cs="Arial" w:eastAsia="Arial" w:hAnsi="Arial"/>
                <w:sz w:val="20"/>
                <w:szCs w:val="20"/>
                <w:color w:val="auto"/>
              </w:rPr>
              <w:t>Summary of loan loss experience</w:t>
            </w:r>
          </w:p>
        </w:tc>
        <w:tc>
          <w:tcPr>
            <w:tcW w:w="1920" w:type="dxa"/>
            <w:vAlign w:val="bottom"/>
          </w:tcPr>
          <w:p>
            <w:pPr>
              <w:spacing w:after="0"/>
              <w:rPr>
                <w:sz w:val="20"/>
                <w:szCs w:val="20"/>
                <w:color w:val="auto"/>
              </w:rPr>
            </w:pPr>
          </w:p>
        </w:tc>
      </w:tr>
      <w:tr>
        <w:trPr>
          <w:trHeight w:val="237"/>
        </w:trPr>
        <w:tc>
          <w:tcPr>
            <w:tcW w:w="480" w:type="dxa"/>
            <w:vAlign w:val="bottom"/>
          </w:tcPr>
          <w:p>
            <w:pPr>
              <w:spacing w:after="0"/>
              <w:rPr>
                <w:sz w:val="20"/>
                <w:szCs w:val="20"/>
                <w:color w:val="auto"/>
              </w:rPr>
            </w:pPr>
          </w:p>
        </w:tc>
        <w:tc>
          <w:tcPr>
            <w:tcW w:w="8300" w:type="dxa"/>
            <w:vAlign w:val="bottom"/>
            <w:gridSpan w:val="2"/>
          </w:tcPr>
          <w:p>
            <w:pPr>
              <w:ind w:left="240"/>
              <w:spacing w:after="0"/>
              <w:rPr>
                <w:sz w:val="20"/>
                <w:szCs w:val="20"/>
                <w:color w:val="auto"/>
              </w:rPr>
            </w:pPr>
            <w:r>
              <w:rPr>
                <w:rFonts w:ascii="Arial" w:cs="Arial" w:eastAsia="Arial" w:hAnsi="Arial"/>
                <w:sz w:val="20"/>
                <w:szCs w:val="20"/>
                <w:color w:val="auto"/>
              </w:rPr>
              <w:t>A.  Analysis of the allowance for loan losses</w:t>
            </w:r>
          </w:p>
        </w:tc>
        <w:tc>
          <w:tcPr>
            <w:tcW w:w="1920" w:type="dxa"/>
            <w:vAlign w:val="bottom"/>
          </w:tcPr>
          <w:p>
            <w:pPr>
              <w:jc w:val="center"/>
              <w:ind w:left="259"/>
              <w:spacing w:after="0"/>
              <w:rPr>
                <w:sz w:val="20"/>
                <w:szCs w:val="20"/>
                <w:color w:val="auto"/>
              </w:rPr>
            </w:pPr>
            <w:r>
              <w:rPr>
                <w:rFonts w:ascii="Arial" w:cs="Arial" w:eastAsia="Arial" w:hAnsi="Arial"/>
                <w:sz w:val="20"/>
                <w:szCs w:val="20"/>
                <w:color w:val="auto"/>
                <w:w w:val="90"/>
              </w:rPr>
              <w:t>67,132-136</w:t>
            </w:r>
          </w:p>
        </w:tc>
      </w:tr>
      <w:tr>
        <w:trPr>
          <w:trHeight w:val="237"/>
        </w:trPr>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740" w:type="dxa"/>
            <w:vAlign w:val="bottom"/>
          </w:tcPr>
          <w:p>
            <w:pPr>
              <w:ind w:left="100"/>
              <w:spacing w:after="0"/>
              <w:rPr>
                <w:sz w:val="20"/>
                <w:szCs w:val="20"/>
                <w:color w:val="auto"/>
              </w:rPr>
            </w:pPr>
            <w:r>
              <w:rPr>
                <w:rFonts w:ascii="Arial" w:cs="Arial" w:eastAsia="Arial" w:hAnsi="Arial"/>
                <w:sz w:val="20"/>
                <w:szCs w:val="20"/>
                <w:color w:val="auto"/>
                <w:w w:val="94"/>
              </w:rPr>
              <w:t>Factors influencing management’s judgment concerning the adequacy of the allowance and</w:t>
            </w:r>
          </w:p>
        </w:tc>
        <w:tc>
          <w:tcPr>
            <w:tcW w:w="1920" w:type="dxa"/>
            <w:vAlign w:val="bottom"/>
          </w:tcPr>
          <w:p>
            <w:pPr>
              <w:spacing w:after="0"/>
              <w:rPr>
                <w:sz w:val="20"/>
                <w:szCs w:val="20"/>
                <w:color w:val="auto"/>
              </w:rPr>
            </w:pPr>
          </w:p>
        </w:tc>
      </w:tr>
      <w:tr>
        <w:trPr>
          <w:trHeight w:val="237"/>
        </w:trPr>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740" w:type="dxa"/>
            <w:vAlign w:val="bottom"/>
          </w:tcPr>
          <w:p>
            <w:pPr>
              <w:ind w:left="320"/>
              <w:spacing w:after="0"/>
              <w:rPr>
                <w:sz w:val="20"/>
                <w:szCs w:val="20"/>
                <w:color w:val="auto"/>
              </w:rPr>
            </w:pPr>
            <w:r>
              <w:rPr>
                <w:rFonts w:ascii="Arial" w:cs="Arial" w:eastAsia="Arial" w:hAnsi="Arial"/>
                <w:sz w:val="20"/>
                <w:szCs w:val="20"/>
                <w:color w:val="auto"/>
              </w:rPr>
              <w:t>provision</w:t>
            </w:r>
          </w:p>
        </w:tc>
        <w:tc>
          <w:tcPr>
            <w:tcW w:w="1920" w:type="dxa"/>
            <w:vAlign w:val="bottom"/>
          </w:tcPr>
          <w:p>
            <w:pPr>
              <w:jc w:val="center"/>
              <w:ind w:left="279"/>
              <w:spacing w:after="0"/>
              <w:rPr>
                <w:sz w:val="20"/>
                <w:szCs w:val="20"/>
                <w:color w:val="auto"/>
              </w:rPr>
            </w:pPr>
            <w:r>
              <w:rPr>
                <w:rFonts w:ascii="Arial" w:cs="Arial" w:eastAsia="Arial" w:hAnsi="Arial"/>
                <w:sz w:val="20"/>
                <w:szCs w:val="20"/>
                <w:color w:val="auto"/>
                <w:w w:val="91"/>
              </w:rPr>
              <w:t>67-79,117,132-136</w:t>
            </w:r>
          </w:p>
        </w:tc>
      </w:tr>
      <w:tr>
        <w:trPr>
          <w:trHeight w:val="255"/>
        </w:trPr>
        <w:tc>
          <w:tcPr>
            <w:tcW w:w="480" w:type="dxa"/>
            <w:vAlign w:val="bottom"/>
          </w:tcPr>
          <w:p>
            <w:pPr>
              <w:spacing w:after="0"/>
              <w:rPr>
                <w:sz w:val="22"/>
                <w:szCs w:val="22"/>
                <w:color w:val="auto"/>
              </w:rPr>
            </w:pPr>
          </w:p>
        </w:tc>
        <w:tc>
          <w:tcPr>
            <w:tcW w:w="560" w:type="dxa"/>
            <w:vAlign w:val="bottom"/>
          </w:tcPr>
          <w:p>
            <w:pPr>
              <w:ind w:left="240"/>
              <w:spacing w:after="0"/>
              <w:rPr>
                <w:sz w:val="20"/>
                <w:szCs w:val="20"/>
                <w:color w:val="auto"/>
              </w:rPr>
            </w:pPr>
            <w:r>
              <w:rPr>
                <w:rFonts w:ascii="Arial" w:cs="Arial" w:eastAsia="Arial" w:hAnsi="Arial"/>
                <w:sz w:val="20"/>
                <w:szCs w:val="20"/>
                <w:color w:val="auto"/>
              </w:rPr>
              <w:t>B.</w:t>
            </w:r>
          </w:p>
        </w:tc>
        <w:tc>
          <w:tcPr>
            <w:tcW w:w="7740" w:type="dxa"/>
            <w:vAlign w:val="bottom"/>
          </w:tcPr>
          <w:p>
            <w:pPr>
              <w:ind w:left="100"/>
              <w:spacing w:after="0"/>
              <w:rPr>
                <w:sz w:val="20"/>
                <w:szCs w:val="20"/>
                <w:color w:val="auto"/>
              </w:rPr>
            </w:pPr>
            <w:r>
              <w:rPr>
                <w:rFonts w:ascii="Arial" w:cs="Arial" w:eastAsia="Arial" w:hAnsi="Arial"/>
                <w:sz w:val="20"/>
                <w:szCs w:val="20"/>
                <w:color w:val="auto"/>
              </w:rPr>
              <w:t>Allocation of the allowance for loan losses</w:t>
            </w:r>
          </w:p>
        </w:tc>
        <w:tc>
          <w:tcPr>
            <w:tcW w:w="1920" w:type="dxa"/>
            <w:vAlign w:val="bottom"/>
          </w:tcPr>
          <w:p>
            <w:pPr>
              <w:jc w:val="right"/>
              <w:spacing w:after="0"/>
              <w:rPr>
                <w:sz w:val="20"/>
                <w:szCs w:val="20"/>
                <w:color w:val="auto"/>
              </w:rPr>
            </w:pPr>
            <w:r>
              <w:rPr>
                <w:rFonts w:ascii="Arial" w:cs="Arial" w:eastAsia="Arial" w:hAnsi="Arial"/>
                <w:sz w:val="20"/>
                <w:szCs w:val="20"/>
                <w:color w:val="auto"/>
              </w:rPr>
              <w:t>78,132-133,135-136</w:t>
            </w:r>
          </w:p>
        </w:tc>
      </w:tr>
    </w:tbl>
    <w:p>
      <w:pPr>
        <w:ind w:left="1120" w:hanging="721"/>
        <w:spacing w:after="0"/>
        <w:tabs>
          <w:tab w:leader="none" w:pos="1120" w:val="left"/>
        </w:tabs>
        <w:numPr>
          <w:ilvl w:val="0"/>
          <w:numId w:val="6"/>
        </w:numPr>
        <w:rPr>
          <w:rFonts w:ascii="Arial" w:cs="Arial" w:eastAsia="Arial" w:hAnsi="Arial"/>
          <w:sz w:val="20"/>
          <w:szCs w:val="20"/>
          <w:color w:val="auto"/>
        </w:rPr>
      </w:pPr>
      <w:r>
        <w:rPr>
          <w:rFonts w:ascii="Arial" w:cs="Arial" w:eastAsia="Arial" w:hAnsi="Arial"/>
          <w:sz w:val="20"/>
          <w:szCs w:val="20"/>
          <w:color w:val="auto"/>
        </w:rPr>
        <w:t>Deposits</w:t>
      </w:r>
    </w:p>
    <w:tbl>
      <w:tblPr>
        <w:tblLayout w:type="fixed"/>
        <w:tblInd w:w="0" w:type="dxa"/>
        <w:tblCellMar>
          <w:top w:w="0" w:type="dxa"/>
          <w:left w:w="0" w:type="dxa"/>
          <w:bottom w:w="0" w:type="dxa"/>
          <w:right w:w="0" w:type="dxa"/>
        </w:tblCellMar>
      </w:tblPr>
      <w:tr>
        <w:trPr>
          <w:trHeight w:val="225"/>
        </w:trPr>
        <w:tc>
          <w:tcPr>
            <w:tcW w:w="1120" w:type="dxa"/>
            <w:vAlign w:val="bottom"/>
          </w:tcPr>
          <w:p>
            <w:pPr>
              <w:spacing w:after="0"/>
              <w:rPr>
                <w:sz w:val="19"/>
                <w:szCs w:val="19"/>
                <w:color w:val="auto"/>
              </w:rPr>
            </w:pPr>
          </w:p>
        </w:tc>
        <w:tc>
          <w:tcPr>
            <w:tcW w:w="8160" w:type="dxa"/>
            <w:vAlign w:val="bottom"/>
            <w:gridSpan w:val="12"/>
          </w:tcPr>
          <w:p>
            <w:pPr>
              <w:spacing w:after="0" w:line="225" w:lineRule="exact"/>
              <w:rPr>
                <w:sz w:val="20"/>
                <w:szCs w:val="20"/>
                <w:color w:val="auto"/>
              </w:rPr>
            </w:pPr>
            <w:r>
              <w:rPr>
                <w:rFonts w:ascii="Arial" w:cs="Arial" w:eastAsia="Arial" w:hAnsi="Arial"/>
                <w:sz w:val="20"/>
                <w:szCs w:val="20"/>
                <w:color w:val="auto"/>
              </w:rPr>
              <w:t>A.  Average balances and rates</w:t>
            </w:r>
          </w:p>
        </w:tc>
        <w:tc>
          <w:tcPr>
            <w:tcW w:w="2160" w:type="dxa"/>
            <w:vAlign w:val="bottom"/>
          </w:tcPr>
          <w:p>
            <w:pPr>
              <w:jc w:val="center"/>
              <w:spacing w:after="0" w:line="225" w:lineRule="exact"/>
              <w:rPr>
                <w:sz w:val="20"/>
                <w:szCs w:val="20"/>
                <w:color w:val="auto"/>
              </w:rPr>
            </w:pPr>
            <w:r>
              <w:rPr>
                <w:rFonts w:ascii="Arial" w:cs="Arial" w:eastAsia="Arial" w:hAnsi="Arial"/>
                <w:sz w:val="20"/>
                <w:szCs w:val="20"/>
                <w:color w:val="auto"/>
                <w:w w:val="89"/>
              </w:rPr>
              <w:t>55</w:t>
            </w:r>
          </w:p>
        </w:tc>
      </w:tr>
      <w:tr>
        <w:trPr>
          <w:trHeight w:val="237"/>
        </w:trPr>
        <w:tc>
          <w:tcPr>
            <w:tcW w:w="1120" w:type="dxa"/>
            <w:vAlign w:val="bottom"/>
          </w:tcPr>
          <w:p>
            <w:pPr>
              <w:spacing w:after="0"/>
              <w:rPr>
                <w:sz w:val="20"/>
                <w:szCs w:val="20"/>
                <w:color w:val="auto"/>
              </w:rPr>
            </w:pPr>
          </w:p>
        </w:tc>
        <w:tc>
          <w:tcPr>
            <w:tcW w:w="8160" w:type="dxa"/>
            <w:vAlign w:val="bottom"/>
            <w:gridSpan w:val="12"/>
          </w:tcPr>
          <w:p>
            <w:pPr>
              <w:spacing w:after="0"/>
              <w:rPr>
                <w:sz w:val="20"/>
                <w:szCs w:val="20"/>
                <w:color w:val="auto"/>
              </w:rPr>
            </w:pPr>
            <w:r>
              <w:rPr>
                <w:rFonts w:ascii="Arial" w:cs="Arial" w:eastAsia="Arial" w:hAnsi="Arial"/>
                <w:sz w:val="20"/>
                <w:szCs w:val="20"/>
                <w:color w:val="auto"/>
              </w:rPr>
              <w:t>B.   Maturity schedule of domestic time deposits with balances of $100,000 or more</w:t>
            </w:r>
          </w:p>
        </w:tc>
        <w:tc>
          <w:tcPr>
            <w:tcW w:w="2160" w:type="dxa"/>
            <w:vAlign w:val="bottom"/>
          </w:tcPr>
          <w:p>
            <w:pPr>
              <w:jc w:val="center"/>
              <w:spacing w:after="0"/>
              <w:rPr>
                <w:sz w:val="20"/>
                <w:szCs w:val="20"/>
                <w:color w:val="auto"/>
              </w:rPr>
            </w:pPr>
            <w:r>
              <w:rPr>
                <w:rFonts w:ascii="Arial" w:cs="Arial" w:eastAsia="Arial" w:hAnsi="Arial"/>
                <w:sz w:val="20"/>
                <w:szCs w:val="20"/>
                <w:color w:val="auto"/>
                <w:w w:val="89"/>
              </w:rPr>
              <w:t>90</w:t>
            </w:r>
          </w:p>
        </w:tc>
      </w:tr>
      <w:tr>
        <w:trPr>
          <w:trHeight w:val="237"/>
        </w:trPr>
        <w:tc>
          <w:tcPr>
            <w:tcW w:w="1120" w:type="dxa"/>
            <w:vAlign w:val="bottom"/>
          </w:tcPr>
          <w:p>
            <w:pPr>
              <w:ind w:left="400"/>
              <w:spacing w:after="0"/>
              <w:rPr>
                <w:sz w:val="20"/>
                <w:szCs w:val="20"/>
                <w:color w:val="auto"/>
              </w:rPr>
            </w:pPr>
            <w:r>
              <w:rPr>
                <w:rFonts w:ascii="Arial" w:cs="Arial" w:eastAsia="Arial" w:hAnsi="Arial"/>
                <w:sz w:val="20"/>
                <w:szCs w:val="20"/>
                <w:color w:val="auto"/>
              </w:rPr>
              <w:t>VI.</w:t>
            </w:r>
          </w:p>
        </w:tc>
        <w:tc>
          <w:tcPr>
            <w:tcW w:w="8160" w:type="dxa"/>
            <w:vAlign w:val="bottom"/>
            <w:gridSpan w:val="12"/>
          </w:tcPr>
          <w:p>
            <w:pPr>
              <w:spacing w:after="0"/>
              <w:rPr>
                <w:sz w:val="20"/>
                <w:szCs w:val="20"/>
                <w:color w:val="auto"/>
              </w:rPr>
            </w:pPr>
            <w:r>
              <w:rPr>
                <w:rFonts w:ascii="Arial" w:cs="Arial" w:eastAsia="Arial" w:hAnsi="Arial"/>
                <w:sz w:val="20"/>
                <w:szCs w:val="20"/>
                <w:color w:val="auto"/>
              </w:rPr>
              <w:t>Return on equity and assets</w:t>
            </w:r>
          </w:p>
        </w:tc>
        <w:tc>
          <w:tcPr>
            <w:tcW w:w="2160" w:type="dxa"/>
            <w:vAlign w:val="bottom"/>
          </w:tcPr>
          <w:p>
            <w:pPr>
              <w:jc w:val="center"/>
              <w:spacing w:after="0"/>
              <w:rPr>
                <w:sz w:val="20"/>
                <w:szCs w:val="20"/>
                <w:color w:val="auto"/>
              </w:rPr>
            </w:pPr>
            <w:r>
              <w:rPr>
                <w:rFonts w:ascii="Arial" w:cs="Arial" w:eastAsia="Arial" w:hAnsi="Arial"/>
                <w:sz w:val="20"/>
                <w:szCs w:val="20"/>
                <w:color w:val="auto"/>
                <w:w w:val="90"/>
              </w:rPr>
              <w:t>26,48,94,97</w:t>
            </w:r>
          </w:p>
        </w:tc>
      </w:tr>
      <w:tr>
        <w:trPr>
          <w:trHeight w:val="237"/>
        </w:trPr>
        <w:tc>
          <w:tcPr>
            <w:tcW w:w="1120" w:type="dxa"/>
            <w:vAlign w:val="bottom"/>
          </w:tcPr>
          <w:p>
            <w:pPr>
              <w:ind w:left="400"/>
              <w:spacing w:after="0"/>
              <w:rPr>
                <w:sz w:val="20"/>
                <w:szCs w:val="20"/>
                <w:color w:val="auto"/>
              </w:rPr>
            </w:pPr>
            <w:r>
              <w:rPr>
                <w:rFonts w:ascii="Arial" w:cs="Arial" w:eastAsia="Arial" w:hAnsi="Arial"/>
                <w:sz w:val="20"/>
                <w:szCs w:val="20"/>
                <w:color w:val="auto"/>
              </w:rPr>
              <w:t>VII.</w:t>
            </w:r>
          </w:p>
        </w:tc>
        <w:tc>
          <w:tcPr>
            <w:tcW w:w="8160" w:type="dxa"/>
            <w:vAlign w:val="bottom"/>
            <w:gridSpan w:val="12"/>
          </w:tcPr>
          <w:p>
            <w:pPr>
              <w:spacing w:after="0"/>
              <w:rPr>
                <w:sz w:val="20"/>
                <w:szCs w:val="20"/>
                <w:color w:val="auto"/>
              </w:rPr>
            </w:pPr>
            <w:r>
              <w:rPr>
                <w:rFonts w:ascii="Arial" w:cs="Arial" w:eastAsia="Arial" w:hAnsi="Arial"/>
                <w:sz w:val="20"/>
                <w:szCs w:val="20"/>
                <w:color w:val="auto"/>
              </w:rPr>
              <w:t>Short-term borrowings</w:t>
            </w:r>
          </w:p>
        </w:tc>
        <w:tc>
          <w:tcPr>
            <w:tcW w:w="2160" w:type="dxa"/>
            <w:vAlign w:val="bottom"/>
          </w:tcPr>
          <w:p>
            <w:pPr>
              <w:jc w:val="center"/>
              <w:spacing w:after="0"/>
              <w:rPr>
                <w:sz w:val="20"/>
                <w:szCs w:val="20"/>
                <w:color w:val="auto"/>
              </w:rPr>
            </w:pPr>
            <w:r>
              <w:rPr>
                <w:rFonts w:ascii="Arial" w:cs="Arial" w:eastAsia="Arial" w:hAnsi="Arial"/>
                <w:sz w:val="20"/>
                <w:szCs w:val="20"/>
                <w:color w:val="auto"/>
                <w:w w:val="89"/>
              </w:rPr>
              <w:t>140-141</w:t>
            </w:r>
          </w:p>
        </w:tc>
      </w:tr>
      <w:tr>
        <w:trPr>
          <w:trHeight w:val="211"/>
        </w:trPr>
        <w:tc>
          <w:tcPr>
            <w:tcW w:w="1120" w:type="dxa"/>
            <w:vAlign w:val="bottom"/>
          </w:tcPr>
          <w:p>
            <w:pPr>
              <w:spacing w:after="0" w:line="210" w:lineRule="exact"/>
              <w:rPr>
                <w:sz w:val="20"/>
                <w:szCs w:val="20"/>
                <w:color w:val="auto"/>
              </w:rPr>
            </w:pPr>
            <w:r>
              <w:rPr>
                <w:rFonts w:ascii="Arial" w:cs="Arial" w:eastAsia="Arial" w:hAnsi="Arial"/>
                <w:sz w:val="20"/>
                <w:szCs w:val="20"/>
                <w:color w:val="auto"/>
              </w:rPr>
              <w:t>Item 1A.</w:t>
            </w:r>
          </w:p>
        </w:tc>
        <w:tc>
          <w:tcPr>
            <w:tcW w:w="1020" w:type="dxa"/>
            <w:vAlign w:val="bottom"/>
            <w:tcBorders>
              <w:bottom w:val="single" w:sz="8" w:color="0000EE"/>
            </w:tcBorders>
            <w:gridSpan w:val="3"/>
          </w:tcPr>
          <w:p>
            <w:pPr>
              <w:spacing w:after="0" w:line="210" w:lineRule="exact"/>
              <w:rPr>
                <w:rFonts w:ascii="Arial" w:cs="Arial" w:eastAsia="Arial" w:hAnsi="Arial"/>
                <w:sz w:val="20"/>
                <w:szCs w:val="20"/>
                <w:color w:val="0000EE"/>
                <w:w w:val="89"/>
              </w:rPr>
            </w:pPr>
            <w:hyperlink w:anchor="page27">
              <w:r>
                <w:rPr>
                  <w:rFonts w:ascii="Arial" w:cs="Arial" w:eastAsia="Arial" w:hAnsi="Arial"/>
                  <w:sz w:val="20"/>
                  <w:szCs w:val="20"/>
                  <w:color w:val="0000EE"/>
                  <w:w w:val="89"/>
                </w:rPr>
                <w:t>Risk Factors</w:t>
              </w:r>
            </w:hyperlink>
          </w:p>
        </w:tc>
        <w:tc>
          <w:tcPr>
            <w:tcW w:w="7140" w:type="dxa"/>
            <w:vAlign w:val="bottom"/>
            <w:gridSpan w:val="9"/>
          </w:tcPr>
          <w:p>
            <w:pPr>
              <w:spacing w:after="0"/>
              <w:rPr>
                <w:sz w:val="18"/>
                <w:szCs w:val="18"/>
                <w:color w:val="auto"/>
              </w:rPr>
            </w:pPr>
          </w:p>
        </w:tc>
        <w:tc>
          <w:tcPr>
            <w:tcW w:w="2160" w:type="dxa"/>
            <w:vAlign w:val="bottom"/>
          </w:tcPr>
          <w:p>
            <w:pPr>
              <w:jc w:val="center"/>
              <w:spacing w:after="0" w:line="210" w:lineRule="exact"/>
              <w:rPr>
                <w:sz w:val="20"/>
                <w:szCs w:val="20"/>
                <w:color w:val="auto"/>
              </w:rPr>
            </w:pPr>
            <w:r>
              <w:rPr>
                <w:rFonts w:ascii="Arial" w:cs="Arial" w:eastAsia="Arial" w:hAnsi="Arial"/>
                <w:sz w:val="20"/>
                <w:szCs w:val="20"/>
                <w:color w:val="auto"/>
                <w:w w:val="89"/>
              </w:rPr>
              <w:t>27-38</w:t>
            </w:r>
          </w:p>
        </w:tc>
      </w:tr>
      <w:tr>
        <w:trPr>
          <w:trHeight w:val="217"/>
        </w:trPr>
        <w:tc>
          <w:tcPr>
            <w:tcW w:w="1120" w:type="dxa"/>
            <w:vAlign w:val="bottom"/>
          </w:tcPr>
          <w:p>
            <w:pPr>
              <w:spacing w:after="0" w:line="216" w:lineRule="exact"/>
              <w:rPr>
                <w:sz w:val="20"/>
                <w:szCs w:val="20"/>
                <w:color w:val="auto"/>
              </w:rPr>
            </w:pPr>
            <w:r>
              <w:rPr>
                <w:rFonts w:ascii="Arial" w:cs="Arial" w:eastAsia="Arial" w:hAnsi="Arial"/>
                <w:sz w:val="20"/>
                <w:szCs w:val="20"/>
                <w:color w:val="auto"/>
              </w:rPr>
              <w:t>Item 1B.</w:t>
            </w:r>
          </w:p>
        </w:tc>
        <w:tc>
          <w:tcPr>
            <w:tcW w:w="2300" w:type="dxa"/>
            <w:vAlign w:val="bottom"/>
            <w:tcBorders>
              <w:bottom w:val="single" w:sz="8" w:color="0000EE"/>
            </w:tcBorders>
            <w:gridSpan w:val="7"/>
          </w:tcPr>
          <w:p>
            <w:pPr>
              <w:spacing w:after="0" w:line="216" w:lineRule="exact"/>
              <w:rPr>
                <w:rFonts w:ascii="Arial" w:cs="Arial" w:eastAsia="Arial" w:hAnsi="Arial"/>
                <w:sz w:val="20"/>
                <w:szCs w:val="20"/>
                <w:color w:val="0000EE"/>
                <w:w w:val="91"/>
              </w:rPr>
            </w:pPr>
            <w:hyperlink w:anchor="page39">
              <w:r>
                <w:rPr>
                  <w:rFonts w:ascii="Arial" w:cs="Arial" w:eastAsia="Arial" w:hAnsi="Arial"/>
                  <w:sz w:val="20"/>
                  <w:szCs w:val="20"/>
                  <w:color w:val="0000EE"/>
                  <w:w w:val="91"/>
                </w:rPr>
                <w:t>Unresolved Staff Comments</w:t>
              </w:r>
            </w:hyperlink>
          </w:p>
        </w:tc>
        <w:tc>
          <w:tcPr>
            <w:tcW w:w="5860" w:type="dxa"/>
            <w:vAlign w:val="bottom"/>
            <w:gridSpan w:val="5"/>
          </w:tcPr>
          <w:p>
            <w:pPr>
              <w:spacing w:after="0"/>
              <w:rPr>
                <w:sz w:val="18"/>
                <w:szCs w:val="18"/>
                <w:color w:val="auto"/>
              </w:rPr>
            </w:pPr>
          </w:p>
        </w:tc>
        <w:tc>
          <w:tcPr>
            <w:tcW w:w="2160" w:type="dxa"/>
            <w:vAlign w:val="bottom"/>
          </w:tcPr>
          <w:p>
            <w:pPr>
              <w:jc w:val="center"/>
              <w:spacing w:after="0" w:line="216" w:lineRule="exact"/>
              <w:rPr>
                <w:sz w:val="20"/>
                <w:szCs w:val="20"/>
                <w:color w:val="auto"/>
              </w:rPr>
            </w:pPr>
            <w:r>
              <w:rPr>
                <w:rFonts w:ascii="Arial" w:cs="Arial" w:eastAsia="Arial" w:hAnsi="Arial"/>
                <w:sz w:val="20"/>
                <w:szCs w:val="20"/>
                <w:color w:val="auto"/>
                <w:w w:val="89"/>
              </w:rPr>
              <w:t>39</w:t>
            </w:r>
          </w:p>
        </w:tc>
      </w:tr>
      <w:tr>
        <w:trPr>
          <w:trHeight w:val="217"/>
        </w:trPr>
        <w:tc>
          <w:tcPr>
            <w:tcW w:w="1120" w:type="dxa"/>
            <w:vAlign w:val="bottom"/>
          </w:tcPr>
          <w:p>
            <w:pPr>
              <w:spacing w:after="0" w:line="216" w:lineRule="exact"/>
              <w:rPr>
                <w:sz w:val="20"/>
                <w:szCs w:val="20"/>
                <w:color w:val="auto"/>
              </w:rPr>
            </w:pPr>
            <w:r>
              <w:rPr>
                <w:rFonts w:ascii="Arial" w:cs="Arial" w:eastAsia="Arial" w:hAnsi="Arial"/>
                <w:sz w:val="20"/>
                <w:szCs w:val="20"/>
                <w:color w:val="auto"/>
              </w:rPr>
              <w:t>Item 2.</w:t>
            </w:r>
          </w:p>
        </w:tc>
        <w:tc>
          <w:tcPr>
            <w:tcW w:w="820" w:type="dxa"/>
            <w:vAlign w:val="bottom"/>
            <w:tcBorders>
              <w:bottom w:val="single" w:sz="8" w:color="0000EE"/>
            </w:tcBorders>
            <w:gridSpan w:val="2"/>
          </w:tcPr>
          <w:p>
            <w:pPr>
              <w:spacing w:after="0" w:line="216" w:lineRule="exact"/>
              <w:rPr>
                <w:rFonts w:ascii="Arial" w:cs="Arial" w:eastAsia="Arial" w:hAnsi="Arial"/>
                <w:sz w:val="20"/>
                <w:szCs w:val="20"/>
                <w:color w:val="0000EE"/>
                <w:w w:val="87"/>
              </w:rPr>
            </w:pPr>
            <w:hyperlink w:anchor="page39">
              <w:r>
                <w:rPr>
                  <w:rFonts w:ascii="Arial" w:cs="Arial" w:eastAsia="Arial" w:hAnsi="Arial"/>
                  <w:sz w:val="20"/>
                  <w:szCs w:val="20"/>
                  <w:color w:val="0000EE"/>
                  <w:w w:val="87"/>
                </w:rPr>
                <w:t>Properties</w:t>
              </w:r>
            </w:hyperlink>
          </w:p>
        </w:tc>
        <w:tc>
          <w:tcPr>
            <w:tcW w:w="7340" w:type="dxa"/>
            <w:vAlign w:val="bottom"/>
            <w:gridSpan w:val="10"/>
          </w:tcPr>
          <w:p>
            <w:pPr>
              <w:spacing w:after="0"/>
              <w:rPr>
                <w:sz w:val="18"/>
                <w:szCs w:val="18"/>
                <w:color w:val="auto"/>
              </w:rPr>
            </w:pPr>
          </w:p>
        </w:tc>
        <w:tc>
          <w:tcPr>
            <w:tcW w:w="2160" w:type="dxa"/>
            <w:vAlign w:val="bottom"/>
          </w:tcPr>
          <w:p>
            <w:pPr>
              <w:jc w:val="center"/>
              <w:spacing w:after="0" w:line="216" w:lineRule="exact"/>
              <w:rPr>
                <w:sz w:val="20"/>
                <w:szCs w:val="20"/>
                <w:color w:val="auto"/>
              </w:rPr>
            </w:pPr>
            <w:r>
              <w:rPr>
                <w:rFonts w:ascii="Arial" w:cs="Arial" w:eastAsia="Arial" w:hAnsi="Arial"/>
                <w:sz w:val="20"/>
                <w:szCs w:val="20"/>
                <w:color w:val="auto"/>
                <w:w w:val="89"/>
              </w:rPr>
              <w:t>39</w:t>
            </w:r>
          </w:p>
        </w:tc>
      </w:tr>
      <w:tr>
        <w:trPr>
          <w:trHeight w:val="217"/>
        </w:trPr>
        <w:tc>
          <w:tcPr>
            <w:tcW w:w="1120" w:type="dxa"/>
            <w:vAlign w:val="bottom"/>
          </w:tcPr>
          <w:p>
            <w:pPr>
              <w:spacing w:after="0" w:line="216" w:lineRule="exact"/>
              <w:rPr>
                <w:sz w:val="20"/>
                <w:szCs w:val="20"/>
                <w:color w:val="auto"/>
              </w:rPr>
            </w:pPr>
            <w:r>
              <w:rPr>
                <w:rFonts w:ascii="Arial" w:cs="Arial" w:eastAsia="Arial" w:hAnsi="Arial"/>
                <w:sz w:val="20"/>
                <w:szCs w:val="20"/>
                <w:color w:val="auto"/>
              </w:rPr>
              <w:t>Item 3.</w:t>
            </w:r>
          </w:p>
        </w:tc>
        <w:tc>
          <w:tcPr>
            <w:tcW w:w="1500" w:type="dxa"/>
            <w:vAlign w:val="bottom"/>
            <w:tcBorders>
              <w:bottom w:val="single" w:sz="8" w:color="0000EE"/>
            </w:tcBorders>
            <w:gridSpan w:val="4"/>
          </w:tcPr>
          <w:p>
            <w:pPr>
              <w:spacing w:after="0" w:line="216" w:lineRule="exact"/>
              <w:rPr>
                <w:rFonts w:ascii="Arial" w:cs="Arial" w:eastAsia="Arial" w:hAnsi="Arial"/>
                <w:sz w:val="20"/>
                <w:szCs w:val="20"/>
                <w:color w:val="0000EE"/>
                <w:w w:val="89"/>
              </w:rPr>
            </w:pPr>
            <w:hyperlink w:anchor="page39">
              <w:r>
                <w:rPr>
                  <w:rFonts w:ascii="Arial" w:cs="Arial" w:eastAsia="Arial" w:hAnsi="Arial"/>
                  <w:sz w:val="20"/>
                  <w:szCs w:val="20"/>
                  <w:color w:val="0000EE"/>
                  <w:w w:val="89"/>
                </w:rPr>
                <w:t>Legal Proceedings</w:t>
              </w:r>
            </w:hyperlink>
          </w:p>
        </w:tc>
        <w:tc>
          <w:tcPr>
            <w:tcW w:w="6660" w:type="dxa"/>
            <w:vAlign w:val="bottom"/>
            <w:gridSpan w:val="8"/>
          </w:tcPr>
          <w:p>
            <w:pPr>
              <w:spacing w:after="0"/>
              <w:rPr>
                <w:sz w:val="18"/>
                <w:szCs w:val="18"/>
                <w:color w:val="auto"/>
              </w:rPr>
            </w:pPr>
          </w:p>
        </w:tc>
        <w:tc>
          <w:tcPr>
            <w:tcW w:w="2160" w:type="dxa"/>
            <w:vAlign w:val="bottom"/>
          </w:tcPr>
          <w:p>
            <w:pPr>
              <w:jc w:val="center"/>
              <w:spacing w:after="0" w:line="216" w:lineRule="exact"/>
              <w:rPr>
                <w:sz w:val="20"/>
                <w:szCs w:val="20"/>
                <w:color w:val="auto"/>
              </w:rPr>
            </w:pPr>
            <w:r>
              <w:rPr>
                <w:rFonts w:ascii="Arial" w:cs="Arial" w:eastAsia="Arial" w:hAnsi="Arial"/>
                <w:sz w:val="20"/>
                <w:szCs w:val="20"/>
                <w:color w:val="auto"/>
                <w:w w:val="89"/>
              </w:rPr>
              <w:t>39-40</w:t>
            </w:r>
          </w:p>
        </w:tc>
      </w:tr>
      <w:tr>
        <w:trPr>
          <w:trHeight w:val="217"/>
        </w:trPr>
        <w:tc>
          <w:tcPr>
            <w:tcW w:w="1120" w:type="dxa"/>
            <w:vAlign w:val="bottom"/>
          </w:tcPr>
          <w:p>
            <w:pPr>
              <w:spacing w:after="0" w:line="216" w:lineRule="exact"/>
              <w:rPr>
                <w:sz w:val="20"/>
                <w:szCs w:val="20"/>
                <w:color w:val="auto"/>
              </w:rPr>
            </w:pPr>
            <w:r>
              <w:rPr>
                <w:rFonts w:ascii="Arial" w:cs="Arial" w:eastAsia="Arial" w:hAnsi="Arial"/>
                <w:sz w:val="20"/>
                <w:szCs w:val="20"/>
                <w:color w:val="auto"/>
              </w:rPr>
              <w:t>Item 4.</w:t>
            </w:r>
          </w:p>
        </w:tc>
        <w:tc>
          <w:tcPr>
            <w:tcW w:w="8160" w:type="dxa"/>
            <w:vAlign w:val="bottom"/>
            <w:gridSpan w:val="12"/>
          </w:tcPr>
          <w:p>
            <w:pPr>
              <w:spacing w:after="0" w:line="216" w:lineRule="exact"/>
              <w:rPr>
                <w:rFonts w:ascii="Arial" w:cs="Arial" w:eastAsia="Arial" w:hAnsi="Arial"/>
                <w:sz w:val="20"/>
                <w:szCs w:val="20"/>
                <w:color w:val="0000EE"/>
              </w:rPr>
            </w:pPr>
            <w:hyperlink w:anchor="page40">
              <w:r>
                <w:rPr>
                  <w:rFonts w:ascii="Arial" w:cs="Arial" w:eastAsia="Arial" w:hAnsi="Arial"/>
                  <w:sz w:val="20"/>
                  <w:szCs w:val="20"/>
                  <w:color w:val="0000EE"/>
                </w:rPr>
                <w:t>Mine Safety Disclosures</w:t>
              </w:r>
            </w:hyperlink>
          </w:p>
        </w:tc>
        <w:tc>
          <w:tcPr>
            <w:tcW w:w="2160" w:type="dxa"/>
            <w:vAlign w:val="bottom"/>
          </w:tcPr>
          <w:p>
            <w:pPr>
              <w:jc w:val="center"/>
              <w:spacing w:after="0" w:line="216" w:lineRule="exact"/>
              <w:rPr>
                <w:sz w:val="20"/>
                <w:szCs w:val="20"/>
                <w:color w:val="auto"/>
              </w:rPr>
            </w:pPr>
            <w:r>
              <w:rPr>
                <w:rFonts w:ascii="Arial" w:cs="Arial" w:eastAsia="Arial" w:hAnsi="Arial"/>
                <w:sz w:val="20"/>
                <w:szCs w:val="20"/>
                <w:color w:val="auto"/>
                <w:w w:val="89"/>
              </w:rPr>
              <w:t>40</w:t>
            </w:r>
          </w:p>
        </w:tc>
      </w:tr>
      <w:tr>
        <w:trPr>
          <w:trHeight w:val="20"/>
        </w:trPr>
        <w:tc>
          <w:tcPr>
            <w:tcW w:w="11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217"/>
        </w:trPr>
        <w:tc>
          <w:tcPr>
            <w:tcW w:w="1120" w:type="dxa"/>
            <w:vAlign w:val="bottom"/>
          </w:tcPr>
          <w:p>
            <w:pPr>
              <w:spacing w:after="0"/>
              <w:rPr>
                <w:sz w:val="18"/>
                <w:szCs w:val="18"/>
                <w:color w:val="auto"/>
              </w:rPr>
            </w:pPr>
          </w:p>
        </w:tc>
        <w:tc>
          <w:tcPr>
            <w:tcW w:w="8160" w:type="dxa"/>
            <w:vAlign w:val="bottom"/>
            <w:gridSpan w:val="12"/>
          </w:tcPr>
          <w:p>
            <w:pPr>
              <w:spacing w:after="0" w:line="216" w:lineRule="exact"/>
              <w:rPr>
                <w:rFonts w:ascii="Arial" w:cs="Arial" w:eastAsia="Arial" w:hAnsi="Arial"/>
                <w:sz w:val="20"/>
                <w:szCs w:val="20"/>
                <w:color w:val="0000EE"/>
              </w:rPr>
            </w:pPr>
            <w:hyperlink w:anchor="page40">
              <w:r>
                <w:rPr>
                  <w:rFonts w:ascii="Arial" w:cs="Arial" w:eastAsia="Arial" w:hAnsi="Arial"/>
                  <w:sz w:val="20"/>
                  <w:szCs w:val="20"/>
                  <w:color w:val="0000EE"/>
                </w:rPr>
                <w:t>Executive Officers of the Registrant</w:t>
              </w:r>
            </w:hyperlink>
          </w:p>
        </w:tc>
        <w:tc>
          <w:tcPr>
            <w:tcW w:w="2160" w:type="dxa"/>
            <w:vAlign w:val="bottom"/>
          </w:tcPr>
          <w:p>
            <w:pPr>
              <w:jc w:val="center"/>
              <w:spacing w:after="0" w:line="216" w:lineRule="exact"/>
              <w:rPr>
                <w:sz w:val="20"/>
                <w:szCs w:val="20"/>
                <w:color w:val="auto"/>
              </w:rPr>
            </w:pPr>
            <w:r>
              <w:rPr>
                <w:rFonts w:ascii="Arial" w:cs="Arial" w:eastAsia="Arial" w:hAnsi="Arial"/>
                <w:sz w:val="20"/>
                <w:szCs w:val="20"/>
                <w:color w:val="auto"/>
                <w:w w:val="89"/>
              </w:rPr>
              <w:t>40-42</w:t>
            </w:r>
          </w:p>
        </w:tc>
      </w:tr>
      <w:tr>
        <w:trPr>
          <w:trHeight w:val="217"/>
        </w:trPr>
        <w:tc>
          <w:tcPr>
            <w:tcW w:w="1120" w:type="dxa"/>
            <w:vAlign w:val="bottom"/>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320" w:type="dxa"/>
            <w:vAlign w:val="bottom"/>
          </w:tcPr>
          <w:p>
            <w:pPr>
              <w:spacing w:after="0"/>
              <w:rPr>
                <w:sz w:val="18"/>
                <w:szCs w:val="18"/>
                <w:color w:val="auto"/>
              </w:rPr>
            </w:pPr>
          </w:p>
        </w:tc>
        <w:tc>
          <w:tcPr>
            <w:tcW w:w="3940" w:type="dxa"/>
            <w:vAlign w:val="bottom"/>
            <w:gridSpan w:val="3"/>
          </w:tcPr>
          <w:p>
            <w:pPr>
              <w:spacing w:after="0" w:line="216" w:lineRule="exact"/>
              <w:rPr>
                <w:rFonts w:ascii="Arial" w:cs="Arial" w:eastAsia="Arial" w:hAnsi="Arial"/>
                <w:sz w:val="20"/>
                <w:szCs w:val="20"/>
                <w:b w:val="1"/>
                <w:bCs w:val="1"/>
                <w:color w:val="0000EE"/>
              </w:rPr>
            </w:pPr>
            <w:hyperlink w:anchor="page43">
              <w:r>
                <w:rPr>
                  <w:rFonts w:ascii="Arial" w:cs="Arial" w:eastAsia="Arial" w:hAnsi="Arial"/>
                  <w:sz w:val="20"/>
                  <w:szCs w:val="20"/>
                  <w:b w:val="1"/>
                  <w:bCs w:val="1"/>
                  <w:color w:val="0000EE"/>
                </w:rPr>
                <w:t>PART II</w:t>
              </w:r>
            </w:hyperlink>
          </w:p>
        </w:tc>
        <w:tc>
          <w:tcPr>
            <w:tcW w:w="2160" w:type="dxa"/>
            <w:vAlign w:val="bottom"/>
          </w:tcPr>
          <w:p>
            <w:pPr>
              <w:spacing w:after="0"/>
              <w:rPr>
                <w:sz w:val="18"/>
                <w:szCs w:val="18"/>
                <w:color w:val="auto"/>
              </w:rPr>
            </w:pPr>
          </w:p>
        </w:tc>
      </w:tr>
      <w:tr>
        <w:trPr>
          <w:trHeight w:val="20"/>
        </w:trPr>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2620" w:type="dxa"/>
            <w:vAlign w:val="bottom"/>
            <w:gridSpan w:val="4"/>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217"/>
        </w:trPr>
        <w:tc>
          <w:tcPr>
            <w:tcW w:w="1120" w:type="dxa"/>
            <w:vAlign w:val="bottom"/>
          </w:tcPr>
          <w:p>
            <w:pPr>
              <w:spacing w:after="0" w:line="216" w:lineRule="exact"/>
              <w:rPr>
                <w:sz w:val="20"/>
                <w:szCs w:val="20"/>
                <w:color w:val="auto"/>
              </w:rPr>
            </w:pPr>
            <w:r>
              <w:rPr>
                <w:rFonts w:ascii="Arial" w:cs="Arial" w:eastAsia="Arial" w:hAnsi="Arial"/>
                <w:sz w:val="20"/>
                <w:szCs w:val="20"/>
                <w:color w:val="auto"/>
              </w:rPr>
              <w:t>Item 5.</w:t>
            </w:r>
          </w:p>
        </w:tc>
        <w:tc>
          <w:tcPr>
            <w:tcW w:w="8160" w:type="dxa"/>
            <w:vAlign w:val="bottom"/>
            <w:gridSpan w:val="12"/>
          </w:tcPr>
          <w:p>
            <w:pPr>
              <w:spacing w:after="0" w:line="216" w:lineRule="exact"/>
              <w:rPr>
                <w:rFonts w:ascii="Arial" w:cs="Arial" w:eastAsia="Arial" w:hAnsi="Arial"/>
                <w:sz w:val="20"/>
                <w:szCs w:val="20"/>
                <w:color w:val="0000EE"/>
                <w:w w:val="97"/>
              </w:rPr>
            </w:pPr>
            <w:hyperlink w:anchor="page43">
              <w:r>
                <w:rPr>
                  <w:rFonts w:ascii="Arial" w:cs="Arial" w:eastAsia="Arial" w:hAnsi="Arial"/>
                  <w:sz w:val="20"/>
                  <w:szCs w:val="20"/>
                  <w:color w:val="0000EE"/>
                  <w:w w:val="97"/>
                </w:rPr>
                <w:t>Market for Registrant’s Common Equity, Related Stockholder Matters and Issuer Purchases of</w:t>
              </w:r>
            </w:hyperlink>
          </w:p>
        </w:tc>
        <w:tc>
          <w:tcPr>
            <w:tcW w:w="2160" w:type="dxa"/>
            <w:vAlign w:val="bottom"/>
          </w:tcPr>
          <w:p>
            <w:pPr>
              <w:spacing w:after="0"/>
              <w:rPr>
                <w:sz w:val="18"/>
                <w:szCs w:val="18"/>
                <w:color w:val="auto"/>
              </w:rPr>
            </w:pPr>
          </w:p>
        </w:tc>
      </w:tr>
      <w:tr>
        <w:trPr>
          <w:trHeight w:val="217"/>
        </w:trPr>
        <w:tc>
          <w:tcPr>
            <w:tcW w:w="1120" w:type="dxa"/>
            <w:vAlign w:val="bottom"/>
          </w:tcPr>
          <w:p>
            <w:pPr>
              <w:spacing w:after="0"/>
              <w:rPr>
                <w:sz w:val="18"/>
                <w:szCs w:val="18"/>
                <w:color w:val="auto"/>
              </w:rPr>
            </w:pPr>
          </w:p>
        </w:tc>
        <w:tc>
          <w:tcPr>
            <w:tcW w:w="7600" w:type="dxa"/>
            <w:vAlign w:val="bottom"/>
            <w:tcBorders>
              <w:top w:val="single" w:sz="8" w:color="0000EE"/>
            </w:tcBorders>
            <w:gridSpan w:val="11"/>
          </w:tcPr>
          <w:p>
            <w:pPr>
              <w:ind w:left="220"/>
              <w:spacing w:after="0" w:line="216" w:lineRule="exact"/>
              <w:rPr>
                <w:rFonts w:ascii="Arial" w:cs="Arial" w:eastAsia="Arial" w:hAnsi="Arial"/>
                <w:sz w:val="20"/>
                <w:szCs w:val="20"/>
                <w:color w:val="0000EE"/>
              </w:rPr>
            </w:pPr>
            <w:hyperlink w:anchor="page43">
              <w:r>
                <w:rPr>
                  <w:rFonts w:ascii="Arial" w:cs="Arial" w:eastAsia="Arial" w:hAnsi="Arial"/>
                  <w:sz w:val="20"/>
                  <w:szCs w:val="20"/>
                  <w:color w:val="0000EE"/>
                </w:rPr>
                <w:t>Equity Securities</w:t>
              </w:r>
            </w:hyperlink>
          </w:p>
        </w:tc>
        <w:tc>
          <w:tcPr>
            <w:tcW w:w="560" w:type="dxa"/>
            <w:vAlign w:val="bottom"/>
          </w:tcPr>
          <w:p>
            <w:pPr>
              <w:spacing w:after="0"/>
              <w:rPr>
                <w:sz w:val="18"/>
                <w:szCs w:val="18"/>
                <w:color w:val="auto"/>
              </w:rPr>
            </w:pPr>
          </w:p>
        </w:tc>
        <w:tc>
          <w:tcPr>
            <w:tcW w:w="2160" w:type="dxa"/>
            <w:vAlign w:val="bottom"/>
          </w:tcPr>
          <w:p>
            <w:pPr>
              <w:jc w:val="center"/>
              <w:spacing w:after="0" w:line="216" w:lineRule="exact"/>
              <w:rPr>
                <w:sz w:val="20"/>
                <w:szCs w:val="20"/>
                <w:color w:val="auto"/>
              </w:rPr>
            </w:pPr>
            <w:r>
              <w:rPr>
                <w:rFonts w:ascii="Arial" w:cs="Arial" w:eastAsia="Arial" w:hAnsi="Arial"/>
                <w:sz w:val="20"/>
                <w:szCs w:val="20"/>
                <w:color w:val="auto"/>
                <w:w w:val="89"/>
              </w:rPr>
              <w:t>43-45</w:t>
            </w:r>
          </w:p>
        </w:tc>
      </w:tr>
      <w:tr>
        <w:trPr>
          <w:trHeight w:val="20"/>
        </w:trPr>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6560" w:type="dxa"/>
            <w:vAlign w:val="bottom"/>
            <w:gridSpan w:val="7"/>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242"/>
        </w:trPr>
        <w:tc>
          <w:tcPr>
            <w:tcW w:w="1120" w:type="dxa"/>
            <w:vAlign w:val="bottom"/>
          </w:tcPr>
          <w:p>
            <w:pPr>
              <w:spacing w:after="0"/>
              <w:rPr>
                <w:sz w:val="21"/>
                <w:szCs w:val="21"/>
                <w:color w:val="auto"/>
              </w:rPr>
            </w:pPr>
          </w:p>
        </w:tc>
        <w:tc>
          <w:tcPr>
            <w:tcW w:w="8160" w:type="dxa"/>
            <w:vAlign w:val="bottom"/>
            <w:gridSpan w:val="12"/>
          </w:tcPr>
          <w:p>
            <w:pPr>
              <w:spacing w:after="0"/>
              <w:rPr>
                <w:sz w:val="20"/>
                <w:szCs w:val="20"/>
                <w:color w:val="auto"/>
              </w:rPr>
            </w:pPr>
            <w:r>
              <w:rPr>
                <w:rFonts w:ascii="Arial" w:cs="Arial" w:eastAsia="Arial" w:hAnsi="Arial"/>
                <w:sz w:val="20"/>
                <w:szCs w:val="20"/>
                <w:color w:val="auto"/>
              </w:rPr>
              <w:t>A.  Principal market</w:t>
            </w:r>
          </w:p>
        </w:tc>
        <w:tc>
          <w:tcPr>
            <w:tcW w:w="2160" w:type="dxa"/>
            <w:vAlign w:val="bottom"/>
          </w:tcPr>
          <w:p>
            <w:pPr>
              <w:jc w:val="center"/>
              <w:spacing w:after="0"/>
              <w:rPr>
                <w:sz w:val="20"/>
                <w:szCs w:val="20"/>
                <w:color w:val="auto"/>
              </w:rPr>
            </w:pPr>
            <w:r>
              <w:rPr>
                <w:rFonts w:ascii="Arial" w:cs="Arial" w:eastAsia="Arial" w:hAnsi="Arial"/>
                <w:sz w:val="20"/>
                <w:szCs w:val="20"/>
                <w:color w:val="auto"/>
                <w:w w:val="89"/>
              </w:rPr>
              <w:t>43</w:t>
            </w:r>
          </w:p>
        </w:tc>
      </w:tr>
      <w:tr>
        <w:trPr>
          <w:trHeight w:val="237"/>
        </w:trPr>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940" w:type="dxa"/>
            <w:vAlign w:val="bottom"/>
            <w:gridSpan w:val="11"/>
          </w:tcPr>
          <w:p>
            <w:pPr>
              <w:ind w:left="180"/>
              <w:spacing w:after="0"/>
              <w:rPr>
                <w:sz w:val="20"/>
                <w:szCs w:val="20"/>
                <w:color w:val="auto"/>
              </w:rPr>
            </w:pPr>
            <w:r>
              <w:rPr>
                <w:rFonts w:ascii="Arial" w:cs="Arial" w:eastAsia="Arial" w:hAnsi="Arial"/>
                <w:sz w:val="20"/>
                <w:szCs w:val="20"/>
                <w:color w:val="auto"/>
              </w:rPr>
              <w:t>Market prices</w:t>
            </w:r>
          </w:p>
        </w:tc>
        <w:tc>
          <w:tcPr>
            <w:tcW w:w="2160" w:type="dxa"/>
            <w:vAlign w:val="bottom"/>
          </w:tcPr>
          <w:p>
            <w:pPr>
              <w:jc w:val="center"/>
              <w:spacing w:after="0"/>
              <w:rPr>
                <w:sz w:val="20"/>
                <w:szCs w:val="20"/>
                <w:color w:val="auto"/>
              </w:rPr>
            </w:pPr>
            <w:r>
              <w:rPr>
                <w:rFonts w:ascii="Arial" w:cs="Arial" w:eastAsia="Arial" w:hAnsi="Arial"/>
                <w:sz w:val="20"/>
                <w:szCs w:val="20"/>
                <w:color w:val="auto"/>
                <w:w w:val="89"/>
              </w:rPr>
              <w:t>103</w:t>
            </w:r>
          </w:p>
        </w:tc>
      </w:tr>
      <w:tr>
        <w:trPr>
          <w:trHeight w:val="257"/>
        </w:trPr>
        <w:tc>
          <w:tcPr>
            <w:tcW w:w="1120" w:type="dxa"/>
            <w:vAlign w:val="bottom"/>
          </w:tcPr>
          <w:p>
            <w:pPr>
              <w:spacing w:after="0"/>
              <w:rPr>
                <w:sz w:val="22"/>
                <w:szCs w:val="22"/>
                <w:color w:val="auto"/>
              </w:rPr>
            </w:pPr>
          </w:p>
        </w:tc>
        <w:tc>
          <w:tcPr>
            <w:tcW w:w="8160" w:type="dxa"/>
            <w:vAlign w:val="bottom"/>
            <w:gridSpan w:val="12"/>
          </w:tcPr>
          <w:p>
            <w:pPr>
              <w:spacing w:after="0"/>
              <w:rPr>
                <w:sz w:val="20"/>
                <w:szCs w:val="20"/>
                <w:color w:val="auto"/>
              </w:rPr>
            </w:pPr>
            <w:r>
              <w:rPr>
                <w:rFonts w:ascii="Arial" w:cs="Arial" w:eastAsia="Arial" w:hAnsi="Arial"/>
                <w:sz w:val="20"/>
                <w:szCs w:val="20"/>
                <w:color w:val="auto"/>
              </w:rPr>
              <w:t>B.  Approximate number of holders at year-end</w:t>
            </w:r>
          </w:p>
        </w:tc>
        <w:tc>
          <w:tcPr>
            <w:tcW w:w="2160" w:type="dxa"/>
            <w:vAlign w:val="bottom"/>
          </w:tcPr>
          <w:p>
            <w:pPr>
              <w:jc w:val="center"/>
              <w:spacing w:after="0"/>
              <w:rPr>
                <w:sz w:val="20"/>
                <w:szCs w:val="20"/>
                <w:color w:val="auto"/>
              </w:rPr>
            </w:pPr>
            <w:r>
              <w:rPr>
                <w:rFonts w:ascii="Arial" w:cs="Arial" w:eastAsia="Arial" w:hAnsi="Arial"/>
                <w:sz w:val="20"/>
                <w:szCs w:val="20"/>
                <w:color w:val="auto"/>
                <w:w w:val="89"/>
              </w:rPr>
              <w:t>24</w:t>
            </w:r>
          </w:p>
        </w:tc>
      </w:tr>
      <w:tr>
        <w:trPr>
          <w:trHeight w:val="412"/>
        </w:trPr>
        <w:tc>
          <w:tcPr>
            <w:tcW w:w="1120" w:type="dxa"/>
            <w:vAlign w:val="bottom"/>
          </w:tcPr>
          <w:p>
            <w:pPr>
              <w:spacing w:after="0"/>
              <w:rPr>
                <w:sz w:val="24"/>
                <w:szCs w:val="24"/>
                <w:color w:val="auto"/>
              </w:rPr>
            </w:pPr>
          </w:p>
        </w:tc>
        <w:tc>
          <w:tcPr>
            <w:tcW w:w="4960" w:type="dxa"/>
            <w:vAlign w:val="bottom"/>
            <w:gridSpan w:val="10"/>
          </w:tcPr>
          <w:p>
            <w:pPr>
              <w:ind w:left="4560"/>
              <w:spacing w:after="0"/>
              <w:rPr>
                <w:sz w:val="20"/>
                <w:szCs w:val="20"/>
                <w:color w:val="auto"/>
              </w:rPr>
            </w:pPr>
            <w:r>
              <w:rPr>
                <w:rFonts w:ascii="Arial" w:cs="Arial" w:eastAsia="Arial" w:hAnsi="Arial"/>
                <w:sz w:val="18"/>
                <w:szCs w:val="18"/>
                <w:color w:val="auto"/>
              </w:rPr>
              <w:t>2</w:t>
            </w:r>
          </w:p>
        </w:tc>
        <w:tc>
          <w:tcPr>
            <w:tcW w:w="2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112"/>
        </w:trPr>
        <w:tc>
          <w:tcPr>
            <w:tcW w:w="11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264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1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122" w:right="2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0" w:type="dxa"/>
            <w:vAlign w:val="bottom"/>
          </w:tcPr>
          <w:p>
            <w:pPr>
              <w:jc w:val="center"/>
              <w:spacing w:after="0"/>
              <w:rPr>
                <w:sz w:val="20"/>
                <w:szCs w:val="20"/>
                <w:color w:val="auto"/>
              </w:rPr>
            </w:pPr>
            <w:r>
              <w:rPr>
                <w:rFonts w:ascii="Arial" w:cs="Arial" w:eastAsia="Arial" w:hAnsi="Arial"/>
                <w:sz w:val="14"/>
                <w:szCs w:val="14"/>
                <w:b w:val="1"/>
                <w:bCs w:val="1"/>
                <w:color w:val="auto"/>
                <w:w w:val="95"/>
              </w:rPr>
              <w:t>Form 10-K</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100" w:type="dxa"/>
            <w:vAlign w:val="bottom"/>
          </w:tcPr>
          <w:p>
            <w:pPr>
              <w:spacing w:after="0"/>
              <w:rPr>
                <w:sz w:val="14"/>
                <w:szCs w:val="14"/>
                <w:color w:val="auto"/>
              </w:rPr>
            </w:pPr>
          </w:p>
        </w:tc>
        <w:tc>
          <w:tcPr>
            <w:tcW w:w="220" w:type="dxa"/>
            <w:vAlign w:val="bottom"/>
            <w:gridSpan w:val="2"/>
            <w:vMerge w:val="restart"/>
          </w:tcPr>
          <w:p>
            <w:pPr>
              <w:spacing w:after="0"/>
              <w:rPr>
                <w:sz w:val="20"/>
                <w:szCs w:val="20"/>
                <w:color w:val="auto"/>
              </w:rPr>
            </w:pPr>
            <w:r>
              <w:rPr>
                <w:rFonts w:ascii="Arial" w:cs="Arial" w:eastAsia="Arial" w:hAnsi="Arial"/>
                <w:sz w:val="20"/>
                <w:szCs w:val="20"/>
                <w:color w:val="auto"/>
                <w:w w:val="99"/>
              </w:rPr>
              <w:t>C.</w:t>
            </w:r>
          </w:p>
        </w:tc>
        <w:tc>
          <w:tcPr>
            <w:tcW w:w="7900" w:type="dxa"/>
            <w:vAlign w:val="bottom"/>
            <w:gridSpan w:val="22"/>
            <w:vMerge w:val="restart"/>
          </w:tcPr>
          <w:p>
            <w:pPr>
              <w:ind w:left="160"/>
              <w:spacing w:after="0"/>
              <w:rPr>
                <w:sz w:val="20"/>
                <w:szCs w:val="20"/>
                <w:color w:val="auto"/>
              </w:rPr>
            </w:pPr>
            <w:r>
              <w:rPr>
                <w:rFonts w:ascii="Arial" w:cs="Arial" w:eastAsia="Arial" w:hAnsi="Arial"/>
                <w:sz w:val="20"/>
                <w:szCs w:val="20"/>
                <w:color w:val="auto"/>
              </w:rPr>
              <w:t>Frequency and amount of dividends declared</w:t>
            </w: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Page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220" w:type="dxa"/>
            <w:vAlign w:val="bottom"/>
            <w:gridSpan w:val="2"/>
            <w:vMerge w:val="continue"/>
          </w:tcPr>
          <w:p>
            <w:pPr>
              <w:spacing w:after="0"/>
              <w:rPr>
                <w:sz w:val="18"/>
                <w:szCs w:val="18"/>
                <w:color w:val="auto"/>
              </w:rPr>
            </w:pPr>
          </w:p>
        </w:tc>
        <w:tc>
          <w:tcPr>
            <w:tcW w:w="7900" w:type="dxa"/>
            <w:vAlign w:val="bottom"/>
            <w:gridSpan w:val="22"/>
            <w:vMerge w:val="continue"/>
          </w:tcPr>
          <w:p>
            <w:pPr>
              <w:spacing w:after="0"/>
              <w:rPr>
                <w:sz w:val="18"/>
                <w:szCs w:val="18"/>
                <w:color w:val="auto"/>
              </w:rPr>
            </w:pPr>
          </w:p>
        </w:tc>
        <w:tc>
          <w:tcPr>
            <w:tcW w:w="2200" w:type="dxa"/>
            <w:vAlign w:val="bottom"/>
          </w:tcPr>
          <w:p>
            <w:pPr>
              <w:jc w:val="center"/>
              <w:spacing w:after="0" w:line="216" w:lineRule="exact"/>
              <w:rPr>
                <w:sz w:val="20"/>
                <w:szCs w:val="20"/>
                <w:color w:val="auto"/>
              </w:rPr>
            </w:pPr>
            <w:r>
              <w:rPr>
                <w:rFonts w:ascii="Arial" w:cs="Arial" w:eastAsia="Arial" w:hAnsi="Arial"/>
                <w:sz w:val="20"/>
                <w:szCs w:val="20"/>
                <w:color w:val="auto"/>
                <w:w w:val="89"/>
              </w:rPr>
              <w:t>25-26,103,113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00" w:type="dxa"/>
            <w:vAlign w:val="bottom"/>
          </w:tcPr>
          <w:p>
            <w:pPr>
              <w:spacing w:after="0"/>
              <w:rPr>
                <w:sz w:val="20"/>
                <w:szCs w:val="20"/>
                <w:color w:val="auto"/>
              </w:rPr>
            </w:pPr>
          </w:p>
        </w:tc>
        <w:tc>
          <w:tcPr>
            <w:tcW w:w="220" w:type="dxa"/>
            <w:vAlign w:val="bottom"/>
            <w:gridSpan w:val="2"/>
          </w:tcPr>
          <w:p>
            <w:pPr>
              <w:spacing w:after="0"/>
              <w:rPr>
                <w:sz w:val="20"/>
                <w:szCs w:val="20"/>
                <w:color w:val="auto"/>
              </w:rPr>
            </w:pPr>
            <w:r>
              <w:rPr>
                <w:rFonts w:ascii="Arial" w:cs="Arial" w:eastAsia="Arial" w:hAnsi="Arial"/>
                <w:sz w:val="20"/>
                <w:szCs w:val="20"/>
                <w:color w:val="auto"/>
                <w:w w:val="99"/>
              </w:rPr>
              <w:t>D.</w:t>
            </w:r>
          </w:p>
        </w:tc>
        <w:tc>
          <w:tcPr>
            <w:tcW w:w="7900" w:type="dxa"/>
            <w:vAlign w:val="bottom"/>
            <w:gridSpan w:val="22"/>
          </w:tcPr>
          <w:p>
            <w:pPr>
              <w:ind w:left="160"/>
              <w:spacing w:after="0"/>
              <w:rPr>
                <w:sz w:val="20"/>
                <w:szCs w:val="20"/>
                <w:color w:val="auto"/>
              </w:rPr>
            </w:pPr>
            <w:r>
              <w:rPr>
                <w:rFonts w:ascii="Arial" w:cs="Arial" w:eastAsia="Arial" w:hAnsi="Arial"/>
                <w:sz w:val="20"/>
                <w:szCs w:val="20"/>
                <w:color w:val="auto"/>
              </w:rPr>
              <w:t>Restrictions on dividends</w:t>
            </w:r>
          </w:p>
        </w:tc>
        <w:tc>
          <w:tcPr>
            <w:tcW w:w="2200" w:type="dxa"/>
            <w:vAlign w:val="bottom"/>
          </w:tcPr>
          <w:p>
            <w:pPr>
              <w:jc w:val="center"/>
              <w:spacing w:after="0"/>
              <w:rPr>
                <w:sz w:val="20"/>
                <w:szCs w:val="20"/>
                <w:color w:val="auto"/>
              </w:rPr>
            </w:pPr>
            <w:r>
              <w:rPr>
                <w:rFonts w:ascii="Arial" w:cs="Arial" w:eastAsia="Arial" w:hAnsi="Arial"/>
                <w:sz w:val="20"/>
                <w:szCs w:val="20"/>
                <w:color w:val="auto"/>
                <w:w w:val="89"/>
              </w:rPr>
              <w:t>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00" w:type="dxa"/>
            <w:vAlign w:val="bottom"/>
          </w:tcPr>
          <w:p>
            <w:pPr>
              <w:spacing w:after="0"/>
              <w:rPr>
                <w:sz w:val="20"/>
                <w:szCs w:val="20"/>
                <w:color w:val="auto"/>
              </w:rPr>
            </w:pPr>
          </w:p>
        </w:tc>
        <w:tc>
          <w:tcPr>
            <w:tcW w:w="220" w:type="dxa"/>
            <w:vAlign w:val="bottom"/>
            <w:gridSpan w:val="2"/>
          </w:tcPr>
          <w:p>
            <w:pPr>
              <w:spacing w:after="0"/>
              <w:rPr>
                <w:sz w:val="20"/>
                <w:szCs w:val="20"/>
                <w:color w:val="auto"/>
              </w:rPr>
            </w:pPr>
            <w:r>
              <w:rPr>
                <w:rFonts w:ascii="Arial" w:cs="Arial" w:eastAsia="Arial" w:hAnsi="Arial"/>
                <w:sz w:val="20"/>
                <w:szCs w:val="20"/>
                <w:color w:val="auto"/>
              </w:rPr>
              <w:t>E.</w:t>
            </w:r>
          </w:p>
        </w:tc>
        <w:tc>
          <w:tcPr>
            <w:tcW w:w="7900" w:type="dxa"/>
            <w:vAlign w:val="bottom"/>
            <w:gridSpan w:val="22"/>
          </w:tcPr>
          <w:p>
            <w:pPr>
              <w:ind w:left="160"/>
              <w:spacing w:after="0"/>
              <w:rPr>
                <w:sz w:val="20"/>
                <w:szCs w:val="20"/>
                <w:color w:val="auto"/>
              </w:rPr>
            </w:pPr>
            <w:r>
              <w:rPr>
                <w:rFonts w:ascii="Arial" w:cs="Arial" w:eastAsia="Arial" w:hAnsi="Arial"/>
                <w:sz w:val="20"/>
                <w:szCs w:val="20"/>
                <w:color w:val="auto"/>
              </w:rPr>
              <w:t>Securities authorized for issuance under equity</w:t>
            </w:r>
          </w:p>
        </w:tc>
        <w:tc>
          <w:tcPr>
            <w:tcW w:w="2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900" w:type="dxa"/>
            <w:vAlign w:val="bottom"/>
            <w:gridSpan w:val="22"/>
          </w:tcPr>
          <w:p>
            <w:pPr>
              <w:ind w:left="380"/>
              <w:spacing w:after="0"/>
              <w:rPr>
                <w:sz w:val="20"/>
                <w:szCs w:val="20"/>
                <w:color w:val="auto"/>
              </w:rPr>
            </w:pPr>
            <w:r>
              <w:rPr>
                <w:rFonts w:ascii="Arial" w:cs="Arial" w:eastAsia="Arial" w:hAnsi="Arial"/>
                <w:sz w:val="20"/>
                <w:szCs w:val="20"/>
                <w:color w:val="auto"/>
              </w:rPr>
              <w:t>compensation plans</w:t>
            </w:r>
          </w:p>
        </w:tc>
        <w:tc>
          <w:tcPr>
            <w:tcW w:w="2200" w:type="dxa"/>
            <w:vAlign w:val="bottom"/>
          </w:tcPr>
          <w:p>
            <w:pPr>
              <w:jc w:val="center"/>
              <w:spacing w:after="0"/>
              <w:rPr>
                <w:sz w:val="20"/>
                <w:szCs w:val="20"/>
                <w:color w:val="auto"/>
              </w:rPr>
            </w:pPr>
            <w:r>
              <w:rPr>
                <w:rFonts w:ascii="Arial" w:cs="Arial" w:eastAsia="Arial" w:hAnsi="Arial"/>
                <w:sz w:val="20"/>
                <w:szCs w:val="20"/>
                <w:color w:val="auto"/>
                <w:w w:val="89"/>
              </w:rPr>
              <w:t>43-45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00" w:type="dxa"/>
            <w:vAlign w:val="bottom"/>
          </w:tcPr>
          <w:p>
            <w:pPr>
              <w:spacing w:after="0"/>
              <w:rPr>
                <w:sz w:val="20"/>
                <w:szCs w:val="20"/>
                <w:color w:val="auto"/>
              </w:rPr>
            </w:pPr>
          </w:p>
        </w:tc>
        <w:tc>
          <w:tcPr>
            <w:tcW w:w="220" w:type="dxa"/>
            <w:vAlign w:val="bottom"/>
            <w:gridSpan w:val="2"/>
          </w:tcPr>
          <w:p>
            <w:pPr>
              <w:spacing w:after="0"/>
              <w:rPr>
                <w:sz w:val="20"/>
                <w:szCs w:val="20"/>
                <w:color w:val="auto"/>
              </w:rPr>
            </w:pPr>
            <w:r>
              <w:rPr>
                <w:rFonts w:ascii="Arial" w:cs="Arial" w:eastAsia="Arial" w:hAnsi="Arial"/>
                <w:sz w:val="20"/>
                <w:szCs w:val="20"/>
                <w:color w:val="auto"/>
              </w:rPr>
              <w:t>F.</w:t>
            </w:r>
          </w:p>
        </w:tc>
        <w:tc>
          <w:tcPr>
            <w:tcW w:w="7900" w:type="dxa"/>
            <w:vAlign w:val="bottom"/>
            <w:gridSpan w:val="22"/>
          </w:tcPr>
          <w:p>
            <w:pPr>
              <w:ind w:left="160"/>
              <w:spacing w:after="0"/>
              <w:rPr>
                <w:sz w:val="20"/>
                <w:szCs w:val="20"/>
                <w:color w:val="auto"/>
              </w:rPr>
            </w:pPr>
            <w:r>
              <w:rPr>
                <w:rFonts w:ascii="Arial" w:cs="Arial" w:eastAsia="Arial" w:hAnsi="Arial"/>
                <w:sz w:val="20"/>
                <w:szCs w:val="20"/>
                <w:color w:val="auto"/>
              </w:rPr>
              <w:t>Performance graph</w:t>
            </w:r>
          </w:p>
        </w:tc>
        <w:tc>
          <w:tcPr>
            <w:tcW w:w="2200" w:type="dxa"/>
            <w:vAlign w:val="bottom"/>
          </w:tcPr>
          <w:p>
            <w:pPr>
              <w:jc w:val="center"/>
              <w:spacing w:after="0"/>
              <w:rPr>
                <w:sz w:val="20"/>
                <w:szCs w:val="20"/>
                <w:color w:val="auto"/>
              </w:rPr>
            </w:pPr>
            <w:r>
              <w:rPr>
                <w:rFonts w:ascii="Arial" w:cs="Arial" w:eastAsia="Arial" w:hAnsi="Arial"/>
                <w:sz w:val="20"/>
                <w:szCs w:val="20"/>
                <w:color w:val="auto"/>
                <w:w w:val="89"/>
              </w:rPr>
              <w:t>44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00" w:type="dxa"/>
            <w:vAlign w:val="bottom"/>
          </w:tcPr>
          <w:p>
            <w:pPr>
              <w:spacing w:after="0"/>
              <w:rPr>
                <w:sz w:val="20"/>
                <w:szCs w:val="20"/>
                <w:color w:val="auto"/>
              </w:rPr>
            </w:pPr>
          </w:p>
        </w:tc>
        <w:tc>
          <w:tcPr>
            <w:tcW w:w="220" w:type="dxa"/>
            <w:vAlign w:val="bottom"/>
            <w:gridSpan w:val="2"/>
          </w:tcPr>
          <w:p>
            <w:pPr>
              <w:spacing w:after="0"/>
              <w:rPr>
                <w:sz w:val="20"/>
                <w:szCs w:val="20"/>
                <w:color w:val="auto"/>
              </w:rPr>
            </w:pPr>
            <w:r>
              <w:rPr>
                <w:rFonts w:ascii="Arial" w:cs="Arial" w:eastAsia="Arial" w:hAnsi="Arial"/>
                <w:sz w:val="20"/>
                <w:szCs w:val="20"/>
                <w:color w:val="auto"/>
                <w:w w:val="94"/>
              </w:rPr>
              <w:t>G.</w:t>
            </w:r>
          </w:p>
        </w:tc>
        <w:tc>
          <w:tcPr>
            <w:tcW w:w="7900" w:type="dxa"/>
            <w:vAlign w:val="bottom"/>
            <w:gridSpan w:val="22"/>
          </w:tcPr>
          <w:p>
            <w:pPr>
              <w:ind w:left="160"/>
              <w:spacing w:after="0"/>
              <w:rPr>
                <w:sz w:val="20"/>
                <w:szCs w:val="20"/>
                <w:color w:val="auto"/>
              </w:rPr>
            </w:pPr>
            <w:r>
              <w:rPr>
                <w:rFonts w:ascii="Arial" w:cs="Arial" w:eastAsia="Arial" w:hAnsi="Arial"/>
                <w:sz w:val="20"/>
                <w:szCs w:val="20"/>
                <w:color w:val="auto"/>
              </w:rPr>
              <w:t>Repurchases of common stock</w:t>
            </w:r>
          </w:p>
        </w:tc>
        <w:tc>
          <w:tcPr>
            <w:tcW w:w="2200" w:type="dxa"/>
            <w:vAlign w:val="bottom"/>
          </w:tcPr>
          <w:p>
            <w:pPr>
              <w:jc w:val="center"/>
              <w:spacing w:after="0"/>
              <w:rPr>
                <w:sz w:val="20"/>
                <w:szCs w:val="20"/>
                <w:color w:val="auto"/>
              </w:rPr>
            </w:pPr>
            <w:r>
              <w:rPr>
                <w:rFonts w:ascii="Arial" w:cs="Arial" w:eastAsia="Arial" w:hAnsi="Arial"/>
                <w:sz w:val="20"/>
                <w:szCs w:val="20"/>
                <w:color w:val="auto"/>
                <w:w w:val="89"/>
              </w:rPr>
              <w:t>45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100" w:type="dxa"/>
            <w:vAlign w:val="bottom"/>
          </w:tcPr>
          <w:p>
            <w:pPr>
              <w:spacing w:after="0" w:line="210" w:lineRule="exact"/>
              <w:rPr>
                <w:sz w:val="20"/>
                <w:szCs w:val="20"/>
                <w:color w:val="auto"/>
              </w:rPr>
            </w:pPr>
            <w:r>
              <w:rPr>
                <w:rFonts w:ascii="Arial" w:cs="Arial" w:eastAsia="Arial" w:hAnsi="Arial"/>
                <w:sz w:val="20"/>
                <w:szCs w:val="20"/>
                <w:color w:val="auto"/>
              </w:rPr>
              <w:t>Item 6.</w:t>
            </w:r>
          </w:p>
        </w:tc>
        <w:tc>
          <w:tcPr>
            <w:tcW w:w="8120" w:type="dxa"/>
            <w:vAlign w:val="bottom"/>
            <w:gridSpan w:val="24"/>
          </w:tcPr>
          <w:p>
            <w:pPr>
              <w:spacing w:after="0" w:line="210" w:lineRule="exact"/>
              <w:rPr>
                <w:rFonts w:ascii="Arial" w:cs="Arial" w:eastAsia="Arial" w:hAnsi="Arial"/>
                <w:sz w:val="20"/>
                <w:szCs w:val="20"/>
                <w:color w:val="0000EE"/>
              </w:rPr>
            </w:pPr>
            <w:hyperlink w:anchor="page45">
              <w:r>
                <w:rPr>
                  <w:rFonts w:ascii="Arial" w:cs="Arial" w:eastAsia="Arial" w:hAnsi="Arial"/>
                  <w:sz w:val="20"/>
                  <w:szCs w:val="20"/>
                  <w:color w:val="0000EE"/>
                </w:rPr>
                <w:t>Selected Financial Data</w:t>
              </w:r>
            </w:hyperlink>
          </w:p>
        </w:tc>
        <w:tc>
          <w:tcPr>
            <w:tcW w:w="2200" w:type="dxa"/>
            <w:vAlign w:val="bottom"/>
          </w:tcPr>
          <w:p>
            <w:pPr>
              <w:jc w:val="center"/>
              <w:spacing w:after="0" w:line="210" w:lineRule="exact"/>
              <w:rPr>
                <w:sz w:val="20"/>
                <w:szCs w:val="20"/>
                <w:color w:val="auto"/>
              </w:rPr>
            </w:pPr>
            <w:r>
              <w:rPr>
                <w:rFonts w:ascii="Arial" w:cs="Arial" w:eastAsia="Arial" w:hAnsi="Arial"/>
                <w:sz w:val="20"/>
                <w:szCs w:val="20"/>
                <w:color w:val="auto"/>
                <w:w w:val="89"/>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1100" w:type="dxa"/>
            <w:vAlign w:val="bottom"/>
          </w:tcPr>
          <w:p>
            <w:pPr>
              <w:spacing w:after="0"/>
              <w:rPr>
                <w:sz w:val="21"/>
                <w:szCs w:val="21"/>
                <w:color w:val="auto"/>
              </w:rPr>
            </w:pPr>
          </w:p>
        </w:tc>
        <w:tc>
          <w:tcPr>
            <w:tcW w:w="220" w:type="dxa"/>
            <w:vAlign w:val="bottom"/>
            <w:gridSpan w:val="2"/>
          </w:tcPr>
          <w:p>
            <w:pPr>
              <w:spacing w:after="0"/>
              <w:rPr>
                <w:sz w:val="20"/>
                <w:szCs w:val="20"/>
                <w:color w:val="auto"/>
              </w:rPr>
            </w:pPr>
            <w:r>
              <w:rPr>
                <w:rFonts w:ascii="Arial" w:cs="Arial" w:eastAsia="Arial" w:hAnsi="Arial"/>
                <w:sz w:val="20"/>
                <w:szCs w:val="20"/>
                <w:color w:val="auto"/>
              </w:rPr>
              <w:t>A.</w:t>
            </w:r>
          </w:p>
        </w:tc>
        <w:tc>
          <w:tcPr>
            <w:tcW w:w="7900" w:type="dxa"/>
            <w:vAlign w:val="bottom"/>
            <w:gridSpan w:val="22"/>
          </w:tcPr>
          <w:p>
            <w:pPr>
              <w:ind w:left="160"/>
              <w:spacing w:after="0"/>
              <w:rPr>
                <w:sz w:val="20"/>
                <w:szCs w:val="20"/>
                <w:color w:val="auto"/>
              </w:rPr>
            </w:pPr>
            <w:r>
              <w:rPr>
                <w:rFonts w:ascii="Arial" w:cs="Arial" w:eastAsia="Arial" w:hAnsi="Arial"/>
                <w:sz w:val="20"/>
                <w:szCs w:val="20"/>
                <w:color w:val="auto"/>
              </w:rPr>
              <w:t>Selected consolidated year-end balances</w:t>
            </w:r>
          </w:p>
        </w:tc>
        <w:tc>
          <w:tcPr>
            <w:tcW w:w="2200" w:type="dxa"/>
            <w:vAlign w:val="bottom"/>
          </w:tcPr>
          <w:p>
            <w:pPr>
              <w:jc w:val="center"/>
              <w:spacing w:after="0"/>
              <w:rPr>
                <w:sz w:val="20"/>
                <w:szCs w:val="20"/>
                <w:color w:val="auto"/>
              </w:rPr>
            </w:pPr>
            <w:r>
              <w:rPr>
                <w:rFonts w:ascii="Arial" w:cs="Arial" w:eastAsia="Arial" w:hAnsi="Arial"/>
                <w:sz w:val="20"/>
                <w:szCs w:val="20"/>
                <w:color w:val="auto"/>
                <w:w w:val="89"/>
              </w:rPr>
              <w:t>24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100" w:type="dxa"/>
            <w:vAlign w:val="bottom"/>
          </w:tcPr>
          <w:p>
            <w:pPr>
              <w:spacing w:after="0"/>
              <w:rPr>
                <w:sz w:val="20"/>
                <w:szCs w:val="20"/>
                <w:color w:val="auto"/>
              </w:rPr>
            </w:pPr>
          </w:p>
        </w:tc>
        <w:tc>
          <w:tcPr>
            <w:tcW w:w="220" w:type="dxa"/>
            <w:vAlign w:val="bottom"/>
            <w:gridSpan w:val="2"/>
          </w:tcPr>
          <w:p>
            <w:pPr>
              <w:spacing w:after="0"/>
              <w:rPr>
                <w:sz w:val="20"/>
                <w:szCs w:val="20"/>
                <w:color w:val="auto"/>
              </w:rPr>
            </w:pPr>
            <w:r>
              <w:rPr>
                <w:rFonts w:ascii="Arial" w:cs="Arial" w:eastAsia="Arial" w:hAnsi="Arial"/>
                <w:sz w:val="20"/>
                <w:szCs w:val="20"/>
                <w:color w:val="auto"/>
              </w:rPr>
              <w:t>B.</w:t>
            </w:r>
          </w:p>
        </w:tc>
        <w:tc>
          <w:tcPr>
            <w:tcW w:w="7900" w:type="dxa"/>
            <w:vAlign w:val="bottom"/>
            <w:gridSpan w:val="22"/>
          </w:tcPr>
          <w:p>
            <w:pPr>
              <w:ind w:left="160"/>
              <w:spacing w:after="0"/>
              <w:rPr>
                <w:sz w:val="20"/>
                <w:szCs w:val="20"/>
                <w:color w:val="auto"/>
              </w:rPr>
            </w:pPr>
            <w:r>
              <w:rPr>
                <w:rFonts w:ascii="Arial" w:cs="Arial" w:eastAsia="Arial" w:hAnsi="Arial"/>
                <w:sz w:val="20"/>
                <w:szCs w:val="20"/>
                <w:color w:val="auto"/>
              </w:rPr>
              <w:t>Consolidated earnings, etc.</w:t>
            </w:r>
          </w:p>
        </w:tc>
        <w:tc>
          <w:tcPr>
            <w:tcW w:w="2200" w:type="dxa"/>
            <w:vAlign w:val="bottom"/>
          </w:tcPr>
          <w:p>
            <w:pPr>
              <w:jc w:val="center"/>
              <w:spacing w:after="0"/>
              <w:rPr>
                <w:sz w:val="20"/>
                <w:szCs w:val="20"/>
                <w:color w:val="auto"/>
              </w:rPr>
            </w:pPr>
            <w:r>
              <w:rPr>
                <w:rFonts w:ascii="Arial" w:cs="Arial" w:eastAsia="Arial" w:hAnsi="Arial"/>
                <w:sz w:val="20"/>
                <w:szCs w:val="20"/>
                <w:color w:val="auto"/>
                <w:w w:val="89"/>
              </w:rPr>
              <w:t>25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100" w:type="dxa"/>
            <w:vAlign w:val="bottom"/>
          </w:tcPr>
          <w:p>
            <w:pPr>
              <w:spacing w:after="0" w:line="210" w:lineRule="exact"/>
              <w:rPr>
                <w:sz w:val="20"/>
                <w:szCs w:val="20"/>
                <w:color w:val="auto"/>
              </w:rPr>
            </w:pPr>
            <w:r>
              <w:rPr>
                <w:rFonts w:ascii="Arial" w:cs="Arial" w:eastAsia="Arial" w:hAnsi="Arial"/>
                <w:sz w:val="20"/>
                <w:szCs w:val="20"/>
                <w:color w:val="auto"/>
              </w:rPr>
              <w:t>Item 7.</w:t>
            </w:r>
          </w:p>
        </w:tc>
        <w:tc>
          <w:tcPr>
            <w:tcW w:w="5100" w:type="dxa"/>
            <w:vAlign w:val="bottom"/>
            <w:tcBorders>
              <w:bottom w:val="single" w:sz="8" w:color="0000EE"/>
            </w:tcBorders>
            <w:gridSpan w:val="20"/>
          </w:tcPr>
          <w:p>
            <w:pPr>
              <w:spacing w:after="0" w:line="210" w:lineRule="exact"/>
              <w:rPr>
                <w:rFonts w:ascii="Arial" w:cs="Arial" w:eastAsia="Arial" w:hAnsi="Arial"/>
                <w:sz w:val="20"/>
                <w:szCs w:val="20"/>
                <w:color w:val="0000EE"/>
                <w:w w:val="92"/>
              </w:rPr>
            </w:pPr>
            <w:hyperlink w:anchor="page45">
              <w:r>
                <w:rPr>
                  <w:rFonts w:ascii="Arial" w:cs="Arial" w:eastAsia="Arial" w:hAnsi="Arial"/>
                  <w:sz w:val="20"/>
                  <w:szCs w:val="20"/>
                  <w:color w:val="0000EE"/>
                  <w:w w:val="92"/>
                </w:rPr>
                <w:t>Management’s Discussion and Analysis of Financial Condition</w:t>
              </w:r>
            </w:hyperlink>
          </w:p>
        </w:tc>
        <w:tc>
          <w:tcPr>
            <w:tcW w:w="3020" w:type="dxa"/>
            <w:vAlign w:val="bottom"/>
            <w:gridSpan w:val="4"/>
          </w:tcPr>
          <w:p>
            <w:pPr>
              <w:spacing w:after="0"/>
              <w:rPr>
                <w:sz w:val="18"/>
                <w:szCs w:val="18"/>
                <w:color w:val="auto"/>
              </w:rPr>
            </w:pPr>
          </w:p>
        </w:tc>
        <w:tc>
          <w:tcPr>
            <w:tcW w:w="2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900" w:type="dxa"/>
            <w:vAlign w:val="bottom"/>
            <w:gridSpan w:val="22"/>
          </w:tcPr>
          <w:p>
            <w:pPr>
              <w:spacing w:after="0" w:line="216" w:lineRule="exact"/>
              <w:rPr>
                <w:rFonts w:ascii="Arial" w:cs="Arial" w:eastAsia="Arial" w:hAnsi="Arial"/>
                <w:sz w:val="20"/>
                <w:szCs w:val="20"/>
                <w:color w:val="0000EE"/>
              </w:rPr>
            </w:pPr>
            <w:hyperlink w:anchor="page45">
              <w:r>
                <w:rPr>
                  <w:rFonts w:ascii="Arial" w:cs="Arial" w:eastAsia="Arial" w:hAnsi="Arial"/>
                  <w:sz w:val="20"/>
                  <w:szCs w:val="20"/>
                  <w:color w:val="0000EE"/>
                </w:rPr>
                <w:t>and Results of Operations</w:t>
              </w:r>
            </w:hyperlink>
          </w:p>
        </w:tc>
        <w:tc>
          <w:tcPr>
            <w:tcW w:w="2200" w:type="dxa"/>
            <w:vAlign w:val="bottom"/>
          </w:tcPr>
          <w:p>
            <w:pPr>
              <w:jc w:val="center"/>
              <w:spacing w:after="0" w:line="216" w:lineRule="exact"/>
              <w:rPr>
                <w:sz w:val="20"/>
                <w:szCs w:val="20"/>
                <w:color w:val="auto"/>
              </w:rPr>
            </w:pPr>
            <w:r>
              <w:rPr>
                <w:rFonts w:ascii="Arial" w:cs="Arial" w:eastAsia="Arial" w:hAnsi="Arial"/>
                <w:sz w:val="20"/>
                <w:szCs w:val="20"/>
                <w:color w:val="auto"/>
                <w:w w:val="93"/>
              </w:rPr>
              <w:t>45-104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100" w:type="dxa"/>
            <w:vAlign w:val="bottom"/>
          </w:tcPr>
          <w:p>
            <w:pPr>
              <w:spacing w:after="0" w:line="216" w:lineRule="exact"/>
              <w:rPr>
                <w:sz w:val="20"/>
                <w:szCs w:val="20"/>
                <w:color w:val="auto"/>
              </w:rPr>
            </w:pPr>
            <w:r>
              <w:rPr>
                <w:rFonts w:ascii="Arial" w:cs="Arial" w:eastAsia="Arial" w:hAnsi="Arial"/>
                <w:sz w:val="20"/>
                <w:szCs w:val="20"/>
                <w:color w:val="auto"/>
              </w:rPr>
              <w:t>Item 7A.</w:t>
            </w:r>
          </w:p>
        </w:tc>
        <w:tc>
          <w:tcPr>
            <w:tcW w:w="8120" w:type="dxa"/>
            <w:vAlign w:val="bottom"/>
            <w:gridSpan w:val="24"/>
          </w:tcPr>
          <w:p>
            <w:pPr>
              <w:spacing w:after="0" w:line="216" w:lineRule="exact"/>
              <w:rPr>
                <w:rFonts w:ascii="Arial" w:cs="Arial" w:eastAsia="Arial" w:hAnsi="Arial"/>
                <w:sz w:val="20"/>
                <w:szCs w:val="20"/>
                <w:color w:val="0000EE"/>
              </w:rPr>
            </w:pPr>
            <w:hyperlink w:anchor="page105">
              <w:r>
                <w:rPr>
                  <w:rFonts w:ascii="Arial" w:cs="Arial" w:eastAsia="Arial" w:hAnsi="Arial"/>
                  <w:sz w:val="20"/>
                  <w:szCs w:val="20"/>
                  <w:color w:val="0000EE"/>
                </w:rPr>
                <w:t>Quantitative and Qualitative Disclosures About Market Risk</w:t>
              </w:r>
            </w:hyperlink>
          </w:p>
        </w:tc>
        <w:tc>
          <w:tcPr>
            <w:tcW w:w="2200" w:type="dxa"/>
            <w:vAlign w:val="bottom"/>
          </w:tcPr>
          <w:p>
            <w:pPr>
              <w:jc w:val="center"/>
              <w:spacing w:after="0" w:line="216" w:lineRule="exact"/>
              <w:rPr>
                <w:sz w:val="20"/>
                <w:szCs w:val="20"/>
                <w:color w:val="auto"/>
              </w:rPr>
            </w:pPr>
            <w:r>
              <w:rPr>
                <w:rFonts w:ascii="Arial" w:cs="Arial" w:eastAsia="Arial" w:hAnsi="Arial"/>
                <w:sz w:val="20"/>
                <w:szCs w:val="20"/>
                <w:color w:val="auto"/>
                <w:w w:val="89"/>
              </w:rPr>
              <w:t>105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00" w:type="dxa"/>
            <w:vAlign w:val="bottom"/>
          </w:tcPr>
          <w:p>
            <w:pPr>
              <w:spacing w:after="0" w:line="216" w:lineRule="exact"/>
              <w:rPr>
                <w:sz w:val="20"/>
                <w:szCs w:val="20"/>
                <w:color w:val="auto"/>
              </w:rPr>
            </w:pPr>
            <w:r>
              <w:rPr>
                <w:rFonts w:ascii="Arial" w:cs="Arial" w:eastAsia="Arial" w:hAnsi="Arial"/>
                <w:sz w:val="20"/>
                <w:szCs w:val="20"/>
                <w:color w:val="auto"/>
              </w:rPr>
              <w:t>Item 8.</w:t>
            </w:r>
          </w:p>
        </w:tc>
        <w:tc>
          <w:tcPr>
            <w:tcW w:w="3740" w:type="dxa"/>
            <w:vAlign w:val="bottom"/>
            <w:tcBorders>
              <w:top w:val="single" w:sz="8" w:color="0000EE"/>
              <w:bottom w:val="single" w:sz="8" w:color="0000EE"/>
            </w:tcBorders>
            <w:gridSpan w:val="13"/>
          </w:tcPr>
          <w:p>
            <w:pPr>
              <w:spacing w:after="0" w:line="216" w:lineRule="exact"/>
              <w:rPr>
                <w:rFonts w:ascii="Arial" w:cs="Arial" w:eastAsia="Arial" w:hAnsi="Arial"/>
                <w:sz w:val="20"/>
                <w:szCs w:val="20"/>
                <w:color w:val="0000EE"/>
                <w:w w:val="89"/>
              </w:rPr>
            </w:pPr>
            <w:hyperlink w:anchor="page105">
              <w:r>
                <w:rPr>
                  <w:rFonts w:ascii="Arial" w:cs="Arial" w:eastAsia="Arial" w:hAnsi="Arial"/>
                  <w:sz w:val="20"/>
                  <w:szCs w:val="20"/>
                  <w:color w:val="0000EE"/>
                  <w:w w:val="89"/>
                </w:rPr>
                <w:t>Financial Statements and Supplementary Data</w:t>
              </w:r>
            </w:hyperlink>
          </w:p>
        </w:tc>
        <w:tc>
          <w:tcPr>
            <w:tcW w:w="1140" w:type="dxa"/>
            <w:vAlign w:val="bottom"/>
            <w:tcBorders>
              <w:top w:val="single" w:sz="8" w:color="0000EE"/>
            </w:tcBorders>
            <w:gridSpan w:val="4"/>
          </w:tcPr>
          <w:p>
            <w:pPr>
              <w:spacing w:after="0"/>
              <w:rPr>
                <w:sz w:val="18"/>
                <w:szCs w:val="18"/>
                <w:color w:val="auto"/>
              </w:rPr>
            </w:pPr>
          </w:p>
        </w:tc>
        <w:tc>
          <w:tcPr>
            <w:tcW w:w="3240" w:type="dxa"/>
            <w:vAlign w:val="bottom"/>
            <w:gridSpan w:val="7"/>
          </w:tcPr>
          <w:p>
            <w:pPr>
              <w:spacing w:after="0"/>
              <w:rPr>
                <w:sz w:val="18"/>
                <w:szCs w:val="18"/>
                <w:color w:val="auto"/>
              </w:rPr>
            </w:pPr>
          </w:p>
        </w:tc>
        <w:tc>
          <w:tcPr>
            <w:tcW w:w="2200" w:type="dxa"/>
            <w:vAlign w:val="bottom"/>
          </w:tcPr>
          <w:p>
            <w:pPr>
              <w:jc w:val="center"/>
              <w:spacing w:after="0" w:line="216" w:lineRule="exact"/>
              <w:rPr>
                <w:sz w:val="20"/>
                <w:szCs w:val="20"/>
                <w:color w:val="auto"/>
              </w:rPr>
            </w:pPr>
            <w:r>
              <w:rPr>
                <w:rFonts w:ascii="Arial" w:cs="Arial" w:eastAsia="Arial" w:hAnsi="Arial"/>
                <w:sz w:val="20"/>
                <w:szCs w:val="20"/>
                <w:color w:val="auto"/>
                <w:w w:val="89"/>
              </w:rPr>
              <w:t>105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1100" w:type="dxa"/>
            <w:vAlign w:val="bottom"/>
          </w:tcPr>
          <w:p>
            <w:pPr>
              <w:spacing w:after="0"/>
              <w:rPr>
                <w:sz w:val="21"/>
                <w:szCs w:val="21"/>
                <w:color w:val="auto"/>
              </w:rPr>
            </w:pPr>
          </w:p>
        </w:tc>
        <w:tc>
          <w:tcPr>
            <w:tcW w:w="220" w:type="dxa"/>
            <w:vAlign w:val="bottom"/>
            <w:gridSpan w:val="2"/>
          </w:tcPr>
          <w:p>
            <w:pPr>
              <w:spacing w:after="0"/>
              <w:rPr>
                <w:sz w:val="20"/>
                <w:szCs w:val="20"/>
                <w:color w:val="auto"/>
              </w:rPr>
            </w:pPr>
            <w:r>
              <w:rPr>
                <w:rFonts w:ascii="Arial" w:cs="Arial" w:eastAsia="Arial" w:hAnsi="Arial"/>
                <w:sz w:val="20"/>
                <w:szCs w:val="20"/>
                <w:color w:val="auto"/>
              </w:rPr>
              <w:t>A.</w:t>
            </w:r>
          </w:p>
        </w:tc>
        <w:tc>
          <w:tcPr>
            <w:tcW w:w="7900" w:type="dxa"/>
            <w:vAlign w:val="bottom"/>
            <w:gridSpan w:val="22"/>
          </w:tcPr>
          <w:p>
            <w:pPr>
              <w:ind w:left="160"/>
              <w:spacing w:after="0"/>
              <w:rPr>
                <w:sz w:val="20"/>
                <w:szCs w:val="20"/>
                <w:color w:val="auto"/>
              </w:rPr>
            </w:pPr>
            <w:r>
              <w:rPr>
                <w:rFonts w:ascii="Arial" w:cs="Arial" w:eastAsia="Arial" w:hAnsi="Arial"/>
                <w:sz w:val="20"/>
                <w:szCs w:val="20"/>
                <w:color w:val="auto"/>
              </w:rPr>
              <w:t>Report on Internal Control Over Financial Reporting</w:t>
            </w:r>
          </w:p>
        </w:tc>
        <w:tc>
          <w:tcPr>
            <w:tcW w:w="2200" w:type="dxa"/>
            <w:vAlign w:val="bottom"/>
          </w:tcPr>
          <w:p>
            <w:pPr>
              <w:jc w:val="center"/>
              <w:spacing w:after="0"/>
              <w:rPr>
                <w:sz w:val="20"/>
                <w:szCs w:val="20"/>
                <w:color w:val="auto"/>
              </w:rPr>
            </w:pPr>
            <w:r>
              <w:rPr>
                <w:rFonts w:ascii="Arial" w:cs="Arial" w:eastAsia="Arial" w:hAnsi="Arial"/>
                <w:sz w:val="20"/>
                <w:szCs w:val="20"/>
                <w:color w:val="auto"/>
                <w:w w:val="89"/>
              </w:rPr>
              <w:t>106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100" w:type="dxa"/>
            <w:vAlign w:val="bottom"/>
          </w:tcPr>
          <w:p>
            <w:pPr>
              <w:spacing w:after="0"/>
              <w:rPr>
                <w:sz w:val="20"/>
                <w:szCs w:val="20"/>
                <w:color w:val="auto"/>
              </w:rPr>
            </w:pPr>
          </w:p>
        </w:tc>
        <w:tc>
          <w:tcPr>
            <w:tcW w:w="220" w:type="dxa"/>
            <w:vAlign w:val="bottom"/>
            <w:gridSpan w:val="2"/>
          </w:tcPr>
          <w:p>
            <w:pPr>
              <w:spacing w:after="0"/>
              <w:rPr>
                <w:sz w:val="20"/>
                <w:szCs w:val="20"/>
                <w:color w:val="auto"/>
              </w:rPr>
            </w:pPr>
            <w:r>
              <w:rPr>
                <w:rFonts w:ascii="Arial" w:cs="Arial" w:eastAsia="Arial" w:hAnsi="Arial"/>
                <w:sz w:val="20"/>
                <w:szCs w:val="20"/>
                <w:color w:val="auto"/>
              </w:rPr>
              <w:t>B.</w:t>
            </w:r>
          </w:p>
        </w:tc>
        <w:tc>
          <w:tcPr>
            <w:tcW w:w="7900" w:type="dxa"/>
            <w:vAlign w:val="bottom"/>
            <w:gridSpan w:val="22"/>
          </w:tcPr>
          <w:p>
            <w:pPr>
              <w:ind w:left="160"/>
              <w:spacing w:after="0"/>
              <w:rPr>
                <w:sz w:val="20"/>
                <w:szCs w:val="20"/>
                <w:color w:val="auto"/>
              </w:rPr>
            </w:pPr>
            <w:r>
              <w:rPr>
                <w:rFonts w:ascii="Arial" w:cs="Arial" w:eastAsia="Arial" w:hAnsi="Arial"/>
                <w:sz w:val="20"/>
                <w:szCs w:val="20"/>
                <w:color w:val="auto"/>
              </w:rPr>
              <w:t>Report of Independent Registered Public Accounting Firm</w:t>
            </w:r>
          </w:p>
        </w:tc>
        <w:tc>
          <w:tcPr>
            <w:tcW w:w="2200" w:type="dxa"/>
            <w:vAlign w:val="bottom"/>
          </w:tcPr>
          <w:p>
            <w:pPr>
              <w:jc w:val="center"/>
              <w:spacing w:after="0"/>
              <w:rPr>
                <w:sz w:val="20"/>
                <w:szCs w:val="20"/>
                <w:color w:val="auto"/>
              </w:rPr>
            </w:pPr>
            <w:r>
              <w:rPr>
                <w:rFonts w:ascii="Arial" w:cs="Arial" w:eastAsia="Arial" w:hAnsi="Arial"/>
                <w:sz w:val="20"/>
                <w:szCs w:val="20"/>
                <w:color w:val="auto"/>
                <w:w w:val="89"/>
              </w:rPr>
              <w:t>107-108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00" w:type="dxa"/>
            <w:vAlign w:val="bottom"/>
          </w:tcPr>
          <w:p>
            <w:pPr>
              <w:spacing w:after="0"/>
              <w:rPr>
                <w:sz w:val="20"/>
                <w:szCs w:val="20"/>
                <w:color w:val="auto"/>
              </w:rPr>
            </w:pPr>
          </w:p>
        </w:tc>
        <w:tc>
          <w:tcPr>
            <w:tcW w:w="220" w:type="dxa"/>
            <w:vAlign w:val="bottom"/>
            <w:gridSpan w:val="2"/>
          </w:tcPr>
          <w:p>
            <w:pPr>
              <w:spacing w:after="0"/>
              <w:rPr>
                <w:sz w:val="20"/>
                <w:szCs w:val="20"/>
                <w:color w:val="auto"/>
              </w:rPr>
            </w:pPr>
            <w:r>
              <w:rPr>
                <w:rFonts w:ascii="Arial" w:cs="Arial" w:eastAsia="Arial" w:hAnsi="Arial"/>
                <w:sz w:val="20"/>
                <w:szCs w:val="20"/>
                <w:color w:val="auto"/>
                <w:w w:val="99"/>
              </w:rPr>
              <w:t>C.</w:t>
            </w:r>
          </w:p>
        </w:tc>
        <w:tc>
          <w:tcPr>
            <w:tcW w:w="7900" w:type="dxa"/>
            <w:vAlign w:val="bottom"/>
            <w:gridSpan w:val="22"/>
          </w:tcPr>
          <w:p>
            <w:pPr>
              <w:ind w:left="160"/>
              <w:spacing w:after="0"/>
              <w:rPr>
                <w:sz w:val="20"/>
                <w:szCs w:val="20"/>
                <w:color w:val="auto"/>
              </w:rPr>
            </w:pPr>
            <w:r>
              <w:rPr>
                <w:rFonts w:ascii="Arial" w:cs="Arial" w:eastAsia="Arial" w:hAnsi="Arial"/>
                <w:sz w:val="20"/>
                <w:szCs w:val="20"/>
                <w:color w:val="auto"/>
              </w:rPr>
              <w:t>Consolidated Balance Sheet — December 31, 2017 and 2016</w:t>
            </w:r>
          </w:p>
        </w:tc>
        <w:tc>
          <w:tcPr>
            <w:tcW w:w="2200" w:type="dxa"/>
            <w:vAlign w:val="bottom"/>
          </w:tcPr>
          <w:p>
            <w:pPr>
              <w:jc w:val="center"/>
              <w:spacing w:after="0"/>
              <w:rPr>
                <w:sz w:val="20"/>
                <w:szCs w:val="20"/>
                <w:color w:val="auto"/>
              </w:rPr>
            </w:pPr>
            <w:r>
              <w:rPr>
                <w:rFonts w:ascii="Arial" w:cs="Arial" w:eastAsia="Arial" w:hAnsi="Arial"/>
                <w:sz w:val="20"/>
                <w:szCs w:val="20"/>
                <w:color w:val="auto"/>
                <w:w w:val="89"/>
              </w:rPr>
              <w:t>109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00" w:type="dxa"/>
            <w:vAlign w:val="bottom"/>
          </w:tcPr>
          <w:p>
            <w:pPr>
              <w:spacing w:after="0"/>
              <w:rPr>
                <w:sz w:val="20"/>
                <w:szCs w:val="20"/>
                <w:color w:val="auto"/>
              </w:rPr>
            </w:pPr>
          </w:p>
        </w:tc>
        <w:tc>
          <w:tcPr>
            <w:tcW w:w="220" w:type="dxa"/>
            <w:vAlign w:val="bottom"/>
            <w:gridSpan w:val="2"/>
          </w:tcPr>
          <w:p>
            <w:pPr>
              <w:spacing w:after="0"/>
              <w:rPr>
                <w:sz w:val="20"/>
                <w:szCs w:val="20"/>
                <w:color w:val="auto"/>
              </w:rPr>
            </w:pPr>
            <w:r>
              <w:rPr>
                <w:rFonts w:ascii="Arial" w:cs="Arial" w:eastAsia="Arial" w:hAnsi="Arial"/>
                <w:sz w:val="20"/>
                <w:szCs w:val="20"/>
                <w:color w:val="auto"/>
                <w:w w:val="99"/>
              </w:rPr>
              <w:t>D.</w:t>
            </w:r>
          </w:p>
        </w:tc>
        <w:tc>
          <w:tcPr>
            <w:tcW w:w="7900" w:type="dxa"/>
            <w:vAlign w:val="bottom"/>
            <w:gridSpan w:val="22"/>
          </w:tcPr>
          <w:p>
            <w:pPr>
              <w:ind w:left="160"/>
              <w:spacing w:after="0"/>
              <w:rPr>
                <w:sz w:val="20"/>
                <w:szCs w:val="20"/>
                <w:color w:val="auto"/>
              </w:rPr>
            </w:pPr>
            <w:r>
              <w:rPr>
                <w:rFonts w:ascii="Arial" w:cs="Arial" w:eastAsia="Arial" w:hAnsi="Arial"/>
                <w:sz w:val="20"/>
                <w:szCs w:val="20"/>
                <w:color w:val="auto"/>
                <w:w w:val="99"/>
              </w:rPr>
              <w:t>Consolidated Statement of Income — Years ended December 31, 2017, 2016 and 2015</w:t>
            </w:r>
          </w:p>
        </w:tc>
        <w:tc>
          <w:tcPr>
            <w:tcW w:w="2200" w:type="dxa"/>
            <w:vAlign w:val="bottom"/>
          </w:tcPr>
          <w:p>
            <w:pPr>
              <w:jc w:val="center"/>
              <w:spacing w:after="0"/>
              <w:rPr>
                <w:sz w:val="20"/>
                <w:szCs w:val="20"/>
                <w:color w:val="auto"/>
              </w:rPr>
            </w:pPr>
            <w:r>
              <w:rPr>
                <w:rFonts w:ascii="Arial" w:cs="Arial" w:eastAsia="Arial" w:hAnsi="Arial"/>
                <w:sz w:val="20"/>
                <w:szCs w:val="20"/>
                <w:color w:val="auto"/>
                <w:w w:val="89"/>
              </w:rPr>
              <w:t>110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00" w:type="dxa"/>
            <w:vAlign w:val="bottom"/>
          </w:tcPr>
          <w:p>
            <w:pPr>
              <w:spacing w:after="0"/>
              <w:rPr>
                <w:sz w:val="20"/>
                <w:szCs w:val="20"/>
                <w:color w:val="auto"/>
              </w:rPr>
            </w:pPr>
          </w:p>
        </w:tc>
        <w:tc>
          <w:tcPr>
            <w:tcW w:w="220" w:type="dxa"/>
            <w:vAlign w:val="bottom"/>
            <w:gridSpan w:val="2"/>
          </w:tcPr>
          <w:p>
            <w:pPr>
              <w:spacing w:after="0"/>
              <w:rPr>
                <w:sz w:val="20"/>
                <w:szCs w:val="20"/>
                <w:color w:val="auto"/>
              </w:rPr>
            </w:pPr>
            <w:r>
              <w:rPr>
                <w:rFonts w:ascii="Arial" w:cs="Arial" w:eastAsia="Arial" w:hAnsi="Arial"/>
                <w:sz w:val="20"/>
                <w:szCs w:val="20"/>
                <w:color w:val="auto"/>
              </w:rPr>
              <w:t>E.</w:t>
            </w:r>
          </w:p>
        </w:tc>
        <w:tc>
          <w:tcPr>
            <w:tcW w:w="7900" w:type="dxa"/>
            <w:vAlign w:val="bottom"/>
            <w:gridSpan w:val="22"/>
          </w:tcPr>
          <w:p>
            <w:pPr>
              <w:ind w:left="160"/>
              <w:spacing w:after="0"/>
              <w:rPr>
                <w:sz w:val="20"/>
                <w:szCs w:val="20"/>
                <w:color w:val="auto"/>
              </w:rPr>
            </w:pPr>
            <w:r>
              <w:rPr>
                <w:rFonts w:ascii="Arial" w:cs="Arial" w:eastAsia="Arial" w:hAnsi="Arial"/>
                <w:sz w:val="20"/>
                <w:szCs w:val="20"/>
                <w:color w:val="auto"/>
              </w:rPr>
              <w:t>Consolidated Statement of Comprehensive Income — Years</w:t>
            </w:r>
          </w:p>
        </w:tc>
        <w:tc>
          <w:tcPr>
            <w:tcW w:w="2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900" w:type="dxa"/>
            <w:vAlign w:val="bottom"/>
            <w:gridSpan w:val="22"/>
          </w:tcPr>
          <w:p>
            <w:pPr>
              <w:ind w:left="380"/>
              <w:spacing w:after="0"/>
              <w:rPr>
                <w:sz w:val="20"/>
                <w:szCs w:val="20"/>
                <w:color w:val="auto"/>
              </w:rPr>
            </w:pPr>
            <w:r>
              <w:rPr>
                <w:rFonts w:ascii="Arial" w:cs="Arial" w:eastAsia="Arial" w:hAnsi="Arial"/>
                <w:sz w:val="20"/>
                <w:szCs w:val="20"/>
                <w:color w:val="auto"/>
              </w:rPr>
              <w:t>ended December 31, 2017, 2016 and 2015</w:t>
            </w:r>
          </w:p>
        </w:tc>
        <w:tc>
          <w:tcPr>
            <w:tcW w:w="2200" w:type="dxa"/>
            <w:vAlign w:val="bottom"/>
          </w:tcPr>
          <w:p>
            <w:pPr>
              <w:jc w:val="center"/>
              <w:spacing w:after="0"/>
              <w:rPr>
                <w:sz w:val="20"/>
                <w:szCs w:val="20"/>
                <w:color w:val="auto"/>
              </w:rPr>
            </w:pPr>
            <w:r>
              <w:rPr>
                <w:rFonts w:ascii="Arial" w:cs="Arial" w:eastAsia="Arial" w:hAnsi="Arial"/>
                <w:sz w:val="20"/>
                <w:szCs w:val="20"/>
                <w:color w:val="auto"/>
                <w:w w:val="83"/>
              </w:rPr>
              <w:t>111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00" w:type="dxa"/>
            <w:vAlign w:val="bottom"/>
          </w:tcPr>
          <w:p>
            <w:pPr>
              <w:spacing w:after="0"/>
              <w:rPr>
                <w:sz w:val="20"/>
                <w:szCs w:val="20"/>
                <w:color w:val="auto"/>
              </w:rPr>
            </w:pPr>
          </w:p>
        </w:tc>
        <w:tc>
          <w:tcPr>
            <w:tcW w:w="220" w:type="dxa"/>
            <w:vAlign w:val="bottom"/>
            <w:gridSpan w:val="2"/>
          </w:tcPr>
          <w:p>
            <w:pPr>
              <w:spacing w:after="0"/>
              <w:rPr>
                <w:sz w:val="20"/>
                <w:szCs w:val="20"/>
                <w:color w:val="auto"/>
              </w:rPr>
            </w:pPr>
            <w:r>
              <w:rPr>
                <w:rFonts w:ascii="Arial" w:cs="Arial" w:eastAsia="Arial" w:hAnsi="Arial"/>
                <w:sz w:val="20"/>
                <w:szCs w:val="20"/>
                <w:color w:val="auto"/>
              </w:rPr>
              <w:t>F.</w:t>
            </w:r>
          </w:p>
        </w:tc>
        <w:tc>
          <w:tcPr>
            <w:tcW w:w="7900" w:type="dxa"/>
            <w:vAlign w:val="bottom"/>
            <w:gridSpan w:val="22"/>
          </w:tcPr>
          <w:p>
            <w:pPr>
              <w:ind w:left="160"/>
              <w:spacing w:after="0"/>
              <w:rPr>
                <w:sz w:val="20"/>
                <w:szCs w:val="20"/>
                <w:color w:val="auto"/>
              </w:rPr>
            </w:pPr>
            <w:r>
              <w:rPr>
                <w:rFonts w:ascii="Arial" w:cs="Arial" w:eastAsia="Arial" w:hAnsi="Arial"/>
                <w:sz w:val="20"/>
                <w:szCs w:val="20"/>
                <w:color w:val="auto"/>
                <w:w w:val="94"/>
              </w:rPr>
              <w:t>Consolidated Statement of Cash Flows — Years ended December 31, 2017, 2016 and 2015</w:t>
            </w:r>
          </w:p>
        </w:tc>
        <w:tc>
          <w:tcPr>
            <w:tcW w:w="2200" w:type="dxa"/>
            <w:vAlign w:val="bottom"/>
          </w:tcPr>
          <w:p>
            <w:pPr>
              <w:jc w:val="center"/>
              <w:spacing w:after="0"/>
              <w:rPr>
                <w:sz w:val="20"/>
                <w:szCs w:val="20"/>
                <w:color w:val="auto"/>
              </w:rPr>
            </w:pPr>
            <w:r>
              <w:rPr>
                <w:rFonts w:ascii="Arial" w:cs="Arial" w:eastAsia="Arial" w:hAnsi="Arial"/>
                <w:sz w:val="20"/>
                <w:szCs w:val="20"/>
                <w:color w:val="auto"/>
                <w:w w:val="89"/>
              </w:rPr>
              <w:t>112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00" w:type="dxa"/>
            <w:vAlign w:val="bottom"/>
          </w:tcPr>
          <w:p>
            <w:pPr>
              <w:spacing w:after="0"/>
              <w:rPr>
                <w:sz w:val="20"/>
                <w:szCs w:val="20"/>
                <w:color w:val="auto"/>
              </w:rPr>
            </w:pPr>
          </w:p>
        </w:tc>
        <w:tc>
          <w:tcPr>
            <w:tcW w:w="220" w:type="dxa"/>
            <w:vAlign w:val="bottom"/>
            <w:gridSpan w:val="2"/>
          </w:tcPr>
          <w:p>
            <w:pPr>
              <w:spacing w:after="0"/>
              <w:rPr>
                <w:sz w:val="20"/>
                <w:szCs w:val="20"/>
                <w:color w:val="auto"/>
              </w:rPr>
            </w:pPr>
            <w:r>
              <w:rPr>
                <w:rFonts w:ascii="Arial" w:cs="Arial" w:eastAsia="Arial" w:hAnsi="Arial"/>
                <w:sz w:val="20"/>
                <w:szCs w:val="20"/>
                <w:color w:val="auto"/>
                <w:w w:val="94"/>
              </w:rPr>
              <w:t>G.</w:t>
            </w:r>
          </w:p>
        </w:tc>
        <w:tc>
          <w:tcPr>
            <w:tcW w:w="7900" w:type="dxa"/>
            <w:vAlign w:val="bottom"/>
            <w:gridSpan w:val="22"/>
          </w:tcPr>
          <w:p>
            <w:pPr>
              <w:ind w:left="160"/>
              <w:spacing w:after="0"/>
              <w:rPr>
                <w:sz w:val="20"/>
                <w:szCs w:val="20"/>
                <w:color w:val="auto"/>
              </w:rPr>
            </w:pPr>
            <w:r>
              <w:rPr>
                <w:rFonts w:ascii="Arial" w:cs="Arial" w:eastAsia="Arial" w:hAnsi="Arial"/>
                <w:sz w:val="20"/>
                <w:szCs w:val="20"/>
                <w:color w:val="auto"/>
                <w:w w:val="95"/>
              </w:rPr>
              <w:t>Consolidated Statement of Changes in Shareholders’ Equity — Years ended December 31,</w:t>
            </w:r>
          </w:p>
        </w:tc>
        <w:tc>
          <w:tcPr>
            <w:tcW w:w="2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900" w:type="dxa"/>
            <w:vAlign w:val="bottom"/>
            <w:gridSpan w:val="22"/>
          </w:tcPr>
          <w:p>
            <w:pPr>
              <w:ind w:left="380"/>
              <w:spacing w:after="0"/>
              <w:rPr>
                <w:sz w:val="20"/>
                <w:szCs w:val="20"/>
                <w:color w:val="auto"/>
              </w:rPr>
            </w:pPr>
            <w:r>
              <w:rPr>
                <w:rFonts w:ascii="Arial" w:cs="Arial" w:eastAsia="Arial" w:hAnsi="Arial"/>
                <w:sz w:val="20"/>
                <w:szCs w:val="20"/>
                <w:color w:val="auto"/>
              </w:rPr>
              <w:t>2017, 2016 and 2015</w:t>
            </w:r>
          </w:p>
        </w:tc>
        <w:tc>
          <w:tcPr>
            <w:tcW w:w="2200" w:type="dxa"/>
            <w:vAlign w:val="bottom"/>
          </w:tcPr>
          <w:p>
            <w:pPr>
              <w:jc w:val="center"/>
              <w:spacing w:after="0"/>
              <w:rPr>
                <w:sz w:val="20"/>
                <w:szCs w:val="20"/>
                <w:color w:val="auto"/>
              </w:rPr>
            </w:pPr>
            <w:r>
              <w:rPr>
                <w:rFonts w:ascii="Arial" w:cs="Arial" w:eastAsia="Arial" w:hAnsi="Arial"/>
                <w:sz w:val="20"/>
                <w:szCs w:val="20"/>
                <w:color w:val="auto"/>
                <w:w w:val="89"/>
              </w:rPr>
              <w:t>113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00" w:type="dxa"/>
            <w:vAlign w:val="bottom"/>
          </w:tcPr>
          <w:p>
            <w:pPr>
              <w:spacing w:after="0"/>
              <w:rPr>
                <w:sz w:val="20"/>
                <w:szCs w:val="20"/>
                <w:color w:val="auto"/>
              </w:rPr>
            </w:pPr>
          </w:p>
        </w:tc>
        <w:tc>
          <w:tcPr>
            <w:tcW w:w="220" w:type="dxa"/>
            <w:vAlign w:val="bottom"/>
            <w:gridSpan w:val="2"/>
          </w:tcPr>
          <w:p>
            <w:pPr>
              <w:spacing w:after="0"/>
              <w:rPr>
                <w:sz w:val="20"/>
                <w:szCs w:val="20"/>
                <w:color w:val="auto"/>
              </w:rPr>
            </w:pPr>
            <w:r>
              <w:rPr>
                <w:rFonts w:ascii="Arial" w:cs="Arial" w:eastAsia="Arial" w:hAnsi="Arial"/>
                <w:sz w:val="20"/>
                <w:szCs w:val="20"/>
                <w:color w:val="auto"/>
                <w:w w:val="99"/>
              </w:rPr>
              <w:t>H.</w:t>
            </w:r>
          </w:p>
        </w:tc>
        <w:tc>
          <w:tcPr>
            <w:tcW w:w="7900" w:type="dxa"/>
            <w:vAlign w:val="bottom"/>
            <w:gridSpan w:val="22"/>
          </w:tcPr>
          <w:p>
            <w:pPr>
              <w:ind w:left="160"/>
              <w:spacing w:after="0"/>
              <w:rPr>
                <w:sz w:val="20"/>
                <w:szCs w:val="20"/>
                <w:color w:val="auto"/>
              </w:rPr>
            </w:pPr>
            <w:r>
              <w:rPr>
                <w:rFonts w:ascii="Arial" w:cs="Arial" w:eastAsia="Arial" w:hAnsi="Arial"/>
                <w:sz w:val="20"/>
                <w:szCs w:val="20"/>
                <w:color w:val="auto"/>
              </w:rPr>
              <w:t>Notes to Financial Statements</w:t>
            </w:r>
          </w:p>
        </w:tc>
        <w:tc>
          <w:tcPr>
            <w:tcW w:w="2200" w:type="dxa"/>
            <w:vAlign w:val="bottom"/>
          </w:tcPr>
          <w:p>
            <w:pPr>
              <w:jc w:val="center"/>
              <w:spacing w:after="0"/>
              <w:rPr>
                <w:sz w:val="20"/>
                <w:szCs w:val="20"/>
                <w:color w:val="auto"/>
              </w:rPr>
            </w:pPr>
            <w:r>
              <w:rPr>
                <w:rFonts w:ascii="Arial" w:cs="Arial" w:eastAsia="Arial" w:hAnsi="Arial"/>
                <w:sz w:val="20"/>
                <w:szCs w:val="20"/>
                <w:color w:val="auto"/>
                <w:w w:val="89"/>
              </w:rPr>
              <w:t>114-189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00" w:type="dxa"/>
            <w:vAlign w:val="bottom"/>
          </w:tcPr>
          <w:p>
            <w:pPr>
              <w:spacing w:after="0"/>
              <w:rPr>
                <w:sz w:val="20"/>
                <w:szCs w:val="20"/>
                <w:color w:val="auto"/>
              </w:rPr>
            </w:pPr>
          </w:p>
        </w:tc>
        <w:tc>
          <w:tcPr>
            <w:tcW w:w="220" w:type="dxa"/>
            <w:vAlign w:val="bottom"/>
            <w:gridSpan w:val="2"/>
          </w:tcPr>
          <w:p>
            <w:pPr>
              <w:spacing w:after="0"/>
              <w:rPr>
                <w:sz w:val="20"/>
                <w:szCs w:val="20"/>
                <w:color w:val="auto"/>
              </w:rPr>
            </w:pPr>
            <w:r>
              <w:rPr>
                <w:rFonts w:ascii="Arial" w:cs="Arial" w:eastAsia="Arial" w:hAnsi="Arial"/>
                <w:sz w:val="20"/>
                <w:szCs w:val="20"/>
                <w:color w:val="auto"/>
              </w:rPr>
              <w:t>I.</w:t>
            </w:r>
          </w:p>
        </w:tc>
        <w:tc>
          <w:tcPr>
            <w:tcW w:w="7900" w:type="dxa"/>
            <w:vAlign w:val="bottom"/>
            <w:gridSpan w:val="22"/>
          </w:tcPr>
          <w:p>
            <w:pPr>
              <w:ind w:left="160"/>
              <w:spacing w:after="0"/>
              <w:rPr>
                <w:sz w:val="20"/>
                <w:szCs w:val="20"/>
                <w:color w:val="auto"/>
              </w:rPr>
            </w:pPr>
            <w:r>
              <w:rPr>
                <w:rFonts w:ascii="Arial" w:cs="Arial" w:eastAsia="Arial" w:hAnsi="Arial"/>
                <w:sz w:val="20"/>
                <w:szCs w:val="20"/>
                <w:color w:val="auto"/>
              </w:rPr>
              <w:t>Quarterly Trends</w:t>
            </w:r>
          </w:p>
        </w:tc>
        <w:tc>
          <w:tcPr>
            <w:tcW w:w="2200" w:type="dxa"/>
            <w:vAlign w:val="bottom"/>
          </w:tcPr>
          <w:p>
            <w:pPr>
              <w:jc w:val="center"/>
              <w:spacing w:after="0"/>
              <w:rPr>
                <w:sz w:val="20"/>
                <w:szCs w:val="20"/>
                <w:color w:val="auto"/>
              </w:rPr>
            </w:pPr>
            <w:r>
              <w:rPr>
                <w:rFonts w:ascii="Arial" w:cs="Arial" w:eastAsia="Arial" w:hAnsi="Arial"/>
                <w:sz w:val="20"/>
                <w:szCs w:val="20"/>
                <w:color w:val="auto"/>
                <w:w w:val="89"/>
              </w:rPr>
              <w:t>103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100" w:type="dxa"/>
            <w:vAlign w:val="bottom"/>
          </w:tcPr>
          <w:p>
            <w:pPr>
              <w:spacing w:after="0" w:line="210" w:lineRule="exact"/>
              <w:rPr>
                <w:sz w:val="20"/>
                <w:szCs w:val="20"/>
                <w:color w:val="auto"/>
              </w:rPr>
            </w:pPr>
            <w:r>
              <w:rPr>
                <w:rFonts w:ascii="Arial" w:cs="Arial" w:eastAsia="Arial" w:hAnsi="Arial"/>
                <w:sz w:val="20"/>
                <w:szCs w:val="20"/>
                <w:color w:val="auto"/>
              </w:rPr>
              <w:t>Item 9.</w:t>
            </w:r>
          </w:p>
        </w:tc>
        <w:tc>
          <w:tcPr>
            <w:tcW w:w="8120" w:type="dxa"/>
            <w:vAlign w:val="bottom"/>
            <w:gridSpan w:val="24"/>
          </w:tcPr>
          <w:p>
            <w:pPr>
              <w:spacing w:after="0" w:line="210" w:lineRule="exact"/>
              <w:rPr>
                <w:rFonts w:ascii="Arial" w:cs="Arial" w:eastAsia="Arial" w:hAnsi="Arial"/>
                <w:sz w:val="20"/>
                <w:szCs w:val="20"/>
                <w:color w:val="0000EE"/>
              </w:rPr>
            </w:pPr>
            <w:hyperlink w:anchor="page190">
              <w:r>
                <w:rPr>
                  <w:rFonts w:ascii="Arial" w:cs="Arial" w:eastAsia="Arial" w:hAnsi="Arial"/>
                  <w:sz w:val="20"/>
                  <w:szCs w:val="20"/>
                  <w:color w:val="0000EE"/>
                </w:rPr>
                <w:t>Changes in and Disagreements with Accountants on Accounting</w:t>
              </w:r>
            </w:hyperlink>
          </w:p>
        </w:tc>
        <w:tc>
          <w:tcPr>
            <w:tcW w:w="2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00" w:type="dxa"/>
            <w:vAlign w:val="bottom"/>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980" w:type="dxa"/>
            <w:vAlign w:val="bottom"/>
            <w:tcBorders>
              <w:top w:val="single" w:sz="8" w:color="0000EE"/>
            </w:tcBorders>
            <w:gridSpan w:val="19"/>
          </w:tcPr>
          <w:p>
            <w:pPr>
              <w:spacing w:after="0" w:line="216" w:lineRule="exact"/>
              <w:rPr>
                <w:rFonts w:ascii="Arial" w:cs="Arial" w:eastAsia="Arial" w:hAnsi="Arial"/>
                <w:sz w:val="20"/>
                <w:szCs w:val="20"/>
                <w:color w:val="0000EE"/>
              </w:rPr>
            </w:pPr>
            <w:hyperlink w:anchor="page190">
              <w:r>
                <w:rPr>
                  <w:rFonts w:ascii="Arial" w:cs="Arial" w:eastAsia="Arial" w:hAnsi="Arial"/>
                  <w:sz w:val="20"/>
                  <w:szCs w:val="20"/>
                  <w:color w:val="0000EE"/>
                </w:rPr>
                <w:t>and Financial Disclosure</w:t>
              </w:r>
            </w:hyperlink>
          </w:p>
        </w:tc>
        <w:tc>
          <w:tcPr>
            <w:tcW w:w="2920" w:type="dxa"/>
            <w:vAlign w:val="bottom"/>
            <w:gridSpan w:val="3"/>
          </w:tcPr>
          <w:p>
            <w:pPr>
              <w:spacing w:after="0"/>
              <w:rPr>
                <w:sz w:val="18"/>
                <w:szCs w:val="18"/>
                <w:color w:val="auto"/>
              </w:rPr>
            </w:pPr>
          </w:p>
        </w:tc>
        <w:tc>
          <w:tcPr>
            <w:tcW w:w="2200" w:type="dxa"/>
            <w:vAlign w:val="bottom"/>
          </w:tcPr>
          <w:p>
            <w:pPr>
              <w:jc w:val="center"/>
              <w:spacing w:after="0" w:line="216" w:lineRule="exact"/>
              <w:rPr>
                <w:sz w:val="20"/>
                <w:szCs w:val="20"/>
                <w:color w:val="auto"/>
              </w:rPr>
            </w:pPr>
            <w:r>
              <w:rPr>
                <w:rFonts w:ascii="Arial" w:cs="Arial" w:eastAsia="Arial" w:hAnsi="Arial"/>
                <w:sz w:val="20"/>
                <w:szCs w:val="20"/>
                <w:color w:val="auto"/>
                <w:w w:val="89"/>
              </w:rPr>
              <w:t>190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100" w:type="dxa"/>
            <w:vAlign w:val="bottom"/>
          </w:tcPr>
          <w:p>
            <w:pPr>
              <w:spacing w:after="0" w:line="216" w:lineRule="exact"/>
              <w:rPr>
                <w:sz w:val="20"/>
                <w:szCs w:val="20"/>
                <w:color w:val="auto"/>
              </w:rPr>
            </w:pPr>
            <w:r>
              <w:rPr>
                <w:rFonts w:ascii="Arial" w:cs="Arial" w:eastAsia="Arial" w:hAnsi="Arial"/>
                <w:sz w:val="20"/>
                <w:szCs w:val="20"/>
                <w:color w:val="auto"/>
              </w:rPr>
              <w:t>Item 9A.</w:t>
            </w:r>
          </w:p>
        </w:tc>
        <w:tc>
          <w:tcPr>
            <w:tcW w:w="8120" w:type="dxa"/>
            <w:vAlign w:val="bottom"/>
            <w:gridSpan w:val="24"/>
          </w:tcPr>
          <w:p>
            <w:pPr>
              <w:spacing w:after="0" w:line="216" w:lineRule="exact"/>
              <w:rPr>
                <w:rFonts w:ascii="Arial" w:cs="Arial" w:eastAsia="Arial" w:hAnsi="Arial"/>
                <w:sz w:val="20"/>
                <w:szCs w:val="20"/>
                <w:color w:val="0000EE"/>
              </w:rPr>
            </w:pPr>
            <w:hyperlink w:anchor="page190">
              <w:r>
                <w:rPr>
                  <w:rFonts w:ascii="Arial" w:cs="Arial" w:eastAsia="Arial" w:hAnsi="Arial"/>
                  <w:sz w:val="20"/>
                  <w:szCs w:val="20"/>
                  <w:color w:val="0000EE"/>
                </w:rPr>
                <w:t>Controls and Procedures</w:t>
              </w:r>
            </w:hyperlink>
          </w:p>
        </w:tc>
        <w:tc>
          <w:tcPr>
            <w:tcW w:w="2200" w:type="dxa"/>
            <w:vAlign w:val="bottom"/>
          </w:tcPr>
          <w:p>
            <w:pPr>
              <w:jc w:val="center"/>
              <w:spacing w:after="0" w:line="216" w:lineRule="exact"/>
              <w:rPr>
                <w:sz w:val="20"/>
                <w:szCs w:val="20"/>
                <w:color w:val="auto"/>
              </w:rPr>
            </w:pPr>
            <w:r>
              <w:rPr>
                <w:rFonts w:ascii="Arial" w:cs="Arial" w:eastAsia="Arial" w:hAnsi="Arial"/>
                <w:sz w:val="20"/>
                <w:szCs w:val="20"/>
                <w:color w:val="auto"/>
                <w:w w:val="89"/>
              </w:rPr>
              <w:t>190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1100" w:type="dxa"/>
            <w:vAlign w:val="bottom"/>
          </w:tcPr>
          <w:p>
            <w:pPr>
              <w:spacing w:after="0"/>
              <w:rPr>
                <w:sz w:val="21"/>
                <w:szCs w:val="21"/>
                <w:color w:val="auto"/>
              </w:rPr>
            </w:pPr>
          </w:p>
        </w:tc>
        <w:tc>
          <w:tcPr>
            <w:tcW w:w="220" w:type="dxa"/>
            <w:vAlign w:val="bottom"/>
            <w:gridSpan w:val="2"/>
          </w:tcPr>
          <w:p>
            <w:pPr>
              <w:spacing w:after="0"/>
              <w:rPr>
                <w:sz w:val="20"/>
                <w:szCs w:val="20"/>
                <w:color w:val="auto"/>
              </w:rPr>
            </w:pPr>
            <w:r>
              <w:rPr>
                <w:rFonts w:ascii="Arial" w:cs="Arial" w:eastAsia="Arial" w:hAnsi="Arial"/>
                <w:sz w:val="20"/>
                <w:szCs w:val="20"/>
                <w:color w:val="auto"/>
              </w:rPr>
              <w:t>A.</w:t>
            </w:r>
          </w:p>
        </w:tc>
        <w:tc>
          <w:tcPr>
            <w:tcW w:w="7900" w:type="dxa"/>
            <w:vAlign w:val="bottom"/>
            <w:gridSpan w:val="22"/>
          </w:tcPr>
          <w:p>
            <w:pPr>
              <w:ind w:left="160"/>
              <w:spacing w:after="0"/>
              <w:rPr>
                <w:sz w:val="20"/>
                <w:szCs w:val="20"/>
                <w:color w:val="auto"/>
              </w:rPr>
            </w:pPr>
            <w:r>
              <w:rPr>
                <w:rFonts w:ascii="Arial" w:cs="Arial" w:eastAsia="Arial" w:hAnsi="Arial"/>
                <w:sz w:val="20"/>
                <w:szCs w:val="20"/>
                <w:color w:val="auto"/>
                <w:w w:val="95"/>
              </w:rPr>
              <w:t>Conclusions of principal executive officer and principal financial officer regarding disclosure</w:t>
            </w:r>
          </w:p>
        </w:tc>
        <w:tc>
          <w:tcPr>
            <w:tcW w:w="2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900" w:type="dxa"/>
            <w:vAlign w:val="bottom"/>
            <w:gridSpan w:val="22"/>
          </w:tcPr>
          <w:p>
            <w:pPr>
              <w:ind w:left="380"/>
              <w:spacing w:after="0"/>
              <w:rPr>
                <w:sz w:val="20"/>
                <w:szCs w:val="20"/>
                <w:color w:val="auto"/>
              </w:rPr>
            </w:pPr>
            <w:r>
              <w:rPr>
                <w:rFonts w:ascii="Arial" w:cs="Arial" w:eastAsia="Arial" w:hAnsi="Arial"/>
                <w:sz w:val="20"/>
                <w:szCs w:val="20"/>
                <w:color w:val="auto"/>
              </w:rPr>
              <w:t>controls and procedures</w:t>
            </w:r>
          </w:p>
        </w:tc>
        <w:tc>
          <w:tcPr>
            <w:tcW w:w="2200" w:type="dxa"/>
            <w:vAlign w:val="bottom"/>
          </w:tcPr>
          <w:p>
            <w:pPr>
              <w:jc w:val="center"/>
              <w:spacing w:after="0"/>
              <w:rPr>
                <w:sz w:val="20"/>
                <w:szCs w:val="20"/>
                <w:color w:val="auto"/>
              </w:rPr>
            </w:pPr>
            <w:r>
              <w:rPr>
                <w:rFonts w:ascii="Arial" w:cs="Arial" w:eastAsia="Arial" w:hAnsi="Arial"/>
                <w:sz w:val="20"/>
                <w:szCs w:val="20"/>
                <w:color w:val="auto"/>
                <w:w w:val="89"/>
              </w:rPr>
              <w:t>190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00" w:type="dxa"/>
            <w:vAlign w:val="bottom"/>
          </w:tcPr>
          <w:p>
            <w:pPr>
              <w:spacing w:after="0"/>
              <w:rPr>
                <w:sz w:val="20"/>
                <w:szCs w:val="20"/>
                <w:color w:val="auto"/>
              </w:rPr>
            </w:pPr>
          </w:p>
        </w:tc>
        <w:tc>
          <w:tcPr>
            <w:tcW w:w="220" w:type="dxa"/>
            <w:vAlign w:val="bottom"/>
            <w:gridSpan w:val="2"/>
          </w:tcPr>
          <w:p>
            <w:pPr>
              <w:spacing w:after="0"/>
              <w:rPr>
                <w:sz w:val="20"/>
                <w:szCs w:val="20"/>
                <w:color w:val="auto"/>
              </w:rPr>
            </w:pPr>
            <w:r>
              <w:rPr>
                <w:rFonts w:ascii="Arial" w:cs="Arial" w:eastAsia="Arial" w:hAnsi="Arial"/>
                <w:sz w:val="20"/>
                <w:szCs w:val="20"/>
                <w:color w:val="auto"/>
              </w:rPr>
              <w:t>B.</w:t>
            </w:r>
          </w:p>
        </w:tc>
        <w:tc>
          <w:tcPr>
            <w:tcW w:w="7900" w:type="dxa"/>
            <w:vAlign w:val="bottom"/>
            <w:gridSpan w:val="22"/>
          </w:tcPr>
          <w:p>
            <w:pPr>
              <w:ind w:left="160"/>
              <w:spacing w:after="0"/>
              <w:rPr>
                <w:sz w:val="20"/>
                <w:szCs w:val="20"/>
                <w:color w:val="auto"/>
              </w:rPr>
            </w:pPr>
            <w:r>
              <w:rPr>
                <w:rFonts w:ascii="Arial" w:cs="Arial" w:eastAsia="Arial" w:hAnsi="Arial"/>
                <w:sz w:val="20"/>
                <w:szCs w:val="20"/>
                <w:color w:val="auto"/>
              </w:rPr>
              <w:t>Management’s annual report on internal control over financial reporting</w:t>
            </w:r>
          </w:p>
        </w:tc>
        <w:tc>
          <w:tcPr>
            <w:tcW w:w="2200" w:type="dxa"/>
            <w:vAlign w:val="bottom"/>
          </w:tcPr>
          <w:p>
            <w:pPr>
              <w:jc w:val="center"/>
              <w:spacing w:after="0"/>
              <w:rPr>
                <w:sz w:val="20"/>
                <w:szCs w:val="20"/>
                <w:color w:val="auto"/>
              </w:rPr>
            </w:pPr>
            <w:r>
              <w:rPr>
                <w:rFonts w:ascii="Arial" w:cs="Arial" w:eastAsia="Arial" w:hAnsi="Arial"/>
                <w:sz w:val="20"/>
                <w:szCs w:val="20"/>
                <w:color w:val="auto"/>
                <w:w w:val="89"/>
              </w:rPr>
              <w:t>190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00" w:type="dxa"/>
            <w:vAlign w:val="bottom"/>
          </w:tcPr>
          <w:p>
            <w:pPr>
              <w:spacing w:after="0"/>
              <w:rPr>
                <w:sz w:val="20"/>
                <w:szCs w:val="20"/>
                <w:color w:val="auto"/>
              </w:rPr>
            </w:pPr>
          </w:p>
        </w:tc>
        <w:tc>
          <w:tcPr>
            <w:tcW w:w="220" w:type="dxa"/>
            <w:vAlign w:val="bottom"/>
            <w:gridSpan w:val="2"/>
          </w:tcPr>
          <w:p>
            <w:pPr>
              <w:spacing w:after="0"/>
              <w:rPr>
                <w:sz w:val="20"/>
                <w:szCs w:val="20"/>
                <w:color w:val="auto"/>
              </w:rPr>
            </w:pPr>
            <w:r>
              <w:rPr>
                <w:rFonts w:ascii="Arial" w:cs="Arial" w:eastAsia="Arial" w:hAnsi="Arial"/>
                <w:sz w:val="20"/>
                <w:szCs w:val="20"/>
                <w:color w:val="auto"/>
                <w:w w:val="99"/>
              </w:rPr>
              <w:t>C.</w:t>
            </w:r>
          </w:p>
        </w:tc>
        <w:tc>
          <w:tcPr>
            <w:tcW w:w="7900" w:type="dxa"/>
            <w:vAlign w:val="bottom"/>
            <w:gridSpan w:val="22"/>
          </w:tcPr>
          <w:p>
            <w:pPr>
              <w:ind w:left="160"/>
              <w:spacing w:after="0"/>
              <w:rPr>
                <w:sz w:val="20"/>
                <w:szCs w:val="20"/>
                <w:color w:val="auto"/>
              </w:rPr>
            </w:pPr>
            <w:r>
              <w:rPr>
                <w:rFonts w:ascii="Arial" w:cs="Arial" w:eastAsia="Arial" w:hAnsi="Arial"/>
                <w:sz w:val="20"/>
                <w:szCs w:val="20"/>
                <w:color w:val="auto"/>
              </w:rPr>
              <w:t>Attestation report of the registered public accounting firm</w:t>
            </w:r>
          </w:p>
        </w:tc>
        <w:tc>
          <w:tcPr>
            <w:tcW w:w="2200" w:type="dxa"/>
            <w:vAlign w:val="bottom"/>
          </w:tcPr>
          <w:p>
            <w:pPr>
              <w:jc w:val="center"/>
              <w:spacing w:after="0"/>
              <w:rPr>
                <w:sz w:val="20"/>
                <w:szCs w:val="20"/>
                <w:color w:val="auto"/>
              </w:rPr>
            </w:pPr>
            <w:r>
              <w:rPr>
                <w:rFonts w:ascii="Arial" w:cs="Arial" w:eastAsia="Arial" w:hAnsi="Arial"/>
                <w:sz w:val="20"/>
                <w:szCs w:val="20"/>
                <w:color w:val="auto"/>
                <w:w w:val="89"/>
              </w:rPr>
              <w:t>190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00" w:type="dxa"/>
            <w:vAlign w:val="bottom"/>
          </w:tcPr>
          <w:p>
            <w:pPr>
              <w:spacing w:after="0"/>
              <w:rPr>
                <w:sz w:val="20"/>
                <w:szCs w:val="20"/>
                <w:color w:val="auto"/>
              </w:rPr>
            </w:pPr>
          </w:p>
        </w:tc>
        <w:tc>
          <w:tcPr>
            <w:tcW w:w="220" w:type="dxa"/>
            <w:vAlign w:val="bottom"/>
            <w:gridSpan w:val="2"/>
          </w:tcPr>
          <w:p>
            <w:pPr>
              <w:spacing w:after="0"/>
              <w:rPr>
                <w:sz w:val="20"/>
                <w:szCs w:val="20"/>
                <w:color w:val="auto"/>
              </w:rPr>
            </w:pPr>
            <w:r>
              <w:rPr>
                <w:rFonts w:ascii="Arial" w:cs="Arial" w:eastAsia="Arial" w:hAnsi="Arial"/>
                <w:sz w:val="20"/>
                <w:szCs w:val="20"/>
                <w:color w:val="auto"/>
                <w:w w:val="99"/>
              </w:rPr>
              <w:t>D.</w:t>
            </w:r>
          </w:p>
        </w:tc>
        <w:tc>
          <w:tcPr>
            <w:tcW w:w="7900" w:type="dxa"/>
            <w:vAlign w:val="bottom"/>
            <w:gridSpan w:val="22"/>
          </w:tcPr>
          <w:p>
            <w:pPr>
              <w:ind w:left="160"/>
              <w:spacing w:after="0"/>
              <w:rPr>
                <w:sz w:val="20"/>
                <w:szCs w:val="20"/>
                <w:color w:val="auto"/>
              </w:rPr>
            </w:pPr>
            <w:r>
              <w:rPr>
                <w:rFonts w:ascii="Arial" w:cs="Arial" w:eastAsia="Arial" w:hAnsi="Arial"/>
                <w:sz w:val="20"/>
                <w:szCs w:val="20"/>
                <w:color w:val="auto"/>
              </w:rPr>
              <w:t>Changes in internal control over financial reporting</w:t>
            </w:r>
          </w:p>
        </w:tc>
        <w:tc>
          <w:tcPr>
            <w:tcW w:w="2200" w:type="dxa"/>
            <w:vAlign w:val="bottom"/>
          </w:tcPr>
          <w:p>
            <w:pPr>
              <w:jc w:val="center"/>
              <w:spacing w:after="0"/>
              <w:rPr>
                <w:sz w:val="20"/>
                <w:szCs w:val="20"/>
                <w:color w:val="auto"/>
              </w:rPr>
            </w:pPr>
            <w:r>
              <w:rPr>
                <w:rFonts w:ascii="Arial" w:cs="Arial" w:eastAsia="Arial" w:hAnsi="Arial"/>
                <w:sz w:val="20"/>
                <w:szCs w:val="20"/>
                <w:color w:val="auto"/>
                <w:w w:val="89"/>
              </w:rPr>
              <w:t>190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100" w:type="dxa"/>
            <w:vAlign w:val="bottom"/>
          </w:tcPr>
          <w:p>
            <w:pPr>
              <w:spacing w:after="0" w:line="210" w:lineRule="exact"/>
              <w:rPr>
                <w:sz w:val="20"/>
                <w:szCs w:val="20"/>
                <w:color w:val="auto"/>
              </w:rPr>
            </w:pPr>
            <w:r>
              <w:rPr>
                <w:rFonts w:ascii="Arial" w:cs="Arial" w:eastAsia="Arial" w:hAnsi="Arial"/>
                <w:sz w:val="20"/>
                <w:szCs w:val="20"/>
                <w:color w:val="auto"/>
              </w:rPr>
              <w:t>Item 9B.</w:t>
            </w:r>
          </w:p>
        </w:tc>
        <w:tc>
          <w:tcPr>
            <w:tcW w:w="8120" w:type="dxa"/>
            <w:vAlign w:val="bottom"/>
            <w:gridSpan w:val="24"/>
          </w:tcPr>
          <w:p>
            <w:pPr>
              <w:spacing w:after="0" w:line="210" w:lineRule="exact"/>
              <w:rPr>
                <w:rFonts w:ascii="Arial" w:cs="Arial" w:eastAsia="Arial" w:hAnsi="Arial"/>
                <w:sz w:val="20"/>
                <w:szCs w:val="20"/>
                <w:color w:val="0000EE"/>
              </w:rPr>
            </w:pPr>
            <w:hyperlink w:anchor="page190">
              <w:r>
                <w:rPr>
                  <w:rFonts w:ascii="Arial" w:cs="Arial" w:eastAsia="Arial" w:hAnsi="Arial"/>
                  <w:sz w:val="20"/>
                  <w:szCs w:val="20"/>
                  <w:color w:val="0000EE"/>
                </w:rPr>
                <w:t>Other Information</w:t>
              </w:r>
            </w:hyperlink>
          </w:p>
        </w:tc>
        <w:tc>
          <w:tcPr>
            <w:tcW w:w="2200" w:type="dxa"/>
            <w:vAlign w:val="bottom"/>
          </w:tcPr>
          <w:p>
            <w:pPr>
              <w:jc w:val="center"/>
              <w:spacing w:after="0" w:line="210" w:lineRule="exact"/>
              <w:rPr>
                <w:sz w:val="20"/>
                <w:szCs w:val="20"/>
                <w:color w:val="auto"/>
              </w:rPr>
            </w:pPr>
            <w:r>
              <w:rPr>
                <w:rFonts w:ascii="Arial" w:cs="Arial" w:eastAsia="Arial" w:hAnsi="Arial"/>
                <w:sz w:val="20"/>
                <w:szCs w:val="20"/>
                <w:color w:val="auto"/>
                <w:w w:val="89"/>
              </w:rPr>
              <w:t>190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00" w:type="dxa"/>
            <w:vAlign w:val="bottom"/>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Borders>
              <w:bottom w:val="single" w:sz="8" w:color="0000EE"/>
            </w:tcBorders>
            <w:gridSpan w:val="5"/>
          </w:tcPr>
          <w:p>
            <w:pPr>
              <w:jc w:val="center"/>
              <w:ind w:right="20"/>
              <w:spacing w:after="0" w:line="216" w:lineRule="exact"/>
              <w:rPr>
                <w:rFonts w:ascii="Arial" w:cs="Arial" w:eastAsia="Arial" w:hAnsi="Arial"/>
                <w:sz w:val="20"/>
                <w:szCs w:val="20"/>
                <w:b w:val="1"/>
                <w:bCs w:val="1"/>
                <w:color w:val="0000EE"/>
              </w:rPr>
            </w:pPr>
            <w:hyperlink w:anchor="page190">
              <w:r>
                <w:rPr>
                  <w:rFonts w:ascii="Arial" w:cs="Arial" w:eastAsia="Arial" w:hAnsi="Arial"/>
                  <w:sz w:val="20"/>
                  <w:szCs w:val="20"/>
                  <w:b w:val="1"/>
                  <w:bCs w:val="1"/>
                  <w:color w:val="0000EE"/>
                </w:rPr>
                <w:t>PART III</w:t>
              </w:r>
            </w:hyperlink>
          </w:p>
        </w:tc>
        <w:tc>
          <w:tcPr>
            <w:tcW w:w="3080" w:type="dxa"/>
            <w:vAlign w:val="bottom"/>
            <w:gridSpan w:val="5"/>
          </w:tcPr>
          <w:p>
            <w:pPr>
              <w:spacing w:after="0"/>
              <w:rPr>
                <w:sz w:val="18"/>
                <w:szCs w:val="18"/>
                <w:color w:val="auto"/>
              </w:rPr>
            </w:pPr>
          </w:p>
        </w:tc>
        <w:tc>
          <w:tcPr>
            <w:tcW w:w="2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00" w:type="dxa"/>
            <w:vAlign w:val="bottom"/>
          </w:tcPr>
          <w:p>
            <w:pPr>
              <w:spacing w:after="0" w:line="216" w:lineRule="exact"/>
              <w:rPr>
                <w:sz w:val="20"/>
                <w:szCs w:val="20"/>
                <w:color w:val="auto"/>
              </w:rPr>
            </w:pPr>
            <w:r>
              <w:rPr>
                <w:rFonts w:ascii="Arial" w:cs="Arial" w:eastAsia="Arial" w:hAnsi="Arial"/>
                <w:sz w:val="20"/>
                <w:szCs w:val="20"/>
                <w:color w:val="auto"/>
              </w:rPr>
              <w:t>Item 10.</w:t>
            </w:r>
          </w:p>
        </w:tc>
        <w:tc>
          <w:tcPr>
            <w:tcW w:w="4600" w:type="dxa"/>
            <w:vAlign w:val="bottom"/>
            <w:tcBorders>
              <w:bottom w:val="single" w:sz="8" w:color="0000EE"/>
            </w:tcBorders>
            <w:gridSpan w:val="16"/>
          </w:tcPr>
          <w:p>
            <w:pPr>
              <w:spacing w:after="0" w:line="216" w:lineRule="exact"/>
              <w:rPr>
                <w:rFonts w:ascii="Arial" w:cs="Arial" w:eastAsia="Arial" w:hAnsi="Arial"/>
                <w:sz w:val="20"/>
                <w:szCs w:val="20"/>
                <w:color w:val="0000EE"/>
                <w:w w:val="91"/>
              </w:rPr>
            </w:pPr>
            <w:hyperlink w:anchor="page190">
              <w:r>
                <w:rPr>
                  <w:rFonts w:ascii="Arial" w:cs="Arial" w:eastAsia="Arial" w:hAnsi="Arial"/>
                  <w:sz w:val="20"/>
                  <w:szCs w:val="20"/>
                  <w:color w:val="0000EE"/>
                  <w:w w:val="91"/>
                </w:rPr>
                <w:t>Directors, Executive Officers and Corporate Governance</w:t>
              </w:r>
            </w:hyperlink>
          </w:p>
        </w:tc>
        <w:tc>
          <w:tcPr>
            <w:tcW w:w="3520" w:type="dxa"/>
            <w:vAlign w:val="bottom"/>
            <w:gridSpan w:val="8"/>
          </w:tcPr>
          <w:p>
            <w:pPr>
              <w:spacing w:after="0"/>
              <w:rPr>
                <w:sz w:val="18"/>
                <w:szCs w:val="18"/>
                <w:color w:val="auto"/>
              </w:rPr>
            </w:pPr>
          </w:p>
        </w:tc>
        <w:tc>
          <w:tcPr>
            <w:tcW w:w="2200" w:type="dxa"/>
            <w:vAlign w:val="bottom"/>
          </w:tcPr>
          <w:p>
            <w:pPr>
              <w:jc w:val="center"/>
              <w:spacing w:after="0" w:line="216" w:lineRule="exact"/>
              <w:rPr>
                <w:sz w:val="20"/>
                <w:szCs w:val="20"/>
                <w:color w:val="auto"/>
              </w:rPr>
            </w:pPr>
            <w:r>
              <w:rPr>
                <w:rFonts w:ascii="Arial" w:cs="Arial" w:eastAsia="Arial" w:hAnsi="Arial"/>
                <w:sz w:val="20"/>
                <w:szCs w:val="20"/>
                <w:color w:val="auto"/>
                <w:w w:val="89"/>
              </w:rPr>
              <w:t>190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00" w:type="dxa"/>
            <w:vAlign w:val="bottom"/>
          </w:tcPr>
          <w:p>
            <w:pPr>
              <w:spacing w:after="0" w:line="216" w:lineRule="exact"/>
              <w:rPr>
                <w:sz w:val="20"/>
                <w:szCs w:val="20"/>
                <w:color w:val="auto"/>
              </w:rPr>
            </w:pPr>
            <w:r>
              <w:rPr>
                <w:rFonts w:ascii="Arial" w:cs="Arial" w:eastAsia="Arial" w:hAnsi="Arial"/>
                <w:sz w:val="20"/>
                <w:szCs w:val="20"/>
                <w:color w:val="auto"/>
              </w:rPr>
              <w:t>Item 11.</w:t>
            </w:r>
          </w:p>
        </w:tc>
        <w:tc>
          <w:tcPr>
            <w:tcW w:w="8120" w:type="dxa"/>
            <w:vAlign w:val="bottom"/>
            <w:gridSpan w:val="24"/>
          </w:tcPr>
          <w:p>
            <w:pPr>
              <w:spacing w:after="0" w:line="216" w:lineRule="exact"/>
              <w:rPr>
                <w:rFonts w:ascii="Arial" w:cs="Arial" w:eastAsia="Arial" w:hAnsi="Arial"/>
                <w:sz w:val="20"/>
                <w:szCs w:val="20"/>
                <w:color w:val="0000EE"/>
              </w:rPr>
            </w:pPr>
            <w:hyperlink w:anchor="page191">
              <w:r>
                <w:rPr>
                  <w:rFonts w:ascii="Arial" w:cs="Arial" w:eastAsia="Arial" w:hAnsi="Arial"/>
                  <w:sz w:val="20"/>
                  <w:szCs w:val="20"/>
                  <w:color w:val="0000EE"/>
                </w:rPr>
                <w:t>Executive Compensation</w:t>
              </w:r>
            </w:hyperlink>
          </w:p>
        </w:tc>
        <w:tc>
          <w:tcPr>
            <w:tcW w:w="2200" w:type="dxa"/>
            <w:vAlign w:val="bottom"/>
          </w:tcPr>
          <w:p>
            <w:pPr>
              <w:jc w:val="center"/>
              <w:spacing w:after="0" w:line="216" w:lineRule="exact"/>
              <w:rPr>
                <w:sz w:val="20"/>
                <w:szCs w:val="20"/>
                <w:color w:val="auto"/>
              </w:rPr>
            </w:pPr>
            <w:r>
              <w:rPr>
                <w:rFonts w:ascii="Arial" w:cs="Arial" w:eastAsia="Arial" w:hAnsi="Arial"/>
                <w:sz w:val="20"/>
                <w:szCs w:val="20"/>
                <w:color w:val="auto"/>
                <w:w w:val="89"/>
              </w:rPr>
              <w:t>191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100" w:type="dxa"/>
            <w:vAlign w:val="bottom"/>
          </w:tcPr>
          <w:p>
            <w:pPr>
              <w:spacing w:after="0" w:line="216" w:lineRule="exact"/>
              <w:rPr>
                <w:sz w:val="20"/>
                <w:szCs w:val="20"/>
                <w:color w:val="auto"/>
              </w:rPr>
            </w:pPr>
            <w:r>
              <w:rPr>
                <w:rFonts w:ascii="Arial" w:cs="Arial" w:eastAsia="Arial" w:hAnsi="Arial"/>
                <w:sz w:val="20"/>
                <w:szCs w:val="20"/>
                <w:color w:val="auto"/>
              </w:rPr>
              <w:t>Item 12.</w:t>
            </w:r>
          </w:p>
        </w:tc>
        <w:tc>
          <w:tcPr>
            <w:tcW w:w="8120" w:type="dxa"/>
            <w:vAlign w:val="bottom"/>
            <w:gridSpan w:val="24"/>
          </w:tcPr>
          <w:p>
            <w:pPr>
              <w:spacing w:after="0" w:line="216" w:lineRule="exact"/>
              <w:rPr>
                <w:rFonts w:ascii="Arial" w:cs="Arial" w:eastAsia="Arial" w:hAnsi="Arial"/>
                <w:sz w:val="20"/>
                <w:szCs w:val="20"/>
                <w:color w:val="0000EE"/>
                <w:w w:val="99"/>
              </w:rPr>
            </w:pPr>
            <w:hyperlink w:anchor="page191">
              <w:r>
                <w:rPr>
                  <w:rFonts w:ascii="Arial" w:cs="Arial" w:eastAsia="Arial" w:hAnsi="Arial"/>
                  <w:sz w:val="20"/>
                  <w:szCs w:val="20"/>
                  <w:color w:val="0000EE"/>
                  <w:w w:val="99"/>
                </w:rPr>
                <w:t>Security Ownership of Certain Beneficial Owners and Management and Related Stockholder</w:t>
              </w:r>
            </w:hyperlink>
          </w:p>
        </w:tc>
        <w:tc>
          <w:tcPr>
            <w:tcW w:w="2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00" w:type="dxa"/>
            <w:vAlign w:val="bottom"/>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20" w:type="dxa"/>
            <w:vAlign w:val="bottom"/>
            <w:tcBorders>
              <w:top w:val="single" w:sz="8" w:color="0000EE"/>
              <w:bottom w:val="single" w:sz="8" w:color="0000EE"/>
            </w:tcBorders>
          </w:tcPr>
          <w:p>
            <w:pPr>
              <w:spacing w:after="0" w:line="216" w:lineRule="exact"/>
              <w:rPr>
                <w:rFonts w:ascii="Arial" w:cs="Arial" w:eastAsia="Arial" w:hAnsi="Arial"/>
                <w:sz w:val="20"/>
                <w:szCs w:val="20"/>
                <w:color w:val="0000EE"/>
                <w:w w:val="89"/>
              </w:rPr>
            </w:pPr>
            <w:hyperlink w:anchor="page191">
              <w:r>
                <w:rPr>
                  <w:rFonts w:ascii="Arial" w:cs="Arial" w:eastAsia="Arial" w:hAnsi="Arial"/>
                  <w:sz w:val="20"/>
                  <w:szCs w:val="20"/>
                  <w:color w:val="0000EE"/>
                  <w:w w:val="89"/>
                </w:rPr>
                <w:t>Matters</w:t>
              </w:r>
            </w:hyperlink>
          </w:p>
        </w:tc>
        <w:tc>
          <w:tcPr>
            <w:tcW w:w="6660" w:type="dxa"/>
            <w:vAlign w:val="bottom"/>
            <w:tcBorders>
              <w:top w:val="single" w:sz="8" w:color="0000EE"/>
            </w:tcBorders>
            <w:gridSpan w:val="20"/>
          </w:tcPr>
          <w:p>
            <w:pPr>
              <w:spacing w:after="0"/>
              <w:rPr>
                <w:sz w:val="18"/>
                <w:szCs w:val="18"/>
                <w:color w:val="auto"/>
              </w:rPr>
            </w:pPr>
          </w:p>
        </w:tc>
        <w:tc>
          <w:tcPr>
            <w:tcW w:w="620" w:type="dxa"/>
            <w:vAlign w:val="bottom"/>
          </w:tcPr>
          <w:p>
            <w:pPr>
              <w:spacing w:after="0"/>
              <w:rPr>
                <w:sz w:val="18"/>
                <w:szCs w:val="18"/>
                <w:color w:val="auto"/>
              </w:rPr>
            </w:pPr>
          </w:p>
        </w:tc>
        <w:tc>
          <w:tcPr>
            <w:tcW w:w="2200" w:type="dxa"/>
            <w:vAlign w:val="bottom"/>
          </w:tcPr>
          <w:p>
            <w:pPr>
              <w:jc w:val="center"/>
              <w:spacing w:after="0" w:line="216" w:lineRule="exact"/>
              <w:rPr>
                <w:sz w:val="20"/>
                <w:szCs w:val="20"/>
                <w:color w:val="auto"/>
              </w:rPr>
            </w:pPr>
            <w:r>
              <w:rPr>
                <w:rFonts w:ascii="Arial" w:cs="Arial" w:eastAsia="Arial" w:hAnsi="Arial"/>
                <w:sz w:val="20"/>
                <w:szCs w:val="20"/>
                <w:color w:val="auto"/>
                <w:w w:val="89"/>
              </w:rPr>
              <w:t>191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00" w:type="dxa"/>
            <w:vAlign w:val="bottom"/>
          </w:tcPr>
          <w:p>
            <w:pPr>
              <w:spacing w:after="0" w:line="216" w:lineRule="exact"/>
              <w:rPr>
                <w:sz w:val="20"/>
                <w:szCs w:val="20"/>
                <w:color w:val="auto"/>
              </w:rPr>
            </w:pPr>
            <w:r>
              <w:rPr>
                <w:rFonts w:ascii="Arial" w:cs="Arial" w:eastAsia="Arial" w:hAnsi="Arial"/>
                <w:sz w:val="20"/>
                <w:szCs w:val="20"/>
                <w:color w:val="auto"/>
              </w:rPr>
              <w:t>Item 13.</w:t>
            </w:r>
          </w:p>
        </w:tc>
        <w:tc>
          <w:tcPr>
            <w:tcW w:w="8120" w:type="dxa"/>
            <w:vAlign w:val="bottom"/>
            <w:gridSpan w:val="24"/>
          </w:tcPr>
          <w:p>
            <w:pPr>
              <w:spacing w:after="0" w:line="216" w:lineRule="exact"/>
              <w:rPr>
                <w:rFonts w:ascii="Arial" w:cs="Arial" w:eastAsia="Arial" w:hAnsi="Arial"/>
                <w:sz w:val="20"/>
                <w:szCs w:val="20"/>
                <w:color w:val="0000EE"/>
              </w:rPr>
            </w:pPr>
            <w:hyperlink w:anchor="page191">
              <w:r>
                <w:rPr>
                  <w:rFonts w:ascii="Arial" w:cs="Arial" w:eastAsia="Arial" w:hAnsi="Arial"/>
                  <w:sz w:val="20"/>
                  <w:szCs w:val="20"/>
                  <w:color w:val="0000EE"/>
                </w:rPr>
                <w:t>Certain Relationships and Related Transactions, and Director Independence</w:t>
              </w:r>
            </w:hyperlink>
          </w:p>
        </w:tc>
        <w:tc>
          <w:tcPr>
            <w:tcW w:w="2200" w:type="dxa"/>
            <w:vAlign w:val="bottom"/>
          </w:tcPr>
          <w:p>
            <w:pPr>
              <w:jc w:val="center"/>
              <w:spacing w:after="0" w:line="216" w:lineRule="exact"/>
              <w:rPr>
                <w:sz w:val="20"/>
                <w:szCs w:val="20"/>
                <w:color w:val="auto"/>
              </w:rPr>
            </w:pPr>
            <w:r>
              <w:rPr>
                <w:rFonts w:ascii="Arial" w:cs="Arial" w:eastAsia="Arial" w:hAnsi="Arial"/>
                <w:sz w:val="20"/>
                <w:szCs w:val="20"/>
                <w:color w:val="auto"/>
                <w:w w:val="89"/>
              </w:rPr>
              <w:t>191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00" w:type="dxa"/>
            <w:vAlign w:val="bottom"/>
          </w:tcPr>
          <w:p>
            <w:pPr>
              <w:spacing w:after="0" w:line="216" w:lineRule="exact"/>
              <w:rPr>
                <w:sz w:val="20"/>
                <w:szCs w:val="20"/>
                <w:color w:val="auto"/>
              </w:rPr>
            </w:pPr>
            <w:r>
              <w:rPr>
                <w:rFonts w:ascii="Arial" w:cs="Arial" w:eastAsia="Arial" w:hAnsi="Arial"/>
                <w:sz w:val="20"/>
                <w:szCs w:val="20"/>
                <w:color w:val="auto"/>
              </w:rPr>
              <w:t>Item 14.</w:t>
            </w:r>
          </w:p>
        </w:tc>
        <w:tc>
          <w:tcPr>
            <w:tcW w:w="5980" w:type="dxa"/>
            <w:vAlign w:val="bottom"/>
            <w:tcBorders>
              <w:top w:val="single" w:sz="8" w:color="0000EE"/>
            </w:tcBorders>
            <w:gridSpan w:val="22"/>
          </w:tcPr>
          <w:p>
            <w:pPr>
              <w:spacing w:after="0" w:line="216" w:lineRule="exact"/>
              <w:rPr>
                <w:rFonts w:ascii="Arial" w:cs="Arial" w:eastAsia="Arial" w:hAnsi="Arial"/>
                <w:sz w:val="20"/>
                <w:szCs w:val="20"/>
                <w:color w:val="0000EE"/>
              </w:rPr>
            </w:pPr>
            <w:hyperlink w:anchor="page191">
              <w:r>
                <w:rPr>
                  <w:rFonts w:ascii="Arial" w:cs="Arial" w:eastAsia="Arial" w:hAnsi="Arial"/>
                  <w:sz w:val="20"/>
                  <w:szCs w:val="20"/>
                  <w:color w:val="0000EE"/>
                </w:rPr>
                <w:t>Principal Accountant Fees and Services</w:t>
              </w:r>
            </w:hyperlink>
          </w:p>
        </w:tc>
        <w:tc>
          <w:tcPr>
            <w:tcW w:w="2140" w:type="dxa"/>
            <w:vAlign w:val="bottom"/>
            <w:gridSpan w:val="2"/>
          </w:tcPr>
          <w:p>
            <w:pPr>
              <w:spacing w:after="0"/>
              <w:rPr>
                <w:sz w:val="18"/>
                <w:szCs w:val="18"/>
                <w:color w:val="auto"/>
              </w:rPr>
            </w:pPr>
          </w:p>
        </w:tc>
        <w:tc>
          <w:tcPr>
            <w:tcW w:w="2200" w:type="dxa"/>
            <w:vAlign w:val="bottom"/>
          </w:tcPr>
          <w:p>
            <w:pPr>
              <w:jc w:val="center"/>
              <w:spacing w:after="0" w:line="216" w:lineRule="exact"/>
              <w:rPr>
                <w:sz w:val="20"/>
                <w:szCs w:val="20"/>
                <w:color w:val="auto"/>
              </w:rPr>
            </w:pPr>
            <w:r>
              <w:rPr>
                <w:rFonts w:ascii="Arial" w:cs="Arial" w:eastAsia="Arial" w:hAnsi="Arial"/>
                <w:sz w:val="20"/>
                <w:szCs w:val="20"/>
                <w:color w:val="auto"/>
                <w:w w:val="89"/>
              </w:rPr>
              <w:t>191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00" w:type="dxa"/>
            <w:vAlign w:val="bottom"/>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920" w:type="dxa"/>
            <w:vAlign w:val="bottom"/>
            <w:gridSpan w:val="10"/>
          </w:tcPr>
          <w:p>
            <w:pPr>
              <w:jc w:val="center"/>
              <w:ind w:right="3080"/>
              <w:spacing w:after="0" w:line="216" w:lineRule="exact"/>
              <w:rPr>
                <w:rFonts w:ascii="Arial" w:cs="Arial" w:eastAsia="Arial" w:hAnsi="Arial"/>
                <w:sz w:val="20"/>
                <w:szCs w:val="20"/>
                <w:b w:val="1"/>
                <w:bCs w:val="1"/>
                <w:color w:val="0000EE"/>
              </w:rPr>
            </w:pPr>
            <w:hyperlink w:anchor="page191">
              <w:r>
                <w:rPr>
                  <w:rFonts w:ascii="Arial" w:cs="Arial" w:eastAsia="Arial" w:hAnsi="Arial"/>
                  <w:sz w:val="20"/>
                  <w:szCs w:val="20"/>
                  <w:b w:val="1"/>
                  <w:bCs w:val="1"/>
                  <w:color w:val="0000EE"/>
                </w:rPr>
                <w:t>PART IV</w:t>
              </w:r>
            </w:hyperlink>
          </w:p>
        </w:tc>
        <w:tc>
          <w:tcPr>
            <w:tcW w:w="2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00" w:type="dxa"/>
            <w:vAlign w:val="bottom"/>
          </w:tcPr>
          <w:p>
            <w:pPr>
              <w:spacing w:after="0" w:line="216" w:lineRule="exact"/>
              <w:rPr>
                <w:sz w:val="20"/>
                <w:szCs w:val="20"/>
                <w:color w:val="auto"/>
              </w:rPr>
            </w:pPr>
            <w:r>
              <w:rPr>
                <w:rFonts w:ascii="Arial" w:cs="Arial" w:eastAsia="Arial" w:hAnsi="Arial"/>
                <w:sz w:val="20"/>
                <w:szCs w:val="20"/>
                <w:color w:val="auto"/>
              </w:rPr>
              <w:t>Item 15.</w:t>
            </w:r>
          </w:p>
        </w:tc>
        <w:tc>
          <w:tcPr>
            <w:tcW w:w="4220" w:type="dxa"/>
            <w:vAlign w:val="bottom"/>
            <w:gridSpan w:val="15"/>
          </w:tcPr>
          <w:p>
            <w:pPr>
              <w:spacing w:after="0" w:line="216" w:lineRule="exact"/>
              <w:rPr>
                <w:rFonts w:ascii="Arial" w:cs="Arial" w:eastAsia="Arial" w:hAnsi="Arial"/>
                <w:sz w:val="20"/>
                <w:szCs w:val="20"/>
                <w:color w:val="0000EE"/>
              </w:rPr>
            </w:pPr>
            <w:hyperlink w:anchor="page191">
              <w:r>
                <w:rPr>
                  <w:rFonts w:ascii="Arial" w:cs="Arial" w:eastAsia="Arial" w:hAnsi="Arial"/>
                  <w:sz w:val="20"/>
                  <w:szCs w:val="20"/>
                  <w:color w:val="0000EE"/>
                </w:rPr>
                <w:t>Exhibits and Financial Statement Schedules</w:t>
              </w:r>
            </w:hyperlink>
          </w:p>
        </w:tc>
        <w:tc>
          <w:tcPr>
            <w:tcW w:w="800" w:type="dxa"/>
            <w:vAlign w:val="bottom"/>
            <w:tcBorders>
              <w:top w:val="single" w:sz="8" w:color="0000EE"/>
            </w:tcBorders>
            <w:gridSpan w:val="3"/>
          </w:tcPr>
          <w:p>
            <w:pPr>
              <w:spacing w:after="0"/>
              <w:rPr>
                <w:sz w:val="18"/>
                <w:szCs w:val="18"/>
                <w:color w:val="auto"/>
              </w:rPr>
            </w:pPr>
          </w:p>
        </w:tc>
        <w:tc>
          <w:tcPr>
            <w:tcW w:w="3100" w:type="dxa"/>
            <w:vAlign w:val="bottom"/>
            <w:gridSpan w:val="6"/>
          </w:tcPr>
          <w:p>
            <w:pPr>
              <w:spacing w:after="0"/>
              <w:rPr>
                <w:sz w:val="18"/>
                <w:szCs w:val="18"/>
                <w:color w:val="auto"/>
              </w:rPr>
            </w:pPr>
          </w:p>
        </w:tc>
        <w:tc>
          <w:tcPr>
            <w:tcW w:w="2200" w:type="dxa"/>
            <w:vAlign w:val="bottom"/>
          </w:tcPr>
          <w:p>
            <w:pPr>
              <w:jc w:val="center"/>
              <w:spacing w:after="0" w:line="216" w:lineRule="exact"/>
              <w:rPr>
                <w:sz w:val="20"/>
                <w:szCs w:val="20"/>
                <w:color w:val="auto"/>
              </w:rPr>
            </w:pPr>
            <w:r>
              <w:rPr>
                <w:rFonts w:ascii="Arial" w:cs="Arial" w:eastAsia="Arial" w:hAnsi="Arial"/>
                <w:sz w:val="20"/>
                <w:szCs w:val="20"/>
                <w:color w:val="auto"/>
                <w:w w:val="89"/>
              </w:rPr>
              <w:t>191-194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00" w:type="dxa"/>
            <w:vAlign w:val="bottom"/>
          </w:tcPr>
          <w:p>
            <w:pPr>
              <w:spacing w:after="0" w:line="216" w:lineRule="exact"/>
              <w:rPr>
                <w:sz w:val="20"/>
                <w:szCs w:val="20"/>
                <w:color w:val="auto"/>
              </w:rPr>
            </w:pPr>
            <w:r>
              <w:rPr>
                <w:rFonts w:ascii="Arial" w:cs="Arial" w:eastAsia="Arial" w:hAnsi="Arial"/>
                <w:sz w:val="20"/>
                <w:szCs w:val="20"/>
                <w:color w:val="auto"/>
              </w:rPr>
              <w:t>Item 16.</w:t>
            </w:r>
          </w:p>
        </w:tc>
        <w:tc>
          <w:tcPr>
            <w:tcW w:w="3540" w:type="dxa"/>
            <w:vAlign w:val="bottom"/>
            <w:tcBorders>
              <w:top w:val="single" w:sz="8" w:color="0000EE"/>
            </w:tcBorders>
            <w:gridSpan w:val="12"/>
          </w:tcPr>
          <w:p>
            <w:pPr>
              <w:spacing w:after="0" w:line="216" w:lineRule="exact"/>
              <w:rPr>
                <w:rFonts w:ascii="Arial" w:cs="Arial" w:eastAsia="Arial" w:hAnsi="Arial"/>
                <w:sz w:val="20"/>
                <w:szCs w:val="20"/>
                <w:color w:val="0000EE"/>
              </w:rPr>
            </w:pPr>
            <w:hyperlink w:anchor="page194">
              <w:r>
                <w:rPr>
                  <w:rFonts w:ascii="Arial" w:cs="Arial" w:eastAsia="Arial" w:hAnsi="Arial"/>
                  <w:sz w:val="20"/>
                  <w:szCs w:val="20"/>
                  <w:color w:val="0000EE"/>
                </w:rPr>
                <w:t>Form 10-K Summary</w:t>
              </w:r>
            </w:hyperlink>
          </w:p>
        </w:tc>
        <w:tc>
          <w:tcPr>
            <w:tcW w:w="4580" w:type="dxa"/>
            <w:vAlign w:val="bottom"/>
            <w:gridSpan w:val="12"/>
          </w:tcPr>
          <w:p>
            <w:pPr>
              <w:spacing w:after="0"/>
              <w:rPr>
                <w:sz w:val="18"/>
                <w:szCs w:val="18"/>
                <w:color w:val="auto"/>
              </w:rPr>
            </w:pPr>
          </w:p>
        </w:tc>
        <w:tc>
          <w:tcPr>
            <w:tcW w:w="2200" w:type="dxa"/>
            <w:vAlign w:val="bottom"/>
          </w:tcPr>
          <w:p>
            <w:pPr>
              <w:jc w:val="center"/>
              <w:spacing w:after="0" w:line="216" w:lineRule="exact"/>
              <w:rPr>
                <w:sz w:val="20"/>
                <w:szCs w:val="20"/>
                <w:color w:val="auto"/>
              </w:rPr>
            </w:pPr>
            <w:r>
              <w:rPr>
                <w:rFonts w:ascii="Arial" w:cs="Arial" w:eastAsia="Arial" w:hAnsi="Arial"/>
                <w:sz w:val="20"/>
                <w:szCs w:val="20"/>
                <w:color w:val="auto"/>
                <w:w w:val="89"/>
              </w:rPr>
              <w:t>194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320" w:type="dxa"/>
            <w:vAlign w:val="bottom"/>
            <w:gridSpan w:val="3"/>
          </w:tcPr>
          <w:p>
            <w:pPr>
              <w:spacing w:after="0" w:line="216" w:lineRule="exact"/>
              <w:rPr>
                <w:rFonts w:ascii="Arial" w:cs="Arial" w:eastAsia="Arial" w:hAnsi="Arial"/>
                <w:sz w:val="20"/>
                <w:szCs w:val="20"/>
                <w:color w:val="0000EE"/>
                <w:w w:val="99"/>
              </w:rPr>
            </w:pPr>
            <w:hyperlink w:anchor="page195">
              <w:r>
                <w:rPr>
                  <w:rFonts w:ascii="Arial" w:cs="Arial" w:eastAsia="Arial" w:hAnsi="Arial"/>
                  <w:sz w:val="20"/>
                  <w:szCs w:val="20"/>
                  <w:color w:val="0000EE"/>
                  <w:w w:val="99"/>
                </w:rPr>
                <w:t>SIGNATURES</w:t>
              </w:r>
            </w:hyperlink>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0" w:type="dxa"/>
            <w:vAlign w:val="bottom"/>
          </w:tcPr>
          <w:p>
            <w:pPr>
              <w:jc w:val="center"/>
              <w:spacing w:after="0" w:line="216" w:lineRule="exact"/>
              <w:rPr>
                <w:sz w:val="20"/>
                <w:szCs w:val="20"/>
                <w:color w:val="auto"/>
              </w:rPr>
            </w:pPr>
            <w:r>
              <w:rPr>
                <w:rFonts w:ascii="Arial" w:cs="Arial" w:eastAsia="Arial" w:hAnsi="Arial"/>
                <w:sz w:val="20"/>
                <w:szCs w:val="20"/>
                <w:color w:val="auto"/>
                <w:w w:val="89"/>
              </w:rPr>
              <w:t>195-196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84"/>
        </w:trPr>
        <w:tc>
          <w:tcPr>
            <w:tcW w:w="1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4660" w:type="dxa"/>
            <w:vAlign w:val="bottom"/>
            <w:gridSpan w:val="15"/>
          </w:tcPr>
          <w:p>
            <w:pPr>
              <w:jc w:val="center"/>
              <w:ind w:left="4040"/>
              <w:spacing w:after="0"/>
              <w:rPr>
                <w:sz w:val="20"/>
                <w:szCs w:val="20"/>
                <w:color w:val="auto"/>
              </w:rPr>
            </w:pPr>
            <w:r>
              <w:rPr>
                <w:rFonts w:ascii="Arial" w:cs="Arial" w:eastAsia="Arial" w:hAnsi="Arial"/>
                <w:sz w:val="18"/>
                <w:szCs w:val="18"/>
                <w:color w:val="auto"/>
                <w:w w:val="79"/>
              </w:rPr>
              <w:t>3</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1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15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22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100" w:right="21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20"/>
          <w:szCs w:val="20"/>
          <w:b w:val="1"/>
          <w:bCs w:val="1"/>
          <w:color w:val="auto"/>
        </w:rPr>
        <w:t>PART I</w:t>
      </w:r>
    </w:p>
    <w:p>
      <w:pPr>
        <w:spacing w:after="0" w:line="217" w:lineRule="exact"/>
        <w:rPr>
          <w:sz w:val="20"/>
          <w:szCs w:val="20"/>
          <w:color w:val="auto"/>
        </w:rPr>
      </w:pPr>
    </w:p>
    <w:p>
      <w:pPr>
        <w:spacing w:after="0"/>
        <w:tabs>
          <w:tab w:leader="none" w:pos="1160" w:val="left"/>
        </w:tabs>
        <w:rPr>
          <w:sz w:val="20"/>
          <w:szCs w:val="20"/>
          <w:color w:val="auto"/>
        </w:rPr>
      </w:pPr>
      <w:r>
        <w:rPr>
          <w:rFonts w:ascii="Arial" w:cs="Arial" w:eastAsia="Arial" w:hAnsi="Arial"/>
          <w:sz w:val="20"/>
          <w:szCs w:val="20"/>
          <w:b w:val="1"/>
          <w:bCs w:val="1"/>
          <w:color w:val="auto"/>
        </w:rPr>
        <w:t>Item 1.</w:t>
      </w:r>
      <w:r>
        <w:rPr>
          <w:sz w:val="20"/>
          <w:szCs w:val="20"/>
          <w:color w:val="auto"/>
        </w:rPr>
        <w:tab/>
      </w:r>
      <w:r>
        <w:rPr>
          <w:rFonts w:ascii="Arial" w:cs="Arial" w:eastAsia="Arial" w:hAnsi="Arial"/>
          <w:sz w:val="16"/>
          <w:szCs w:val="16"/>
          <w:b w:val="1"/>
          <w:bCs w:val="1"/>
          <w:i w:val="1"/>
          <w:iCs w:val="1"/>
          <w:color w:val="auto"/>
        </w:rPr>
        <w:t>Business</w:t>
      </w:r>
      <w:r>
        <w:rPr>
          <w:rFonts w:ascii="Arial" w:cs="Arial" w:eastAsia="Arial" w:hAnsi="Arial"/>
          <w:sz w:val="16"/>
          <w:szCs w:val="16"/>
          <w:b w:val="1"/>
          <w:bCs w:val="1"/>
          <w:color w:val="auto"/>
        </w:rPr>
        <w:t>.</w:t>
      </w:r>
    </w:p>
    <w:p>
      <w:pPr>
        <w:spacing w:after="0" w:line="116" w:lineRule="exact"/>
        <w:rPr>
          <w:sz w:val="20"/>
          <w:szCs w:val="20"/>
          <w:color w:val="auto"/>
        </w:rPr>
      </w:pPr>
    </w:p>
    <w:p>
      <w:pPr>
        <w:ind w:right="160"/>
        <w:spacing w:after="0" w:line="263" w:lineRule="auto"/>
        <w:rPr>
          <w:sz w:val="20"/>
          <w:szCs w:val="20"/>
          <w:color w:val="auto"/>
        </w:rPr>
      </w:pPr>
      <w:r>
        <w:rPr>
          <w:rFonts w:ascii="Arial" w:cs="Arial" w:eastAsia="Arial" w:hAnsi="Arial"/>
          <w:sz w:val="19"/>
          <w:szCs w:val="19"/>
          <w:color w:val="auto"/>
        </w:rPr>
        <w:t>M&amp;T Bank Corporation (“Registrant” or “M&amp;T”) is a New York business corporation which is registered as a financial holding company under the Bank Holding Company Act of 1956, as amended (“BHCA”) and as a bank holding company (“BHC”) under Article III-A of the New York Banking Law (“Banking Law”). The principal executive offices of M&amp;T are located at One M&amp;T Plaza, Buffalo, New York 14203. M&amp;T was incorporated in November 1969. M&amp;T and its direct and indirect subsidiaries are collectively referred to herein as the “Company.” As of December 31, 2017 the Company had consolidated total assets of $118.6 billion, deposits of $92.4 billion and shareholders’ equity of $16.3 billion. The Company had 15,913 full-time and 881 part-time employees as of December 31, 2017.</w:t>
      </w:r>
    </w:p>
    <w:p>
      <w:pPr>
        <w:ind w:right="80" w:firstLine="598"/>
        <w:spacing w:after="0" w:line="246" w:lineRule="auto"/>
        <w:rPr>
          <w:sz w:val="20"/>
          <w:szCs w:val="20"/>
          <w:color w:val="auto"/>
        </w:rPr>
      </w:pPr>
      <w:r>
        <w:rPr>
          <w:rFonts w:ascii="Arial" w:cs="Arial" w:eastAsia="Arial" w:hAnsi="Arial"/>
          <w:sz w:val="20"/>
          <w:szCs w:val="20"/>
          <w:color w:val="auto"/>
        </w:rPr>
        <w:t>At December 31, 2017, M&amp;T had two wholly owned bank subsidiaries: Manufacturers and Traders Trust Company (“M&amp;T Bank”) and Wilmington Trust, National Association (“Wilmington Trust, N.A.”). The banks collectively offer a wide range of retail and commercial banking, trust and wealth management, and investment services to their customers. At December 31, 2017, M&amp;T Bank represented 99% of consolidated assets of the Company.</w:t>
      </w:r>
    </w:p>
    <w:p>
      <w:pPr>
        <w:spacing w:after="0" w:line="3" w:lineRule="exact"/>
        <w:rPr>
          <w:sz w:val="20"/>
          <w:szCs w:val="20"/>
          <w:color w:val="auto"/>
        </w:rPr>
      </w:pPr>
    </w:p>
    <w:p>
      <w:pPr>
        <w:ind w:right="140" w:firstLine="598"/>
        <w:spacing w:after="0" w:line="250" w:lineRule="auto"/>
        <w:rPr>
          <w:sz w:val="20"/>
          <w:szCs w:val="20"/>
          <w:color w:val="auto"/>
        </w:rPr>
      </w:pPr>
      <w:r>
        <w:rPr>
          <w:rFonts w:ascii="Arial" w:cs="Arial" w:eastAsia="Arial" w:hAnsi="Arial"/>
          <w:sz w:val="20"/>
          <w:szCs w:val="20"/>
          <w:color w:val="auto"/>
        </w:rPr>
        <w:t>The Company from time to time considers acquiring banks, thrift institutions, branch offices of banks or thrift institutions, or other businesses within markets currently served by the Company or in other locations that would complement the Company’s business or its geographic reach. The Company has pursued acquisition opportunities in the past, continues to review different opportunities, including the possibility of major acquisitions, and intends to continue this practice.</w:t>
      </w:r>
    </w:p>
    <w:p>
      <w:pPr>
        <w:spacing w:after="0" w:line="2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Subsidiaries</w:t>
      </w:r>
    </w:p>
    <w:p>
      <w:pPr>
        <w:spacing w:after="0" w:line="29" w:lineRule="exact"/>
        <w:rPr>
          <w:sz w:val="20"/>
          <w:szCs w:val="20"/>
          <w:color w:val="auto"/>
        </w:rPr>
      </w:pPr>
    </w:p>
    <w:p>
      <w:pPr>
        <w:spacing w:after="0" w:line="261" w:lineRule="auto"/>
        <w:rPr>
          <w:sz w:val="20"/>
          <w:szCs w:val="20"/>
          <w:color w:val="auto"/>
        </w:rPr>
      </w:pPr>
      <w:r>
        <w:rPr>
          <w:rFonts w:ascii="Arial" w:cs="Arial" w:eastAsia="Arial" w:hAnsi="Arial"/>
          <w:sz w:val="19"/>
          <w:szCs w:val="19"/>
          <w:color w:val="auto"/>
        </w:rPr>
        <w:t>M&amp;T Bank is a banking corporation that is incorporated under the laws of the State of New York. M&amp;T Bank is a member of the Federal Reserve System and the Federal Home Loan Bank System, and its deposits are insured by the Federal Deposit Insurance Corporation (“FDIC”) up to applicable limits. M&amp;T acquired all of the issued and outstanding shares of the capital stock of M&amp;T Bank in December 1969. The stock of M&amp;T Bank represents a major asset of M&amp;T. M&amp;T Bank operates under a charter granted by the State of New York in 1892, and the continuity of its banking business is traced to the organization of the Manufacturers and Traders Bank in 1856. The principal executive offices of M&amp;T Bank are located at One M&amp;T Plaza, Buffalo, New York 14203. As of December 31, 2017, M&amp;T Bank had 780 domestic banking offices located in New York State, Maryland, New Jersey, Pennsylvania, Delaware, Connecticut, Virginia, West Virginia, and the District of Columbia, a full-service commercial banking office in Ontario, Canada, and an office in George Town, Cayman Islands. As of December 31, 2017, M&amp;T Bank had consolidated total assets of $118.1 billion, deposits of $94.4 billion and shareholder’s equity of $14.3 billion. The deposit liabilities of M&amp;T Bank are insured by the FDIC through its Deposit Insurance Fund (“DIF”). As a commercial bank, M&amp;T Bank offers a broad range of financial services to a diverse base of consumers, businesses, professional clients, governmental entities and financial institutions located in its markets. Lending is largely focused on consumers residing in New York State, Maryland, New Jersey, Pennsylvania, Delaware, Connecticut, Virginia, West Virginia, and Washington, D.C., and on small and medium-size businesses based in those areas, although loans are originated through offices in other states and in Ontario, Canada. In addition, the Company conducts lending activities in various states through other subsidiaries. Trust and other fiduciary services are offered by M&amp;T Bank and through its wholly owned subsidiary, Wilmington Trust Company. M&amp;T Bank and certain of its subsidiaries also offer commercial mortgage loans secured by income producing properties or properties used by borrowers in a trade or business. Additional financial services are provided through other operating subsidiaries of the Company.</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sectPr>
      </w:pPr>
    </w:p>
    <w:bookmarkStart w:id="4" w:name="page5"/>
    <w:bookmarkEnd w:id="4"/>
    <w:p>
      <w:pPr>
        <w:ind w:firstLine="598"/>
        <w:spacing w:after="0" w:line="249" w:lineRule="auto"/>
        <w:rPr>
          <w:sz w:val="20"/>
          <w:szCs w:val="20"/>
          <w:color w:val="auto"/>
        </w:rPr>
      </w:pPr>
      <w:r>
        <w:rPr>
          <w:rFonts w:ascii="Arial" w:cs="Arial" w:eastAsia="Arial" w:hAnsi="Arial"/>
          <w:sz w:val="20"/>
          <w:szCs w:val="20"/>
          <w:color w:val="auto"/>
        </w:rPr>
        <w:t>Wilmington Trust, N.A., a national banking association and a member of the Federal Reserve System and the FDIC, commenced operations on October 2, 1995. The deposit liabilities of Wilmington Trust, N.A. are insured by the FDIC through the DIF. The main office of Wilmington Trust, N.A. is located at 1100 North Market Street, Wilmington, Delaware 19890. Wilmington Trust, N.A. offers various trust and wealth management services. Historically, Wilmington Trust, N.A. offered selected deposit and loan products on a nationwide basis, through direct mail, telephone marketing techniques and the Internet. As of December 31, 2017, Wilmington Trust, N.A. had total assets of $5.0 billion, deposits of $4.4 billion and shareholder’s equity of $530 million.</w:t>
      </w:r>
    </w:p>
    <w:p>
      <w:pPr>
        <w:spacing w:after="0" w:line="5" w:lineRule="exact"/>
        <w:rPr>
          <w:sz w:val="20"/>
          <w:szCs w:val="20"/>
          <w:color w:val="auto"/>
        </w:rPr>
      </w:pPr>
    </w:p>
    <w:p>
      <w:pPr>
        <w:ind w:right="20" w:firstLine="598"/>
        <w:spacing w:after="0" w:line="259" w:lineRule="auto"/>
        <w:rPr>
          <w:sz w:val="20"/>
          <w:szCs w:val="20"/>
          <w:color w:val="auto"/>
        </w:rPr>
      </w:pPr>
      <w:r>
        <w:rPr>
          <w:rFonts w:ascii="Arial" w:cs="Arial" w:eastAsia="Arial" w:hAnsi="Arial"/>
          <w:sz w:val="19"/>
          <w:szCs w:val="19"/>
          <w:color w:val="auto"/>
        </w:rPr>
        <w:t>Wilmington Trust Company, a wholly owned subsidiary of M&amp;T Bank, was incorporated as a Delaware bank and trust company in March 1901 and amended its charter in July 2011 to become a nondepository trust company. Wilmington Trust Company provides a variety of Delaware based trust, fiduciary and custodial services to its clients. As of December 31, 2017, Wilmington Trust Company had total assets of $1.1 billion and shareholder’s equity of $572 million. Revenues of Wilmington Trust Company were $134 million in 2017. The headquarters of Wilmington Trust Company are located at 1100 North Market Street, Wilmington, Delaware 19890.</w:t>
      </w:r>
    </w:p>
    <w:p>
      <w:pPr>
        <w:spacing w:after="0" w:line="4" w:lineRule="exact"/>
        <w:rPr>
          <w:sz w:val="20"/>
          <w:szCs w:val="20"/>
          <w:color w:val="auto"/>
        </w:rPr>
      </w:pPr>
    </w:p>
    <w:p>
      <w:pPr>
        <w:ind w:right="260" w:firstLine="598"/>
        <w:spacing w:after="0" w:line="246" w:lineRule="auto"/>
        <w:rPr>
          <w:sz w:val="20"/>
          <w:szCs w:val="20"/>
          <w:color w:val="auto"/>
        </w:rPr>
      </w:pPr>
      <w:r>
        <w:rPr>
          <w:rFonts w:ascii="Arial" w:cs="Arial" w:eastAsia="Arial" w:hAnsi="Arial"/>
          <w:sz w:val="20"/>
          <w:szCs w:val="20"/>
          <w:color w:val="auto"/>
        </w:rPr>
        <w:t>M&amp;T Insurance Agency, Inc. (“M&amp;T Insurance Agency”), a wholly owned insurance agency subsidiary of M&amp;T Bank, was incorporated as a New York corporation in March 1955. M&amp;T Insurance Agency provides insurance agency services principally to the commercial market. As of December 31, 2017, M&amp;T Insurance Agency had assets of $41 million and shareholder’s equity of $20 million. M&amp;T Insurance Agency recorded revenues of $32 million during 2017. The headquarters of M&amp;T Insurance Agency are located at 285 Delaware Avenue, Buffalo, New York 14202.</w:t>
      </w:r>
    </w:p>
    <w:p>
      <w:pPr>
        <w:spacing w:after="0" w:line="4" w:lineRule="exact"/>
        <w:rPr>
          <w:sz w:val="20"/>
          <w:szCs w:val="20"/>
          <w:color w:val="auto"/>
        </w:rPr>
      </w:pPr>
    </w:p>
    <w:p>
      <w:pPr>
        <w:ind w:right="80" w:firstLine="598"/>
        <w:spacing w:after="0" w:line="259" w:lineRule="auto"/>
        <w:rPr>
          <w:sz w:val="20"/>
          <w:szCs w:val="20"/>
          <w:color w:val="auto"/>
        </w:rPr>
      </w:pPr>
      <w:r>
        <w:rPr>
          <w:rFonts w:ascii="Arial" w:cs="Arial" w:eastAsia="Arial" w:hAnsi="Arial"/>
          <w:sz w:val="19"/>
          <w:szCs w:val="19"/>
          <w:color w:val="auto"/>
        </w:rPr>
        <w:t>M&amp;T Real Estate Trust (“M&amp;T Real Estate”) is a Maryland Real Estate Investment Trust that traces its origin to the incorporation of M&amp;T Real Estate, Inc. in July 1995. M&amp;T Real Estate engages in commercial real estate lending and provides loan servicing to M&amp;T Bank. As of December 31, 2017, M&amp;T Real Estate had assets of $26.5 billion, common shareholder’s equity of $25.7 billion, and preferred shareholders’ equity, consisting of 9% fixed rate preferred stock (par value $1,000), of $1 million. All of the outstanding common stock and 89% of the preferred stock of M&amp;T Real Estate is owned by M&amp;T Bank. The remaining 11% of M&amp;T Real Estate’s outstanding preferred stock is owned by officers or former officers of the Company. M&amp;T Real Estate recorded $997 million of revenue in 2017. The headquarters of M&amp;T Real Estate are located at M&amp;T Center, One Fountain Plaza, Buffalo, New York 14203.</w:t>
      </w:r>
    </w:p>
    <w:p>
      <w:pPr>
        <w:spacing w:after="0" w:line="5" w:lineRule="exact"/>
        <w:rPr>
          <w:sz w:val="20"/>
          <w:szCs w:val="20"/>
          <w:color w:val="auto"/>
        </w:rPr>
      </w:pPr>
    </w:p>
    <w:p>
      <w:pPr>
        <w:ind w:right="420" w:firstLine="598"/>
        <w:spacing w:after="0" w:line="246" w:lineRule="auto"/>
        <w:rPr>
          <w:sz w:val="20"/>
          <w:szCs w:val="20"/>
          <w:color w:val="auto"/>
        </w:rPr>
      </w:pPr>
      <w:r>
        <w:rPr>
          <w:rFonts w:ascii="Arial" w:cs="Arial" w:eastAsia="Arial" w:hAnsi="Arial"/>
          <w:sz w:val="20"/>
          <w:szCs w:val="20"/>
          <w:color w:val="auto"/>
        </w:rPr>
        <w:t>M&amp;T Realty Capital Corporation (“M&amp;T Realty Capital”), a wholly owned subsidiary of M&amp;T Bank, was incorporated as a Maryland corporation in October 1973. M&amp;T Realty Capital engages in multifamily commercial real estate lending and provides loan servicing to purchasers of the loans it originates. As of December 31, 2017, M&amp;T Realty Capital serviced $16.2 billion of commercial mortgage loans for non-affiliates and had assets of $812 million and shareholder’s equity of $151 million. M&amp;T Realty Capital recorded revenues of $145 million in 2017. The headquarters of M&amp;T Realty Capital are located at 25 South Charles Street, Baltimore, Maryland 21202.</w:t>
      </w:r>
    </w:p>
    <w:p>
      <w:pPr>
        <w:spacing w:after="0" w:line="5" w:lineRule="exact"/>
        <w:rPr>
          <w:sz w:val="20"/>
          <w:szCs w:val="20"/>
          <w:color w:val="auto"/>
        </w:rPr>
      </w:pPr>
    </w:p>
    <w:p>
      <w:pPr>
        <w:ind w:right="60" w:firstLine="598"/>
        <w:spacing w:after="0" w:line="248" w:lineRule="auto"/>
        <w:rPr>
          <w:sz w:val="20"/>
          <w:szCs w:val="20"/>
          <w:color w:val="auto"/>
        </w:rPr>
      </w:pPr>
      <w:r>
        <w:rPr>
          <w:rFonts w:ascii="Arial" w:cs="Arial" w:eastAsia="Arial" w:hAnsi="Arial"/>
          <w:sz w:val="20"/>
          <w:szCs w:val="20"/>
          <w:color w:val="auto"/>
        </w:rPr>
        <w:t>M&amp;T Securities, Inc. (“M&amp;T Securities”) is a wholly owned subsidiary of M&amp;T Bank that was incorporated as a New York business corporation in November 1985. M&amp;T Securities is registered as a broker/dealer under the Securities Exchange Act of 1934, as amended, and as an investment advisor under the Investment Advisors Act of 1940, as amended (the “Investment Advisors Act”). M&amp;T Securities is licensed as a life insurance agent in each state where M&amp;T Bank operates branch offices and in a number of other states. It provides securities brokerage, investment advisory and insurance services. As of December 31, 2017, M&amp;T Securities had assets of $53 million and shareholder’s equity of $45 million. M&amp;T Securities recorded $94 million of revenue during 2017. The headquarters of M&amp;T Securities are located at One M&amp;T Plaza, Buffalo, New York 14203.</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5" w:name="page6"/>
    <w:bookmarkEnd w:id="5"/>
    <w:p>
      <w:pPr>
        <w:ind w:right="40" w:firstLine="598"/>
        <w:spacing w:after="0" w:line="249" w:lineRule="auto"/>
        <w:rPr>
          <w:sz w:val="20"/>
          <w:szCs w:val="20"/>
          <w:color w:val="auto"/>
        </w:rPr>
      </w:pPr>
      <w:r>
        <w:rPr>
          <w:rFonts w:ascii="Arial" w:cs="Arial" w:eastAsia="Arial" w:hAnsi="Arial"/>
          <w:sz w:val="20"/>
          <w:szCs w:val="20"/>
          <w:color w:val="auto"/>
        </w:rPr>
        <w:t>Wilmington Trust Investment Advisors, Inc. (“WT Investment Advisors”), a wholly owned subsidiary of M&amp;T Bank, was incorporated as a Maryland corporation on June 30, 1995. WT Investment Advisors, a registered investment advisor under the Investment Advisors Act, serves as an investment advisor to the Wilmington Funds, a family of proprietary mutual funds, and institutional clients. As of December 31, 2017, WT Investment Advisors had assets of $48 million and shareholder’s equity of $42 million. WT Investment Advisors recorded revenues of $39 million in 2017. The headquarters of WT Investment Advisors are located at 100 East Pratt Street, Baltimore, Maryland 21202.</w:t>
      </w:r>
    </w:p>
    <w:p>
      <w:pPr>
        <w:spacing w:after="0" w:line="5" w:lineRule="exact"/>
        <w:rPr>
          <w:sz w:val="20"/>
          <w:szCs w:val="20"/>
          <w:color w:val="auto"/>
        </w:rPr>
      </w:pPr>
    </w:p>
    <w:p>
      <w:pPr>
        <w:ind w:right="140" w:firstLine="598"/>
        <w:spacing w:after="0" w:line="274" w:lineRule="auto"/>
        <w:rPr>
          <w:sz w:val="20"/>
          <w:szCs w:val="20"/>
          <w:color w:val="auto"/>
        </w:rPr>
      </w:pPr>
      <w:r>
        <w:rPr>
          <w:rFonts w:ascii="Arial" w:cs="Arial" w:eastAsia="Arial" w:hAnsi="Arial"/>
          <w:sz w:val="18"/>
          <w:szCs w:val="18"/>
          <w:color w:val="auto"/>
        </w:rPr>
        <w:t>Wilmington Funds Management Corporation (“Wilmington Funds Management”) is a wholly owned subsidiary of M&amp;T that was incorporated in September 1981 as a Delaware corporation. Wilmington Funds Management is registered as an investment advisor under the Investment Advisors Act and serves as an investment advisor to the Wilmington Funds. Wilmington Funds Management had assets and shareholder’s equity of $39 million each as of December 31, 2017. Wilmington Funds Management recorded revenues of $24 million in 2017. The headquarters of Wilmington Funds Management are located at 1100 North Market Street, Wilmington, Delaware 19890.</w:t>
      </w:r>
    </w:p>
    <w:p>
      <w:pPr>
        <w:spacing w:after="0" w:line="1" w:lineRule="exact"/>
        <w:rPr>
          <w:sz w:val="20"/>
          <w:szCs w:val="20"/>
          <w:color w:val="auto"/>
        </w:rPr>
      </w:pPr>
    </w:p>
    <w:p>
      <w:pPr>
        <w:ind w:right="100" w:firstLine="598"/>
        <w:spacing w:after="0" w:line="246" w:lineRule="auto"/>
        <w:rPr>
          <w:sz w:val="20"/>
          <w:szCs w:val="20"/>
          <w:color w:val="auto"/>
        </w:rPr>
      </w:pPr>
      <w:r>
        <w:rPr>
          <w:rFonts w:ascii="Arial" w:cs="Arial" w:eastAsia="Arial" w:hAnsi="Arial"/>
          <w:sz w:val="20"/>
          <w:szCs w:val="20"/>
          <w:color w:val="auto"/>
        </w:rPr>
        <w:t>Wilmington Trust Investment Management, LLC (“WTIM”) is a wholly owned subsidiary of M&amp;T and was incorporated in December 2001 as a Georgia limited liability company. WTIM is a registered investment advisor under the Investment Advisors Act and provides investment management services to clients, including certain private funds. As of December 31, 2017, WTIM has assets and shareholder’s equity of $25 million each. WTIM recorded revenues of $1 million in 2017. WTIM’s headquarters is located at Terminus 27</w:t>
      </w:r>
      <w:r>
        <w:rPr>
          <w:rFonts w:ascii="Arial" w:cs="Arial" w:eastAsia="Arial" w:hAnsi="Arial"/>
          <w:sz w:val="17"/>
          <w:szCs w:val="17"/>
          <w:color w:val="auto"/>
        </w:rPr>
        <w:t>th</w:t>
      </w:r>
      <w:r>
        <w:rPr>
          <w:rFonts w:ascii="Arial" w:cs="Arial" w:eastAsia="Arial" w:hAnsi="Arial"/>
          <w:sz w:val="20"/>
          <w:szCs w:val="20"/>
          <w:color w:val="auto"/>
        </w:rPr>
        <w:t xml:space="preserve"> Floor, 3280 Peachtree Road N.E., Atlanta, Georgia 30305.</w:t>
      </w:r>
    </w:p>
    <w:p>
      <w:pPr>
        <w:spacing w:after="0" w:line="4" w:lineRule="exact"/>
        <w:rPr>
          <w:sz w:val="20"/>
          <w:szCs w:val="20"/>
          <w:color w:val="auto"/>
        </w:rPr>
      </w:pPr>
    </w:p>
    <w:p>
      <w:pPr>
        <w:ind w:right="120" w:firstLine="598"/>
        <w:spacing w:after="0" w:line="251" w:lineRule="auto"/>
        <w:rPr>
          <w:sz w:val="20"/>
          <w:szCs w:val="20"/>
          <w:color w:val="auto"/>
        </w:rPr>
      </w:pPr>
      <w:r>
        <w:rPr>
          <w:rFonts w:ascii="Arial" w:cs="Arial" w:eastAsia="Arial" w:hAnsi="Arial"/>
          <w:sz w:val="20"/>
          <w:szCs w:val="20"/>
          <w:color w:val="auto"/>
        </w:rPr>
        <w:t>The Registrant and its banking subsidiaries have a number of other special-purpose or inactive subsidiaries. These other subsidiaries did not represent, individually and collectively, a significant portion of the Company’s consolidated assets, net income and shareholders’ equity at December 31, 2017.</w:t>
      </w:r>
    </w:p>
    <w:p>
      <w:pPr>
        <w:spacing w:after="0" w:line="2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Segment Information, Principal Products/Services and Foreign Operations</w:t>
      </w:r>
    </w:p>
    <w:p>
      <w:pPr>
        <w:spacing w:after="0" w:line="29"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Information about the Registrant’s business segments is included in note 22 of Notes to Financial Statements filed herewith in Part II, Item 8, “Financial Statements and Supplementary Data” and is further discussed in Part II, Item 7, “Management’s Discussion and Analysis of Financial Condition and Results of Operations.” The Registrant’s reportable segments have been determined based upon its internal profitability reporting system, which is organized by strategic business unit. Certain strategic business units have been combined for segment information reporting purposes where the nature of the products and services, the type of customer and the distribution of those products and services are similar. The reportable segments are Business Banking, Commercial Banking, Commercial Real Estate, Discretionary Portfolio, Residential Mortgage Banking and Retail Banking. The Company’s international activities are discussed in note 17 of Notes to Financial Statements filed herewith in Part II, Item 8, “Financial Statements and Supplementary Data.”</w:t>
      </w:r>
    </w:p>
    <w:p>
      <w:pPr>
        <w:spacing w:after="0" w:line="2" w:lineRule="exact"/>
        <w:rPr>
          <w:sz w:val="20"/>
          <w:szCs w:val="20"/>
          <w:color w:val="auto"/>
        </w:rPr>
      </w:pPr>
    </w:p>
    <w:p>
      <w:pPr>
        <w:ind w:firstLine="598"/>
        <w:spacing w:after="0" w:line="251" w:lineRule="auto"/>
        <w:rPr>
          <w:sz w:val="20"/>
          <w:szCs w:val="20"/>
          <w:color w:val="auto"/>
        </w:rPr>
      </w:pPr>
      <w:r>
        <w:rPr>
          <w:rFonts w:ascii="Arial" w:cs="Arial" w:eastAsia="Arial" w:hAnsi="Arial"/>
          <w:sz w:val="20"/>
          <w:szCs w:val="20"/>
          <w:color w:val="auto"/>
        </w:rPr>
        <w:t>The only activity that, as a class, contributed 10% or more of the sum of consolidated interest income and other income in any of the last three years was interest on loans. The amount of income from such sources during those years is set forth on the Company’s Consolidated Statement of Income filed herewith in Part II, Item 8, “Financial Statements and Supplementary Data.”</w:t>
      </w:r>
    </w:p>
    <w:p>
      <w:pPr>
        <w:spacing w:after="0" w:line="2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Supervision and Regulation of the Company</w:t>
      </w:r>
    </w:p>
    <w:p>
      <w:pPr>
        <w:spacing w:after="0" w:line="29" w:lineRule="exact"/>
        <w:rPr>
          <w:sz w:val="20"/>
          <w:szCs w:val="20"/>
          <w:color w:val="auto"/>
        </w:rPr>
      </w:pPr>
    </w:p>
    <w:p>
      <w:pPr>
        <w:ind w:right="40"/>
        <w:spacing w:after="0" w:line="251" w:lineRule="auto"/>
        <w:rPr>
          <w:sz w:val="20"/>
          <w:szCs w:val="20"/>
          <w:color w:val="auto"/>
        </w:rPr>
      </w:pPr>
      <w:r>
        <w:rPr>
          <w:rFonts w:ascii="Arial" w:cs="Arial" w:eastAsia="Arial" w:hAnsi="Arial"/>
          <w:sz w:val="20"/>
          <w:szCs w:val="20"/>
          <w:color w:val="auto"/>
        </w:rPr>
        <w:t>M&amp;T and its subsidiaries are subject to the comprehensive regulatory framework applicable to bank and financial holding companies and their subsidiaries. Regulation of financial institutions such as M&amp;T and its subsidiaries is intended primarily for the protection of depositors, the FDIC’s DIF and</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380"/>
          </w:cols>
          <w:pgMar w:left="240" w:top="126" w:right="279" w:bottom="1440" w:gutter="0" w:footer="0" w:header="0"/>
        </w:sectPr>
      </w:pPr>
    </w:p>
    <w:bookmarkStart w:id="6" w:name="page7"/>
    <w:bookmarkEnd w:id="6"/>
    <w:p>
      <w:pPr>
        <w:ind w:right="40"/>
        <w:spacing w:after="0" w:line="256" w:lineRule="auto"/>
        <w:rPr>
          <w:sz w:val="20"/>
          <w:szCs w:val="20"/>
          <w:color w:val="auto"/>
        </w:rPr>
      </w:pPr>
      <w:r>
        <w:rPr>
          <w:rFonts w:ascii="Arial" w:cs="Arial" w:eastAsia="Arial" w:hAnsi="Arial"/>
          <w:sz w:val="20"/>
          <w:szCs w:val="20"/>
          <w:color w:val="auto"/>
        </w:rPr>
        <w:t>the banking and financial system as a whole, and generally is not intended for the protection of shareholders, investors or creditors other than insured depositors.</w:t>
      </w:r>
    </w:p>
    <w:p>
      <w:pPr>
        <w:ind w:right="60" w:firstLine="598"/>
        <w:spacing w:after="0" w:line="274" w:lineRule="auto"/>
        <w:rPr>
          <w:sz w:val="20"/>
          <w:szCs w:val="20"/>
          <w:color w:val="auto"/>
        </w:rPr>
      </w:pPr>
      <w:r>
        <w:rPr>
          <w:rFonts w:ascii="Arial" w:cs="Arial" w:eastAsia="Arial" w:hAnsi="Arial"/>
          <w:sz w:val="18"/>
          <w:szCs w:val="18"/>
          <w:color w:val="auto"/>
        </w:rPr>
        <w:t>Proposals to change the applicable regulatory framework may be introduced in the United States Congress and state legislatures, as well as by regulatory agencies. Such initiatives may include proposals to expand or contract the powers of bank holding companies and depository institutions or proposals to substantially change the financial institution regulatory system. Such legislation could change banking statutes and the operating environment of the Company in substantial and unpredictable ways. If enacted, such legislation could increase or decrease the cost of doing business, limit or expand permissible activities or affect the competitive balance among banks, savings associations, credit unions, and other financial institutions. A change in statutes, regulations or regulatory policies applicable to M&amp;T or any of its subsidiaries could have a material effect on the business, financial condition or results of operations of the Company.</w:t>
      </w:r>
    </w:p>
    <w:p>
      <w:pPr>
        <w:spacing w:after="0" w:line="1" w:lineRule="exact"/>
        <w:rPr>
          <w:sz w:val="20"/>
          <w:szCs w:val="20"/>
          <w:color w:val="auto"/>
        </w:rPr>
      </w:pPr>
    </w:p>
    <w:p>
      <w:pPr>
        <w:ind w:left="600"/>
        <w:spacing w:after="0"/>
        <w:rPr>
          <w:sz w:val="20"/>
          <w:szCs w:val="20"/>
          <w:color w:val="auto"/>
        </w:rPr>
      </w:pPr>
      <w:r>
        <w:rPr>
          <w:rFonts w:ascii="Arial" w:cs="Arial" w:eastAsia="Arial" w:hAnsi="Arial"/>
          <w:sz w:val="19"/>
          <w:szCs w:val="19"/>
          <w:color w:val="auto"/>
        </w:rPr>
        <w:t>Significant changes in the regulatory scheme arose from the 2010 Dodd-Frank Wall Street Reform and Consumer Protection Act</w:t>
      </w:r>
    </w:p>
    <w:p>
      <w:pPr>
        <w:spacing w:after="0" w:line="18" w:lineRule="exact"/>
        <w:rPr>
          <w:sz w:val="20"/>
          <w:szCs w:val="20"/>
          <w:color w:val="auto"/>
        </w:rPr>
      </w:pPr>
    </w:p>
    <w:p>
      <w:pPr>
        <w:spacing w:after="0"/>
        <w:rPr>
          <w:sz w:val="20"/>
          <w:szCs w:val="20"/>
          <w:color w:val="auto"/>
        </w:rPr>
      </w:pPr>
      <w:r>
        <w:rPr>
          <w:rFonts w:ascii="Arial" w:cs="Arial" w:eastAsia="Arial" w:hAnsi="Arial"/>
          <w:sz w:val="19"/>
          <w:szCs w:val="19"/>
          <w:color w:val="auto"/>
        </w:rPr>
        <w:t>(“Dodd-Frank Act”) which is an extensive and comprehensive system of regulatory oversight that affects nearly all aspects of a financial</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institution, particularly having an effect on the lending, deposit, investment, trading and operating activities of financial institutions and their</w:t>
      </w:r>
    </w:p>
    <w:p>
      <w:pPr>
        <w:spacing w:after="0" w:line="30" w:lineRule="exact"/>
        <w:rPr>
          <w:sz w:val="20"/>
          <w:szCs w:val="20"/>
          <w:color w:val="auto"/>
        </w:rPr>
      </w:pPr>
    </w:p>
    <w:p>
      <w:pPr>
        <w:spacing w:after="0"/>
        <w:rPr>
          <w:sz w:val="20"/>
          <w:szCs w:val="20"/>
          <w:color w:val="auto"/>
        </w:rPr>
      </w:pPr>
      <w:r>
        <w:rPr>
          <w:rFonts w:ascii="Arial" w:cs="Arial" w:eastAsia="Arial" w:hAnsi="Arial"/>
          <w:sz w:val="19"/>
          <w:szCs w:val="19"/>
          <w:color w:val="auto"/>
        </w:rPr>
        <w:t>holding companies. As required by the Dodd-Frank Act, various federal regulatory agencies proposed or adopted a broad range of</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color w:val="auto"/>
        </w:rPr>
        <w:t>implementing rules and regulations that are subject to further rulemaking, guidance and interpretation by the applicable federal</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regulators. However, given that many of these regulatory changes are highly complex and are not completely implemented, the full impact</w:t>
      </w:r>
    </w:p>
    <w:p>
      <w:pPr>
        <w:spacing w:after="0" w:line="30" w:lineRule="exact"/>
        <w:rPr>
          <w:sz w:val="20"/>
          <w:szCs w:val="20"/>
          <w:color w:val="auto"/>
        </w:rPr>
      </w:pPr>
    </w:p>
    <w:p>
      <w:pPr>
        <w:spacing w:after="0"/>
        <w:rPr>
          <w:sz w:val="20"/>
          <w:szCs w:val="20"/>
          <w:color w:val="auto"/>
        </w:rPr>
      </w:pPr>
      <w:r>
        <w:rPr>
          <w:rFonts w:ascii="Arial" w:cs="Arial" w:eastAsia="Arial" w:hAnsi="Arial"/>
          <w:sz w:val="19"/>
          <w:szCs w:val="19"/>
          <w:color w:val="auto"/>
        </w:rPr>
        <w:t>of the Dodd-Frank Act regulatory reform, both on consumers and M&amp;T, will not be known until the rules are implemented and market</w:t>
      </w:r>
    </w:p>
    <w:p>
      <w:pPr>
        <w:spacing w:after="0" w:line="18" w:lineRule="exact"/>
        <w:rPr>
          <w:sz w:val="20"/>
          <w:szCs w:val="20"/>
          <w:color w:val="auto"/>
        </w:rPr>
      </w:pPr>
    </w:p>
    <w:p>
      <w:pPr>
        <w:spacing w:after="0"/>
        <w:rPr>
          <w:sz w:val="20"/>
          <w:szCs w:val="20"/>
          <w:color w:val="auto"/>
        </w:rPr>
      </w:pPr>
      <w:r>
        <w:rPr>
          <w:rFonts w:ascii="Arial" w:cs="Arial" w:eastAsia="Arial" w:hAnsi="Arial"/>
          <w:sz w:val="19"/>
          <w:szCs w:val="19"/>
          <w:color w:val="auto"/>
        </w:rPr>
        <w:t>practices develop under the final regulations. Furthermore, political developments, including the change in administration in the United</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States, have added uncertainty to the implementation, scope and timing of regulatory reforms, including those relating to the implementation</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of the Dodd-Frank Act.</w:t>
      </w:r>
    </w:p>
    <w:p>
      <w:pPr>
        <w:spacing w:after="0" w:line="7" w:lineRule="exact"/>
        <w:rPr>
          <w:sz w:val="20"/>
          <w:szCs w:val="20"/>
          <w:color w:val="auto"/>
        </w:rPr>
      </w:pPr>
    </w:p>
    <w:p>
      <w:pPr>
        <w:ind w:firstLine="598"/>
        <w:spacing w:after="0" w:line="251" w:lineRule="auto"/>
        <w:rPr>
          <w:sz w:val="20"/>
          <w:szCs w:val="20"/>
          <w:color w:val="auto"/>
        </w:rPr>
      </w:pPr>
      <w:r>
        <w:rPr>
          <w:rFonts w:ascii="Arial" w:cs="Arial" w:eastAsia="Arial" w:hAnsi="Arial"/>
          <w:sz w:val="20"/>
          <w:szCs w:val="20"/>
          <w:color w:val="auto"/>
        </w:rPr>
        <w:t>Described hereafter are material elements of the significant federal and state laws and regulations applicable to M&amp;T and its subsidiaries. The descriptions are not intended to be complete and are qualified in their entirety by reference to the full text of the statutes and regulations described and do not include any potential or proposed changes in current laws or regulations.</w:t>
      </w:r>
    </w:p>
    <w:p>
      <w:pPr>
        <w:spacing w:after="0" w:line="2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29" w:lineRule="exact"/>
        <w:rPr>
          <w:sz w:val="20"/>
          <w:szCs w:val="20"/>
          <w:color w:val="auto"/>
        </w:rPr>
      </w:pPr>
    </w:p>
    <w:p>
      <w:pPr>
        <w:ind w:right="20"/>
        <w:spacing w:after="0" w:line="261" w:lineRule="auto"/>
        <w:rPr>
          <w:sz w:val="20"/>
          <w:szCs w:val="20"/>
          <w:color w:val="auto"/>
        </w:rPr>
      </w:pPr>
      <w:r>
        <w:rPr>
          <w:rFonts w:ascii="Arial" w:cs="Arial" w:eastAsia="Arial" w:hAnsi="Arial"/>
          <w:sz w:val="19"/>
          <w:szCs w:val="19"/>
          <w:color w:val="auto"/>
        </w:rPr>
        <w:t>M&amp;T is registered with the Board of Governors of the Federal Reserve System (“Federal Reserve”) as a financial holding company and BHC under the BHCA. As such, M&amp;T and its subsidiaries are subject to the supervision, examination and reporting requirements of the BHCA and the regulations of the Federal Reserve. In addition, M&amp;T’s banking subsidiaries are subject to regulation, supervision and examination by, as applicable, the New York State Department of Financial Services (“NYSDFS”), the Office of the Comptroller of the Currency (“OCC”), the FDIC and the Federal Reserve and their consumer financial products and services are regulated by the Consumer Financial Protection Bureau (“CFPB”). Further, financial services entities such as M&amp;T’s investment advisor subsidiaries and M&amp;T’s broker-dealer are subject to regulation by the Securities and Exchange Commission (“SEC”), the Financial Industry Regulatory Authority (“FINRA”), and the Securities Investor Protection Corporation (“SIPC”), among others. Other non-bank affiliates and activities, particularly insurance brokerage and agency activities, are subject to other federal and state laws and regulations as well as licensing and regulation by state insurance and bank regulatory agencies. Although the scope of regulation and form of supervision may vary from state to state, insurance laws generally grant broad discretion to regulatory authorities in adopting regulations and supervising regulated activities. This supervision generally includes the licensing of insurance brokers and agents and the regulation of the handling of customer funds held in a fiduciary capacity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7" w:name="page8"/>
    <w:bookmarkEnd w:id="7"/>
    <w:p>
      <w:pPr>
        <w:ind w:right="380"/>
        <w:spacing w:after="0" w:line="253" w:lineRule="auto"/>
        <w:rPr>
          <w:sz w:val="20"/>
          <w:szCs w:val="20"/>
          <w:color w:val="auto"/>
        </w:rPr>
      </w:pPr>
      <w:r>
        <w:rPr>
          <w:rFonts w:ascii="Arial" w:cs="Arial" w:eastAsia="Arial" w:hAnsi="Arial"/>
          <w:sz w:val="20"/>
          <w:szCs w:val="20"/>
          <w:color w:val="auto"/>
        </w:rPr>
        <w:t>as well as regulations requiring, among other things, maintenance of capital, record keeping, and reporting. M&amp;T’s non-U.S. (European) businesses are subject to bank secrecy/anti-money laundering/know your customer-type regulations by non-U.S. regulators in the jurisdictions where those businesses operate.</w:t>
      </w:r>
    </w:p>
    <w:p>
      <w:pPr>
        <w:ind w:right="100" w:firstLine="598"/>
        <w:spacing w:after="0" w:line="274" w:lineRule="auto"/>
        <w:rPr>
          <w:sz w:val="20"/>
          <w:szCs w:val="20"/>
          <w:color w:val="auto"/>
        </w:rPr>
      </w:pPr>
      <w:r>
        <w:rPr>
          <w:rFonts w:ascii="Arial" w:cs="Arial" w:eastAsia="Arial" w:hAnsi="Arial"/>
          <w:sz w:val="18"/>
          <w:szCs w:val="18"/>
          <w:color w:val="auto"/>
        </w:rPr>
        <w:t>In general, the BHCA limits the business of a BHC to banking, managing or controlling banks, and other activities that the Federal Reserve has determined to be so closely related to banking as to be a proper incident thereto. In addition, bank holding companies are expected to serve as a managerial and financial source of strength to their subsidiary depository institutions, including committing resources to support such subsidiaries. This support may be required at times when M&amp;T may not be inclined or able to provide it. In addition, any capital loans by a BHC to a subsidiary bank are subordinate in right of payment to deposits and to certain other indebtedness of such subsidiary bank. In the event of a BHC’s bankruptcy, any commitment by the BHC to a federal bank regulatory agency to maintain the capital of a subsidiary bank will be assumed by the bankruptcy trustee and entitled to a priority of payment.</w:t>
      </w:r>
    </w:p>
    <w:p>
      <w:pPr>
        <w:spacing w:after="0" w:line="1" w:lineRule="exact"/>
        <w:rPr>
          <w:sz w:val="20"/>
          <w:szCs w:val="20"/>
          <w:color w:val="auto"/>
        </w:rPr>
      </w:pPr>
    </w:p>
    <w:p>
      <w:pPr>
        <w:ind w:firstLine="598"/>
        <w:spacing w:after="0" w:line="259" w:lineRule="auto"/>
        <w:rPr>
          <w:sz w:val="20"/>
          <w:szCs w:val="20"/>
          <w:color w:val="auto"/>
        </w:rPr>
      </w:pPr>
      <w:r>
        <w:rPr>
          <w:rFonts w:ascii="Arial" w:cs="Arial" w:eastAsia="Arial" w:hAnsi="Arial"/>
          <w:sz w:val="19"/>
          <w:szCs w:val="19"/>
          <w:color w:val="auto"/>
        </w:rPr>
        <w:t>Bank holding companies that qualify and elect to be financial holding companies may engage in any activity, or acquire and retain the shares of a company engaged in any activity, that is either (i) financial in nature or incidental to such financial activity (as determined by the Federal Reserve, by regulation or order, in consultation with the Secretary of the Treasury) or (ii) complementary to a financial activity and does not pose a substantial risk to the safety and soundness of depository institutions or the financial system generally (as solely determined by the Federal Reserve). Activities that are financial in nature include securities underwriting and dealing, insurance underwriting and merchant banking. In order for a financial holding company to commence any new activity or to acquire a company engaged in any activity pursuant to the financial holding company provisions of the BHCA, each insured depository institution subsidiary of the financial holding company must have at least a “satisfactory” rating under the Community Reinvestment Act of 1977 (the “CRA”). See the section captioned “Community Reinvestment Act” included elsewhere in this discussion.</w:t>
      </w:r>
    </w:p>
    <w:p>
      <w:pPr>
        <w:spacing w:after="0" w:line="6" w:lineRule="exact"/>
        <w:rPr>
          <w:sz w:val="20"/>
          <w:szCs w:val="20"/>
          <w:color w:val="auto"/>
        </w:rPr>
      </w:pPr>
    </w:p>
    <w:p>
      <w:pPr>
        <w:jc w:val="both"/>
        <w:ind w:right="140" w:firstLine="598"/>
        <w:spacing w:after="0" w:line="274" w:lineRule="auto"/>
        <w:rPr>
          <w:sz w:val="20"/>
          <w:szCs w:val="20"/>
          <w:color w:val="auto"/>
        </w:rPr>
      </w:pPr>
      <w:r>
        <w:rPr>
          <w:rFonts w:ascii="Arial" w:cs="Arial" w:eastAsia="Arial" w:hAnsi="Arial"/>
          <w:sz w:val="18"/>
          <w:szCs w:val="18"/>
          <w:color w:val="auto"/>
        </w:rPr>
        <w:t>M&amp;T elected to become a financial holding company on March 1, 2011. To maintain financial holding company status, a financial holding company and all of its depository institution subsidiaries must be “well capitalized” and “well managed.” The failure to meet such requirements could result in material restrictions on the activities of M&amp;T and may also adversely affect the Company’s ability to enter into certain transactions or obtain necessary approvals in connection therewith, as well as loss of financial holding company status.</w:t>
      </w:r>
    </w:p>
    <w:p>
      <w:pPr>
        <w:spacing w:after="0" w:line="1" w:lineRule="exact"/>
        <w:rPr>
          <w:sz w:val="20"/>
          <w:szCs w:val="20"/>
          <w:color w:val="auto"/>
        </w:rPr>
      </w:pPr>
    </w:p>
    <w:p>
      <w:pPr>
        <w:jc w:val="both"/>
        <w:ind w:right="80" w:firstLine="598"/>
        <w:spacing w:after="0" w:line="259" w:lineRule="auto"/>
        <w:rPr>
          <w:sz w:val="20"/>
          <w:szCs w:val="20"/>
          <w:color w:val="auto"/>
        </w:rPr>
      </w:pPr>
      <w:r>
        <w:rPr>
          <w:rFonts w:ascii="Arial" w:cs="Arial" w:eastAsia="Arial" w:hAnsi="Arial"/>
          <w:sz w:val="19"/>
          <w:szCs w:val="19"/>
          <w:color w:val="auto"/>
        </w:rPr>
        <w:t>Current federal law also establishes a system of functional regulation under which, in addition to the broad supervisory authority that the Federal Reserve has over both the banking and non-banking activities of bank holding companies, functional regulators such as the SEC regulate their affiliates’ securities activities and state insurance regulators regulate their insurance activities.</w:t>
      </w:r>
    </w:p>
    <w:p>
      <w:pPr>
        <w:spacing w:after="0" w:line="2" w:lineRule="exact"/>
        <w:rPr>
          <w:sz w:val="20"/>
          <w:szCs w:val="20"/>
          <w:color w:val="auto"/>
        </w:rPr>
      </w:pPr>
    </w:p>
    <w:p>
      <w:pPr>
        <w:ind w:right="160" w:firstLine="598"/>
        <w:spacing w:after="0" w:line="274" w:lineRule="auto"/>
        <w:rPr>
          <w:sz w:val="20"/>
          <w:szCs w:val="20"/>
          <w:color w:val="auto"/>
        </w:rPr>
      </w:pPr>
      <w:r>
        <w:rPr>
          <w:rFonts w:ascii="Arial" w:cs="Arial" w:eastAsia="Arial" w:hAnsi="Arial"/>
          <w:sz w:val="18"/>
          <w:szCs w:val="18"/>
          <w:color w:val="auto"/>
        </w:rPr>
        <w:t>M&amp;T Bank is a New York chartered bank and a member of the Federal Reserve Bank of New York (“FRBNY”). As a result, it is subject to extensive regulation, examination and oversight by the NYSDFS and the FRBNY. New York laws and regulations govern many aspects of M&amp;T Bank’s operations, including branching, dividends, subsidiary activities, fiduciary activities, lending, and deposit taking. M&amp;T Bank is also subject to Federal Reserve regulations and guidance, including oversight of capital levels. Its deposits are insured by the FDIC to $250,000 per depositor, which also exercises regulatory oversight over certain aspects of M&amp;T Bank’s operations. Certain subsidiaries of M&amp;T Bank are subject to regulation by other federal and state regulators as well. For example, M&amp;T Securities is regulated by the SEC, FINRA, SIPC, and state securities regulators, and WT Investment Advisors is also subject to SEC regulation.</w:t>
      </w:r>
    </w:p>
    <w:p>
      <w:pPr>
        <w:spacing w:after="0" w:line="1" w:lineRule="exact"/>
        <w:rPr>
          <w:sz w:val="20"/>
          <w:szCs w:val="20"/>
          <w:color w:val="auto"/>
        </w:rPr>
      </w:pPr>
    </w:p>
    <w:p>
      <w:pPr>
        <w:ind w:right="600" w:firstLine="598"/>
        <w:spacing w:after="0" w:line="256" w:lineRule="auto"/>
        <w:rPr>
          <w:sz w:val="20"/>
          <w:szCs w:val="20"/>
          <w:color w:val="auto"/>
        </w:rPr>
      </w:pPr>
      <w:r>
        <w:rPr>
          <w:rFonts w:ascii="Arial" w:cs="Arial" w:eastAsia="Arial" w:hAnsi="Arial"/>
          <w:sz w:val="20"/>
          <w:szCs w:val="20"/>
          <w:color w:val="auto"/>
        </w:rPr>
        <w:t>Wilmington Trust, N.A. is a national bank with operations that include fiduciary and related activities with limited lending and deposit business. It is subject to extensive regulation, examination</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00"/>
          </w:cols>
          <w:pgMar w:left="240" w:top="126" w:right="259" w:bottom="1440" w:gutter="0" w:footer="0" w:header="0"/>
        </w:sectPr>
      </w:pPr>
    </w:p>
    <w:bookmarkStart w:id="8" w:name="page9"/>
    <w:bookmarkEnd w:id="8"/>
    <w:p>
      <w:pPr>
        <w:ind w:right="80"/>
        <w:spacing w:after="0" w:line="253" w:lineRule="auto"/>
        <w:rPr>
          <w:sz w:val="20"/>
          <w:szCs w:val="20"/>
          <w:color w:val="auto"/>
        </w:rPr>
      </w:pPr>
      <w:r>
        <w:rPr>
          <w:rFonts w:ascii="Arial" w:cs="Arial" w:eastAsia="Arial" w:hAnsi="Arial"/>
          <w:sz w:val="20"/>
          <w:szCs w:val="20"/>
          <w:color w:val="auto"/>
        </w:rPr>
        <w:t>and oversight by the OCC which governs many aspects of the operations, including fiduciary activities, capital levels, office locations, dividends and subsidiary activities. Its deposits are insured by the FDIC to $250,000 per depositor, which also exercises regulatory oversight over certain aspects of the operations of Wilmington Trust, N.A.</w:t>
      </w:r>
    </w:p>
    <w:p>
      <w:pPr>
        <w:ind w:right="260" w:firstLine="598"/>
        <w:spacing w:after="0" w:line="251" w:lineRule="auto"/>
        <w:rPr>
          <w:sz w:val="20"/>
          <w:szCs w:val="20"/>
          <w:color w:val="auto"/>
        </w:rPr>
      </w:pPr>
      <w:r>
        <w:rPr>
          <w:rFonts w:ascii="Arial" w:cs="Arial" w:eastAsia="Arial" w:hAnsi="Arial"/>
          <w:sz w:val="20"/>
          <w:szCs w:val="20"/>
          <w:color w:val="auto"/>
        </w:rPr>
        <w:t>The Dodd-Frank Act broadened the base for FDIC insurance assessments which are based on average consolidated total assets less average Tier 1 capital and certain allowable deductions of a financial institution. The Dodd-Frank Act also permanently increased the maximum amount of deposit insurance for banks, savings institutions and credit unions.</w:t>
      </w:r>
    </w:p>
    <w:p>
      <w:pPr>
        <w:spacing w:after="0" w:line="2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Distributions</w:t>
      </w:r>
    </w:p>
    <w:p>
      <w:pPr>
        <w:spacing w:after="0" w:line="29"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M&amp;T is a legal entity separate and distinct from its banking and other subsidiaries. Historically, the majority of M&amp;T’s revenue has been from dividends paid to M&amp;T by its subsidiary banks. M&amp;T Bank and Wilmington Trust, N.A. are subject to laws and regulations imposing restrictions on the amount of dividends they may declare and pay. Future dividend payments to M&amp;T by its subsidiary banks will be dependent on a number of factors, including the earnings and financial condition of each such bank, and are subject to the limitations referred to in note 23 of Notes to Financial Statements filed herewith in Part II, Item 8, “Financial Statements and Supplementary Data,” and to other statutory powers of bank regulatory agencies.</w:t>
      </w:r>
    </w:p>
    <w:p>
      <w:pPr>
        <w:spacing w:after="0" w:line="5" w:lineRule="exact"/>
        <w:rPr>
          <w:sz w:val="20"/>
          <w:szCs w:val="20"/>
          <w:color w:val="auto"/>
        </w:rPr>
      </w:pPr>
    </w:p>
    <w:p>
      <w:pPr>
        <w:ind w:right="160" w:firstLine="598"/>
        <w:spacing w:after="0" w:line="246" w:lineRule="auto"/>
        <w:rPr>
          <w:sz w:val="20"/>
          <w:szCs w:val="20"/>
          <w:color w:val="auto"/>
        </w:rPr>
      </w:pPr>
      <w:r>
        <w:rPr>
          <w:rFonts w:ascii="Arial" w:cs="Arial" w:eastAsia="Arial" w:hAnsi="Arial"/>
          <w:sz w:val="20"/>
          <w:szCs w:val="20"/>
          <w:color w:val="auto"/>
        </w:rPr>
        <w:t>An insured depository institution is prohibited from making any capital distribution to its owner, including any dividend, if, after making such distribution, the depository institution fails to meet the required minimum level for any relevant capital measure, including the risk-based capital adequacy and leverage standards discussed herein.</w:t>
      </w:r>
    </w:p>
    <w:p>
      <w:pPr>
        <w:spacing w:after="0" w:line="2" w:lineRule="exact"/>
        <w:rPr>
          <w:sz w:val="20"/>
          <w:szCs w:val="20"/>
          <w:color w:val="auto"/>
        </w:rPr>
      </w:pPr>
    </w:p>
    <w:p>
      <w:pPr>
        <w:ind w:firstLine="598"/>
        <w:spacing w:after="0" w:line="250" w:lineRule="auto"/>
        <w:rPr>
          <w:sz w:val="20"/>
          <w:szCs w:val="20"/>
          <w:color w:val="auto"/>
        </w:rPr>
      </w:pPr>
      <w:r>
        <w:rPr>
          <w:rFonts w:ascii="Arial" w:cs="Arial" w:eastAsia="Arial" w:hAnsi="Arial"/>
          <w:sz w:val="20"/>
          <w:szCs w:val="20"/>
          <w:color w:val="auto"/>
        </w:rPr>
        <w:t>Dividend payments by M&amp;T to its shareholders and common stock repurchases by M&amp;T are subject to the oversight of the Federal Reserve. As described below in this section under “Stress Testing and Capital Plan Review,” dividends and common stock repurchases (net of any new stock issuances as per a capital plan) generally may only be paid or made under a capital plan as to which the Federal Reserve has not objected.</w:t>
      </w:r>
    </w:p>
    <w:p>
      <w:pPr>
        <w:spacing w:after="0" w:line="2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Capital Requirements</w:t>
      </w:r>
    </w:p>
    <w:p>
      <w:pPr>
        <w:spacing w:after="0" w:line="29"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M&amp;T and its subsidiary banks are required to comply with applicable capital adequacy standards established by the federal banking agencies. Beginning on January 1, 2015, M&amp;T and its subsidiary banks became subject to a new comprehensive capital framework for U.S. banking organizations that was issued by the federal banking agencies in July 2013 (the “New Capital Rules”), subject to phase-in periods for certain components and other provisions.</w:t>
      </w:r>
    </w:p>
    <w:p>
      <w:pPr>
        <w:spacing w:after="0" w:line="3" w:lineRule="exact"/>
        <w:rPr>
          <w:sz w:val="20"/>
          <w:szCs w:val="20"/>
          <w:color w:val="auto"/>
        </w:rPr>
      </w:pPr>
    </w:p>
    <w:p>
      <w:pPr>
        <w:ind w:right="40" w:firstLine="598"/>
        <w:spacing w:after="0" w:line="246" w:lineRule="auto"/>
        <w:rPr>
          <w:sz w:val="20"/>
          <w:szCs w:val="20"/>
          <w:color w:val="auto"/>
        </w:rPr>
      </w:pPr>
      <w:r>
        <w:rPr>
          <w:rFonts w:ascii="Arial" w:cs="Arial" w:eastAsia="Arial" w:hAnsi="Arial"/>
          <w:sz w:val="20"/>
          <w:szCs w:val="20"/>
          <w:color w:val="auto"/>
        </w:rPr>
        <w:t>The New Capital Rules generally implement the Basel Committee’s December 2010 final capital framework referred to as “Basel III” for strengthening international capital standards. The New Capital Rules substantially revised the risk-based capital requirements applicable to bank holding companies and their depository institution subsidiaries, including M&amp;T, M&amp;T Bank and Wilmington Trust, N.A., as compared to the U.S. general risk-based capital rules that were applicable to the Company through December 31, 2014. The New Capital Rules revised the definitions and the components of regulatory capital, as well as addressed other issues affecting the numerator in banking institutions’ regulatory capital ratios. The New Capital Rules also addressed asset risk weights and other matters affecting the denominator in banking institutions’ regulatory capital ratios.</w:t>
      </w:r>
    </w:p>
    <w:p>
      <w:pPr>
        <w:spacing w:after="0" w:line="5" w:lineRule="exact"/>
        <w:rPr>
          <w:sz w:val="20"/>
          <w:szCs w:val="20"/>
          <w:color w:val="auto"/>
        </w:rPr>
      </w:pPr>
    </w:p>
    <w:p>
      <w:pPr>
        <w:ind w:right="120" w:firstLine="598"/>
        <w:spacing w:after="0" w:line="250" w:lineRule="auto"/>
        <w:rPr>
          <w:sz w:val="20"/>
          <w:szCs w:val="20"/>
          <w:color w:val="auto"/>
        </w:rPr>
      </w:pPr>
      <w:r>
        <w:rPr>
          <w:rFonts w:ascii="Arial" w:cs="Arial" w:eastAsia="Arial" w:hAnsi="Arial"/>
          <w:sz w:val="20"/>
          <w:szCs w:val="20"/>
          <w:color w:val="auto"/>
        </w:rPr>
        <w:t>Among other matters, the New Capital Rules: (i) introduced a capital measure called “Common Equity Tier 1” (“CET1”) and related regulatory capital ratio of CET1 to risk-weighted assets; (ii) specify that Tier 1 capital consists of CET1 and “Additional Tier 1 capital” instruments meeting certain revised requirements; (iii) mandate that most deductions/adjustments to regulatory capital measures be made to CET1 and not to the other components of capital; and (iv) expand the scope of</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9" w:name="page10"/>
    <w:bookmarkEnd w:id="9"/>
    <w:p>
      <w:pPr>
        <w:ind w:right="100"/>
        <w:spacing w:after="0" w:line="251" w:lineRule="auto"/>
        <w:rPr>
          <w:sz w:val="20"/>
          <w:szCs w:val="20"/>
          <w:color w:val="auto"/>
        </w:rPr>
      </w:pPr>
      <w:r>
        <w:rPr>
          <w:rFonts w:ascii="Arial" w:cs="Arial" w:eastAsia="Arial" w:hAnsi="Arial"/>
          <w:sz w:val="20"/>
          <w:szCs w:val="20"/>
          <w:color w:val="auto"/>
        </w:rPr>
        <w:t>the deductions from and adjustments to capital as compared to the previous regulations. Under the New Capital Rules, for most banking organizations, including M&amp;T, the most common form of Additional Tier 1 capital is non-cumulative perpetual preferred stock and the most common forms of Tier 2 capital are subordinated notes and a portion of the allowance for loan and lease losses, in each case, subject to the New Capital Rules’ specific requirements.</w:t>
      </w:r>
    </w:p>
    <w:p>
      <w:pPr>
        <w:spacing w:after="0" w:line="2" w:lineRule="exact"/>
        <w:rPr>
          <w:sz w:val="20"/>
          <w:szCs w:val="20"/>
          <w:color w:val="auto"/>
        </w:rPr>
      </w:pPr>
    </w:p>
    <w:p>
      <w:pPr>
        <w:ind w:left="600"/>
        <w:spacing w:after="0"/>
        <w:rPr>
          <w:sz w:val="20"/>
          <w:szCs w:val="20"/>
          <w:color w:val="auto"/>
        </w:rPr>
      </w:pPr>
      <w:r>
        <w:rPr>
          <w:rFonts w:ascii="Arial" w:cs="Arial" w:eastAsia="Arial" w:hAnsi="Arial"/>
          <w:sz w:val="20"/>
          <w:szCs w:val="20"/>
          <w:color w:val="auto"/>
        </w:rPr>
        <w:t>Pursuant to the New Capital Rules, the minimum capital ratios are as follows:</w:t>
      </w:r>
    </w:p>
    <w:p>
      <w:pPr>
        <w:spacing w:after="0" w:line="7" w:lineRule="exact"/>
        <w:rPr>
          <w:sz w:val="20"/>
          <w:szCs w:val="20"/>
          <w:color w:val="auto"/>
        </w:rPr>
      </w:pPr>
    </w:p>
    <w:p>
      <w:pPr>
        <w:ind w:left="1180" w:hanging="584"/>
        <w:spacing w:after="0"/>
        <w:tabs>
          <w:tab w:leader="none" w:pos="1180" w:val="left"/>
        </w:tabs>
        <w:numPr>
          <w:ilvl w:val="0"/>
          <w:numId w:val="7"/>
        </w:numPr>
        <w:rPr>
          <w:rFonts w:ascii="Arial" w:cs="Arial" w:eastAsia="Arial" w:hAnsi="Arial"/>
          <w:sz w:val="20"/>
          <w:szCs w:val="20"/>
          <w:color w:val="auto"/>
        </w:rPr>
      </w:pPr>
      <w:r>
        <w:rPr>
          <w:rFonts w:ascii="Arial" w:cs="Arial" w:eastAsia="Arial" w:hAnsi="Arial"/>
          <w:sz w:val="20"/>
          <w:szCs w:val="20"/>
          <w:color w:val="auto"/>
        </w:rPr>
        <w:t>4.5% CET1 to risk-weighted assets;</w:t>
      </w:r>
    </w:p>
    <w:p>
      <w:pPr>
        <w:spacing w:after="0" w:line="6" w:lineRule="exact"/>
        <w:rPr>
          <w:rFonts w:ascii="Arial" w:cs="Arial" w:eastAsia="Arial" w:hAnsi="Arial"/>
          <w:sz w:val="20"/>
          <w:szCs w:val="20"/>
          <w:color w:val="auto"/>
        </w:rPr>
      </w:pPr>
    </w:p>
    <w:p>
      <w:pPr>
        <w:ind w:left="1180" w:hanging="584"/>
        <w:spacing w:after="0"/>
        <w:tabs>
          <w:tab w:leader="none" w:pos="1180" w:val="left"/>
        </w:tabs>
        <w:numPr>
          <w:ilvl w:val="0"/>
          <w:numId w:val="7"/>
        </w:numPr>
        <w:rPr>
          <w:rFonts w:ascii="Arial" w:cs="Arial" w:eastAsia="Arial" w:hAnsi="Arial"/>
          <w:sz w:val="20"/>
          <w:szCs w:val="20"/>
          <w:color w:val="auto"/>
        </w:rPr>
      </w:pPr>
      <w:r>
        <w:rPr>
          <w:rFonts w:ascii="Arial" w:cs="Arial" w:eastAsia="Arial" w:hAnsi="Arial"/>
          <w:sz w:val="20"/>
          <w:szCs w:val="20"/>
          <w:color w:val="auto"/>
        </w:rPr>
        <w:t>6.0% Tier 1 capital (that is, CET1 plus Additional Tier 1 capital) to risk-weighted assets;</w:t>
      </w:r>
    </w:p>
    <w:p>
      <w:pPr>
        <w:spacing w:after="0" w:line="6" w:lineRule="exact"/>
        <w:rPr>
          <w:rFonts w:ascii="Arial" w:cs="Arial" w:eastAsia="Arial" w:hAnsi="Arial"/>
          <w:sz w:val="20"/>
          <w:szCs w:val="20"/>
          <w:color w:val="auto"/>
        </w:rPr>
      </w:pPr>
    </w:p>
    <w:p>
      <w:pPr>
        <w:ind w:left="1180" w:hanging="584"/>
        <w:spacing w:after="0"/>
        <w:tabs>
          <w:tab w:leader="none" w:pos="1180" w:val="left"/>
        </w:tabs>
        <w:numPr>
          <w:ilvl w:val="0"/>
          <w:numId w:val="7"/>
        </w:numPr>
        <w:rPr>
          <w:rFonts w:ascii="Arial" w:cs="Arial" w:eastAsia="Arial" w:hAnsi="Arial"/>
          <w:sz w:val="20"/>
          <w:szCs w:val="20"/>
          <w:color w:val="auto"/>
        </w:rPr>
      </w:pPr>
      <w:r>
        <w:rPr>
          <w:rFonts w:ascii="Arial" w:cs="Arial" w:eastAsia="Arial" w:hAnsi="Arial"/>
          <w:sz w:val="20"/>
          <w:szCs w:val="20"/>
          <w:color w:val="auto"/>
        </w:rPr>
        <w:t>8.0% Total capital (that is, Tier 1 capital plus Tier 2 capital) to risk-weighted assets; and</w:t>
      </w:r>
    </w:p>
    <w:p>
      <w:pPr>
        <w:spacing w:after="0" w:line="6" w:lineRule="exact"/>
        <w:rPr>
          <w:rFonts w:ascii="Arial" w:cs="Arial" w:eastAsia="Arial" w:hAnsi="Arial"/>
          <w:sz w:val="20"/>
          <w:szCs w:val="20"/>
          <w:color w:val="auto"/>
        </w:rPr>
      </w:pPr>
    </w:p>
    <w:p>
      <w:pPr>
        <w:ind w:left="1180" w:right="300" w:hanging="584"/>
        <w:spacing w:after="0" w:line="256" w:lineRule="auto"/>
        <w:tabs>
          <w:tab w:leader="none" w:pos="1180" w:val="left"/>
        </w:tabs>
        <w:numPr>
          <w:ilvl w:val="0"/>
          <w:numId w:val="7"/>
        </w:numPr>
        <w:rPr>
          <w:rFonts w:ascii="Arial" w:cs="Arial" w:eastAsia="Arial" w:hAnsi="Arial"/>
          <w:sz w:val="20"/>
          <w:szCs w:val="20"/>
          <w:color w:val="auto"/>
        </w:rPr>
      </w:pPr>
      <w:r>
        <w:rPr>
          <w:rFonts w:ascii="Arial" w:cs="Arial" w:eastAsia="Arial" w:hAnsi="Arial"/>
          <w:sz w:val="20"/>
          <w:szCs w:val="20"/>
          <w:color w:val="auto"/>
        </w:rPr>
        <w:t>4.0% Tier 1 capital to average consolidated assets as reported on consolidated financial statements (known as the “leverage ratio”).</w:t>
      </w:r>
    </w:p>
    <w:p>
      <w:pPr>
        <w:spacing w:after="0" w:line="175" w:lineRule="exact"/>
        <w:rPr>
          <w:sz w:val="20"/>
          <w:szCs w:val="20"/>
          <w:color w:val="auto"/>
        </w:rPr>
      </w:pPr>
    </w:p>
    <w:p>
      <w:pPr>
        <w:jc w:val="both"/>
        <w:ind w:right="80" w:firstLine="598"/>
        <w:spacing w:after="0" w:line="266" w:lineRule="auto"/>
        <w:rPr>
          <w:sz w:val="20"/>
          <w:szCs w:val="20"/>
          <w:color w:val="auto"/>
        </w:rPr>
      </w:pPr>
      <w:r>
        <w:rPr>
          <w:rFonts w:ascii="Arial" w:cs="Arial" w:eastAsia="Arial" w:hAnsi="Arial"/>
          <w:sz w:val="19"/>
          <w:szCs w:val="19"/>
          <w:color w:val="auto"/>
        </w:rPr>
        <w:t>In calculating regulatory capital ratios M&amp;T must assign risk weights to the Company’s assets and off-balance sheet items. M&amp;T has an ongoing process to review data elements associated with certain assets that from time to time may affect how specific assets are classified and could lead to increases or decreases of the regulatory risk weights assigned to such assets.</w:t>
      </w:r>
    </w:p>
    <w:p>
      <w:pPr>
        <w:spacing w:after="0" w:line="1" w:lineRule="exact"/>
        <w:rPr>
          <w:sz w:val="20"/>
          <w:szCs w:val="20"/>
          <w:color w:val="auto"/>
        </w:rPr>
      </w:pPr>
    </w:p>
    <w:p>
      <w:pPr>
        <w:ind w:right="100" w:firstLine="598"/>
        <w:spacing w:after="0" w:line="274" w:lineRule="auto"/>
        <w:rPr>
          <w:sz w:val="20"/>
          <w:szCs w:val="20"/>
          <w:color w:val="auto"/>
        </w:rPr>
      </w:pPr>
      <w:r>
        <w:rPr>
          <w:rFonts w:ascii="Arial" w:cs="Arial" w:eastAsia="Arial" w:hAnsi="Arial"/>
          <w:sz w:val="18"/>
          <w:szCs w:val="18"/>
          <w:color w:val="auto"/>
        </w:rPr>
        <w:t>The New Capital Rules also introduce a new “capital conservation buffer,” composed entirely of CET1, on top of these minimum risk-weighted asset ratios. The capital conservation buffer is designed to absorb losses during periods of economic stress. Banking institutions with a ratio of CET1 to risk-weighted assets above the minimum but below the capital conservation buffer will face constraints on dividends, equity and other capital instrument repurchases and compensation based on the amount of the shortfall. Thus, when fully phased-in on January 1, 2019, the capital standards applicable to M&amp;T will include an additional capital conservation buffer of 2.5% of CET1, effectively resulting in minimum ratios inclusive of the capital conservation buffer of (i) CET1 to risk-weighted assets of at least 7%,</w:t>
      </w:r>
    </w:p>
    <w:p>
      <w:pPr>
        <w:spacing w:after="0" w:line="1" w:lineRule="exact"/>
        <w:rPr>
          <w:sz w:val="20"/>
          <w:szCs w:val="20"/>
          <w:color w:val="auto"/>
        </w:rPr>
      </w:pPr>
    </w:p>
    <w:p>
      <w:pPr>
        <w:ind w:right="460" w:firstLine="5"/>
        <w:spacing w:after="0" w:line="274" w:lineRule="auto"/>
        <w:tabs>
          <w:tab w:leader="none" w:pos="293" w:val="left"/>
        </w:tabs>
        <w:numPr>
          <w:ilvl w:val="0"/>
          <w:numId w:val="8"/>
        </w:numPr>
        <w:rPr>
          <w:rFonts w:ascii="Arial" w:cs="Arial" w:eastAsia="Arial" w:hAnsi="Arial"/>
          <w:sz w:val="18"/>
          <w:szCs w:val="18"/>
          <w:color w:val="auto"/>
        </w:rPr>
      </w:pPr>
      <w:r>
        <w:rPr>
          <w:rFonts w:ascii="Arial" w:cs="Arial" w:eastAsia="Arial" w:hAnsi="Arial"/>
          <w:sz w:val="18"/>
          <w:szCs w:val="18"/>
          <w:color w:val="auto"/>
        </w:rPr>
        <w:t>Tier 1 capital to risk-weighted assets of at least 8.5%; (iii) Total capital to risk-weighted assets of at least 10.5% and (iv) a minimum leverage ratio of 4%, calculated as the ratio of Tier 1 capital to average assets. In addition, M&amp;T is also subject to the Federal Reserve’s capital plan rule and supervisory Comprehensive Capital Analysis and Review (“CCAR”) process, pursuant to which its ability to make capital distributions and repurchase or redeem capital securities may be limited unless M&amp;T is able to demonstrate its ability to meet applicable minimum capital ratios, as well as other requirements, over a nine quarter planning horizon under a “severely adverse” macroeconomic scenario generated yearly by the federal banking regulators. See “Stress Testing and Capital Plan Review” herein.</w:t>
      </w:r>
    </w:p>
    <w:p>
      <w:pPr>
        <w:spacing w:after="0" w:line="1" w:lineRule="exact"/>
        <w:rPr>
          <w:rFonts w:ascii="Arial" w:cs="Arial" w:eastAsia="Arial" w:hAnsi="Arial"/>
          <w:sz w:val="18"/>
          <w:szCs w:val="18"/>
          <w:color w:val="auto"/>
        </w:rPr>
      </w:pPr>
    </w:p>
    <w:p>
      <w:pPr>
        <w:ind w:right="60" w:firstLine="598"/>
        <w:spacing w:after="0" w:line="246" w:lineRule="auto"/>
        <w:rPr>
          <w:rFonts w:ascii="Arial" w:cs="Arial" w:eastAsia="Arial" w:hAnsi="Arial"/>
          <w:sz w:val="18"/>
          <w:szCs w:val="18"/>
          <w:color w:val="auto"/>
        </w:rPr>
      </w:pPr>
      <w:r>
        <w:rPr>
          <w:rFonts w:ascii="Arial" w:cs="Arial" w:eastAsia="Arial" w:hAnsi="Arial"/>
          <w:sz w:val="20"/>
          <w:szCs w:val="20"/>
          <w:color w:val="auto"/>
        </w:rPr>
        <w:t>The New Capital Rules provide for a number of deductions from and adjustments to CET1. These include, for example, the requirement that mortgage servicing rights, deferred tax assets arising from temporary differences that could not be realized through net operating loss carrybacks, and significant investments in non-consolidated financial entities be deducted from CET1 to the extent that any one such category exceeds 10% of CET1 or all such items, in the aggregate, exceed 15% of CET1, although a notice of proposed rulemaking is pending which may change these thresholds.</w:t>
      </w:r>
    </w:p>
    <w:p>
      <w:pPr>
        <w:spacing w:after="0" w:line="3" w:lineRule="exact"/>
        <w:rPr>
          <w:rFonts w:ascii="Arial" w:cs="Arial" w:eastAsia="Arial" w:hAnsi="Arial"/>
          <w:sz w:val="18"/>
          <w:szCs w:val="18"/>
          <w:color w:val="auto"/>
        </w:rPr>
      </w:pPr>
    </w:p>
    <w:p>
      <w:pPr>
        <w:ind w:firstLine="598"/>
        <w:spacing w:after="0" w:line="281" w:lineRule="auto"/>
        <w:rPr>
          <w:rFonts w:ascii="Arial" w:cs="Arial" w:eastAsia="Arial" w:hAnsi="Arial"/>
          <w:sz w:val="18"/>
          <w:szCs w:val="18"/>
          <w:color w:val="auto"/>
        </w:rPr>
      </w:pPr>
      <w:r>
        <w:rPr>
          <w:rFonts w:ascii="Arial" w:cs="Arial" w:eastAsia="Arial" w:hAnsi="Arial"/>
          <w:sz w:val="18"/>
          <w:szCs w:val="18"/>
          <w:color w:val="auto"/>
        </w:rPr>
        <w:t>In addition, under the risk-based capital rules applicable to the Company through December 31, 2014, the effects of accumulated other comprehensive income or loss (“AOCI”) items included in shareholders’ equity (for example, unrealized gains and losses on securities held in the available-for-sale portfolio) under U.S. GAAP were reversed for the purposes of determining regulatory capital ratios. Pursuant to the New Capital Rules, the effects of certain AOCI items are not excluded; however, non-advanced approaches banking organizations, including M&amp;T, were permitted to make a one-time permanent election to continue to exclude these items. M&amp;T made such election in 2015. The New Capital Rules also preclude certain hybrid securities, such as trust preferred securities, from</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0" w:name="page11"/>
    <w:bookmarkEnd w:id="10"/>
    <w:p>
      <w:pPr>
        <w:spacing w:after="0" w:line="251" w:lineRule="auto"/>
        <w:rPr>
          <w:sz w:val="20"/>
          <w:szCs w:val="20"/>
          <w:color w:val="auto"/>
        </w:rPr>
      </w:pPr>
      <w:r>
        <w:rPr>
          <w:rFonts w:ascii="Arial" w:cs="Arial" w:eastAsia="Arial" w:hAnsi="Arial"/>
          <w:sz w:val="20"/>
          <w:szCs w:val="20"/>
          <w:color w:val="auto"/>
        </w:rPr>
        <w:t>inclusion in bank holding companies’ Tier 1 capital, subject to phase-out in the case of bank holding companies, such as M&amp;T, that had $15 billion or more in total consolidated assets as of December 31, 2009. As a result, beginning in 2015, 25% of M&amp;T’s trust preferred securities were includable in Tier 1 capital, and beginning in 2016, none of M&amp;T’s trust preferred securities were includable in Tier 1 capital. Trust preferred securities no longer included in M&amp;T’s Tier 1 capital may nonetheless be included as a component of Tier 2 capital on a permanent basis without phase-out and irrespective of whether such securities otherwise meet the revised definition of Tier 2 capital set forth in the New Capital Rules. M&amp;T’s regulatory capital ratios are presented in note 23 of Notes to Financial Statements filed herewith in Part II, Item 8, “Financial Statements and Supplementary Data.”</w:t>
      </w: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Stress Testing and Capital Plan Review</w:t>
      </w:r>
    </w:p>
    <w:p>
      <w:pPr>
        <w:spacing w:after="0" w:line="29" w:lineRule="exact"/>
        <w:rPr>
          <w:sz w:val="20"/>
          <w:szCs w:val="20"/>
          <w:color w:val="auto"/>
        </w:rPr>
      </w:pPr>
    </w:p>
    <w:p>
      <w:pPr>
        <w:ind w:right="40"/>
        <w:spacing w:after="0" w:line="259" w:lineRule="auto"/>
        <w:rPr>
          <w:sz w:val="20"/>
          <w:szCs w:val="20"/>
          <w:color w:val="auto"/>
        </w:rPr>
      </w:pPr>
      <w:r>
        <w:rPr>
          <w:rFonts w:ascii="Arial" w:cs="Arial" w:eastAsia="Arial" w:hAnsi="Arial"/>
          <w:sz w:val="19"/>
          <w:szCs w:val="19"/>
          <w:color w:val="auto"/>
        </w:rPr>
        <w:t>As part of the enhanced prudential requirements applicable to systemically important financial institutions, the Federal Reserve conducts annual analyses of bank holding companies with at least $50 billion in assets, such as M&amp;T, to determine whether the companies have sufficient capital on a consolidated basis necessary to absorb losses in three economic and financial scenarios generated by the Federal Reserve: baseline, adverse and severely adverse scenarios. M&amp;T is also required to conduct its own stress analysis (together with the Federal Reserve’s stress analysis, the “stress tests”) to assess the potential impact on M&amp;T of the economic and financial conditions used as part of the Federal Reserve’s annual stress analysis. The Federal Reserve may also use, and require companies to use, additional components in the adverse and severely adverse scenarios or additional or more complex scenarios designed to capture salient risks to specific business groups. M&amp;T Bank is also required to conduct annual stress testing using the same economic and financial scenarios as M&amp;T and report the results to the Federal Reserve. A summary of results of the Federal Reserve’s analysis under the adverse and severely adverse stress scenarios are publicly disclosed, and bank holding companies subject to the rules, including M&amp;T, must disclose a summary of the company-run severely adverse stress test results. M&amp;T is required to include in its disclosure a summary of the severely adverse scenario stress test conducted by M&amp;T Bank.</w:t>
      </w:r>
    </w:p>
    <w:p>
      <w:pPr>
        <w:spacing w:after="0" w:line="9" w:lineRule="exact"/>
        <w:rPr>
          <w:sz w:val="20"/>
          <w:szCs w:val="20"/>
          <w:color w:val="auto"/>
        </w:rPr>
      </w:pPr>
    </w:p>
    <w:p>
      <w:pPr>
        <w:ind w:right="20" w:firstLine="598"/>
        <w:spacing w:after="0" w:line="261" w:lineRule="auto"/>
        <w:rPr>
          <w:sz w:val="20"/>
          <w:szCs w:val="20"/>
          <w:color w:val="auto"/>
        </w:rPr>
      </w:pPr>
      <w:r>
        <w:rPr>
          <w:rFonts w:ascii="Arial" w:cs="Arial" w:eastAsia="Arial" w:hAnsi="Arial"/>
          <w:sz w:val="19"/>
          <w:szCs w:val="19"/>
          <w:color w:val="auto"/>
        </w:rPr>
        <w:t>In addition, bank holding companies with total consolidated assets of $50 billion or more, such as M&amp;T, must submit annual capital plans for approval as part of the Federal Reserve’s CCAR process. Covered bank holding companies may execute capital actions, such as paying dividends and repurchasing stock, only in accordance with a capital plan that has been reviewed and approved by the Federal Reserve (or any approved amendments to such plan). The comprehensive capital plans include a view of capital adequacy under various scenarios — including a BHC-defined baseline scenario, a baseline scenario provided by the Federal Reserve, at least one BHC-defined stress scenario, and adverse and severely adverse scenarios provided by the Federal Reserve. The CCAR process is intended to help ensure that these bank holding companies have robust, forward-looking capital planning processes that account for each company’s unique risks and that permit continued operations during times of economic and financial stress. Each of the bank holding companies participating in the CCAR process is also required to collect and report certain related data to the Federal Reserve on a quarterly basis to allow the Federal Reserve to monitor progress against the approved capital plans. Each capital plan must include a view of capital adequacy under the stress test scenarios described above. The Federal Reserve may object to a capital plan if the plan does not show that the covered BHC will maintain sufficient regulatory capital ratios on a pro forma basis under expected and stressful conditions throughout the nine-quarter planning horizon covered by the capital plan. The rules also provide that a covered BHC may not make a capital distribution unless after giving effect to the distribution it will meet all minimum regulatory capital ratios. The CCAR rules, consistent with prior Federal Reserve guidance, also provide that capital plans contemplating</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00"/>
          </w:cols>
          <w:pgMar w:left="240" w:top="126" w:right="259" w:bottom="1440" w:gutter="0" w:footer="0" w:header="0"/>
        </w:sectPr>
      </w:pPr>
    </w:p>
    <w:bookmarkStart w:id="11" w:name="page12"/>
    <w:bookmarkEnd w:id="11"/>
    <w:p>
      <w:pPr>
        <w:ind w:right="260"/>
        <w:spacing w:after="0" w:line="253" w:lineRule="auto"/>
        <w:rPr>
          <w:sz w:val="20"/>
          <w:szCs w:val="20"/>
          <w:color w:val="auto"/>
        </w:rPr>
      </w:pPr>
      <w:r>
        <w:rPr>
          <w:rFonts w:ascii="Arial" w:cs="Arial" w:eastAsia="Arial" w:hAnsi="Arial"/>
          <w:sz w:val="20"/>
          <w:szCs w:val="20"/>
          <w:color w:val="auto"/>
        </w:rPr>
        <w:t>dividend payout ratios exceeding 30% of net income will receive particularly close scrutiny. M&amp;T’s annual CCAR capital plan is due in April each year and the Federal Reserve will publish the results of its supervisory CCAR review of M&amp;T’s capital plan by June 30 of each year.</w:t>
      </w:r>
    </w:p>
    <w:p>
      <w:pPr>
        <w:ind w:firstLine="598"/>
        <w:spacing w:after="0" w:line="261" w:lineRule="auto"/>
        <w:rPr>
          <w:sz w:val="20"/>
          <w:szCs w:val="20"/>
          <w:color w:val="auto"/>
        </w:rPr>
      </w:pPr>
      <w:r>
        <w:rPr>
          <w:rFonts w:ascii="Arial" w:cs="Arial" w:eastAsia="Arial" w:hAnsi="Arial"/>
          <w:sz w:val="19"/>
          <w:szCs w:val="19"/>
          <w:color w:val="auto"/>
        </w:rPr>
        <w:t xml:space="preserve">The Federal Reserve generally limits a BHC’s ability to make quarterly capital distributions – that is, dividends and share repurchases, if the amount of the BHC’s actual cumulative quarterly capital issuances of instruments that qualify as regulatory capital are less than the BHC had indicated in its submitted capital plan as to which it received a non-objection from the Federal Reserve. For example, if the BHC issued a smaller amount of additional common stock than it had stated in its capital plan, it would be required to reduce common dividends and/or the amount of common stock repurchases so that the dollar amount of capital distributions, net of the dollar amount of additional common stock issued (“net distributions”), is no greater than the dollar amount of net distributions relating to its common stock included in its capital plan, as measured on an aggregate basis beginning in the third quarter of the nine-quarter planning horizon through the end of the then current quarter. However, not raising sufficient amounts of common stock as planned would not affect distributions related to Additional Tier 1 Capital instruments and/ or Tier 2 Capital. These limitations also contain several important qualifications and exceptions, including that scheduled dividend payments on (as opposed to repurchases of) a BHC’s Additional Tier 1 Capital and Tier 2 Capital instruments are not restricted if the BHC fails to issue a sufficient amount of such instruments as planned, as well as provisions for certain </w:t>
      </w:r>
      <w:r>
        <w:rPr>
          <w:rFonts w:ascii="Arial" w:cs="Arial" w:eastAsia="Arial" w:hAnsi="Arial"/>
          <w:sz w:val="19"/>
          <w:szCs w:val="19"/>
          <w:i w:val="1"/>
          <w:iCs w:val="1"/>
          <w:color w:val="auto"/>
        </w:rPr>
        <w:t>de</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minimis </w:t>
      </w:r>
      <w:r>
        <w:rPr>
          <w:rFonts w:ascii="Arial" w:cs="Arial" w:eastAsia="Arial" w:hAnsi="Arial"/>
          <w:sz w:val="19"/>
          <w:szCs w:val="19"/>
          <w:color w:val="auto"/>
        </w:rPr>
        <w:t>excess distributions.</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w:t>
      </w:r>
    </w:p>
    <w:p>
      <w:pPr>
        <w:spacing w:after="0" w:line="29" w:lineRule="exact"/>
        <w:rPr>
          <w:sz w:val="20"/>
          <w:szCs w:val="20"/>
          <w:color w:val="auto"/>
        </w:rPr>
      </w:pPr>
    </w:p>
    <w:p>
      <w:pPr>
        <w:ind w:right="40"/>
        <w:spacing w:after="0" w:line="259" w:lineRule="auto"/>
        <w:rPr>
          <w:sz w:val="20"/>
          <w:szCs w:val="20"/>
          <w:color w:val="auto"/>
        </w:rPr>
      </w:pPr>
      <w:r>
        <w:rPr>
          <w:rFonts w:ascii="Arial" w:cs="Arial" w:eastAsia="Arial" w:hAnsi="Arial"/>
          <w:sz w:val="19"/>
          <w:szCs w:val="19"/>
          <w:color w:val="auto"/>
        </w:rPr>
        <w:t>Historically, regulation and monitoring of bank and BHC liquidity has been addressed as a supervisory matter, both in the U.S. and internationally, without required formulaic measures. However, in January 2016 M&amp;T became subject to final rules adopted by the Federal Reserve and other banking regulators (“Final LCR Rule”) implementing a U.S. version of the Basel Committee’s Liquidity Coverage Ratio (“LCR”) requirement. The LCR requirement is intended to ensure that banks hold sufficient amounts of so-called “high quality liquid assets” (“HQLA”) to cover the anticipated net cash outflows during a hypothetical acute 30-day stress scenario. The LCR is the ratio of an institution’s amount of HQLA (the numerator) over projected net cash out-flows over the 30-day horizon (the denominator), in each case, as calculated pursuant to the Final LCR Rule. The Final LCR Rule requires a subject institution to maintain an LCR equal to at least 100% in order to satisfy this regulatory requirement. Only specific classes of assets, including U.S. Treasury securities, other U.S. government obligations and agency mortgaged-backed securities, qualify under the rule as HQLA, with classes of assets deemed relatively less liquid and/or subject to greater degree of credit risk subject to certain haircuts and caps for purposes of calculating the numerator under the Final LCR Rule. The total net cash outflows amount is determined under the rule by applying prescribed hypothetical outflow and inflow rates, which reflect standardized stressed assumptions, against the balances of the banking organization’s funding sources, obligations, transactions and assets over the 30-day stress period. Inflows that can be included to offset outflows are limited to 75% of outflows (which effectively means that banking organizations must hold high-quality liquid assets equal to 25% of outflows even if outflows perfectly match inflows over the stress period). As of January 1, 2017, the Final LCR Rule has been fully phased-in and M&amp;T will be required to publicly disclose its LCR beginning in October 2018.</w:t>
      </w:r>
    </w:p>
    <w:p>
      <w:pPr>
        <w:spacing w:after="0" w:line="11" w:lineRule="exact"/>
        <w:rPr>
          <w:sz w:val="20"/>
          <w:szCs w:val="20"/>
          <w:color w:val="auto"/>
        </w:rPr>
      </w:pPr>
    </w:p>
    <w:p>
      <w:pPr>
        <w:ind w:right="220" w:firstLine="598"/>
        <w:spacing w:after="0" w:line="250" w:lineRule="auto"/>
        <w:rPr>
          <w:sz w:val="20"/>
          <w:szCs w:val="20"/>
          <w:color w:val="auto"/>
        </w:rPr>
      </w:pPr>
      <w:r>
        <w:rPr>
          <w:rFonts w:ascii="Arial" w:cs="Arial" w:eastAsia="Arial" w:hAnsi="Arial"/>
          <w:sz w:val="20"/>
          <w:szCs w:val="20"/>
          <w:color w:val="auto"/>
        </w:rPr>
        <w:t>The Basel III framework also included a second standard, referred to as the net stable funding ratio (“NSFR”), which is designed to promote more medium- and long-term funding of the assets and activities of banks over a one-year time horizon. In May 2016, the Federal Reserve and other federal banking regulators issued a proposed rule that would implement the NSFR for large U.S. banking organizations. Under the proposed rule, the most stringent requirements would apply to bank</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2" w:name="page13"/>
    <w:bookmarkEnd w:id="12"/>
    <w:p>
      <w:pPr>
        <w:ind w:right="20"/>
        <w:spacing w:after="0" w:line="249" w:lineRule="auto"/>
        <w:rPr>
          <w:sz w:val="20"/>
          <w:szCs w:val="20"/>
          <w:color w:val="auto"/>
        </w:rPr>
      </w:pPr>
      <w:r>
        <w:rPr>
          <w:rFonts w:ascii="Arial" w:cs="Arial" w:eastAsia="Arial" w:hAnsi="Arial"/>
          <w:sz w:val="20"/>
          <w:szCs w:val="20"/>
          <w:color w:val="auto"/>
        </w:rPr>
        <w:t>holding companies with $250 billion or more in total consolidated assets or $10 billion or more in on-balance sheet foreign exposure, and would require such organizations to maintain a minimum NSFR of 1.0 on an ongoing basis, calculated by dividing the organization’s available stable funding (“ASF”) by its required stable funding (“RSF”). Bank holding companies with less than $250 billion, but more than $50 billion, in total consolidated assets and less than $10 billion in on-balance sheet foreign exposure, such as M&amp;T, would be subject to a modified NSFR requirement. The modified requirement allows the qualifying bank to apply a 70% factor to the RSF denominator in determining the NSFR. Under the proposed rule, a banking organization’s ASF would be calculated by applying specified standard weightings to its equity and liabilities based on their expected stability over a one-year time horizon and its RSF would be calculated by applying specified standardized weightings to its assets, derivative exposures and commitments based on their liquidity characteristics over the same one-year time horizon. Originally proposed to take effect in January 2018, the rule is yet to be finalized with no indication of a new implementation date.</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Cross Guaranty Provision</w:t>
      </w:r>
    </w:p>
    <w:p>
      <w:pPr>
        <w:spacing w:after="0" w:line="29" w:lineRule="exact"/>
        <w:rPr>
          <w:sz w:val="20"/>
          <w:szCs w:val="20"/>
          <w:color w:val="auto"/>
        </w:rPr>
      </w:pPr>
    </w:p>
    <w:p>
      <w:pPr>
        <w:ind w:right="60"/>
        <w:spacing w:after="0" w:line="263" w:lineRule="auto"/>
        <w:rPr>
          <w:sz w:val="20"/>
          <w:szCs w:val="20"/>
          <w:color w:val="auto"/>
        </w:rPr>
      </w:pPr>
      <w:r>
        <w:rPr>
          <w:rFonts w:ascii="Arial" w:cs="Arial" w:eastAsia="Arial" w:hAnsi="Arial"/>
          <w:sz w:val="19"/>
          <w:szCs w:val="19"/>
          <w:color w:val="auto"/>
        </w:rPr>
        <w:t>The cross guaranty provisions in the Federal Deposit Insurance Act (“FDIA”) were enacted by Congress in the Financial Institutions, Reform, Recovery and Enforcement Act of 1989 (“FIRREA”) and require each insured depository institution owned by the same BHC to be financially responsible for the failure or resolution costs of any affiliated insured institution. Generally, the amount of the cross guaranty liability is equal to the estimated loss to the DIF for the resolution of the affiliated institution(s) in default. The FDIC’s claim under the cross guaranty provision is superior to claims of shareholders of the insured depository institution or its BHC and to most claims arising out of obligations or liabilities owed to affiliates of the institution, but is subordinate to claims of depositors, secured creditors and holders of subordinated debt (other than affiliates) of the commonly controlled insured depository institution. The FDIC may decline to enforce the cross guaranty provision if it determines that a waiver is in the best interest of the DIF.</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Enhanced Supervision and Prudential Standards</w:t>
      </w:r>
    </w:p>
    <w:p>
      <w:pPr>
        <w:spacing w:after="0" w:line="29" w:lineRule="exact"/>
        <w:rPr>
          <w:sz w:val="20"/>
          <w:szCs w:val="20"/>
          <w:color w:val="auto"/>
        </w:rPr>
      </w:pPr>
    </w:p>
    <w:p>
      <w:pPr>
        <w:spacing w:after="0" w:line="247" w:lineRule="auto"/>
        <w:rPr>
          <w:sz w:val="20"/>
          <w:szCs w:val="20"/>
          <w:color w:val="auto"/>
        </w:rPr>
      </w:pPr>
      <w:r>
        <w:rPr>
          <w:rFonts w:ascii="Arial" w:cs="Arial" w:eastAsia="Arial" w:hAnsi="Arial"/>
          <w:sz w:val="20"/>
          <w:szCs w:val="20"/>
          <w:color w:val="auto"/>
        </w:rPr>
        <w:t>The Dodd-Frank Act directed the Federal Reserve to enact enhanced prudential standards applicable to foreign banking organizations (“FBOs”) and bank holding companies with total consolidated assets of $50 billion or more, such as M&amp;T. The Federal Reserve adopted amendments to Regulation YY to implement certain of the required enhanced prudential standards. Those amendments, which are intended to strengthen supervision and regulation of bank holding companies and FBOs incorporate new requirements to help increase the resiliency of the operations of these organizations and ensure the stability of the U.S. financial system and economy in the event of such an organization’s failure. These requirements include regulatory reporting, capital adequacy, capital stress testing, risk management, and liquidity. The liquidity requirements and risk management requirements became effective as to M&amp;T on January 1, 2015. In March 2016, the Federal Reserve issued a revised proposal regarding single counterparty credit limits, which would impose a limit on a banking organization’s credit exposure to any single unaffiliated counterparty as a percentage of the organization’s capital. A final rule has not been issued.</w:t>
      </w:r>
    </w:p>
    <w:p>
      <w:pPr>
        <w:spacing w:after="0" w:line="2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Volcker Rule</w:t>
      </w:r>
    </w:p>
    <w:p>
      <w:pPr>
        <w:spacing w:after="0" w:line="29" w:lineRule="exact"/>
        <w:rPr>
          <w:sz w:val="20"/>
          <w:szCs w:val="20"/>
          <w:color w:val="auto"/>
        </w:rPr>
      </w:pPr>
    </w:p>
    <w:p>
      <w:pPr>
        <w:ind w:right="60"/>
        <w:spacing w:after="0" w:line="250" w:lineRule="auto"/>
        <w:rPr>
          <w:sz w:val="20"/>
          <w:szCs w:val="20"/>
          <w:color w:val="auto"/>
        </w:rPr>
      </w:pPr>
      <w:r>
        <w:rPr>
          <w:rFonts w:ascii="Arial" w:cs="Arial" w:eastAsia="Arial" w:hAnsi="Arial"/>
          <w:sz w:val="20"/>
          <w:szCs w:val="20"/>
          <w:color w:val="auto"/>
        </w:rPr>
        <w:t>On December 10, 2013, the federal banking regulators and the SEC adopted the so-called Volcker Rule to implement the provisions of the Dodd-Frank Act limiting proprietary trading and investing in and sponsoring certain hedge funds and private equity funds (defined as “covered funds” in the Volcker Rule). The Volcker Rule was effective on April 1, 2014; however, the Federal Reserve exercised its authority to extend the compliance deadline to July 21, 2017 with respect to covered</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380"/>
          </w:cols>
          <w:pgMar w:left="240" w:top="126" w:right="279" w:bottom="1440" w:gutter="0" w:footer="0" w:header="0"/>
        </w:sectPr>
      </w:pPr>
    </w:p>
    <w:bookmarkStart w:id="13" w:name="page14"/>
    <w:bookmarkEnd w:id="13"/>
    <w:p>
      <w:pPr>
        <w:spacing w:after="0" w:line="270" w:lineRule="auto"/>
        <w:rPr>
          <w:sz w:val="20"/>
          <w:szCs w:val="20"/>
          <w:color w:val="auto"/>
        </w:rPr>
      </w:pPr>
      <w:r>
        <w:rPr>
          <w:rFonts w:ascii="Arial" w:cs="Arial" w:eastAsia="Arial" w:hAnsi="Arial"/>
          <w:sz w:val="19"/>
          <w:szCs w:val="19"/>
          <w:color w:val="auto"/>
        </w:rPr>
        <w:t>funds. The Company does not engage in any significant amount of proprietary trading as defined in the Volcker Rule and implemented the required procedures for those areas in which trading does occur. The covered funds limits are imposed through a conformance period that ended in July 2017. During 2016, to comply with requirements of the Volcker Rule, the Company sold the collateralized debt obligations that had been held in the available-for-sale investment securities portfolio. Further, the Company sought, and received, from the Federal Reserve, a five-year extension (to July 21, 2022) to either divest or terminate its investment in one venture capital fund.</w:t>
      </w: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Safety and Soundness Standards</w:t>
      </w:r>
    </w:p>
    <w:p>
      <w:pPr>
        <w:spacing w:after="0" w:line="29" w:lineRule="exact"/>
        <w:rPr>
          <w:sz w:val="20"/>
          <w:szCs w:val="20"/>
          <w:color w:val="auto"/>
        </w:rPr>
      </w:pPr>
    </w:p>
    <w:p>
      <w:pPr>
        <w:ind w:right="80"/>
        <w:spacing w:after="0" w:line="278" w:lineRule="auto"/>
        <w:rPr>
          <w:sz w:val="20"/>
          <w:szCs w:val="20"/>
          <w:color w:val="auto"/>
        </w:rPr>
      </w:pPr>
      <w:r>
        <w:rPr>
          <w:rFonts w:ascii="Arial" w:cs="Arial" w:eastAsia="Arial" w:hAnsi="Arial"/>
          <w:sz w:val="18"/>
          <w:szCs w:val="18"/>
          <w:color w:val="auto"/>
        </w:rPr>
        <w:t>Guidelines adopted by the federal bank regulatory agencies pursuant to the FDIA establish general standards relating to internal controls, information systems, internal audit systems, loan documentation, credit underwriting, interest rate exposure, asset growth, compensation, fees and benefits. In general, these guidelines require, among other things, appropriate systems and practices to identify and manage the risk and exposures specified in the guidelines. Additionally, the agencies adopted regulations that authorize, but do not require, an agency to order an institution that has been given notice by an agency that it is not satisfying any of such safety and soundness standards to submit a compliance plan. If, after being so notified, an institution fails to submit an acceptable compliance plan or fails in any material respect to implement an acceptable compliance plan, the agency must issue an order directing action to correct the deficiency and may issue an order directing other actions of the types to which an undercapitalized institution is subject. If an institution fails to comply with such an order, the agency may seek to enforce such order in judicial proceedings and to impose civil money penalties.</w:t>
      </w:r>
    </w:p>
    <w:p>
      <w:pPr>
        <w:spacing w:after="0" w:line="2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Limits on Undercapitalized Depository Institutions</w:t>
      </w:r>
    </w:p>
    <w:p>
      <w:pPr>
        <w:spacing w:after="0" w:line="29" w:lineRule="exact"/>
        <w:rPr>
          <w:sz w:val="20"/>
          <w:szCs w:val="20"/>
          <w:color w:val="auto"/>
        </w:rPr>
      </w:pPr>
    </w:p>
    <w:p>
      <w:pPr>
        <w:ind w:right="20"/>
        <w:spacing w:after="0" w:line="274" w:lineRule="auto"/>
        <w:rPr>
          <w:sz w:val="20"/>
          <w:szCs w:val="20"/>
          <w:color w:val="auto"/>
        </w:rPr>
      </w:pPr>
      <w:r>
        <w:rPr>
          <w:rFonts w:ascii="Arial" w:cs="Arial" w:eastAsia="Arial" w:hAnsi="Arial"/>
          <w:sz w:val="18"/>
          <w:szCs w:val="18"/>
          <w:color w:val="auto"/>
        </w:rPr>
        <w:t>The FDIA establishes a system of regulatory remedies to resolve the problems of undercapitalized institutions, referred to as the prompt corrective action. The federal banking regulators have established five capital categories (“well-capitalized,” “adequately capitalized,” “undercapitalized,” “significantly undercapitalized” and “critically undercapitalized”) and must take certain mandatory supervisory actions, and are authorized to take other discretionary actions, with respect to institutions which are undercapitalized, significantly undercapitalized or critically undercapitalized. The severity of these mandatory and discretionary supervisory actions depends upon the capital category in which the institution is placed. The FDIC has specified by regulation the relevant capital levels for each category. The FDIA’s prompt corrective action provisions only apply to depository institutions and not to bank holding companies. The Federal Reserve’s regulations applicable to bank holding companies separately define “well capitalized.” A financial holding company that is not well-capitalized and well-managed (or whose bank subsidiaries are not well capitalized and well managed) under applicable prompt corrective action standards may be restricted in certain of its activities and ultimately may lose financial holding company status. Under existing rules, an institution that is not an advanced approaches institution is deemed to be “well capitalized” if it has (i) a CET1 ratio of at least 6.5%, (ii) a Tier 1 capital ratio of at least 8%, (iii) a Total capital ratio of at least 10%, and (iv) a Tier 1 leverage ratio of at least 5%.</w:t>
      </w:r>
    </w:p>
    <w:p>
      <w:pPr>
        <w:spacing w:after="0" w:line="2" w:lineRule="exact"/>
        <w:rPr>
          <w:sz w:val="20"/>
          <w:szCs w:val="20"/>
          <w:color w:val="auto"/>
        </w:rPr>
      </w:pPr>
    </w:p>
    <w:p>
      <w:pPr>
        <w:ind w:firstLine="598"/>
        <w:spacing w:after="0" w:line="248" w:lineRule="auto"/>
        <w:rPr>
          <w:sz w:val="20"/>
          <w:szCs w:val="20"/>
          <w:color w:val="auto"/>
        </w:rPr>
      </w:pPr>
      <w:r>
        <w:rPr>
          <w:rFonts w:ascii="Arial" w:cs="Arial" w:eastAsia="Arial" w:hAnsi="Arial"/>
          <w:sz w:val="20"/>
          <w:szCs w:val="20"/>
          <w:color w:val="auto"/>
        </w:rPr>
        <w:t>An institution that is categorized as undercapitalized, significantly undercapitalized or critically undercapitalized is required to submit an acceptable capital restoration plan to its appropriate federal banking regulator. Under the FDIA, in order for the capital restoration plan to be accepted by the appropriate federal banking agency, a BHC must guarantee that a subsidiary depository institution will comply with its capital restoration plan, subject to certain limitations. The BHC must also provide appropriate assurances of performance. An undercapitalized institution is also generally prohibited from increasing its average total assets, accepting brokered deposits or offering interest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00"/>
          </w:cols>
          <w:pgMar w:left="240" w:top="126" w:right="259" w:bottom="1440" w:gutter="0" w:footer="0" w:header="0"/>
        </w:sectPr>
      </w:pPr>
    </w:p>
    <w:bookmarkStart w:id="14" w:name="page15"/>
    <w:bookmarkEnd w:id="14"/>
    <w:p>
      <w:pPr>
        <w:ind w:right="60"/>
        <w:spacing w:after="0" w:line="251" w:lineRule="auto"/>
        <w:rPr>
          <w:sz w:val="20"/>
          <w:szCs w:val="20"/>
          <w:color w:val="auto"/>
        </w:rPr>
      </w:pPr>
      <w:r>
        <w:rPr>
          <w:rFonts w:ascii="Arial" w:cs="Arial" w:eastAsia="Arial" w:hAnsi="Arial"/>
          <w:sz w:val="20"/>
          <w:szCs w:val="20"/>
          <w:color w:val="auto"/>
        </w:rPr>
        <w:t>rates on any deposits significantly higher than prevailing market rates, making acquisitions, establishing any branches or engaging in any new line of business, except in accordance with an accepted capital restoration plan or with the approval of the FDIC. Institutions that are significantly undercapitalized or undercapitalized and either fail to submit an acceptable capital restoration plan or fail to implement an approved capital restoration plan may be subject to a number of requirements and restrictions, including orders to sell sufficient voting stock to become adequately capitalized, requirements to reduce total assets and cessation of receipt of deposits from correspondent banks. Critically undercapitalized depository institutions failing to submit or implement an acceptable capital restoration plan are subject to appointment of a receiver or conservator.</w:t>
      </w: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Transactions with Affiliates</w:t>
      </w:r>
    </w:p>
    <w:p>
      <w:pPr>
        <w:spacing w:after="0" w:line="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are various legal restrictions on the extent to which M&amp;T and its non-bank subsidiaries may borrow or otherwise obtain funding from M&amp;T Bank and Wilmington Trust, N.A. In general, Sections 23A and 23B of the Federal Reserve Act and Federal Reserve Regulation W require that any “covered transaction” by M&amp;T Bank and Wilmington Trust, N.A. (or any of their respective subsidiaries) with an affiliate must in certain cases be secured by designated amounts of specified collateral and must be limited as follows: (a) in the case of any single such affiliate, the aggregate amount of covered transactions of the insured depository institution and its subsidiaries may not exceed 10% of the capital stock and surplus of such insured depository institution, and (b) in the case of all affiliates, the aggregate amount of covered transactions of an insured depository institution and its subsidiaries may not exceed 20% of the capital stock and surplus of such insured depository institution. The Dodd-Frank Act significantly expanded the coverage and scope of the limitations on affiliate transactions within a banking organization, including for example, the requirement that the 10% of capital limit on covered transactions begin to apply to financial subsidiaries. “Covered transactions” are defined by statute to include, among other things, a loan or extension of credit, as well as a purchase of securities issued by an affiliate, a purchase of assets (unless otherwise exempted by the Federal Reserve) from the affiliate, certain derivative transactions that create a credit exposure to an affiliate, the acceptance of securities issued by the affiliate as collateral for a loan, and the issuance of a guarantee, acceptance or letter of credit on behalf of an affiliate. All covered transactions, including certain additional transactions (such as transactions with a third party in which an affiliate has a financial interest), must be conducted on market terms.</w:t>
      </w:r>
    </w:p>
    <w:p>
      <w:pPr>
        <w:spacing w:after="0" w:line="2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FDIC Insurance Assessments</w:t>
      </w:r>
    </w:p>
    <w:p>
      <w:pPr>
        <w:spacing w:after="0" w:line="29" w:lineRule="exact"/>
        <w:rPr>
          <w:sz w:val="20"/>
          <w:szCs w:val="20"/>
          <w:color w:val="auto"/>
        </w:rPr>
      </w:pPr>
    </w:p>
    <w:p>
      <w:pPr>
        <w:ind w:right="60"/>
        <w:spacing w:after="0" w:line="274" w:lineRule="auto"/>
        <w:rPr>
          <w:sz w:val="20"/>
          <w:szCs w:val="20"/>
          <w:color w:val="auto"/>
        </w:rPr>
      </w:pPr>
      <w:r>
        <w:rPr>
          <w:rFonts w:ascii="Arial" w:cs="Arial" w:eastAsia="Arial" w:hAnsi="Arial"/>
          <w:sz w:val="18"/>
          <w:szCs w:val="18"/>
          <w:i w:val="1"/>
          <w:iCs w:val="1"/>
          <w:color w:val="auto"/>
        </w:rPr>
        <w:t>Deposit Insurance Assessments</w:t>
      </w:r>
      <w:r>
        <w:rPr>
          <w:rFonts w:ascii="Arial" w:cs="Arial" w:eastAsia="Arial" w:hAnsi="Arial"/>
          <w:sz w:val="18"/>
          <w:szCs w:val="18"/>
          <w:color w:val="auto"/>
        </w:rPr>
        <w:t>. M&amp;T Bank and Wilmington Trust, N.A. deposits are insured by the DIF of the FDIC up to the limits set</w:t>
      </w:r>
      <w:r>
        <w:rPr>
          <w:rFonts w:ascii="Arial" w:cs="Arial" w:eastAsia="Arial" w:hAnsi="Arial"/>
          <w:sz w:val="18"/>
          <w:szCs w:val="18"/>
          <w:i w:val="1"/>
          <w:iCs w:val="1"/>
          <w:color w:val="auto"/>
        </w:rPr>
        <w:t xml:space="preserve"> </w:t>
      </w:r>
      <w:r>
        <w:rPr>
          <w:rFonts w:ascii="Arial" w:cs="Arial" w:eastAsia="Arial" w:hAnsi="Arial"/>
          <w:sz w:val="18"/>
          <w:szCs w:val="18"/>
          <w:color w:val="auto"/>
        </w:rPr>
        <w:t>forth under applicable law. The FDIC imposes a risk-based premium assessment system that determines assessment rates for financial institutions. Deposit insurance assessments are based on average total assets minus average tangible equity. For larger institutions, such as M&amp;T Bank, the FDIC uses a performance score and a loss-severity score that are used to calculate an initial assessment rate. In calculating these scores, the FDIC uses a bank’s capital level and supervisory ratings and certain financial measures to assess an institution’s ability to withstand asset-related stress and funding-related stress. The FDIC has the ability to make discretionary adjustments to the total score based upon significant risk factors that are not adequately captured in the calculations. Under the current system, premiums are assessed quarterly.</w:t>
      </w:r>
    </w:p>
    <w:p>
      <w:pPr>
        <w:spacing w:after="0" w:line="1" w:lineRule="exact"/>
        <w:rPr>
          <w:sz w:val="20"/>
          <w:szCs w:val="20"/>
          <w:color w:val="auto"/>
        </w:rPr>
      </w:pPr>
    </w:p>
    <w:p>
      <w:pPr>
        <w:ind w:right="40" w:firstLine="598"/>
        <w:spacing w:after="0" w:line="249" w:lineRule="auto"/>
        <w:rPr>
          <w:sz w:val="20"/>
          <w:szCs w:val="20"/>
          <w:color w:val="auto"/>
        </w:rPr>
      </w:pPr>
      <w:r>
        <w:rPr>
          <w:rFonts w:ascii="Arial" w:cs="Arial" w:eastAsia="Arial" w:hAnsi="Arial"/>
          <w:sz w:val="20"/>
          <w:szCs w:val="20"/>
          <w:color w:val="auto"/>
        </w:rPr>
        <w:t>In March 2016, the FDIC adopted a final rule that imposes a surcharge of 4.5 cents per $100 of assessment base, after making certain adjustments, for depository institutions with total assets of at least $10 billion, including M&amp;T Bank. The surcharge became effective July 1, 2016 and will last until the DIF has reached the required level set forth in the DIF restoration plan. If the DIF has not reached the required level by the prescribed time, the FDIC will impose a special assessment on institutions with assets greater than $10 billion. M&amp;T Bank recognized $95 million of expense</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380"/>
          </w:cols>
          <w:pgMar w:left="240" w:top="126" w:right="279" w:bottom="1440" w:gutter="0" w:footer="0" w:header="0"/>
        </w:sectPr>
      </w:pPr>
    </w:p>
    <w:bookmarkStart w:id="15" w:name="page16"/>
    <w:bookmarkEnd w:id="15"/>
    <w:p>
      <w:pPr>
        <w:ind w:right="180"/>
        <w:spacing w:after="0" w:line="253" w:lineRule="auto"/>
        <w:rPr>
          <w:sz w:val="20"/>
          <w:szCs w:val="20"/>
          <w:color w:val="auto"/>
        </w:rPr>
      </w:pPr>
      <w:r>
        <w:rPr>
          <w:rFonts w:ascii="Arial" w:cs="Arial" w:eastAsia="Arial" w:hAnsi="Arial"/>
          <w:sz w:val="20"/>
          <w:szCs w:val="20"/>
          <w:color w:val="auto"/>
        </w:rPr>
        <w:t>related to its FDIC assessment and large bank surcharge and Wilmington Trust, N.A. recognized $579 thousand of FDIC insurance expense in 2017. Beginning in 2018, amounts paid for FDIC deposit insurance will no longer be deductible for purposes of determining federal taxable income.</w:t>
      </w:r>
    </w:p>
    <w:p>
      <w:pPr>
        <w:jc w:val="both"/>
        <w:ind w:right="180" w:firstLine="598"/>
        <w:spacing w:after="0" w:line="246" w:lineRule="auto"/>
        <w:rPr>
          <w:sz w:val="20"/>
          <w:szCs w:val="20"/>
          <w:color w:val="auto"/>
        </w:rPr>
      </w:pPr>
      <w:r>
        <w:rPr>
          <w:rFonts w:ascii="Arial" w:cs="Arial" w:eastAsia="Arial" w:hAnsi="Arial"/>
          <w:sz w:val="20"/>
          <w:szCs w:val="20"/>
          <w:color w:val="auto"/>
        </w:rPr>
        <w:t>Under the FDIA, insurance of deposits may be terminated by the FDIC upon a finding that the institution has engaged in unsafe and unsound practices, is in an unsafe or unsound condition to continue operations, or has violated any applicable law, regulation, rule, order or condition imposed by the FDIC.</w:t>
      </w:r>
    </w:p>
    <w:p>
      <w:pPr>
        <w:spacing w:after="0" w:line="2" w:lineRule="exact"/>
        <w:rPr>
          <w:sz w:val="20"/>
          <w:szCs w:val="20"/>
          <w:color w:val="auto"/>
        </w:rPr>
      </w:pPr>
    </w:p>
    <w:p>
      <w:pPr>
        <w:ind w:firstLine="598"/>
        <w:spacing w:after="0" w:line="248" w:lineRule="auto"/>
        <w:rPr>
          <w:sz w:val="20"/>
          <w:szCs w:val="20"/>
          <w:color w:val="auto"/>
        </w:rPr>
      </w:pPr>
      <w:r>
        <w:rPr>
          <w:rFonts w:ascii="Arial" w:cs="Arial" w:eastAsia="Arial" w:hAnsi="Arial"/>
          <w:sz w:val="20"/>
          <w:szCs w:val="20"/>
          <w:i w:val="1"/>
          <w:iCs w:val="1"/>
          <w:color w:val="auto"/>
        </w:rPr>
        <w:t>FICO Assessments</w:t>
      </w:r>
      <w:r>
        <w:rPr>
          <w:rFonts w:ascii="Arial" w:cs="Arial" w:eastAsia="Arial" w:hAnsi="Arial"/>
          <w:sz w:val="20"/>
          <w:szCs w:val="20"/>
          <w:color w:val="auto"/>
        </w:rPr>
        <w:t>. In addition, the Deposit Insurance Funds Act of 1996 authorized the Financing Corporation (“FICO”) to impose</w:t>
      </w:r>
      <w:r>
        <w:rPr>
          <w:rFonts w:ascii="Arial" w:cs="Arial" w:eastAsia="Arial" w:hAnsi="Arial"/>
          <w:sz w:val="20"/>
          <w:szCs w:val="20"/>
          <w:i w:val="1"/>
          <w:iCs w:val="1"/>
          <w:color w:val="auto"/>
        </w:rPr>
        <w:t xml:space="preserve"> </w:t>
      </w:r>
      <w:r>
        <w:rPr>
          <w:rFonts w:ascii="Arial" w:cs="Arial" w:eastAsia="Arial" w:hAnsi="Arial"/>
          <w:sz w:val="20"/>
          <w:szCs w:val="20"/>
          <w:color w:val="auto"/>
        </w:rPr>
        <w:t>assessments on DIF applicable deposits in order to service the interest on FICO’s bond obligations from deposit insurance fund assessments. The amount assessed on individual institutions by FICO is in addition to the amount, if any, paid for deposit insurance according to the FDIC’s risk-related assessment rate schedules. FICO assessment rates may be adjusted quarterly to reflect a change in assessment base. M&amp;T Bank recognized $6 million of expense related to its FICO assessments and Wilmington Trust, N.A. recognized $87 thousand of such expense in 2017.</w:t>
      </w: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Acquisitions</w:t>
      </w:r>
    </w:p>
    <w:p>
      <w:pPr>
        <w:spacing w:after="0" w:line="29" w:lineRule="exact"/>
        <w:rPr>
          <w:sz w:val="20"/>
          <w:szCs w:val="20"/>
          <w:color w:val="auto"/>
        </w:rPr>
      </w:pPr>
    </w:p>
    <w:p>
      <w:pPr>
        <w:ind w:right="60"/>
        <w:spacing w:after="0" w:line="259" w:lineRule="auto"/>
        <w:rPr>
          <w:sz w:val="20"/>
          <w:szCs w:val="20"/>
          <w:color w:val="auto"/>
        </w:rPr>
      </w:pPr>
      <w:r>
        <w:rPr>
          <w:rFonts w:ascii="Arial" w:cs="Arial" w:eastAsia="Arial" w:hAnsi="Arial"/>
          <w:sz w:val="19"/>
          <w:szCs w:val="19"/>
          <w:color w:val="auto"/>
        </w:rPr>
        <w:t>The BHCA requires every BHC to obtain the prior approval of the Federal Reserve before: (1) it may acquire direct or indirect ownership or control of any voting shares of any bank or savings and loan association, if after such acquisition, the BHC will directly or indirectly own or control 5% or more of the voting shares of the institution; (2) it or any of its subsidiaries, other than a bank, may acquire all or substantially all of the assets of any bank or savings and loan association; or (3) it may merge or consolidate with any other BHC. Since July 2011, financial holding companies and bank holding companies with consolidated assets exceeding $50 billion, such as M&amp;T, have been required to (i) obtain prior approval from the Federal Reserve before acquiring certain nonbank financial companies with assets exceeding $10 billion and (ii) provide prior written notice to the Federal Reserve before acquiring direct or indirect ownership or control of any voting shares of any company having consolidated assets of $10 billion or more.</w:t>
      </w:r>
    </w:p>
    <w:p>
      <w:pPr>
        <w:spacing w:after="0" w:line="6" w:lineRule="exact"/>
        <w:rPr>
          <w:sz w:val="20"/>
          <w:szCs w:val="20"/>
          <w:color w:val="auto"/>
        </w:rPr>
      </w:pPr>
    </w:p>
    <w:p>
      <w:pPr>
        <w:ind w:right="20" w:firstLine="598"/>
        <w:spacing w:after="0" w:line="277" w:lineRule="auto"/>
        <w:rPr>
          <w:sz w:val="20"/>
          <w:szCs w:val="20"/>
          <w:color w:val="auto"/>
        </w:rPr>
      </w:pPr>
      <w:r>
        <w:rPr>
          <w:rFonts w:ascii="Arial" w:cs="Arial" w:eastAsia="Arial" w:hAnsi="Arial"/>
          <w:sz w:val="18"/>
          <w:szCs w:val="18"/>
          <w:color w:val="auto"/>
        </w:rPr>
        <w:t>The BHCA further provides that the Federal Reserve may not approve any transaction that would result in a monopoly or would be in furtherance of any combination or conspiracy to monopolize or attempt to monopolize the business of banking in any section of the United States, or the effect of which may be substantially to lessen competition or to tend to create a monopoly in any section of the country, or that in any other manner would be in restraint of trade, unless the anticompetitive effects of the proposed transaction are clearly outweighed by the public interest in meeting the convenience and needs of the community to be served. The Federal Reserve is also required to consider the financial and managerial resources and future prospects of the bank holding companies and banks concerned and the convenience and needs of the community to be served. Consideration of financial resources generally focuses on capital adequacy, and consideration of convenience and needs issues includes the parties’ performance under the CRA and compliance with consumer protection laws. The Federal Reserve must take into account the institutions’ effectiveness in combating money laundering. In addition, pursuant to the Dodd-Frank Act, the BHCA was amended to require the Federal Reserve, when evaluating a proposed transaction, to consider the extent to which the transaction would result in greater or more concentrated risks to the stability of the United States banking or financial system.</w:t>
      </w: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Executive and Incentive Compensation</w:t>
      </w:r>
    </w:p>
    <w:p>
      <w:pPr>
        <w:spacing w:after="0" w:line="29" w:lineRule="exact"/>
        <w:rPr>
          <w:sz w:val="20"/>
          <w:szCs w:val="20"/>
          <w:color w:val="auto"/>
        </w:rPr>
      </w:pPr>
    </w:p>
    <w:p>
      <w:pPr>
        <w:ind w:right="140"/>
        <w:spacing w:after="0" w:line="251" w:lineRule="auto"/>
        <w:rPr>
          <w:sz w:val="20"/>
          <w:szCs w:val="20"/>
          <w:color w:val="auto"/>
        </w:rPr>
      </w:pPr>
      <w:r>
        <w:rPr>
          <w:rFonts w:ascii="Arial" w:cs="Arial" w:eastAsia="Arial" w:hAnsi="Arial"/>
          <w:sz w:val="20"/>
          <w:szCs w:val="20"/>
          <w:color w:val="auto"/>
        </w:rPr>
        <w:t>Guidelines adopted by several federal banking agencies prohibit excessive compensation as an unsafe and unsound practice and describe compensation as “excessive” when the amounts paid are unreasonable or disproportionate to the services performed by an executive officer, employee,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6" w:name="page17"/>
    <w:bookmarkEnd w:id="16"/>
    <w:p>
      <w:pPr>
        <w:ind w:right="80"/>
        <w:spacing w:after="0" w:line="261" w:lineRule="auto"/>
        <w:rPr>
          <w:sz w:val="20"/>
          <w:szCs w:val="20"/>
          <w:color w:val="auto"/>
        </w:rPr>
      </w:pPr>
      <w:r>
        <w:rPr>
          <w:rFonts w:ascii="Arial" w:cs="Arial" w:eastAsia="Arial" w:hAnsi="Arial"/>
          <w:sz w:val="19"/>
          <w:szCs w:val="19"/>
          <w:color w:val="auto"/>
        </w:rPr>
        <w:t>director or principal stockholder. The Federal Reserve issued comprehensive guidance on incentive compensation policies (the “Incentive Compensation Guidance”) intended to ensure that the incentive compensation policies of banking organizations do not undermine the safety and soundness of such organizations by encouraging excessive risk-taking. The Incentive Compensation Guidance, which covers all employees that have the ability to materially affect the risk profile of an organization, either individually or as part of a group, is based upon the key principles that a banking organization’s incentive compensation arrangements should (i) provide incentives that do not encourage risk-taking beyond the organization’s ability to effectively identify and manage risks, (ii) be compatible with effective internal controls and risk management, and (iii) be supported by strong corporate governance, including active and effective oversight by the organization’s board of directors. These three principles are incorporated into the proposed joint compensation regulations under the Dodd-Frank Act, discussed below. Any deficiencies in compensation practices that are identified may be incorporated into the organization’s supervisory ratings, which can affect its ability to make acquisitions or perform other actions. The Incentive Compensation Guidance provides that enforcement actions may be taken against a banking organization if its incentive compensation arrangements or related risk-management control or governance processes pose a risk to the organization’s safety and soundness and the organization is not taking prompt and effective measures to correct the deficiencies.</w:t>
      </w:r>
    </w:p>
    <w:p>
      <w:pPr>
        <w:spacing w:after="0" w:line="4" w:lineRule="exact"/>
        <w:rPr>
          <w:sz w:val="20"/>
          <w:szCs w:val="20"/>
          <w:color w:val="auto"/>
        </w:rPr>
      </w:pPr>
    </w:p>
    <w:p>
      <w:pPr>
        <w:ind w:firstLine="598"/>
        <w:spacing w:after="0" w:line="259" w:lineRule="auto"/>
        <w:rPr>
          <w:sz w:val="20"/>
          <w:szCs w:val="20"/>
          <w:color w:val="auto"/>
        </w:rPr>
      </w:pPr>
      <w:r>
        <w:rPr>
          <w:rFonts w:ascii="Arial" w:cs="Arial" w:eastAsia="Arial" w:hAnsi="Arial"/>
          <w:sz w:val="19"/>
          <w:szCs w:val="19"/>
          <w:color w:val="auto"/>
        </w:rPr>
        <w:t>The Dodd-Frank Act requires the federal bank regulatory agencies and the SEC to establish joint regulations or guidelines prohibiting incentive-based payment arrangements at specified regulated entities having at least $1 billion in total assets, such as M&amp;T and M&amp;T Bank. The agencies proposed initial regulations in April 2011 and proposed revised regulations in 2016 that would establish general qualitative requirements applicable to all covered entities, additional specific requirements for entities with total consolidated assets of at least $50 billion, such as M&amp;T, and further, more stringent requirements for those with total consolidated assets of at least $250 billion. The general qualitative requirements include (i) prohibiting incentive arrangements that encourage inappropriate risks by providing excessive compensation; (ii) prohibiting incentive arrangements that encourage inappropriate risks that could lead to a material financial loss; (iii) establishing requirements for performance measures to appropriately balance risk and reward; (iv) requiring board of director oversight of incentive arrangements; and (v) mandating appropriate record-keeping. For larger financial institutions, including M&amp;T, the proposed revised regulations would also introduce additional requirements applicable only to “senior executive officers” and “significant risk-takers” (as defined in the proposed regulations), including (i) limits on performance measures and leverage relating to performance targets; (ii) minimum deferral periods; and (iii) subjecting incentive compensation to possible downward adjustment, forfeiture and clawback. If the final regulations are adopted in the form proposed, they will impose limitations on the manner in which M&amp;T may structure compensation for its executives.</w:t>
      </w:r>
    </w:p>
    <w:p>
      <w:pPr>
        <w:spacing w:after="0" w:line="10" w:lineRule="exact"/>
        <w:rPr>
          <w:sz w:val="20"/>
          <w:szCs w:val="20"/>
          <w:color w:val="auto"/>
        </w:rPr>
      </w:pPr>
    </w:p>
    <w:p>
      <w:pPr>
        <w:ind w:right="440" w:firstLine="598"/>
        <w:spacing w:after="0" w:line="246" w:lineRule="auto"/>
        <w:rPr>
          <w:sz w:val="20"/>
          <w:szCs w:val="20"/>
          <w:color w:val="auto"/>
        </w:rPr>
      </w:pPr>
      <w:r>
        <w:rPr>
          <w:rFonts w:ascii="Arial" w:cs="Arial" w:eastAsia="Arial" w:hAnsi="Arial"/>
          <w:sz w:val="20"/>
          <w:szCs w:val="20"/>
          <w:color w:val="auto"/>
        </w:rPr>
        <w:t>In October 2016, the NYSDFS issued guidance emphasizing that its regulated banking institutions, including M&amp;T Bank, must ensure that any incentive compensation arrangements tied to employee performance indicators are subject to effective risk management, oversight and control.</w:t>
      </w:r>
    </w:p>
    <w:p>
      <w:pPr>
        <w:spacing w:after="0" w:line="2" w:lineRule="exact"/>
        <w:rPr>
          <w:sz w:val="20"/>
          <w:szCs w:val="20"/>
          <w:color w:val="auto"/>
        </w:rPr>
      </w:pPr>
    </w:p>
    <w:p>
      <w:pPr>
        <w:ind w:right="20" w:firstLine="598"/>
        <w:spacing w:after="0" w:line="251" w:lineRule="auto"/>
        <w:rPr>
          <w:sz w:val="20"/>
          <w:szCs w:val="20"/>
          <w:color w:val="auto"/>
        </w:rPr>
      </w:pPr>
      <w:r>
        <w:rPr>
          <w:rFonts w:ascii="Arial" w:cs="Arial" w:eastAsia="Arial" w:hAnsi="Arial"/>
          <w:sz w:val="20"/>
          <w:szCs w:val="20"/>
          <w:color w:val="auto"/>
        </w:rPr>
        <w:t>The scope and content of the banking regulators’ policies on incentive compensation are continuing to develop and are likely to continue evolving in the future. It cannot be determined at this time whether compliance with such policies will adversely affect the ability of M&amp;T and its subsidiaries to hire, retain and motivate their key employees.</w:t>
      </w:r>
    </w:p>
    <w:p>
      <w:pPr>
        <w:spacing w:after="0" w:line="2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Resolution Planning</w:t>
      </w:r>
    </w:p>
    <w:p>
      <w:pPr>
        <w:spacing w:after="0" w:line="29" w:lineRule="exact"/>
        <w:rPr>
          <w:sz w:val="20"/>
          <w:szCs w:val="20"/>
          <w:color w:val="auto"/>
        </w:rPr>
      </w:pPr>
    </w:p>
    <w:p>
      <w:pPr>
        <w:ind w:right="60"/>
        <w:spacing w:after="0" w:line="251" w:lineRule="auto"/>
        <w:rPr>
          <w:sz w:val="20"/>
          <w:szCs w:val="20"/>
          <w:color w:val="auto"/>
        </w:rPr>
      </w:pPr>
      <w:r>
        <w:rPr>
          <w:rFonts w:ascii="Arial" w:cs="Arial" w:eastAsia="Arial" w:hAnsi="Arial"/>
          <w:sz w:val="20"/>
          <w:szCs w:val="20"/>
          <w:color w:val="auto"/>
        </w:rPr>
        <w:t>Bank holding companies with consolidated assets of $50 billion or more, such as M&amp;T, are required to report periodically to regulators a resolution plan for their rapid and orderly resolution in the event of material financial distress or failure. M&amp;T’s resolution plan must, among other things, ensure that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7" w:name="page18"/>
    <w:bookmarkEnd w:id="17"/>
    <w:p>
      <w:pPr>
        <w:spacing w:after="0" w:line="263" w:lineRule="auto"/>
        <w:rPr>
          <w:sz w:val="20"/>
          <w:szCs w:val="20"/>
          <w:color w:val="auto"/>
        </w:rPr>
      </w:pPr>
      <w:r>
        <w:rPr>
          <w:rFonts w:ascii="Arial" w:cs="Arial" w:eastAsia="Arial" w:hAnsi="Arial"/>
          <w:sz w:val="19"/>
          <w:szCs w:val="19"/>
          <w:color w:val="auto"/>
        </w:rPr>
        <w:t>its depository institution subsidiaries are adequately protected from risks arising from its other subsidiaries. The regulation adopted by the Federal Reserve and FDIC sets specific standards for the resolution plans, including requiring a strategic analysis of the plan’s components, a description of the range of specific actions the company proposes to take in resolution, and a description of the company’s organizational structure, material entities, core business lines, interconnections and interdependencies, and management information systems, among other elements. The most recent resolution plan for M&amp;T was filed in December 2017.</w:t>
      </w:r>
    </w:p>
    <w:p>
      <w:pPr>
        <w:spacing w:after="0" w:line="3" w:lineRule="exact"/>
        <w:rPr>
          <w:sz w:val="20"/>
          <w:szCs w:val="20"/>
          <w:color w:val="auto"/>
        </w:rPr>
      </w:pPr>
    </w:p>
    <w:p>
      <w:pPr>
        <w:ind w:right="200" w:firstLine="878"/>
        <w:spacing w:after="0" w:line="250" w:lineRule="auto"/>
        <w:rPr>
          <w:sz w:val="20"/>
          <w:szCs w:val="20"/>
          <w:color w:val="auto"/>
        </w:rPr>
      </w:pPr>
      <w:r>
        <w:rPr>
          <w:rFonts w:ascii="Arial" w:cs="Arial" w:eastAsia="Arial" w:hAnsi="Arial"/>
          <w:sz w:val="20"/>
          <w:szCs w:val="20"/>
          <w:color w:val="auto"/>
        </w:rPr>
        <w:t>In addition, insured depository institutions with $50 billion or more in total assets, such as M&amp;T Bank, are required to submit to the FDIC periodic plans for resolution in the event of the institution’s failure. M&amp;T Bank submitted its most recent resolution plan in December 2015, as required. The next resolution plan for M&amp;T Bank is required to be filed by July 1, 2018, reflecting an FDIC-directed extension from the original filing due date of December 31, 2017.</w:t>
      </w:r>
    </w:p>
    <w:p>
      <w:pPr>
        <w:spacing w:after="0" w:line="2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Insolvency of an Insured Depository Institution or a Bank Holding Company</w:t>
      </w:r>
    </w:p>
    <w:p>
      <w:pPr>
        <w:spacing w:after="0" w:line="29" w:lineRule="exact"/>
        <w:rPr>
          <w:sz w:val="20"/>
          <w:szCs w:val="20"/>
          <w:color w:val="auto"/>
        </w:rPr>
      </w:pPr>
    </w:p>
    <w:p>
      <w:pPr>
        <w:ind w:right="40"/>
        <w:spacing w:after="0" w:line="246" w:lineRule="auto"/>
        <w:rPr>
          <w:sz w:val="20"/>
          <w:szCs w:val="20"/>
          <w:color w:val="auto"/>
        </w:rPr>
      </w:pPr>
      <w:r>
        <w:rPr>
          <w:rFonts w:ascii="Arial" w:cs="Arial" w:eastAsia="Arial" w:hAnsi="Arial"/>
          <w:sz w:val="20"/>
          <w:szCs w:val="20"/>
          <w:color w:val="auto"/>
        </w:rPr>
        <w:t>If the FDIC is appointed as conservator or receiver for an insured depository institution such as M&amp;T Bank or Wilmington Trust, N.A., upon its insolvency or in certain other events, the FDIC has the power:</w:t>
      </w:r>
    </w:p>
    <w:p>
      <w:pPr>
        <w:spacing w:after="0" w:line="2" w:lineRule="exact"/>
        <w:rPr>
          <w:sz w:val="20"/>
          <w:szCs w:val="20"/>
          <w:color w:val="auto"/>
        </w:rPr>
      </w:pPr>
    </w:p>
    <w:p>
      <w:pPr>
        <w:ind w:left="1180" w:right="260" w:hanging="584"/>
        <w:spacing w:after="0" w:line="246" w:lineRule="auto"/>
        <w:tabs>
          <w:tab w:leader="none" w:pos="1180" w:val="left"/>
        </w:tabs>
        <w:numPr>
          <w:ilvl w:val="0"/>
          <w:numId w:val="9"/>
        </w:numPr>
        <w:rPr>
          <w:rFonts w:ascii="Arial" w:cs="Arial" w:eastAsia="Arial" w:hAnsi="Arial"/>
          <w:sz w:val="20"/>
          <w:szCs w:val="20"/>
          <w:color w:val="auto"/>
        </w:rPr>
      </w:pPr>
      <w:r>
        <w:rPr>
          <w:rFonts w:ascii="Arial" w:cs="Arial" w:eastAsia="Arial" w:hAnsi="Arial"/>
          <w:sz w:val="20"/>
          <w:szCs w:val="20"/>
          <w:color w:val="auto"/>
        </w:rPr>
        <w:t>to transfer any of the depository institution’s assets and liabilities to a new obligor, including a newly formed “bridge” bank without the approval of the depository institution’s creditors;</w:t>
      </w:r>
    </w:p>
    <w:p>
      <w:pPr>
        <w:spacing w:after="0" w:line="1" w:lineRule="exact"/>
        <w:rPr>
          <w:rFonts w:ascii="Arial" w:cs="Arial" w:eastAsia="Arial" w:hAnsi="Arial"/>
          <w:sz w:val="20"/>
          <w:szCs w:val="20"/>
          <w:color w:val="auto"/>
        </w:rPr>
      </w:pPr>
    </w:p>
    <w:p>
      <w:pPr>
        <w:ind w:left="1180" w:right="100" w:hanging="584"/>
        <w:spacing w:after="0" w:line="246" w:lineRule="auto"/>
        <w:tabs>
          <w:tab w:leader="none" w:pos="1180" w:val="left"/>
        </w:tabs>
        <w:numPr>
          <w:ilvl w:val="0"/>
          <w:numId w:val="9"/>
        </w:numPr>
        <w:rPr>
          <w:rFonts w:ascii="Arial" w:cs="Arial" w:eastAsia="Arial" w:hAnsi="Arial"/>
          <w:sz w:val="20"/>
          <w:szCs w:val="20"/>
          <w:color w:val="auto"/>
        </w:rPr>
      </w:pPr>
      <w:r>
        <w:rPr>
          <w:rFonts w:ascii="Arial" w:cs="Arial" w:eastAsia="Arial" w:hAnsi="Arial"/>
          <w:sz w:val="20"/>
          <w:szCs w:val="20"/>
          <w:color w:val="auto"/>
        </w:rPr>
        <w:t>to enforce the terms of the depository institution’s contracts pursuant to their terms without regard to any provisions triggered by the appointment of the FDIC in that capacity; or</w:t>
      </w:r>
    </w:p>
    <w:p>
      <w:pPr>
        <w:spacing w:after="0" w:line="1" w:lineRule="exact"/>
        <w:rPr>
          <w:rFonts w:ascii="Arial" w:cs="Arial" w:eastAsia="Arial" w:hAnsi="Arial"/>
          <w:sz w:val="20"/>
          <w:szCs w:val="20"/>
          <w:color w:val="auto"/>
        </w:rPr>
      </w:pPr>
    </w:p>
    <w:p>
      <w:pPr>
        <w:jc w:val="both"/>
        <w:ind w:left="1180" w:right="600" w:hanging="584"/>
        <w:spacing w:after="0" w:line="251" w:lineRule="auto"/>
        <w:tabs>
          <w:tab w:leader="none" w:pos="1180" w:val="left"/>
        </w:tabs>
        <w:numPr>
          <w:ilvl w:val="0"/>
          <w:numId w:val="9"/>
        </w:numPr>
        <w:rPr>
          <w:rFonts w:ascii="Arial" w:cs="Arial" w:eastAsia="Arial" w:hAnsi="Arial"/>
          <w:sz w:val="20"/>
          <w:szCs w:val="20"/>
          <w:color w:val="auto"/>
        </w:rPr>
      </w:pPr>
      <w:r>
        <w:rPr>
          <w:rFonts w:ascii="Arial" w:cs="Arial" w:eastAsia="Arial" w:hAnsi="Arial"/>
          <w:sz w:val="20"/>
          <w:szCs w:val="20"/>
          <w:color w:val="auto"/>
        </w:rPr>
        <w:t>to repudiate or disaffirm any contract or lease to which the depository institution is a party, the performance of which is determined by the FDIC to be burdensome and the disaffirmance or repudiation of which is determined by the FDIC to promote the orderly administration of the depository institution.</w:t>
      </w:r>
    </w:p>
    <w:p>
      <w:pPr>
        <w:spacing w:after="0" w:line="180" w:lineRule="exact"/>
        <w:rPr>
          <w:sz w:val="20"/>
          <w:szCs w:val="20"/>
          <w:color w:val="auto"/>
        </w:rPr>
      </w:pPr>
    </w:p>
    <w:p>
      <w:pPr>
        <w:ind w:right="20" w:firstLine="598"/>
        <w:spacing w:after="0" w:line="276" w:lineRule="auto"/>
        <w:rPr>
          <w:sz w:val="20"/>
          <w:szCs w:val="20"/>
          <w:color w:val="auto"/>
        </w:rPr>
      </w:pPr>
      <w:r>
        <w:rPr>
          <w:rFonts w:ascii="Arial" w:cs="Arial" w:eastAsia="Arial" w:hAnsi="Arial"/>
          <w:sz w:val="18"/>
          <w:szCs w:val="18"/>
          <w:color w:val="auto"/>
        </w:rPr>
        <w:t>In addition, under federal law, the claims of holders of domestic deposit liabilities and certain claims for administrative expenses against an insured depository institution would be afforded a priority over other general unsecured claims against such an institution, including claims of debt holders of the institution, in the “liquidation or other resolution” of such an institution by any receiver. As a result, whether or not the FDIC ever sought to repudiate any debt obligations of M&amp;T Bank or Wilmington Trust, N.A., the debt holders would be treated differently from, and could receive, if anything, substantially less than, the depositors of the bank. The Dodd-Frank Act created a new resolution regime (known as “orderly liquidation authority”) for systemically important financial companies, including bank holding companies and their affiliates. Under the orderly liquidation authority, the FDIC may be appointed as receiver for the systemically important institution, and its failed subsidiaries, for purposes of liquidating the entity if, among other conditions, it is determined at the time of the institution’s failure that it is in default or in danger of default and the failure poses a risk to the stability of the U.S. financial system.</w:t>
      </w:r>
    </w:p>
    <w:p>
      <w:pPr>
        <w:spacing w:after="0" w:line="4" w:lineRule="exact"/>
        <w:rPr>
          <w:sz w:val="20"/>
          <w:szCs w:val="20"/>
          <w:color w:val="auto"/>
        </w:rPr>
      </w:pPr>
    </w:p>
    <w:p>
      <w:pPr>
        <w:ind w:right="20" w:firstLine="598"/>
        <w:spacing w:after="0" w:line="283" w:lineRule="auto"/>
        <w:rPr>
          <w:sz w:val="20"/>
          <w:szCs w:val="20"/>
          <w:color w:val="auto"/>
        </w:rPr>
      </w:pPr>
      <w:r>
        <w:rPr>
          <w:rFonts w:ascii="Arial" w:cs="Arial" w:eastAsia="Arial" w:hAnsi="Arial"/>
          <w:sz w:val="18"/>
          <w:szCs w:val="18"/>
          <w:color w:val="auto"/>
        </w:rPr>
        <w:t>If the FDIC is appointed as receiver under the orderly liquidation authority, then the powers of the receiver, and the rights and obligations of creditors and other parties who have dealt with the institution, would be determined under the Dodd-Frank Act provisions, and not under the insolvency law that would otherwise apply. The powers of the receiver under the orderly liquidation authority were based on the powers of the FDIC as receiver for depository institutions under the FDIA. However, the provisions governing the rights of creditors under the orderly liquidation authority were modified in certain respects to reduce disparities with the treatment of creditors’ claims under</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00"/>
          </w:cols>
          <w:pgMar w:left="240" w:top="126" w:right="259" w:bottom="1440" w:gutter="0" w:footer="0" w:header="0"/>
        </w:sectPr>
      </w:pPr>
    </w:p>
    <w:bookmarkStart w:id="18" w:name="page19"/>
    <w:bookmarkEnd w:id="18"/>
    <w:p>
      <w:pPr>
        <w:ind w:right="200"/>
        <w:spacing w:after="0" w:line="264" w:lineRule="auto"/>
        <w:rPr>
          <w:sz w:val="20"/>
          <w:szCs w:val="20"/>
          <w:color w:val="auto"/>
        </w:rPr>
      </w:pPr>
      <w:r>
        <w:rPr>
          <w:rFonts w:ascii="Arial" w:cs="Arial" w:eastAsia="Arial" w:hAnsi="Arial"/>
          <w:sz w:val="19"/>
          <w:szCs w:val="19"/>
          <w:color w:val="auto"/>
        </w:rPr>
        <w:t>the U.S. Bankruptcy Code as compared to the treatment of those claims under the new authority. Nonetheless, substantial differences in the rights of creditors exist as between these two regimes, including the right of the FDIC to disregard the strict priority of creditor claims in some circumstances, the use of an administrative claims procedure to determine creditors’ claims (as opposed to the judicial procedure utilized in bankruptcy proceedings), and the right of the FDIC to transfer claims to a “bridge” entity.</w:t>
      </w:r>
    </w:p>
    <w:p>
      <w:pPr>
        <w:spacing w:after="0" w:line="3" w:lineRule="exact"/>
        <w:rPr>
          <w:sz w:val="20"/>
          <w:szCs w:val="20"/>
          <w:color w:val="auto"/>
        </w:rPr>
      </w:pPr>
    </w:p>
    <w:p>
      <w:pPr>
        <w:ind w:firstLine="598"/>
        <w:spacing w:after="0" w:line="246" w:lineRule="auto"/>
        <w:rPr>
          <w:sz w:val="20"/>
          <w:szCs w:val="20"/>
          <w:color w:val="auto"/>
        </w:rPr>
      </w:pPr>
      <w:r>
        <w:rPr>
          <w:rFonts w:ascii="Arial" w:cs="Arial" w:eastAsia="Arial" w:hAnsi="Arial"/>
          <w:sz w:val="20"/>
          <w:szCs w:val="20"/>
          <w:color w:val="auto"/>
        </w:rPr>
        <w:t>An orderly liquidation fund will fund such liquidation proceedings through borrowings from the Treasury Department and risk-based assessments made, first, on entities that received more in the resolution than they would have received in liquidation to the extent of such excess, and second, if necessary, on bank holding companies with total consolidated assets of $50 billion or more, such as M&amp;T. If an orderly liquidation is triggered, M&amp;T could face assessments for the orderly liquidation fund.</w:t>
      </w:r>
    </w:p>
    <w:p>
      <w:pPr>
        <w:spacing w:after="0" w:line="3" w:lineRule="exact"/>
        <w:rPr>
          <w:sz w:val="20"/>
          <w:szCs w:val="20"/>
          <w:color w:val="auto"/>
        </w:rPr>
      </w:pPr>
    </w:p>
    <w:p>
      <w:pPr>
        <w:ind w:right="160" w:firstLine="598"/>
        <w:spacing w:after="0" w:line="263" w:lineRule="auto"/>
        <w:rPr>
          <w:sz w:val="20"/>
          <w:szCs w:val="20"/>
          <w:color w:val="auto"/>
        </w:rPr>
      </w:pPr>
      <w:r>
        <w:rPr>
          <w:rFonts w:ascii="Arial" w:cs="Arial" w:eastAsia="Arial" w:hAnsi="Arial"/>
          <w:sz w:val="19"/>
          <w:szCs w:val="19"/>
          <w:color w:val="auto"/>
        </w:rPr>
        <w:t>The FDIC has developed a strategy under the orderly liquidation authority referred to as the “single point of entry” strategy, under which the FDIC would resolve a failed financial holding company by transferring its assets (including shares of its operating subsidiaries) and, potentially, very limited liabilities to a “bridge” holding company; utilize the resources of the failed financial holding company to recapitalize the operating subsidiaries; and satisfy the claims of unsecured creditors of the failed financial holding company and other claimants in the receivership by delivering securities of one or more new financial companies that would emerge from the bridge holding company. Under this strategy, management of the failed financial holding company would be replaced and shareholders and creditors of the failed financial holding company would bear the losses resulting from the failure.</w:t>
      </w: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Depositor Preference</w:t>
      </w:r>
    </w:p>
    <w:p>
      <w:pPr>
        <w:spacing w:after="0" w:line="29" w:lineRule="exact"/>
        <w:rPr>
          <w:sz w:val="20"/>
          <w:szCs w:val="20"/>
          <w:color w:val="auto"/>
        </w:rPr>
      </w:pPr>
    </w:p>
    <w:p>
      <w:pPr>
        <w:ind w:right="40"/>
        <w:spacing w:after="0" w:line="283" w:lineRule="auto"/>
        <w:rPr>
          <w:sz w:val="20"/>
          <w:szCs w:val="20"/>
          <w:color w:val="auto"/>
        </w:rPr>
      </w:pPr>
      <w:r>
        <w:rPr>
          <w:rFonts w:ascii="Arial" w:cs="Arial" w:eastAsia="Arial" w:hAnsi="Arial"/>
          <w:sz w:val="18"/>
          <w:szCs w:val="18"/>
          <w:color w:val="auto"/>
        </w:rPr>
        <w:t>Under federal law, depositors and certain claims for administrative expenses and employee compensation against an insured depository institution would be afforded a priority over other general unsecured claims against such an institution in the “liquidation or other resolution” of such an institution by any receiver. If an insured depository institution fails, insured and uninsured depositors, along with the FDIC, will have priority in payment ahead of unsecured, non-deposit creditors, including depositors whose deposits are payable only outside of the United States and the parent BHC, with respect to any extensions of credit they have made to such insured depository institution.</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Privacy and Cyber Security</w:t>
      </w:r>
    </w:p>
    <w:p>
      <w:pPr>
        <w:spacing w:after="0" w:line="29" w:lineRule="exact"/>
        <w:rPr>
          <w:sz w:val="20"/>
          <w:szCs w:val="20"/>
          <w:color w:val="auto"/>
        </w:rPr>
      </w:pPr>
    </w:p>
    <w:p>
      <w:pPr>
        <w:ind w:right="100"/>
        <w:spacing w:after="0" w:line="274" w:lineRule="auto"/>
        <w:rPr>
          <w:sz w:val="20"/>
          <w:szCs w:val="20"/>
          <w:color w:val="auto"/>
        </w:rPr>
      </w:pPr>
      <w:r>
        <w:rPr>
          <w:rFonts w:ascii="Arial" w:cs="Arial" w:eastAsia="Arial" w:hAnsi="Arial"/>
          <w:sz w:val="18"/>
          <w:szCs w:val="18"/>
          <w:color w:val="auto"/>
        </w:rPr>
        <w:t>The federal banking regulators have adopted rules that limit the ability of banks and other financial institutions to disclose non-public information about consumers to non-affiliated third parties. These limitations require disclosure of privacy policies to consumers and, in some circumstances, allow consumers to prevent disclosure of certain personal information to a non-affiliated third party. These regulations affect how consumer information is transmitted through diversified financial companies and conveyed to outside vendors. In addition, consumers may also prevent disclosure of certain information among affiliated companies that is assembled or used to determine eligibility for a product or service, such as that shown on consumer credit reports and asset and income information from applications. Consumers also have the option to direct banks and other financial institutions not to share information about transactions and experiences with affiliated companies for the purpose of marketing products or services. Federal law makes it a criminal offense, except in limited circumstances, to obtain or attempt to obtain customer information of a financial nature by fraudulent or deceptive means.</w:t>
      </w:r>
    </w:p>
    <w:p>
      <w:pPr>
        <w:spacing w:after="0" w:line="2" w:lineRule="exact"/>
        <w:rPr>
          <w:sz w:val="20"/>
          <w:szCs w:val="20"/>
          <w:color w:val="auto"/>
        </w:rPr>
      </w:pPr>
    </w:p>
    <w:p>
      <w:pPr>
        <w:ind w:right="360" w:firstLine="598"/>
        <w:spacing w:after="0" w:line="251" w:lineRule="auto"/>
        <w:rPr>
          <w:sz w:val="20"/>
          <w:szCs w:val="20"/>
          <w:color w:val="auto"/>
        </w:rPr>
      </w:pPr>
      <w:r>
        <w:rPr>
          <w:rFonts w:ascii="Arial" w:cs="Arial" w:eastAsia="Arial" w:hAnsi="Arial"/>
          <w:sz w:val="20"/>
          <w:szCs w:val="20"/>
          <w:color w:val="auto"/>
        </w:rPr>
        <w:t>In October 2016, the federal banking regulators jointly issued an advance notice of proposed rulemaking on enhanced cyber risk management standards that are intended to increase the operational resilience of large and interconnected entities under their supervision. Once established,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9" w:name="page20"/>
    <w:bookmarkEnd w:id="19"/>
    <w:p>
      <w:pPr>
        <w:ind w:right="20"/>
        <w:spacing w:after="0" w:line="265" w:lineRule="auto"/>
        <w:rPr>
          <w:sz w:val="20"/>
          <w:szCs w:val="20"/>
          <w:color w:val="auto"/>
        </w:rPr>
      </w:pPr>
      <w:r>
        <w:rPr>
          <w:rFonts w:ascii="Arial" w:cs="Arial" w:eastAsia="Arial" w:hAnsi="Arial"/>
          <w:sz w:val="19"/>
          <w:szCs w:val="19"/>
          <w:color w:val="auto"/>
        </w:rPr>
        <w:t>the enhanced cyber risk management standards would help to reduce the potential impact of a cyber-attack or other cyber-related failure on the financial system. The advance notice of proposed rulemaking addresses five categories of cyber standards: (1) cyber risk governance; (2) cyber risk management; (3) internal dependency management; (4) external dependency management; and (5) incident response, cyber resilience, and situational awareness. In March 2017, regulations enacted by the NYSDFS became effective that require financial institutions regulated by the NYSDFS, including M&amp;T Bank, to, among other things, (i) establish and maintain a cyber security program designed to ensure the confidentiality, integrity and availability of their information systems; (ii) implement and maintain a written cyber security policy setting forth policies and procedures for the protection of their information systems and nonpublic information; and (iii) designate a Chief Information Security Officer. M&amp;T Bank is in full compliance with these requirements.</w:t>
      </w: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Consumer Protection Laws and the Consumer Financial Protection Bureau Supervision</w:t>
      </w:r>
    </w:p>
    <w:p>
      <w:pPr>
        <w:spacing w:after="0" w:line="29" w:lineRule="exact"/>
        <w:rPr>
          <w:sz w:val="20"/>
          <w:szCs w:val="20"/>
          <w:color w:val="auto"/>
        </w:rPr>
      </w:pPr>
    </w:p>
    <w:p>
      <w:pPr>
        <w:spacing w:after="0" w:line="259" w:lineRule="auto"/>
        <w:rPr>
          <w:sz w:val="20"/>
          <w:szCs w:val="20"/>
          <w:color w:val="auto"/>
        </w:rPr>
      </w:pPr>
      <w:r>
        <w:rPr>
          <w:rFonts w:ascii="Arial" w:cs="Arial" w:eastAsia="Arial" w:hAnsi="Arial"/>
          <w:sz w:val="19"/>
          <w:szCs w:val="19"/>
          <w:color w:val="auto"/>
        </w:rPr>
        <w:t>In connection with their respective lending and leasing activities, M&amp;T Bank, Wilmington Trust, N.A. and certain of their subsidiaries, are each subject to a number of federal and state laws designed to protect borrowers and promote lending to various sectors of the economy. Such laws include: the Equal Credit Opportunity Act, the Fair Credit Reporting Act, the Fair and Accurate Credit Transactions Act, the Truth in Lending Act, the Home Mortgage Disclosure Act, the Electronic Fund Transfer Act, the Real Estate Settlement Procedures Act, the Servicemembers Civil Relief Act, and various state law counterparts. Furthermore, the CFPB has issued integrated disclosure requirements under the Truth in Lending Act and the Real Estate Settlement Procedures Act that relate to the provision of disclosures to borrowers. There are also consumer protection laws governing deposit taking activities (e.g. Truth in Savings Act), as well securities and insurance laws governing certain aspects of the Company’s consolidated operations.</w:t>
      </w:r>
    </w:p>
    <w:p>
      <w:pPr>
        <w:spacing w:after="0" w:line="6" w:lineRule="exact"/>
        <w:rPr>
          <w:sz w:val="20"/>
          <w:szCs w:val="20"/>
          <w:color w:val="auto"/>
        </w:rPr>
      </w:pPr>
    </w:p>
    <w:p>
      <w:pPr>
        <w:ind w:right="160" w:firstLine="598"/>
        <w:spacing w:after="0" w:line="259" w:lineRule="auto"/>
        <w:rPr>
          <w:sz w:val="20"/>
          <w:szCs w:val="20"/>
          <w:color w:val="auto"/>
        </w:rPr>
      </w:pPr>
      <w:r>
        <w:rPr>
          <w:rFonts w:ascii="Arial" w:cs="Arial" w:eastAsia="Arial" w:hAnsi="Arial"/>
          <w:sz w:val="19"/>
          <w:szCs w:val="19"/>
          <w:color w:val="auto"/>
        </w:rPr>
        <w:t>The Dodd-Frank Act established the CFPB with broad powers to supervise and enforce most federal consumer protection laws. The CFPB has broad rule-making authority for a wide range of consumer protection laws that apply to all banks and savings institutions, including the authority to prohibit “unfair, deceptive or abusive” acts and practices. The CFPB has examination and enforcement authority over all banks and savings institutions with more than $10 billion in assets, including M&amp;T Bank.</w:t>
      </w:r>
    </w:p>
    <w:p>
      <w:pPr>
        <w:spacing w:after="0" w:line="3" w:lineRule="exact"/>
        <w:rPr>
          <w:sz w:val="20"/>
          <w:szCs w:val="20"/>
          <w:color w:val="auto"/>
        </w:rPr>
      </w:pPr>
    </w:p>
    <w:p>
      <w:pPr>
        <w:ind w:left="600"/>
        <w:spacing w:after="0"/>
        <w:rPr>
          <w:sz w:val="20"/>
          <w:szCs w:val="20"/>
          <w:color w:val="auto"/>
        </w:rPr>
      </w:pPr>
      <w:r>
        <w:rPr>
          <w:rFonts w:ascii="Arial" w:cs="Arial" w:eastAsia="Arial" w:hAnsi="Arial"/>
          <w:sz w:val="20"/>
          <w:szCs w:val="20"/>
          <w:color w:val="auto"/>
        </w:rPr>
        <w:t>The CFPB has focused on:</w:t>
      </w:r>
    </w:p>
    <w:p>
      <w:pPr>
        <w:spacing w:after="0" w:line="7" w:lineRule="exact"/>
        <w:rPr>
          <w:sz w:val="20"/>
          <w:szCs w:val="20"/>
          <w:color w:val="auto"/>
        </w:rPr>
      </w:pPr>
    </w:p>
    <w:p>
      <w:pPr>
        <w:ind w:left="1180" w:right="120" w:hanging="584"/>
        <w:spacing w:after="0" w:line="246" w:lineRule="auto"/>
        <w:tabs>
          <w:tab w:leader="none" w:pos="1180" w:val="left"/>
        </w:tabs>
        <w:numPr>
          <w:ilvl w:val="0"/>
          <w:numId w:val="10"/>
        </w:numPr>
        <w:rPr>
          <w:rFonts w:ascii="Arial" w:cs="Arial" w:eastAsia="Arial" w:hAnsi="Arial"/>
          <w:sz w:val="20"/>
          <w:szCs w:val="20"/>
          <w:color w:val="auto"/>
        </w:rPr>
      </w:pPr>
      <w:r>
        <w:rPr>
          <w:rFonts w:ascii="Arial" w:cs="Arial" w:eastAsia="Arial" w:hAnsi="Arial"/>
          <w:sz w:val="20"/>
          <w:szCs w:val="20"/>
          <w:color w:val="auto"/>
        </w:rPr>
        <w:t>risks to consumers and compliance with the federal consumer financial laws, when it evaluates the policies and practices of a financial institution;</w:t>
      </w:r>
    </w:p>
    <w:p>
      <w:pPr>
        <w:spacing w:after="0" w:line="1" w:lineRule="exact"/>
        <w:rPr>
          <w:rFonts w:ascii="Arial" w:cs="Arial" w:eastAsia="Arial" w:hAnsi="Arial"/>
          <w:sz w:val="20"/>
          <w:szCs w:val="20"/>
          <w:color w:val="auto"/>
        </w:rPr>
      </w:pPr>
    </w:p>
    <w:p>
      <w:pPr>
        <w:ind w:left="1180" w:hanging="584"/>
        <w:spacing w:after="0"/>
        <w:tabs>
          <w:tab w:leader="none" w:pos="1180" w:val="left"/>
        </w:tabs>
        <w:numPr>
          <w:ilvl w:val="0"/>
          <w:numId w:val="10"/>
        </w:numPr>
        <w:rPr>
          <w:rFonts w:ascii="Arial" w:cs="Arial" w:eastAsia="Arial" w:hAnsi="Arial"/>
          <w:sz w:val="20"/>
          <w:szCs w:val="20"/>
          <w:color w:val="auto"/>
        </w:rPr>
      </w:pPr>
      <w:r>
        <w:rPr>
          <w:rFonts w:ascii="Arial" w:cs="Arial" w:eastAsia="Arial" w:hAnsi="Arial"/>
          <w:sz w:val="20"/>
          <w:szCs w:val="20"/>
          <w:color w:val="auto"/>
        </w:rPr>
        <w:t>the markets in which firms operate and risks to consumers posed by activities in those markets;</w:t>
      </w:r>
    </w:p>
    <w:p>
      <w:pPr>
        <w:spacing w:after="0" w:line="6" w:lineRule="exact"/>
        <w:rPr>
          <w:rFonts w:ascii="Arial" w:cs="Arial" w:eastAsia="Arial" w:hAnsi="Arial"/>
          <w:sz w:val="20"/>
          <w:szCs w:val="20"/>
          <w:color w:val="auto"/>
        </w:rPr>
      </w:pPr>
    </w:p>
    <w:p>
      <w:pPr>
        <w:ind w:left="1180" w:hanging="584"/>
        <w:spacing w:after="0"/>
        <w:tabs>
          <w:tab w:leader="none" w:pos="1180" w:val="left"/>
        </w:tabs>
        <w:numPr>
          <w:ilvl w:val="0"/>
          <w:numId w:val="10"/>
        </w:numPr>
        <w:rPr>
          <w:rFonts w:ascii="Arial" w:cs="Arial" w:eastAsia="Arial" w:hAnsi="Arial"/>
          <w:sz w:val="20"/>
          <w:szCs w:val="20"/>
          <w:color w:val="auto"/>
        </w:rPr>
      </w:pPr>
      <w:r>
        <w:rPr>
          <w:rFonts w:ascii="Arial" w:cs="Arial" w:eastAsia="Arial" w:hAnsi="Arial"/>
          <w:sz w:val="20"/>
          <w:szCs w:val="20"/>
          <w:color w:val="auto"/>
        </w:rPr>
        <w:t>depository institutions that offer a wide variety of consumer financial products and services;</w:t>
      </w:r>
    </w:p>
    <w:p>
      <w:pPr>
        <w:spacing w:after="0" w:line="6" w:lineRule="exact"/>
        <w:rPr>
          <w:rFonts w:ascii="Arial" w:cs="Arial" w:eastAsia="Arial" w:hAnsi="Arial"/>
          <w:sz w:val="20"/>
          <w:szCs w:val="20"/>
          <w:color w:val="auto"/>
        </w:rPr>
      </w:pPr>
    </w:p>
    <w:p>
      <w:pPr>
        <w:ind w:left="1180" w:hanging="584"/>
        <w:spacing w:after="0"/>
        <w:tabs>
          <w:tab w:leader="none" w:pos="1180" w:val="left"/>
        </w:tabs>
        <w:numPr>
          <w:ilvl w:val="0"/>
          <w:numId w:val="10"/>
        </w:numPr>
        <w:rPr>
          <w:rFonts w:ascii="Arial" w:cs="Arial" w:eastAsia="Arial" w:hAnsi="Arial"/>
          <w:sz w:val="20"/>
          <w:szCs w:val="20"/>
          <w:color w:val="auto"/>
        </w:rPr>
      </w:pPr>
      <w:r>
        <w:rPr>
          <w:rFonts w:ascii="Arial" w:cs="Arial" w:eastAsia="Arial" w:hAnsi="Arial"/>
          <w:sz w:val="20"/>
          <w:szCs w:val="20"/>
          <w:color w:val="auto"/>
        </w:rPr>
        <w:t>depository institutions with a more specialized focus; and</w:t>
      </w:r>
    </w:p>
    <w:p>
      <w:pPr>
        <w:spacing w:after="0" w:line="6" w:lineRule="exact"/>
        <w:rPr>
          <w:rFonts w:ascii="Arial" w:cs="Arial" w:eastAsia="Arial" w:hAnsi="Arial"/>
          <w:sz w:val="20"/>
          <w:szCs w:val="20"/>
          <w:color w:val="auto"/>
        </w:rPr>
      </w:pPr>
    </w:p>
    <w:p>
      <w:pPr>
        <w:ind w:left="1180" w:hanging="584"/>
        <w:spacing w:after="0"/>
        <w:tabs>
          <w:tab w:leader="none" w:pos="1180" w:val="left"/>
        </w:tabs>
        <w:numPr>
          <w:ilvl w:val="0"/>
          <w:numId w:val="10"/>
        </w:numPr>
        <w:rPr>
          <w:rFonts w:ascii="Arial" w:cs="Arial" w:eastAsia="Arial" w:hAnsi="Arial"/>
          <w:sz w:val="20"/>
          <w:szCs w:val="20"/>
          <w:color w:val="auto"/>
        </w:rPr>
      </w:pPr>
      <w:r>
        <w:rPr>
          <w:rFonts w:ascii="Arial" w:cs="Arial" w:eastAsia="Arial" w:hAnsi="Arial"/>
          <w:sz w:val="20"/>
          <w:szCs w:val="20"/>
          <w:color w:val="auto"/>
        </w:rPr>
        <w:t>non-depository companies that offer one or more consumer financial products or services.</w:t>
      </w:r>
    </w:p>
    <w:p>
      <w:pPr>
        <w:spacing w:after="0" w:line="7" w:lineRule="exact"/>
        <w:rPr>
          <w:sz w:val="20"/>
          <w:szCs w:val="20"/>
          <w:color w:val="auto"/>
        </w:rPr>
      </w:pPr>
    </w:p>
    <w:p>
      <w:pPr>
        <w:ind w:right="20"/>
        <w:spacing w:after="0" w:line="263" w:lineRule="auto"/>
        <w:rPr>
          <w:sz w:val="20"/>
          <w:szCs w:val="20"/>
          <w:color w:val="auto"/>
        </w:rPr>
      </w:pPr>
      <w:r>
        <w:rPr>
          <w:rFonts w:ascii="Arial" w:cs="Arial" w:eastAsia="Arial" w:hAnsi="Arial"/>
          <w:sz w:val="19"/>
          <w:szCs w:val="19"/>
          <w:color w:val="auto"/>
        </w:rPr>
        <w:t>One of the important rules in governing deposits is the Electronic Fund Transfer Act which, among other things, prohibits financial institutions from charging consumers fees for paying overdrafts on automated teller machines (“ATM”) and one-time debit card transactions, unless a consumer consents, or opts in, to the overdraft service for those type of transactions. If a consumer does not opt in, any ATM transaction or one-time debit card transaction sent for approval that exceeds the customer’s available balance will be declined. Overdrafts on other types of transactions (e.g. checks, recurring debit card transactions and ACH transactions) are not covered by this rule. Before opting in, the consumer must be provided a notice that explains the financial institution’s overdraft services, including the fees associated with the service, and the consumer’s choices. Financial institutions must</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380"/>
          </w:cols>
          <w:pgMar w:left="240" w:top="126" w:right="279" w:bottom="1440" w:gutter="0" w:footer="0" w:header="0"/>
        </w:sectPr>
      </w:pPr>
    </w:p>
    <w:bookmarkStart w:id="20" w:name="page21"/>
    <w:bookmarkEnd w:id="20"/>
    <w:p>
      <w:pPr>
        <w:spacing w:after="0" w:line="256" w:lineRule="auto"/>
        <w:rPr>
          <w:sz w:val="20"/>
          <w:szCs w:val="20"/>
          <w:color w:val="auto"/>
        </w:rPr>
      </w:pPr>
      <w:r>
        <w:rPr>
          <w:rFonts w:ascii="Arial" w:cs="Arial" w:eastAsia="Arial" w:hAnsi="Arial"/>
          <w:sz w:val="20"/>
          <w:szCs w:val="20"/>
          <w:color w:val="auto"/>
        </w:rPr>
        <w:t>provide consumers who do not opt in with the same account terms, conditions and features (including pricing) that they provide to consumers who do opt in.</w:t>
      </w:r>
    </w:p>
    <w:p>
      <w:pPr>
        <w:ind w:firstLine="878"/>
        <w:spacing w:after="0" w:line="250" w:lineRule="auto"/>
        <w:rPr>
          <w:sz w:val="20"/>
          <w:szCs w:val="20"/>
          <w:color w:val="auto"/>
        </w:rPr>
      </w:pPr>
      <w:r>
        <w:rPr>
          <w:rFonts w:ascii="Arial" w:cs="Arial" w:eastAsia="Arial" w:hAnsi="Arial"/>
          <w:sz w:val="20"/>
          <w:szCs w:val="20"/>
          <w:color w:val="auto"/>
        </w:rPr>
        <w:t>The CFPB issued final rules that change the reporting requirements for lenders under the Home Mortgage Disclosure Act. The new rules, which went into effect on January 1, 2018, expand the range of transactions subject to the requirements to include most securitized residential mortgage loans and credit lines. The rules also increased the overall amount of data required to be collected and submitted, including additional data points about loans and borrowers.</w:t>
      </w:r>
    </w:p>
    <w:p>
      <w:pPr>
        <w:spacing w:after="0" w:line="2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Community Reinvestment Act</w:t>
      </w:r>
    </w:p>
    <w:p>
      <w:pPr>
        <w:spacing w:after="0" w:line="29" w:lineRule="exact"/>
        <w:rPr>
          <w:sz w:val="20"/>
          <w:szCs w:val="20"/>
          <w:color w:val="auto"/>
        </w:rPr>
      </w:pPr>
    </w:p>
    <w:p>
      <w:pPr>
        <w:ind w:right="80"/>
        <w:spacing w:after="0" w:line="261" w:lineRule="auto"/>
        <w:rPr>
          <w:sz w:val="20"/>
          <w:szCs w:val="20"/>
          <w:color w:val="auto"/>
        </w:rPr>
      </w:pPr>
      <w:r>
        <w:rPr>
          <w:rFonts w:ascii="Arial" w:cs="Arial" w:eastAsia="Arial" w:hAnsi="Arial"/>
          <w:sz w:val="19"/>
          <w:szCs w:val="19"/>
          <w:color w:val="auto"/>
        </w:rPr>
        <w:t>The CRA is intended to encourage depository institutions to help meet the credit needs of the communities in which they operate, including low- and moderate-income neighborhoods, consistent with safe and sound operations. CRA examinations are conducted by the federal agencies that are responsible for supervising depository institutions: the Federal Reserve, the FDIC and the OCC. A financial institution's performance in helping to meet the credit needs of its community is evaluated in the context of information about the institution (capacity, constraints and business strategies), its community (demographic and economic data, lending, investment, and service opportunities), and its competitors and peers. Upon completion of a CRA examination, an overall CRA Rating is assigned using a four-tiered rating system. These ratings are: “Outstanding,” “Satisfactory,” “Needs to Improve” and “Substantial Noncompliance.” The CRA evaluation is used in evaluating applications for future approval of bank activities including mergers, acquisitions, charters, branch openings and deposit facilities. M&amp;T Bank has a rating of “Outstanding.” M&amp;T Bank is also subject to New York State CRA examination and is assessed using a 1 to 4 scoring system. M&amp;T Bank has an “Outstanding” rating from the NYSDFS. Wilmington Trust, N.A. was subject to the CRA until March 3, 2016 when the OCC changed its designation of Wilmington Trust, N.A. to a special purpose trust company, which exempts Wilmington Trust, N.A. from the requirements of the CRA.</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Bank Secrecy and Anti-Money Laundering</w:t>
      </w:r>
    </w:p>
    <w:p>
      <w:pPr>
        <w:spacing w:after="0" w:line="29" w:lineRule="exact"/>
        <w:rPr>
          <w:sz w:val="20"/>
          <w:szCs w:val="20"/>
          <w:color w:val="auto"/>
        </w:rPr>
      </w:pPr>
    </w:p>
    <w:p>
      <w:pPr>
        <w:ind w:right="140"/>
        <w:spacing w:after="0" w:line="262" w:lineRule="auto"/>
        <w:rPr>
          <w:sz w:val="20"/>
          <w:szCs w:val="20"/>
          <w:color w:val="auto"/>
        </w:rPr>
      </w:pPr>
      <w:r>
        <w:rPr>
          <w:rFonts w:ascii="Arial" w:cs="Arial" w:eastAsia="Arial" w:hAnsi="Arial"/>
          <w:sz w:val="19"/>
          <w:szCs w:val="19"/>
          <w:color w:val="auto"/>
        </w:rPr>
        <w:t>Federal laws and regulations impose obligations on U.S. financial institutions, including banks and broker/dealer subsidiaries, to implement and maintain appropriate policies, procedures and controls which are reasonably designed to prevent, detect and report instances of money laundering and the financing of terrorism and to verify the identity of their customers. In addition, these provisions require the federal financial institution regulatory agencies to consider the effectiveness of a financial institution’s anti-money laundering activities when reviewing bank mergers and BHC acquisitions. Failure of a financial institution to maintain and implement adequate programs to combat money laundering and terrorist financing could have serious legal and reputational consequences for the institution. As a result of an examination by the FRBNY, on June 17, 2013, M&amp;T and M&amp;T Bank entered into a written agreement with the FRBNY related to M&amp;T Bank’s Bank Secrecy Act (“BSA”)/Anti-Money Laundering (“AML”) procedures pursuant to which M&amp;T and M&amp;T Bank implemented a BSA/AML program with significantly expanded scale and scope. M&amp;T and M&amp;T Bank resolved all outstanding issues in the written agreement and the FRBNY terminated the written agreement on July 27, 2017.</w:t>
      </w: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Office of Foreign Assets Control Regulation</w:t>
      </w:r>
    </w:p>
    <w:p>
      <w:pPr>
        <w:spacing w:after="0" w:line="29" w:lineRule="exact"/>
        <w:rPr>
          <w:sz w:val="20"/>
          <w:szCs w:val="20"/>
          <w:color w:val="auto"/>
        </w:rPr>
      </w:pPr>
    </w:p>
    <w:p>
      <w:pPr>
        <w:ind w:right="80"/>
        <w:spacing w:after="0" w:line="271" w:lineRule="auto"/>
        <w:rPr>
          <w:sz w:val="20"/>
          <w:szCs w:val="20"/>
          <w:color w:val="auto"/>
        </w:rPr>
      </w:pPr>
      <w:r>
        <w:rPr>
          <w:rFonts w:ascii="Arial" w:cs="Arial" w:eastAsia="Arial" w:hAnsi="Arial"/>
          <w:sz w:val="19"/>
          <w:szCs w:val="19"/>
          <w:color w:val="auto"/>
        </w:rPr>
        <w:t>The United States has imposed economic sanctions that affect transactions with designated foreign countries, nationals and others. These are typically known as the “OFAC” rules based on their administration by the U.S. Treasury Department Office of Foreign Assets Control (“OFAC”). The OFAC-administered sanctions targeting countries take many different forms. Generally, however,</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21" w:name="page22"/>
    <w:bookmarkEnd w:id="21"/>
    <w:p>
      <w:pPr>
        <w:ind w:right="260"/>
        <w:spacing w:after="0" w:line="281" w:lineRule="auto"/>
        <w:rPr>
          <w:sz w:val="20"/>
          <w:szCs w:val="20"/>
          <w:color w:val="auto"/>
        </w:rPr>
      </w:pPr>
      <w:r>
        <w:rPr>
          <w:rFonts w:ascii="Arial" w:cs="Arial" w:eastAsia="Arial" w:hAnsi="Arial"/>
          <w:sz w:val="18"/>
          <w:szCs w:val="18"/>
          <w:color w:val="auto"/>
        </w:rPr>
        <w:t>they contain one or more of the following elements: (i) restrictions on trade with or investment in a sanctioned country, including prohibitions against direct or indirect imports from and exports to a sanctioned country and prohibitions on “U.S. persons” engaging in financial transactions relating to making investments in, or providing investment-related advice or assistance to, a sanctioned country; and</w:t>
      </w:r>
    </w:p>
    <w:p>
      <w:pPr>
        <w:ind w:right="140" w:firstLine="5"/>
        <w:spacing w:after="0" w:line="250" w:lineRule="auto"/>
        <w:tabs>
          <w:tab w:leader="none" w:pos="296" w:val="left"/>
        </w:tabs>
        <w:numPr>
          <w:ilvl w:val="0"/>
          <w:numId w:val="11"/>
        </w:numPr>
        <w:rPr>
          <w:rFonts w:ascii="Arial" w:cs="Arial" w:eastAsia="Arial" w:hAnsi="Arial"/>
          <w:sz w:val="20"/>
          <w:szCs w:val="20"/>
          <w:color w:val="auto"/>
        </w:rPr>
      </w:pPr>
      <w:r>
        <w:rPr>
          <w:rFonts w:ascii="Arial" w:cs="Arial" w:eastAsia="Arial" w:hAnsi="Arial"/>
          <w:sz w:val="20"/>
          <w:szCs w:val="20"/>
          <w:color w:val="auto"/>
        </w:rPr>
        <w:t>a blocking of assets in which the government or specially designated nationals of the sanctioned country have an interest, by prohibiting transfers of property subject to U.S. jurisdiction (including property in the possession or control of U.S. persons). Blocked assets (e.g. property and bank deposits) cannot be paid out, withdrawn, set off or transferred in any manner without a license from OFAC. Failure to comply with these sanctions could have serious legal and reputational consequences.</w:t>
      </w:r>
    </w:p>
    <w:p>
      <w:pPr>
        <w:spacing w:after="0" w:line="2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Federal Reserve Policies</w:t>
      </w:r>
    </w:p>
    <w:p>
      <w:pPr>
        <w:spacing w:after="0" w:line="29" w:lineRule="exact"/>
        <w:rPr>
          <w:sz w:val="20"/>
          <w:szCs w:val="20"/>
          <w:color w:val="auto"/>
        </w:rPr>
      </w:pPr>
    </w:p>
    <w:p>
      <w:pPr>
        <w:ind w:right="20"/>
        <w:spacing w:after="0" w:line="297" w:lineRule="auto"/>
        <w:rPr>
          <w:sz w:val="20"/>
          <w:szCs w:val="20"/>
          <w:color w:val="auto"/>
        </w:rPr>
      </w:pPr>
      <w:r>
        <w:rPr>
          <w:rFonts w:ascii="Arial" w:cs="Arial" w:eastAsia="Arial" w:hAnsi="Arial"/>
          <w:sz w:val="17"/>
          <w:szCs w:val="17"/>
          <w:color w:val="auto"/>
        </w:rPr>
        <w:t>The earnings of the Company are significantly affected by the monetary and fiscal policies of governmental authorities, including the Federal Reserve. Among the instruments of monetary policy used by the Federal Reserve are open-market operations in U.S. Government securities and federal funds, changes in the discount rate on member bank borrowings and changes in reserve requirements against member bank deposits. These instruments of monetary policy are used in varying combinations to influence the overall level of bank loans, investments and deposits, and the interest rates charged on loans and paid for deposits. The Federal Reserve frequently uses these instruments of monetary policy, especially its open-market operations and the discount rate, to influence the level of interest rates and to affect the strength of the economy, the level of inflation or the price of the dollar in foreign exchange markets. The monetary policies of the Federal Reserve have had a significant effect on the operating results of banking institutions in the past and are expected to continue to do so in the future. It is not possible to predict the nature of future changes in monetary and fiscal policies or the effect which they may have on the Company’s business and earnings.</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Competition</w:t>
      </w:r>
    </w:p>
    <w:p>
      <w:pPr>
        <w:spacing w:after="0" w:line="29" w:lineRule="exact"/>
        <w:rPr>
          <w:sz w:val="20"/>
          <w:szCs w:val="20"/>
          <w:color w:val="auto"/>
        </w:rPr>
      </w:pPr>
    </w:p>
    <w:p>
      <w:pPr>
        <w:spacing w:after="0" w:line="280" w:lineRule="auto"/>
        <w:rPr>
          <w:sz w:val="20"/>
          <w:szCs w:val="20"/>
          <w:color w:val="auto"/>
        </w:rPr>
      </w:pPr>
      <w:r>
        <w:rPr>
          <w:rFonts w:ascii="Arial" w:cs="Arial" w:eastAsia="Arial" w:hAnsi="Arial"/>
          <w:sz w:val="18"/>
          <w:szCs w:val="18"/>
          <w:color w:val="auto"/>
        </w:rPr>
        <w:t>The Company competes in offering commercial and personal financial and wealth services with other banking institutions and thrifts and with firms in a number of other industries, such as credit unions, personal loan companies, sales finance companies, leasing companies, securities brokerage firms, mutual fund companies, hedge funds, wealth and investment advisory firms, insurance companies and other financial services-related entities. Furthermore, diversified financial services companies are able to offer a combination of these services to their customers on a nationwide basis. The Company’s operations are significantly impacted by state and federal regulations applicable to the banking industry. Moreover, provisions of the Gramm-Leach-Bliley Act of 1999, the Interstate Banking Act and state banking laws have allowed for increased competition among diversified financial services providers and e-commerce and other Internet-based companies.</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Information</w:t>
      </w:r>
    </w:p>
    <w:p>
      <w:pPr>
        <w:spacing w:after="0" w:line="29" w:lineRule="exact"/>
        <w:rPr>
          <w:sz w:val="20"/>
          <w:szCs w:val="20"/>
          <w:color w:val="auto"/>
        </w:rPr>
      </w:pPr>
    </w:p>
    <w:p>
      <w:pPr>
        <w:ind w:right="260"/>
        <w:spacing w:after="0" w:line="281" w:lineRule="auto"/>
        <w:rPr>
          <w:sz w:val="20"/>
          <w:szCs w:val="20"/>
          <w:color w:val="auto"/>
        </w:rPr>
      </w:pPr>
      <w:r>
        <w:rPr>
          <w:rFonts w:ascii="Arial" w:cs="Arial" w:eastAsia="Arial" w:hAnsi="Arial"/>
          <w:sz w:val="18"/>
          <w:szCs w:val="18"/>
          <w:color w:val="auto"/>
        </w:rPr>
        <w:t>Through a link on the Investor Relations section of M&amp;T’s website at www.mtb.com, copies of M&amp;T’s Annual Reports on Form 10-K, Quarterly Reports on Form 10-Q and Current Reports on Form 8-K, and amendments to those reports filed or furnished pursuant to Section 13(a) or 15(d) of the Exchange Act, are made available, free of charge, as soon as reasonably practicable after electronically filing such material with, or furnishing it to, the SEC. Copies of such reports and other information are also available at no charge to any person who requests them or at www.sec.gov. Such requests may be directed to M&amp;T Bank Corporation, Shareholder Relations Department, One M&amp;T Plaza, 8th Floor, Buffalo, NY 14203-2399 (Telephone: (716) 842-5138). The public may read and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00"/>
          </w:cols>
          <w:pgMar w:left="240" w:top="126" w:right="259" w:bottom="1440" w:gutter="0" w:footer="0" w:header="0"/>
        </w:sectPr>
      </w:pPr>
    </w:p>
    <w:bookmarkStart w:id="22" w:name="page23"/>
    <w:bookmarkEnd w:id="22"/>
    <w:p>
      <w:pPr>
        <w:ind w:right="340"/>
        <w:spacing w:after="0" w:line="302" w:lineRule="auto"/>
        <w:rPr>
          <w:sz w:val="20"/>
          <w:szCs w:val="20"/>
          <w:color w:val="auto"/>
        </w:rPr>
      </w:pPr>
      <w:r>
        <w:rPr>
          <w:rFonts w:ascii="Arial" w:cs="Arial" w:eastAsia="Arial" w:hAnsi="Arial"/>
          <w:sz w:val="19"/>
          <w:szCs w:val="19"/>
          <w:color w:val="auto"/>
        </w:rPr>
        <w:t>copy any materials that M&amp;T files with the SEC at the SEC’s Public Reference Room at 100 F Street, N.E., Washington D.C. 20549. The public may obtain information about the operation of the Public Reference Room by calling the SEC at 1-800-SEC-0330.</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Corporate Governance</w:t>
      </w:r>
    </w:p>
    <w:p>
      <w:pPr>
        <w:spacing w:after="0" w:line="29" w:lineRule="exact"/>
        <w:rPr>
          <w:sz w:val="20"/>
          <w:szCs w:val="20"/>
          <w:color w:val="auto"/>
        </w:rPr>
      </w:pPr>
    </w:p>
    <w:p>
      <w:pPr>
        <w:spacing w:after="0" w:line="263" w:lineRule="auto"/>
        <w:rPr>
          <w:sz w:val="20"/>
          <w:szCs w:val="20"/>
          <w:color w:val="auto"/>
        </w:rPr>
      </w:pPr>
      <w:r>
        <w:rPr>
          <w:rFonts w:ascii="Arial" w:cs="Arial" w:eastAsia="Arial" w:hAnsi="Arial"/>
          <w:sz w:val="19"/>
          <w:szCs w:val="19"/>
          <w:color w:val="auto"/>
        </w:rPr>
        <w:t>M&amp;T’s Corporate Governance Standards and the following corporate governance documents are also available on M&amp;T’s website at the Investor Relations link: Disclosure and Regulation FD Policy; Executive Committee Charter; Nomination, Compensation and Governance Committee Charter; Audit Committee Charter; Risk Committee Charter; Financial Reporting and Disclosure Controls and Procedures Policy; Code of Ethics for CEO and Senior Financial Officers; Code of Business Conduct and Ethics; Employee Complaint Procedures for Accounting and Auditing Matters; and Excessive or Luxury Expenditures Policy. Copies of such governance documents are also available, free of charge, to any person who requests them. Such requests may be directed to M&amp;T Bank Corporation, Shareholder Relations Department, One M&amp;T Plaza, 8th Floor, Buffalo, NY 14203-2399 (Telephone: (716) 842-5138).</w:t>
      </w: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Statistical Disclosure Pursuant to Guide 3</w:t>
      </w:r>
    </w:p>
    <w:p>
      <w:pPr>
        <w:spacing w:after="0" w:line="29" w:lineRule="exact"/>
        <w:rPr>
          <w:sz w:val="20"/>
          <w:szCs w:val="20"/>
          <w:color w:val="auto"/>
        </w:rPr>
      </w:pPr>
    </w:p>
    <w:p>
      <w:pPr>
        <w:ind w:right="140"/>
        <w:spacing w:after="0" w:line="256" w:lineRule="auto"/>
        <w:rPr>
          <w:sz w:val="20"/>
          <w:szCs w:val="20"/>
          <w:color w:val="auto"/>
        </w:rPr>
      </w:pPr>
      <w:r>
        <w:rPr>
          <w:rFonts w:ascii="Arial" w:cs="Arial" w:eastAsia="Arial" w:hAnsi="Arial"/>
          <w:sz w:val="20"/>
          <w:szCs w:val="20"/>
          <w:color w:val="auto"/>
        </w:rPr>
        <w:t>See cross-reference sheet for disclosures incorporated elsewhere in this Annual Report on Form 10-K. Additional information is included in the following tables.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23" w:name="page24"/>
    <w:bookmarkEnd w:id="23"/>
    <w:p>
      <w:pPr>
        <w:spacing w:after="0"/>
        <w:rPr>
          <w:sz w:val="20"/>
          <w:szCs w:val="20"/>
          <w:color w:val="auto"/>
        </w:rPr>
      </w:pPr>
      <w:r>
        <w:rPr>
          <w:rFonts w:ascii="Arial" w:cs="Arial" w:eastAsia="Arial" w:hAnsi="Arial"/>
          <w:sz w:val="20"/>
          <w:szCs w:val="20"/>
          <w:b w:val="1"/>
          <w:bCs w:val="1"/>
          <w:color w:val="auto"/>
        </w:rPr>
        <w:t>Table 1</w:t>
      </w: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SELECTED CONSOLIDATED YEAR-END BALANCES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2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180" w:type="dxa"/>
            <w:vAlign w:val="bottom"/>
            <w:gridSpan w:val="2"/>
          </w:tcPr>
          <w:p>
            <w:pPr>
              <w:jc w:val="right"/>
              <w:ind w:right="295"/>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4"/>
                <w:szCs w:val="14"/>
                <w:color w:val="auto"/>
              </w:rPr>
            </w:pPr>
          </w:p>
        </w:tc>
        <w:tc>
          <w:tcPr>
            <w:tcW w:w="1100" w:type="dxa"/>
            <w:vAlign w:val="bottom"/>
            <w:gridSpan w:val="2"/>
          </w:tcPr>
          <w:p>
            <w:pPr>
              <w:jc w:val="right"/>
              <w:ind w:right="295"/>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4"/>
                <w:szCs w:val="14"/>
                <w:color w:val="auto"/>
              </w:rPr>
            </w:pPr>
          </w:p>
        </w:tc>
        <w:tc>
          <w:tcPr>
            <w:tcW w:w="1000" w:type="dxa"/>
            <w:vAlign w:val="bottom"/>
          </w:tcPr>
          <w:p>
            <w:pPr>
              <w:jc w:val="right"/>
              <w:ind w:right="273"/>
              <w:spacing w:after="0"/>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4"/>
                <w:szCs w:val="14"/>
                <w:color w:val="auto"/>
              </w:rPr>
            </w:pPr>
          </w:p>
        </w:tc>
        <w:tc>
          <w:tcPr>
            <w:tcW w:w="1020" w:type="dxa"/>
            <w:vAlign w:val="bottom"/>
          </w:tcPr>
          <w:p>
            <w:pPr>
              <w:jc w:val="right"/>
              <w:ind w:right="292"/>
              <w:spacing w:after="0"/>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4"/>
                <w:szCs w:val="14"/>
                <w:color w:val="auto"/>
              </w:rPr>
            </w:pPr>
          </w:p>
        </w:tc>
        <w:tc>
          <w:tcPr>
            <w:tcW w:w="1040" w:type="dxa"/>
            <w:vAlign w:val="bottom"/>
          </w:tcPr>
          <w:p>
            <w:pPr>
              <w:jc w:val="right"/>
              <w:ind w:right="292"/>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6"/>
        </w:trPr>
        <w:tc>
          <w:tcPr>
            <w:tcW w:w="12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w w:val="95"/>
              </w:rPr>
              <w:t>(In thousands)</w:t>
            </w:r>
          </w:p>
        </w:tc>
        <w:tc>
          <w:tcPr>
            <w:tcW w:w="10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56"/>
        </w:trPr>
        <w:tc>
          <w:tcPr>
            <w:tcW w:w="3160" w:type="dxa"/>
            <w:vAlign w:val="bottom"/>
            <w:gridSpan w:val="2"/>
          </w:tcPr>
          <w:p>
            <w:pPr>
              <w:spacing w:after="0"/>
              <w:rPr>
                <w:sz w:val="20"/>
                <w:szCs w:val="20"/>
                <w:color w:val="auto"/>
              </w:rPr>
            </w:pPr>
            <w:r>
              <w:rPr>
                <w:rFonts w:ascii="Arial" w:cs="Arial" w:eastAsia="Arial" w:hAnsi="Arial"/>
                <w:sz w:val="18"/>
                <w:szCs w:val="18"/>
                <w:color w:val="auto"/>
              </w:rPr>
              <w:t>Interest-bearing deposits at banks</w:t>
            </w:r>
          </w:p>
        </w:tc>
        <w:tc>
          <w:tcPr>
            <w:tcW w:w="3180" w:type="dxa"/>
            <w:vAlign w:val="bottom"/>
            <w:gridSpan w:val="2"/>
          </w:tcPr>
          <w:p>
            <w:pPr>
              <w:jc w:val="right"/>
              <w:spacing w:after="0"/>
              <w:rPr>
                <w:sz w:val="20"/>
                <w:szCs w:val="20"/>
                <w:color w:val="auto"/>
              </w:rPr>
            </w:pPr>
            <w:r>
              <w:rPr>
                <w:rFonts w:ascii="Arial" w:cs="Arial" w:eastAsia="Arial" w:hAnsi="Arial"/>
                <w:sz w:val="18"/>
                <w:szCs w:val="18"/>
                <w:color w:val="auto"/>
              </w:rPr>
              <w:t>$   5,078,903</w:t>
            </w:r>
          </w:p>
        </w:tc>
        <w:tc>
          <w:tcPr>
            <w:tcW w:w="14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   5,000,638</w:t>
            </w: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3"/>
              </w:rPr>
              <w:t>$   7,594,350</w:t>
            </w: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3"/>
              </w:rPr>
              <w:t>$   6,470,867</w:t>
            </w: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95"/>
              </w:rPr>
              <w:t>$   1,651,138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4"/>
        </w:trPr>
        <w:tc>
          <w:tcPr>
            <w:tcW w:w="3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Federal funds sold</w:t>
            </w:r>
          </w:p>
        </w:tc>
        <w:tc>
          <w:tcPr>
            <w:tcW w:w="21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83,392</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99,573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3160" w:type="dxa"/>
            <w:vAlign w:val="bottom"/>
            <w:gridSpan w:val="2"/>
          </w:tcPr>
          <w:p>
            <w:pPr>
              <w:spacing w:after="0"/>
              <w:rPr>
                <w:sz w:val="20"/>
                <w:szCs w:val="20"/>
                <w:color w:val="auto"/>
              </w:rPr>
            </w:pPr>
            <w:r>
              <w:rPr>
                <w:rFonts w:ascii="Arial" w:cs="Arial" w:eastAsia="Arial" w:hAnsi="Arial"/>
                <w:sz w:val="18"/>
                <w:szCs w:val="18"/>
                <w:color w:val="auto"/>
              </w:rPr>
              <w:t>Trading account</w:t>
            </w:r>
          </w:p>
        </w:tc>
        <w:tc>
          <w:tcPr>
            <w:tcW w:w="3180" w:type="dxa"/>
            <w:vAlign w:val="bottom"/>
            <w:gridSpan w:val="2"/>
          </w:tcPr>
          <w:p>
            <w:pPr>
              <w:jc w:val="right"/>
              <w:spacing w:after="0"/>
              <w:rPr>
                <w:sz w:val="20"/>
                <w:szCs w:val="20"/>
                <w:color w:val="auto"/>
              </w:rPr>
            </w:pPr>
            <w:r>
              <w:rPr>
                <w:rFonts w:ascii="Arial" w:cs="Arial" w:eastAsia="Arial" w:hAnsi="Arial"/>
                <w:sz w:val="18"/>
                <w:szCs w:val="18"/>
                <w:color w:val="auto"/>
              </w:rPr>
              <w:t>132,909</w:t>
            </w:r>
          </w:p>
        </w:tc>
        <w:tc>
          <w:tcPr>
            <w:tcW w:w="14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323,867</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273,783</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308,175</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376,131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4"/>
        </w:trPr>
        <w:tc>
          <w:tcPr>
            <w:tcW w:w="3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Investment securities</w:t>
            </w:r>
          </w:p>
        </w:tc>
        <w:tc>
          <w:tcPr>
            <w:tcW w:w="21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3160" w:type="dxa"/>
            <w:vAlign w:val="bottom"/>
            <w:gridSpan w:val="2"/>
          </w:tcPr>
          <w:p>
            <w:pPr>
              <w:ind w:left="240"/>
              <w:spacing w:after="0"/>
              <w:rPr>
                <w:sz w:val="20"/>
                <w:szCs w:val="20"/>
                <w:color w:val="auto"/>
              </w:rPr>
            </w:pPr>
            <w:r>
              <w:rPr>
                <w:rFonts w:ascii="Arial" w:cs="Arial" w:eastAsia="Arial" w:hAnsi="Arial"/>
                <w:sz w:val="18"/>
                <w:szCs w:val="18"/>
                <w:color w:val="auto"/>
              </w:rPr>
              <w:t>U.S. Treasury and federal agencies</w:t>
            </w:r>
          </w:p>
        </w:tc>
        <w:tc>
          <w:tcPr>
            <w:tcW w:w="3180" w:type="dxa"/>
            <w:vAlign w:val="bottom"/>
            <w:gridSpan w:val="2"/>
          </w:tcPr>
          <w:p>
            <w:pPr>
              <w:jc w:val="right"/>
              <w:spacing w:after="0"/>
              <w:rPr>
                <w:sz w:val="20"/>
                <w:szCs w:val="20"/>
                <w:color w:val="auto"/>
              </w:rPr>
            </w:pPr>
            <w:r>
              <w:rPr>
                <w:rFonts w:ascii="Arial" w:cs="Arial" w:eastAsia="Arial" w:hAnsi="Arial"/>
                <w:sz w:val="18"/>
                <w:szCs w:val="18"/>
                <w:color w:val="auto"/>
              </w:rPr>
              <w:t>13,851,832</w:t>
            </w:r>
          </w:p>
        </w:tc>
        <w:tc>
          <w:tcPr>
            <w:tcW w:w="14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15,090,578</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14,540,237</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12,042,390</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7,770,767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1"/>
        </w:trPr>
        <w:tc>
          <w:tcPr>
            <w:tcW w:w="31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Obligations of states and political</w:t>
            </w:r>
          </w:p>
        </w:tc>
        <w:tc>
          <w:tcPr>
            <w:tcW w:w="2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316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subdivisions</w:t>
            </w:r>
          </w:p>
        </w:tc>
        <w:tc>
          <w:tcPr>
            <w:tcW w:w="3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27,151</w:t>
            </w: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64,499</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124,459</w:t>
            </w: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157,159</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180,495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3160" w:type="dxa"/>
            <w:vAlign w:val="bottom"/>
            <w:tcBorders>
              <w:bottom w:val="single" w:sz="8" w:color="CFF0FC"/>
            </w:tcBorders>
            <w:gridSpan w:val="2"/>
          </w:tcPr>
          <w:p>
            <w:pPr>
              <w:ind w:left="240"/>
              <w:spacing w:after="0"/>
              <w:rPr>
                <w:sz w:val="20"/>
                <w:szCs w:val="20"/>
                <w:color w:val="auto"/>
              </w:rPr>
            </w:pPr>
            <w:r>
              <w:rPr>
                <w:rFonts w:ascii="Arial" w:cs="Arial" w:eastAsia="Arial" w:hAnsi="Arial"/>
                <w:sz w:val="18"/>
                <w:szCs w:val="18"/>
                <w:color w:val="auto"/>
              </w:rPr>
              <w:t>Other</w:t>
            </w:r>
          </w:p>
        </w:tc>
        <w:tc>
          <w:tcPr>
            <w:tcW w:w="216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785,542</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1,095,391</w:t>
            </w:r>
          </w:p>
        </w:tc>
        <w:tc>
          <w:tcPr>
            <w:tcW w:w="22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991,743</w:t>
            </w:r>
          </w:p>
        </w:tc>
        <w:tc>
          <w:tcPr>
            <w:tcW w:w="24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793,993</w:t>
            </w:r>
          </w:p>
        </w:tc>
        <w:tc>
          <w:tcPr>
            <w:tcW w:w="22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845,235</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17"/>
        </w:trPr>
        <w:tc>
          <w:tcPr>
            <w:tcW w:w="3160" w:type="dxa"/>
            <w:vAlign w:val="bottom"/>
            <w:gridSpan w:val="2"/>
            <w:shd w:val="clear" w:color="auto" w:fill="CFF0FC"/>
          </w:tcPr>
          <w:p>
            <w:pPr>
              <w:ind w:left="480"/>
              <w:spacing w:after="0"/>
              <w:rPr>
                <w:sz w:val="20"/>
                <w:szCs w:val="20"/>
                <w:color w:val="auto"/>
              </w:rPr>
            </w:pPr>
            <w:r>
              <w:rPr>
                <w:rFonts w:ascii="Arial" w:cs="Arial" w:eastAsia="Arial" w:hAnsi="Arial"/>
                <w:sz w:val="18"/>
                <w:szCs w:val="18"/>
                <w:color w:val="auto"/>
              </w:rPr>
              <w:t>Total investment securities</w:t>
            </w:r>
          </w:p>
        </w:tc>
        <w:tc>
          <w:tcPr>
            <w:tcW w:w="3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14,664,525</w:t>
            </w:r>
          </w:p>
        </w:tc>
        <w:tc>
          <w:tcPr>
            <w:tcW w:w="1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16,250,468</w:t>
            </w: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15,656,439</w:t>
            </w: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12,993,542</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8,796,497</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3160" w:type="dxa"/>
            <w:vAlign w:val="bottom"/>
            <w:gridSpan w:val="2"/>
          </w:tcPr>
          <w:p>
            <w:pPr>
              <w:spacing w:after="0"/>
              <w:rPr>
                <w:sz w:val="20"/>
                <w:szCs w:val="20"/>
                <w:color w:val="auto"/>
              </w:rPr>
            </w:pPr>
            <w:r>
              <w:rPr>
                <w:rFonts w:ascii="Arial" w:cs="Arial" w:eastAsia="Arial" w:hAnsi="Arial"/>
                <w:sz w:val="18"/>
                <w:szCs w:val="18"/>
                <w:color w:val="auto"/>
              </w:rPr>
              <w:t>Loans and leases</w:t>
            </w:r>
          </w:p>
        </w:tc>
        <w:tc>
          <w:tcPr>
            <w:tcW w:w="2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4"/>
        </w:trPr>
        <w:tc>
          <w:tcPr>
            <w:tcW w:w="31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Commercial, financial, leasing, etc.</w:t>
            </w:r>
          </w:p>
        </w:tc>
        <w:tc>
          <w:tcPr>
            <w:tcW w:w="3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21,900,258</w:t>
            </w: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22,770,629</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20,576,737</w:t>
            </w: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19,617,253</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18,876,166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3160" w:type="dxa"/>
            <w:vAlign w:val="bottom"/>
            <w:gridSpan w:val="2"/>
          </w:tcPr>
          <w:p>
            <w:pPr>
              <w:ind w:left="240"/>
              <w:spacing w:after="0"/>
              <w:rPr>
                <w:sz w:val="20"/>
                <w:szCs w:val="20"/>
                <w:color w:val="auto"/>
              </w:rPr>
            </w:pPr>
            <w:r>
              <w:rPr>
                <w:rFonts w:ascii="Arial" w:cs="Arial" w:eastAsia="Arial" w:hAnsi="Arial"/>
                <w:sz w:val="18"/>
                <w:szCs w:val="18"/>
                <w:color w:val="auto"/>
              </w:rPr>
              <w:t>Real estate — construction</w:t>
            </w:r>
          </w:p>
        </w:tc>
        <w:tc>
          <w:tcPr>
            <w:tcW w:w="3180" w:type="dxa"/>
            <w:vAlign w:val="bottom"/>
            <w:gridSpan w:val="2"/>
          </w:tcPr>
          <w:p>
            <w:pPr>
              <w:jc w:val="right"/>
              <w:spacing w:after="0"/>
              <w:rPr>
                <w:sz w:val="20"/>
                <w:szCs w:val="20"/>
                <w:color w:val="auto"/>
              </w:rPr>
            </w:pPr>
            <w:r>
              <w:rPr>
                <w:rFonts w:ascii="Arial" w:cs="Arial" w:eastAsia="Arial" w:hAnsi="Arial"/>
                <w:sz w:val="18"/>
                <w:szCs w:val="18"/>
                <w:color w:val="auto"/>
              </w:rPr>
              <w:t>8,125,925</w:t>
            </w:r>
          </w:p>
        </w:tc>
        <w:tc>
          <w:tcPr>
            <w:tcW w:w="14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8,066,756</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5,716,994</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5,061,269</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4,457,650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4"/>
        </w:trPr>
        <w:tc>
          <w:tcPr>
            <w:tcW w:w="31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Real estate — mortgage</w:t>
            </w:r>
          </w:p>
        </w:tc>
        <w:tc>
          <w:tcPr>
            <w:tcW w:w="3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44,965,038</w:t>
            </w: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48,134,198</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49,841,156</w:t>
            </w: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31,250,968</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30,711,440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3160" w:type="dxa"/>
            <w:vAlign w:val="bottom"/>
            <w:tcBorders>
              <w:bottom w:val="single" w:sz="8" w:color="CFF0FC"/>
            </w:tcBorders>
            <w:gridSpan w:val="2"/>
          </w:tcPr>
          <w:p>
            <w:pPr>
              <w:ind w:left="240"/>
              <w:spacing w:after="0"/>
              <w:rPr>
                <w:sz w:val="20"/>
                <w:szCs w:val="20"/>
                <w:color w:val="auto"/>
              </w:rPr>
            </w:pPr>
            <w:r>
              <w:rPr>
                <w:rFonts w:ascii="Arial" w:cs="Arial" w:eastAsia="Arial" w:hAnsi="Arial"/>
                <w:sz w:val="18"/>
                <w:szCs w:val="18"/>
                <w:color w:val="auto"/>
              </w:rPr>
              <w:t>Consumer</w:t>
            </w:r>
          </w:p>
        </w:tc>
        <w:tc>
          <w:tcPr>
            <w:tcW w:w="216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13,251,665</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12,130,094</w:t>
            </w:r>
          </w:p>
        </w:tc>
        <w:tc>
          <w:tcPr>
            <w:tcW w:w="22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11,584,347</w:t>
            </w:r>
          </w:p>
        </w:tc>
        <w:tc>
          <w:tcPr>
            <w:tcW w:w="24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10,969,879</w:t>
            </w:r>
          </w:p>
        </w:tc>
        <w:tc>
          <w:tcPr>
            <w:tcW w:w="22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10,280,527</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17"/>
        </w:trPr>
        <w:tc>
          <w:tcPr>
            <w:tcW w:w="3160" w:type="dxa"/>
            <w:vAlign w:val="bottom"/>
            <w:gridSpan w:val="2"/>
            <w:shd w:val="clear" w:color="auto" w:fill="CFF0FC"/>
          </w:tcPr>
          <w:p>
            <w:pPr>
              <w:ind w:left="480"/>
              <w:spacing w:after="0"/>
              <w:rPr>
                <w:sz w:val="20"/>
                <w:szCs w:val="20"/>
                <w:color w:val="auto"/>
              </w:rPr>
            </w:pPr>
            <w:r>
              <w:rPr>
                <w:rFonts w:ascii="Arial" w:cs="Arial" w:eastAsia="Arial" w:hAnsi="Arial"/>
                <w:sz w:val="18"/>
                <w:szCs w:val="18"/>
                <w:color w:val="auto"/>
              </w:rPr>
              <w:t>Total loans and leases</w:t>
            </w:r>
          </w:p>
        </w:tc>
        <w:tc>
          <w:tcPr>
            <w:tcW w:w="3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88,242,886</w:t>
            </w:r>
          </w:p>
        </w:tc>
        <w:tc>
          <w:tcPr>
            <w:tcW w:w="1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91,101,677</w:t>
            </w: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87,719,234</w:t>
            </w: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66,899,369</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64,325,783</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3160" w:type="dxa"/>
            <w:vAlign w:val="bottom"/>
            <w:gridSpan w:val="2"/>
          </w:tcPr>
          <w:p>
            <w:pPr>
              <w:ind w:left="240"/>
              <w:spacing w:after="0"/>
              <w:rPr>
                <w:sz w:val="20"/>
                <w:szCs w:val="20"/>
                <w:color w:val="auto"/>
              </w:rPr>
            </w:pPr>
            <w:r>
              <w:rPr>
                <w:rFonts w:ascii="Arial" w:cs="Arial" w:eastAsia="Arial" w:hAnsi="Arial"/>
                <w:sz w:val="18"/>
                <w:szCs w:val="18"/>
                <w:color w:val="auto"/>
              </w:rPr>
              <w:t>Unearned discount</w:t>
            </w:r>
          </w:p>
        </w:tc>
        <w:tc>
          <w:tcPr>
            <w:tcW w:w="3320" w:type="dxa"/>
            <w:vAlign w:val="bottom"/>
            <w:gridSpan w:val="3"/>
          </w:tcPr>
          <w:p>
            <w:pPr>
              <w:jc w:val="right"/>
              <w:ind w:right="80"/>
              <w:spacing w:after="0"/>
              <w:rPr>
                <w:sz w:val="20"/>
                <w:szCs w:val="20"/>
                <w:color w:val="auto"/>
              </w:rPr>
            </w:pPr>
            <w:r>
              <w:rPr>
                <w:rFonts w:ascii="Arial" w:cs="Arial" w:eastAsia="Arial" w:hAnsi="Arial"/>
                <w:sz w:val="18"/>
                <w:szCs w:val="18"/>
                <w:color w:val="auto"/>
              </w:rPr>
              <w:t>(253,903)</w:t>
            </w:r>
          </w:p>
        </w:tc>
        <w:tc>
          <w:tcPr>
            <w:tcW w:w="1320" w:type="dxa"/>
            <w:vAlign w:val="bottom"/>
            <w:gridSpan w:val="3"/>
          </w:tcPr>
          <w:p>
            <w:pPr>
              <w:jc w:val="right"/>
              <w:ind w:right="160"/>
              <w:spacing w:after="0"/>
              <w:rPr>
                <w:sz w:val="20"/>
                <w:szCs w:val="20"/>
                <w:color w:val="auto"/>
              </w:rPr>
            </w:pPr>
            <w:r>
              <w:rPr>
                <w:rFonts w:ascii="Arial" w:cs="Arial" w:eastAsia="Arial" w:hAnsi="Arial"/>
                <w:sz w:val="18"/>
                <w:szCs w:val="18"/>
                <w:color w:val="auto"/>
              </w:rPr>
              <w:t>(248,261)</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(229,735)</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(230,413)</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(252,624)</w:t>
            </w:r>
          </w:p>
        </w:tc>
        <w:tc>
          <w:tcPr>
            <w:tcW w:w="20" w:type="dxa"/>
            <w:vAlign w:val="bottom"/>
          </w:tcPr>
          <w:p>
            <w:pPr>
              <w:spacing w:after="0"/>
              <w:rPr>
                <w:sz w:val="19"/>
                <w:szCs w:val="19"/>
                <w:color w:val="auto"/>
              </w:rPr>
            </w:pPr>
          </w:p>
        </w:tc>
      </w:tr>
      <w:tr>
        <w:trPr>
          <w:trHeight w:val="204"/>
        </w:trPr>
        <w:tc>
          <w:tcPr>
            <w:tcW w:w="3160" w:type="dxa"/>
            <w:vAlign w:val="bottom"/>
            <w:tcBorders>
              <w:top w:val="single" w:sz="8" w:color="CFF0FC"/>
            </w:tcBorders>
            <w:gridSpan w:val="2"/>
            <w:shd w:val="clear" w:color="auto" w:fill="CFF0FC"/>
          </w:tcPr>
          <w:p>
            <w:pPr>
              <w:ind w:left="480"/>
              <w:spacing w:after="0" w:line="204" w:lineRule="exact"/>
              <w:rPr>
                <w:sz w:val="20"/>
                <w:szCs w:val="20"/>
                <w:color w:val="auto"/>
              </w:rPr>
            </w:pPr>
            <w:r>
              <w:rPr>
                <w:rFonts w:ascii="Arial" w:cs="Arial" w:eastAsia="Arial" w:hAnsi="Arial"/>
                <w:sz w:val="18"/>
                <w:szCs w:val="18"/>
                <w:color w:val="auto"/>
                <w:w w:val="95"/>
              </w:rPr>
              <w:t>Loans and leases, net of unearned</w:t>
            </w:r>
          </w:p>
        </w:tc>
        <w:tc>
          <w:tcPr>
            <w:tcW w:w="2160" w:type="dxa"/>
            <w:vAlign w:val="bottom"/>
            <w:tcBorders>
              <w:top w:val="single" w:sz="8" w:color="CFF0FC"/>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r>
      <w:tr>
        <w:trPr>
          <w:trHeight w:val="223"/>
        </w:trPr>
        <w:tc>
          <w:tcPr>
            <w:tcW w:w="3160" w:type="dxa"/>
            <w:vAlign w:val="bottom"/>
            <w:gridSpan w:val="2"/>
            <w:shd w:val="clear" w:color="auto" w:fill="CFF0FC"/>
          </w:tcPr>
          <w:p>
            <w:pPr>
              <w:ind w:left="620"/>
              <w:spacing w:after="0"/>
              <w:rPr>
                <w:sz w:val="20"/>
                <w:szCs w:val="20"/>
                <w:color w:val="auto"/>
              </w:rPr>
            </w:pPr>
            <w:r>
              <w:rPr>
                <w:rFonts w:ascii="Arial" w:cs="Arial" w:eastAsia="Arial" w:hAnsi="Arial"/>
                <w:sz w:val="18"/>
                <w:szCs w:val="18"/>
                <w:color w:val="auto"/>
              </w:rPr>
              <w:t>discount</w:t>
            </w:r>
          </w:p>
        </w:tc>
        <w:tc>
          <w:tcPr>
            <w:tcW w:w="3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87,988,983</w:t>
            </w: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90,853,416</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87,489,499</w:t>
            </w: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66,668,956</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64,073,159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3160" w:type="dxa"/>
            <w:vAlign w:val="bottom"/>
            <w:gridSpan w:val="2"/>
          </w:tcPr>
          <w:p>
            <w:pPr>
              <w:ind w:left="240"/>
              <w:spacing w:after="0"/>
              <w:rPr>
                <w:sz w:val="20"/>
                <w:szCs w:val="20"/>
                <w:color w:val="auto"/>
              </w:rPr>
            </w:pPr>
            <w:r>
              <w:rPr>
                <w:rFonts w:ascii="Arial" w:cs="Arial" w:eastAsia="Arial" w:hAnsi="Arial"/>
                <w:sz w:val="18"/>
                <w:szCs w:val="18"/>
                <w:color w:val="auto"/>
              </w:rPr>
              <w:t>Allowance for credit losses</w:t>
            </w:r>
          </w:p>
        </w:tc>
        <w:tc>
          <w:tcPr>
            <w:tcW w:w="216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(1,017,198)</w:t>
            </w:r>
          </w:p>
        </w:tc>
        <w:tc>
          <w:tcPr>
            <w:tcW w:w="1320" w:type="dxa"/>
            <w:vAlign w:val="bottom"/>
            <w:gridSpan w:val="3"/>
          </w:tcPr>
          <w:p>
            <w:pPr>
              <w:jc w:val="right"/>
              <w:ind w:right="160"/>
              <w:spacing w:after="0"/>
              <w:rPr>
                <w:sz w:val="20"/>
                <w:szCs w:val="20"/>
                <w:color w:val="auto"/>
              </w:rPr>
            </w:pPr>
            <w:r>
              <w:rPr>
                <w:rFonts w:ascii="Arial" w:cs="Arial" w:eastAsia="Arial" w:hAnsi="Arial"/>
                <w:sz w:val="18"/>
                <w:szCs w:val="18"/>
                <w:color w:val="auto"/>
              </w:rPr>
              <w:t>(988,997)</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(955,992)</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(919,562)</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(916,676)</w:t>
            </w:r>
          </w:p>
        </w:tc>
        <w:tc>
          <w:tcPr>
            <w:tcW w:w="20" w:type="dxa"/>
            <w:vAlign w:val="bottom"/>
          </w:tcPr>
          <w:p>
            <w:pPr>
              <w:spacing w:after="0"/>
              <w:rPr>
                <w:sz w:val="19"/>
                <w:szCs w:val="19"/>
                <w:color w:val="auto"/>
              </w:rPr>
            </w:pPr>
          </w:p>
        </w:tc>
      </w:tr>
      <w:tr>
        <w:trPr>
          <w:trHeight w:val="217"/>
        </w:trPr>
        <w:tc>
          <w:tcPr>
            <w:tcW w:w="3160" w:type="dxa"/>
            <w:vAlign w:val="bottom"/>
            <w:tcBorders>
              <w:top w:val="single" w:sz="8" w:color="CFF0FC"/>
            </w:tcBorders>
            <w:gridSpan w:val="2"/>
            <w:shd w:val="clear" w:color="auto" w:fill="CFF0FC"/>
          </w:tcPr>
          <w:p>
            <w:pPr>
              <w:ind w:left="480"/>
              <w:spacing w:after="0"/>
              <w:rPr>
                <w:sz w:val="20"/>
                <w:szCs w:val="20"/>
                <w:color w:val="auto"/>
              </w:rPr>
            </w:pPr>
            <w:r>
              <w:rPr>
                <w:rFonts w:ascii="Arial" w:cs="Arial" w:eastAsia="Arial" w:hAnsi="Arial"/>
                <w:sz w:val="18"/>
                <w:szCs w:val="18"/>
                <w:color w:val="auto"/>
              </w:rPr>
              <w:t>Loans and leases, net</w:t>
            </w:r>
          </w:p>
        </w:tc>
        <w:tc>
          <w:tcPr>
            <w:tcW w:w="216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86,971,785</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89,864,419</w:t>
            </w:r>
          </w:p>
        </w:tc>
        <w:tc>
          <w:tcPr>
            <w:tcW w:w="22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86,533,507</w:t>
            </w:r>
          </w:p>
        </w:tc>
        <w:tc>
          <w:tcPr>
            <w:tcW w:w="24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65,749,394</w:t>
            </w:r>
          </w:p>
        </w:tc>
        <w:tc>
          <w:tcPr>
            <w:tcW w:w="22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63,156,483</w:t>
            </w: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316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3180" w:type="dxa"/>
            <w:vAlign w:val="bottom"/>
            <w:gridSpan w:val="2"/>
          </w:tcPr>
          <w:p>
            <w:pPr>
              <w:jc w:val="right"/>
              <w:spacing w:after="0"/>
              <w:rPr>
                <w:sz w:val="20"/>
                <w:szCs w:val="20"/>
                <w:color w:val="auto"/>
              </w:rPr>
            </w:pPr>
            <w:r>
              <w:rPr>
                <w:rFonts w:ascii="Arial" w:cs="Arial" w:eastAsia="Arial" w:hAnsi="Arial"/>
                <w:sz w:val="18"/>
                <w:szCs w:val="18"/>
                <w:color w:val="auto"/>
              </w:rPr>
              <w:t>4,593,112</w:t>
            </w:r>
          </w:p>
        </w:tc>
        <w:tc>
          <w:tcPr>
            <w:tcW w:w="14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4,593,112</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4,593,112</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3,524,625</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3,524,625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4"/>
        </w:trPr>
        <w:tc>
          <w:tcPr>
            <w:tcW w:w="316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7"/>
              </w:rPr>
              <w:t>Core deposit and other intangible assets</w:t>
            </w:r>
          </w:p>
        </w:tc>
        <w:tc>
          <w:tcPr>
            <w:tcW w:w="3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71,589</w:t>
            </w: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97,655</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140,268</w:t>
            </w: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35,027</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68,851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3160" w:type="dxa"/>
            <w:vAlign w:val="bottom"/>
            <w:gridSpan w:val="2"/>
          </w:tcPr>
          <w:p>
            <w:pPr>
              <w:spacing w:after="0"/>
              <w:rPr>
                <w:sz w:val="20"/>
                <w:szCs w:val="20"/>
                <w:color w:val="auto"/>
              </w:rPr>
            </w:pPr>
            <w:r>
              <w:rPr>
                <w:rFonts w:ascii="Arial" w:cs="Arial" w:eastAsia="Arial" w:hAnsi="Arial"/>
                <w:sz w:val="18"/>
                <w:szCs w:val="18"/>
                <w:color w:val="auto"/>
              </w:rPr>
              <w:t>Real estate and other assets owned</w:t>
            </w:r>
          </w:p>
        </w:tc>
        <w:tc>
          <w:tcPr>
            <w:tcW w:w="3180" w:type="dxa"/>
            <w:vAlign w:val="bottom"/>
            <w:gridSpan w:val="2"/>
          </w:tcPr>
          <w:p>
            <w:pPr>
              <w:jc w:val="right"/>
              <w:spacing w:after="0"/>
              <w:rPr>
                <w:sz w:val="20"/>
                <w:szCs w:val="20"/>
                <w:color w:val="auto"/>
              </w:rPr>
            </w:pPr>
            <w:r>
              <w:rPr>
                <w:rFonts w:ascii="Arial" w:cs="Arial" w:eastAsia="Arial" w:hAnsi="Arial"/>
                <w:sz w:val="18"/>
                <w:szCs w:val="18"/>
                <w:color w:val="auto"/>
              </w:rPr>
              <w:t>111,910</w:t>
            </w:r>
          </w:p>
        </w:tc>
        <w:tc>
          <w:tcPr>
            <w:tcW w:w="14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139,206</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195,085</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63,635</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66,875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4"/>
        </w:trPr>
        <w:tc>
          <w:tcPr>
            <w:tcW w:w="3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assets</w:t>
            </w:r>
          </w:p>
        </w:tc>
        <w:tc>
          <w:tcPr>
            <w:tcW w:w="3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118,593,487</w:t>
            </w: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123,449,206</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122,787,884</w:t>
            </w: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96,685,535</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85,162,391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12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3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Noninterest-bearing deposits</w:t>
            </w:r>
          </w:p>
        </w:tc>
        <w:tc>
          <w:tcPr>
            <w:tcW w:w="3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33,975,180</w:t>
            </w: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32,813,896</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29,110,635</w:t>
            </w: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26,947,880</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24,661,007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3160" w:type="dxa"/>
            <w:vAlign w:val="bottom"/>
            <w:gridSpan w:val="2"/>
          </w:tcPr>
          <w:p>
            <w:pPr>
              <w:spacing w:after="0"/>
              <w:rPr>
                <w:sz w:val="20"/>
                <w:szCs w:val="20"/>
                <w:color w:val="auto"/>
              </w:rPr>
            </w:pPr>
            <w:r>
              <w:rPr>
                <w:rFonts w:ascii="Arial" w:cs="Arial" w:eastAsia="Arial" w:hAnsi="Arial"/>
                <w:sz w:val="18"/>
                <w:szCs w:val="18"/>
                <w:color w:val="auto"/>
              </w:rPr>
              <w:t>Savings and interest-checking deposits</w:t>
            </w:r>
          </w:p>
        </w:tc>
        <w:tc>
          <w:tcPr>
            <w:tcW w:w="3180" w:type="dxa"/>
            <w:vAlign w:val="bottom"/>
            <w:gridSpan w:val="2"/>
          </w:tcPr>
          <w:p>
            <w:pPr>
              <w:jc w:val="right"/>
              <w:spacing w:after="0"/>
              <w:rPr>
                <w:sz w:val="20"/>
                <w:szCs w:val="20"/>
                <w:color w:val="auto"/>
              </w:rPr>
            </w:pPr>
            <w:r>
              <w:rPr>
                <w:rFonts w:ascii="Arial" w:cs="Arial" w:eastAsia="Arial" w:hAnsi="Arial"/>
                <w:sz w:val="18"/>
                <w:szCs w:val="18"/>
                <w:color w:val="auto"/>
              </w:rPr>
              <w:t>51,698,008</w:t>
            </w:r>
          </w:p>
        </w:tc>
        <w:tc>
          <w:tcPr>
            <w:tcW w:w="14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52,346,207</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49,566,644</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43,393,618</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38,611,021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4"/>
        </w:trPr>
        <w:tc>
          <w:tcPr>
            <w:tcW w:w="3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Time deposits</w:t>
            </w:r>
          </w:p>
        </w:tc>
        <w:tc>
          <w:tcPr>
            <w:tcW w:w="3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6,580,962</w:t>
            </w: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10,131,846</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13,110,392</w:t>
            </w: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3,063,973</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3,523,838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31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Deposits at Cayman Islands office</w:t>
            </w:r>
          </w:p>
        </w:tc>
        <w:tc>
          <w:tcPr>
            <w:tcW w:w="216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177,996</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201,927</w:t>
            </w:r>
          </w:p>
        </w:tc>
        <w:tc>
          <w:tcPr>
            <w:tcW w:w="22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170,170</w:t>
            </w:r>
          </w:p>
        </w:tc>
        <w:tc>
          <w:tcPr>
            <w:tcW w:w="24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176,582</w:t>
            </w:r>
          </w:p>
        </w:tc>
        <w:tc>
          <w:tcPr>
            <w:tcW w:w="22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322,746</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17"/>
        </w:trPr>
        <w:tc>
          <w:tcPr>
            <w:tcW w:w="3160" w:type="dxa"/>
            <w:vAlign w:val="bottom"/>
            <w:gridSpan w:val="2"/>
            <w:shd w:val="clear" w:color="auto" w:fill="CFF0FC"/>
          </w:tcPr>
          <w:p>
            <w:pPr>
              <w:ind w:left="480"/>
              <w:spacing w:after="0"/>
              <w:rPr>
                <w:sz w:val="20"/>
                <w:szCs w:val="20"/>
                <w:color w:val="auto"/>
              </w:rPr>
            </w:pPr>
            <w:r>
              <w:rPr>
                <w:rFonts w:ascii="Arial" w:cs="Arial" w:eastAsia="Arial" w:hAnsi="Arial"/>
                <w:sz w:val="18"/>
                <w:szCs w:val="18"/>
                <w:color w:val="auto"/>
              </w:rPr>
              <w:t>Total deposits</w:t>
            </w:r>
          </w:p>
        </w:tc>
        <w:tc>
          <w:tcPr>
            <w:tcW w:w="3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92,432,146</w:t>
            </w:r>
          </w:p>
        </w:tc>
        <w:tc>
          <w:tcPr>
            <w:tcW w:w="1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95,493,876</w:t>
            </w: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91,957,841</w:t>
            </w: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73,582,053</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67,118,612</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3160" w:type="dxa"/>
            <w:vAlign w:val="bottom"/>
            <w:gridSpan w:val="2"/>
          </w:tcPr>
          <w:p>
            <w:pPr>
              <w:spacing w:after="0"/>
              <w:rPr>
                <w:sz w:val="20"/>
                <w:szCs w:val="20"/>
                <w:color w:val="auto"/>
              </w:rPr>
            </w:pPr>
            <w:r>
              <w:rPr>
                <w:rFonts w:ascii="Arial" w:cs="Arial" w:eastAsia="Arial" w:hAnsi="Arial"/>
                <w:sz w:val="18"/>
                <w:szCs w:val="18"/>
                <w:color w:val="auto"/>
              </w:rPr>
              <w:t>Short-term borrowings</w:t>
            </w:r>
          </w:p>
        </w:tc>
        <w:tc>
          <w:tcPr>
            <w:tcW w:w="3180" w:type="dxa"/>
            <w:vAlign w:val="bottom"/>
            <w:gridSpan w:val="2"/>
          </w:tcPr>
          <w:p>
            <w:pPr>
              <w:jc w:val="right"/>
              <w:spacing w:after="0"/>
              <w:rPr>
                <w:sz w:val="20"/>
                <w:szCs w:val="20"/>
                <w:color w:val="auto"/>
              </w:rPr>
            </w:pPr>
            <w:r>
              <w:rPr>
                <w:rFonts w:ascii="Arial" w:cs="Arial" w:eastAsia="Arial" w:hAnsi="Arial"/>
                <w:sz w:val="18"/>
                <w:szCs w:val="18"/>
                <w:color w:val="auto"/>
              </w:rPr>
              <w:t>175,099</w:t>
            </w:r>
          </w:p>
        </w:tc>
        <w:tc>
          <w:tcPr>
            <w:tcW w:w="14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163,442</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2,132,182</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192,676</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260,455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4"/>
        </w:trPr>
        <w:tc>
          <w:tcPr>
            <w:tcW w:w="3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Long-term borrowings</w:t>
            </w:r>
          </w:p>
        </w:tc>
        <w:tc>
          <w:tcPr>
            <w:tcW w:w="3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8,141,430</w:t>
            </w: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9,493,835</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10,653,858</w:t>
            </w: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9,006,959</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5,108,870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316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3180" w:type="dxa"/>
            <w:vAlign w:val="bottom"/>
            <w:gridSpan w:val="2"/>
          </w:tcPr>
          <w:p>
            <w:pPr>
              <w:jc w:val="right"/>
              <w:spacing w:after="0"/>
              <w:rPr>
                <w:sz w:val="20"/>
                <w:szCs w:val="20"/>
                <w:color w:val="auto"/>
              </w:rPr>
            </w:pPr>
            <w:r>
              <w:rPr>
                <w:rFonts w:ascii="Arial" w:cs="Arial" w:eastAsia="Arial" w:hAnsi="Arial"/>
                <w:sz w:val="18"/>
                <w:szCs w:val="18"/>
                <w:color w:val="auto"/>
              </w:rPr>
              <w:t>102,342,668</w:t>
            </w:r>
          </w:p>
        </w:tc>
        <w:tc>
          <w:tcPr>
            <w:tcW w:w="14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106,962,584</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106,614,595</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84,349,639</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73,856,859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4"/>
        </w:trPr>
        <w:tc>
          <w:tcPr>
            <w:tcW w:w="3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Shareholders’ equity</w:t>
            </w:r>
          </w:p>
        </w:tc>
        <w:tc>
          <w:tcPr>
            <w:tcW w:w="3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16,250,819</w:t>
            </w: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16,486,622</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16,173,289</w:t>
            </w: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12,335,896</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11,305,532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388"/>
        </w:trPr>
        <w:tc>
          <w:tcPr>
            <w:tcW w:w="3160" w:type="dxa"/>
            <w:vAlign w:val="bottom"/>
            <w:gridSpan w:val="2"/>
          </w:tcPr>
          <w:p>
            <w:pPr>
              <w:spacing w:after="0"/>
              <w:rPr>
                <w:sz w:val="20"/>
                <w:szCs w:val="20"/>
                <w:color w:val="auto"/>
              </w:rPr>
            </w:pPr>
            <w:r>
              <w:rPr>
                <w:rFonts w:ascii="Arial" w:cs="Arial" w:eastAsia="Arial" w:hAnsi="Arial"/>
                <w:sz w:val="20"/>
                <w:szCs w:val="20"/>
                <w:b w:val="1"/>
                <w:bCs w:val="1"/>
                <w:color w:val="auto"/>
              </w:rPr>
              <w:t>Table 2</w:t>
            </w:r>
          </w:p>
        </w:tc>
        <w:tc>
          <w:tcPr>
            <w:tcW w:w="2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47"/>
        </w:trPr>
        <w:tc>
          <w:tcPr>
            <w:tcW w:w="12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5880" w:type="dxa"/>
            <w:vAlign w:val="bottom"/>
            <w:gridSpan w:val="8"/>
          </w:tcPr>
          <w:p>
            <w:pPr>
              <w:jc w:val="right"/>
              <w:ind w:right="1100"/>
              <w:spacing w:after="0"/>
              <w:rPr>
                <w:sz w:val="20"/>
                <w:szCs w:val="20"/>
                <w:color w:val="auto"/>
              </w:rPr>
            </w:pPr>
            <w:r>
              <w:rPr>
                <w:rFonts w:ascii="Arial" w:cs="Arial" w:eastAsia="Arial" w:hAnsi="Arial"/>
                <w:sz w:val="20"/>
                <w:szCs w:val="20"/>
                <w:b w:val="1"/>
                <w:bCs w:val="1"/>
                <w:color w:val="auto"/>
              </w:rPr>
              <w:t>SHAREHOLDERS, EMPLOYEES AND OFFICES</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4"/>
        </w:trPr>
        <w:tc>
          <w:tcPr>
            <w:tcW w:w="1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Number at Year-End</w:t>
            </w:r>
          </w:p>
        </w:tc>
        <w:tc>
          <w:tcPr>
            <w:tcW w:w="19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24"/>
                <w:szCs w:val="24"/>
                <w:color w:val="auto"/>
              </w:rPr>
            </w:pPr>
          </w:p>
        </w:tc>
        <w:tc>
          <w:tcPr>
            <w:tcW w:w="10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24"/>
                <w:szCs w:val="24"/>
                <w:color w:val="auto"/>
              </w:rPr>
            </w:pPr>
          </w:p>
        </w:tc>
        <w:tc>
          <w:tcPr>
            <w:tcW w:w="10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24"/>
                <w:szCs w:val="24"/>
                <w:color w:val="auto"/>
              </w:rPr>
            </w:pPr>
          </w:p>
        </w:tc>
        <w:tc>
          <w:tcPr>
            <w:tcW w:w="10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07"/>
        </w:trPr>
        <w:tc>
          <w:tcPr>
            <w:tcW w:w="3160" w:type="dxa"/>
            <w:vAlign w:val="bottom"/>
            <w:gridSpan w:val="2"/>
          </w:tcPr>
          <w:p>
            <w:pPr>
              <w:spacing w:after="0"/>
              <w:rPr>
                <w:sz w:val="20"/>
                <w:szCs w:val="20"/>
                <w:color w:val="auto"/>
              </w:rPr>
            </w:pPr>
            <w:r>
              <w:rPr>
                <w:rFonts w:ascii="Arial" w:cs="Arial" w:eastAsia="Arial" w:hAnsi="Arial"/>
                <w:sz w:val="20"/>
                <w:szCs w:val="20"/>
                <w:color w:val="auto"/>
              </w:rPr>
              <w:t>Shareholders</w:t>
            </w:r>
          </w:p>
        </w:tc>
        <w:tc>
          <w:tcPr>
            <w:tcW w:w="3180" w:type="dxa"/>
            <w:vAlign w:val="bottom"/>
            <w:gridSpan w:val="2"/>
          </w:tcPr>
          <w:p>
            <w:pPr>
              <w:jc w:val="right"/>
              <w:spacing w:after="0"/>
              <w:rPr>
                <w:sz w:val="20"/>
                <w:szCs w:val="20"/>
                <w:color w:val="auto"/>
              </w:rPr>
            </w:pPr>
            <w:r>
              <w:rPr>
                <w:rFonts w:ascii="Arial" w:cs="Arial" w:eastAsia="Arial" w:hAnsi="Arial"/>
                <w:sz w:val="20"/>
                <w:szCs w:val="20"/>
                <w:color w:val="auto"/>
              </w:rPr>
              <w:t>18,864</w:t>
            </w:r>
          </w:p>
        </w:tc>
        <w:tc>
          <w:tcPr>
            <w:tcW w:w="14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Arial" w:cs="Arial" w:eastAsia="Arial" w:hAnsi="Arial"/>
                <w:sz w:val="20"/>
                <w:szCs w:val="20"/>
                <w:color w:val="auto"/>
              </w:rPr>
              <w:t>19,802</w:t>
            </w: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20,693</w:t>
            </w: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14,551</w:t>
            </w: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15,015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316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Employees</w:t>
            </w:r>
          </w:p>
        </w:tc>
        <w:tc>
          <w:tcPr>
            <w:tcW w:w="318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16,794</w:t>
            </w:r>
          </w:p>
        </w:tc>
        <w:tc>
          <w:tcPr>
            <w:tcW w:w="1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16,973</w:t>
            </w:r>
          </w:p>
        </w:tc>
        <w:tc>
          <w:tcPr>
            <w:tcW w:w="2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17,476</w:t>
            </w:r>
          </w:p>
        </w:tc>
        <w:tc>
          <w:tcPr>
            <w:tcW w:w="2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15,782</w:t>
            </w:r>
          </w:p>
        </w:tc>
        <w:tc>
          <w:tcPr>
            <w:tcW w:w="2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15,893</w:t>
            </w: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57"/>
        </w:trPr>
        <w:tc>
          <w:tcPr>
            <w:tcW w:w="3160" w:type="dxa"/>
            <w:vAlign w:val="bottom"/>
            <w:gridSpan w:val="2"/>
          </w:tcPr>
          <w:p>
            <w:pPr>
              <w:spacing w:after="0"/>
              <w:rPr>
                <w:sz w:val="20"/>
                <w:szCs w:val="20"/>
                <w:color w:val="auto"/>
              </w:rPr>
            </w:pPr>
            <w:r>
              <w:rPr>
                <w:rFonts w:ascii="Arial" w:cs="Arial" w:eastAsia="Arial" w:hAnsi="Arial"/>
                <w:sz w:val="20"/>
                <w:szCs w:val="20"/>
                <w:color w:val="auto"/>
              </w:rPr>
              <w:t>Offices</w:t>
            </w:r>
          </w:p>
        </w:tc>
        <w:tc>
          <w:tcPr>
            <w:tcW w:w="3180" w:type="dxa"/>
            <w:vAlign w:val="bottom"/>
            <w:gridSpan w:val="2"/>
          </w:tcPr>
          <w:p>
            <w:pPr>
              <w:jc w:val="right"/>
              <w:spacing w:after="0"/>
              <w:rPr>
                <w:sz w:val="20"/>
                <w:szCs w:val="20"/>
                <w:color w:val="auto"/>
              </w:rPr>
            </w:pPr>
            <w:r>
              <w:rPr>
                <w:rFonts w:ascii="Arial" w:cs="Arial" w:eastAsia="Arial" w:hAnsi="Arial"/>
                <w:sz w:val="20"/>
                <w:szCs w:val="20"/>
                <w:color w:val="auto"/>
              </w:rPr>
              <w:t>833</w:t>
            </w:r>
          </w:p>
        </w:tc>
        <w:tc>
          <w:tcPr>
            <w:tcW w:w="140" w:type="dxa"/>
            <w:vAlign w:val="bottom"/>
          </w:tcPr>
          <w:p>
            <w:pPr>
              <w:spacing w:after="0"/>
              <w:rPr>
                <w:sz w:val="22"/>
                <w:szCs w:val="22"/>
                <w:color w:val="auto"/>
              </w:rPr>
            </w:pPr>
          </w:p>
        </w:tc>
        <w:tc>
          <w:tcPr>
            <w:tcW w:w="1100" w:type="dxa"/>
            <w:vAlign w:val="bottom"/>
            <w:gridSpan w:val="2"/>
          </w:tcPr>
          <w:p>
            <w:pPr>
              <w:jc w:val="right"/>
              <w:spacing w:after="0"/>
              <w:rPr>
                <w:sz w:val="20"/>
                <w:szCs w:val="20"/>
                <w:color w:val="auto"/>
              </w:rPr>
            </w:pPr>
            <w:r>
              <w:rPr>
                <w:rFonts w:ascii="Arial" w:cs="Arial" w:eastAsia="Arial" w:hAnsi="Arial"/>
                <w:sz w:val="20"/>
                <w:szCs w:val="20"/>
                <w:color w:val="auto"/>
              </w:rPr>
              <w:t>855</w:t>
            </w:r>
          </w:p>
        </w:tc>
        <w:tc>
          <w:tcPr>
            <w:tcW w:w="2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863</w:t>
            </w:r>
          </w:p>
        </w:tc>
        <w:tc>
          <w:tcPr>
            <w:tcW w:w="2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766</w:t>
            </w: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796</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622"/>
        </w:trPr>
        <w:tc>
          <w:tcPr>
            <w:tcW w:w="12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180" w:type="dxa"/>
            <w:vAlign w:val="bottom"/>
            <w:gridSpan w:val="2"/>
          </w:tcPr>
          <w:p>
            <w:pPr>
              <w:jc w:val="right"/>
              <w:ind w:right="455"/>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2"/>
        </w:trPr>
        <w:tc>
          <w:tcPr>
            <w:tcW w:w="1260" w:type="dxa"/>
            <w:vAlign w:val="bottom"/>
            <w:tcBorders>
              <w:bottom w:val="single" w:sz="8" w:color="9A9A9A"/>
            </w:tcBorders>
          </w:tcPr>
          <w:p>
            <w:pPr>
              <w:spacing w:after="0"/>
              <w:rPr>
                <w:sz w:val="9"/>
                <w:szCs w:val="9"/>
                <w:color w:val="auto"/>
              </w:rPr>
            </w:pPr>
          </w:p>
        </w:tc>
        <w:tc>
          <w:tcPr>
            <w:tcW w:w="1900" w:type="dxa"/>
            <w:vAlign w:val="bottom"/>
            <w:tcBorders>
              <w:bottom w:val="single" w:sz="8" w:color="9A9A9A"/>
            </w:tcBorders>
          </w:tcPr>
          <w:p>
            <w:pPr>
              <w:spacing w:after="0"/>
              <w:rPr>
                <w:sz w:val="9"/>
                <w:szCs w:val="9"/>
                <w:color w:val="auto"/>
              </w:rPr>
            </w:pPr>
          </w:p>
        </w:tc>
        <w:tc>
          <w:tcPr>
            <w:tcW w:w="216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122" w:right="219" w:bottom="1440" w:gutter="0" w:footer="0" w:header="0"/>
        </w:sectPr>
      </w:pPr>
    </w:p>
    <w:bookmarkStart w:id="24" w:name="page25"/>
    <w:bookmarkEnd w:id="24"/>
    <w:p>
      <w:pPr>
        <w:spacing w:after="0"/>
        <w:rPr>
          <w:sz w:val="20"/>
          <w:szCs w:val="20"/>
          <w:color w:val="auto"/>
        </w:rPr>
      </w:pPr>
      <w:r>
        <w:rPr>
          <w:rFonts w:ascii="Arial" w:cs="Arial" w:eastAsia="Arial" w:hAnsi="Arial"/>
          <w:sz w:val="20"/>
          <w:szCs w:val="20"/>
          <w:b w:val="1"/>
          <w:bCs w:val="1"/>
          <w:color w:val="auto"/>
        </w:rPr>
        <w:t>Table 3</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EARNINGS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3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5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right"/>
              <w:ind w:right="300"/>
              <w:spacing w:after="0" w:line="151" w:lineRule="exact"/>
              <w:rPr>
                <w:sz w:val="20"/>
                <w:szCs w:val="20"/>
                <w:color w:val="auto"/>
              </w:rPr>
            </w:pPr>
            <w:r>
              <w:rPr>
                <w:rFonts w:ascii="Arial" w:cs="Arial" w:eastAsia="Arial" w:hAnsi="Arial"/>
                <w:sz w:val="14"/>
                <w:szCs w:val="14"/>
                <w:b w:val="1"/>
                <w:bCs w:val="1"/>
                <w:color w:val="auto"/>
                <w:w w:val="87"/>
              </w:rPr>
              <w:t>(In thousands)</w:t>
            </w: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53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Interest income</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320" w:type="dxa"/>
            <w:vAlign w:val="bottom"/>
          </w:tcPr>
          <w:p>
            <w:pPr>
              <w:spacing w:after="0"/>
              <w:rPr>
                <w:sz w:val="20"/>
                <w:szCs w:val="20"/>
                <w:color w:val="auto"/>
              </w:rPr>
            </w:pPr>
            <w:r>
              <w:rPr>
                <w:rFonts w:ascii="Arial" w:cs="Arial" w:eastAsia="Arial" w:hAnsi="Arial"/>
                <w:sz w:val="16"/>
                <w:szCs w:val="16"/>
                <w:color w:val="auto"/>
              </w:rPr>
              <w:t>Loans and leases, including fees</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3,742,867</w:t>
            </w:r>
          </w:p>
        </w:tc>
        <w:tc>
          <w:tcPr>
            <w:tcW w:w="4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3,485,050</w:t>
            </w:r>
          </w:p>
        </w:tc>
        <w:tc>
          <w:tcPr>
            <w:tcW w:w="2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2,778,151</w:t>
            </w:r>
          </w:p>
        </w:tc>
        <w:tc>
          <w:tcPr>
            <w:tcW w:w="240" w:type="dxa"/>
            <w:vAlign w:val="bottom"/>
          </w:tcPr>
          <w:p>
            <w:pPr>
              <w:spacing w:after="0"/>
              <w:rPr>
                <w:sz w:val="17"/>
                <w:szCs w:val="17"/>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2,596,586</w:t>
            </w:r>
          </w:p>
        </w:tc>
        <w:tc>
          <w:tcPr>
            <w:tcW w:w="220" w:type="dxa"/>
            <w:vAlign w:val="bottom"/>
          </w:tcPr>
          <w:p>
            <w:pPr>
              <w:spacing w:after="0"/>
              <w:rPr>
                <w:sz w:val="17"/>
                <w:szCs w:val="17"/>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2,734,708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320" w:type="dxa"/>
            <w:vAlign w:val="bottom"/>
            <w:shd w:val="clear" w:color="auto" w:fill="CFF0FC"/>
          </w:tcPr>
          <w:p>
            <w:pPr>
              <w:spacing w:after="0"/>
              <w:rPr>
                <w:sz w:val="20"/>
                <w:szCs w:val="20"/>
                <w:color w:val="auto"/>
              </w:rPr>
            </w:pPr>
            <w:r>
              <w:rPr>
                <w:rFonts w:ascii="Arial" w:cs="Arial" w:eastAsia="Arial" w:hAnsi="Arial"/>
                <w:sz w:val="16"/>
                <w:szCs w:val="16"/>
                <w:color w:val="auto"/>
              </w:rPr>
              <w:t>Investment securities</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320" w:type="dxa"/>
            <w:vAlign w:val="bottom"/>
          </w:tcPr>
          <w:p>
            <w:pPr>
              <w:ind w:left="240"/>
              <w:spacing w:after="0"/>
              <w:rPr>
                <w:sz w:val="20"/>
                <w:szCs w:val="20"/>
                <w:color w:val="auto"/>
              </w:rPr>
            </w:pPr>
            <w:r>
              <w:rPr>
                <w:rFonts w:ascii="Arial" w:cs="Arial" w:eastAsia="Arial" w:hAnsi="Arial"/>
                <w:sz w:val="16"/>
                <w:szCs w:val="16"/>
                <w:color w:val="auto"/>
              </w:rPr>
              <w:t>Fully taxable</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361,157</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361,494</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372,162</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340,391</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209,244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3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Exempt from federal taxes</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1,431</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2,606</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4,263</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5,356</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6,802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320" w:type="dxa"/>
            <w:vAlign w:val="bottom"/>
          </w:tcPr>
          <w:p>
            <w:pPr>
              <w:spacing w:after="0"/>
              <w:rPr>
                <w:sz w:val="20"/>
                <w:szCs w:val="20"/>
                <w:color w:val="auto"/>
              </w:rPr>
            </w:pPr>
            <w:r>
              <w:rPr>
                <w:rFonts w:ascii="Arial" w:cs="Arial" w:eastAsia="Arial" w:hAnsi="Arial"/>
                <w:sz w:val="16"/>
                <w:szCs w:val="16"/>
                <w:color w:val="auto"/>
              </w:rPr>
              <w:t>Deposits at banks</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61,326</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45,516</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15,252</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13,361</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5,201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320" w:type="dxa"/>
            <w:vAlign w:val="bottom"/>
            <w:shd w:val="clear" w:color="auto" w:fill="CFF0FC"/>
          </w:tcPr>
          <w:p>
            <w:pPr>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1,014</w:t>
            </w:r>
          </w:p>
        </w:tc>
        <w:tc>
          <w:tcPr>
            <w:tcW w:w="2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1,205</w:t>
            </w:r>
          </w:p>
        </w:tc>
        <w:tc>
          <w:tcPr>
            <w:tcW w:w="220" w:type="dxa"/>
            <w:vAlign w:val="bottom"/>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1,016</w:t>
            </w:r>
          </w:p>
        </w:tc>
        <w:tc>
          <w:tcPr>
            <w:tcW w:w="24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1,183</w:t>
            </w:r>
          </w:p>
        </w:tc>
        <w:tc>
          <w:tcPr>
            <w:tcW w:w="2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1,379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5320" w:type="dxa"/>
            <w:vAlign w:val="bottom"/>
            <w:tcBorders>
              <w:bottom w:val="single" w:sz="8" w:color="CFF0FC"/>
            </w:tcBorders>
          </w:tcPr>
          <w:p>
            <w:pPr>
              <w:ind w:left="240"/>
              <w:spacing w:after="0"/>
              <w:rPr>
                <w:sz w:val="20"/>
                <w:szCs w:val="20"/>
                <w:color w:val="auto"/>
              </w:rPr>
            </w:pPr>
            <w:r>
              <w:rPr>
                <w:rFonts w:ascii="Arial" w:cs="Arial" w:eastAsia="Arial" w:hAnsi="Arial"/>
                <w:sz w:val="16"/>
                <w:szCs w:val="16"/>
                <w:color w:val="auto"/>
              </w:rPr>
              <w:t>Total interest income</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4,167,795</w:t>
            </w:r>
          </w:p>
        </w:tc>
        <w:tc>
          <w:tcPr>
            <w:tcW w:w="22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3,895,871</w:t>
            </w:r>
          </w:p>
        </w:tc>
        <w:tc>
          <w:tcPr>
            <w:tcW w:w="220" w:type="dxa"/>
            <w:vAlign w:val="bottom"/>
            <w:tcBorders>
              <w:bottom w:val="single" w:sz="8" w:color="CFF0FC"/>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3,170,844</w:t>
            </w:r>
          </w:p>
        </w:tc>
        <w:tc>
          <w:tcPr>
            <w:tcW w:w="24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2,956,877</w:t>
            </w:r>
          </w:p>
        </w:tc>
        <w:tc>
          <w:tcPr>
            <w:tcW w:w="22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2,957,334</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3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Interest expense</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320" w:type="dxa"/>
            <w:vAlign w:val="bottom"/>
          </w:tcPr>
          <w:p>
            <w:pPr>
              <w:spacing w:after="0"/>
              <w:rPr>
                <w:sz w:val="20"/>
                <w:szCs w:val="20"/>
                <w:color w:val="auto"/>
              </w:rPr>
            </w:pPr>
            <w:r>
              <w:rPr>
                <w:rFonts w:ascii="Arial" w:cs="Arial" w:eastAsia="Arial" w:hAnsi="Arial"/>
                <w:sz w:val="16"/>
                <w:szCs w:val="16"/>
                <w:color w:val="auto"/>
              </w:rPr>
              <w:t>Savings and interest-checking deposits</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133,177</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87,704</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46,140</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46,869</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56,235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320" w:type="dxa"/>
            <w:vAlign w:val="bottom"/>
            <w:shd w:val="clear" w:color="auto" w:fill="CFF0FC"/>
          </w:tcPr>
          <w:p>
            <w:pPr>
              <w:spacing w:after="0"/>
              <w:rPr>
                <w:sz w:val="20"/>
                <w:szCs w:val="20"/>
                <w:color w:val="auto"/>
              </w:rPr>
            </w:pPr>
            <w:r>
              <w:rPr>
                <w:rFonts w:ascii="Arial" w:cs="Arial" w:eastAsia="Arial" w:hAnsi="Arial"/>
                <w:sz w:val="16"/>
                <w:szCs w:val="16"/>
                <w:color w:val="auto"/>
              </w:rPr>
              <w:t>Time deposits</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61,505</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102,841</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27,059</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15,515</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26,439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320" w:type="dxa"/>
            <w:vAlign w:val="bottom"/>
          </w:tcPr>
          <w:p>
            <w:pPr>
              <w:spacing w:after="0"/>
              <w:rPr>
                <w:sz w:val="20"/>
                <w:szCs w:val="20"/>
                <w:color w:val="auto"/>
              </w:rPr>
            </w:pPr>
            <w:r>
              <w:rPr>
                <w:rFonts w:ascii="Arial" w:cs="Arial" w:eastAsia="Arial" w:hAnsi="Arial"/>
                <w:sz w:val="16"/>
                <w:szCs w:val="16"/>
                <w:color w:val="auto"/>
              </w:rPr>
              <w:t>Deposits at Cayman Islands office</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1,186</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797</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615</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699</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1,018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320" w:type="dxa"/>
            <w:vAlign w:val="bottom"/>
            <w:shd w:val="clear" w:color="auto" w:fill="CFF0FC"/>
          </w:tcPr>
          <w:p>
            <w:pPr>
              <w:spacing w:after="0"/>
              <w:rPr>
                <w:sz w:val="20"/>
                <w:szCs w:val="20"/>
                <w:color w:val="auto"/>
              </w:rPr>
            </w:pPr>
            <w:r>
              <w:rPr>
                <w:rFonts w:ascii="Arial" w:cs="Arial" w:eastAsia="Arial" w:hAnsi="Arial"/>
                <w:sz w:val="16"/>
                <w:szCs w:val="16"/>
                <w:color w:val="auto"/>
              </w:rPr>
              <w:t>Short-term borrowings</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1,511</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3,625</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1,677</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3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Long-term borrowings</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189,372</w:t>
            </w:r>
          </w:p>
        </w:tc>
        <w:tc>
          <w:tcPr>
            <w:tcW w:w="22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231,017</w:t>
            </w:r>
          </w:p>
        </w:tc>
        <w:tc>
          <w:tcPr>
            <w:tcW w:w="220" w:type="dxa"/>
            <w:vAlign w:val="bottom"/>
            <w:tcBorders>
              <w:bottom w:val="single" w:sz="8" w:color="CFF0FC"/>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252,766</w:t>
            </w:r>
          </w:p>
        </w:tc>
        <w:tc>
          <w:tcPr>
            <w:tcW w:w="24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217,247</w:t>
            </w:r>
          </w:p>
        </w:tc>
        <w:tc>
          <w:tcPr>
            <w:tcW w:w="22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199,983</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3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Total interest expense</w:t>
            </w:r>
          </w:p>
        </w:tc>
        <w:tc>
          <w:tcPr>
            <w:tcW w:w="22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386,751</w:t>
            </w:r>
          </w:p>
        </w:tc>
        <w:tc>
          <w:tcPr>
            <w:tcW w:w="22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425,984</w:t>
            </w:r>
          </w:p>
        </w:tc>
        <w:tc>
          <w:tcPr>
            <w:tcW w:w="220" w:type="dxa"/>
            <w:vAlign w:val="bottom"/>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328,257</w:t>
            </w:r>
          </w:p>
        </w:tc>
        <w:tc>
          <w:tcPr>
            <w:tcW w:w="24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280,431</w:t>
            </w:r>
          </w:p>
        </w:tc>
        <w:tc>
          <w:tcPr>
            <w:tcW w:w="22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284,105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320" w:type="dxa"/>
            <w:vAlign w:val="bottom"/>
          </w:tcPr>
          <w:p>
            <w:pPr>
              <w:spacing w:after="0"/>
              <w:rPr>
                <w:sz w:val="20"/>
                <w:szCs w:val="20"/>
                <w:color w:val="auto"/>
              </w:rPr>
            </w:pPr>
            <w:r>
              <w:rPr>
                <w:rFonts w:ascii="Arial" w:cs="Arial" w:eastAsia="Arial" w:hAnsi="Arial"/>
                <w:sz w:val="16"/>
                <w:szCs w:val="16"/>
                <w:b w:val="1"/>
                <w:bCs w:val="1"/>
                <w:color w:val="auto"/>
              </w:rPr>
              <w:t>Net interest income</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3,781,044</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3,469,887</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2,842,587</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2,676,446</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2,673,229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320" w:type="dxa"/>
            <w:vAlign w:val="bottom"/>
            <w:shd w:val="clear" w:color="auto" w:fill="CFF0FC"/>
          </w:tcPr>
          <w:p>
            <w:pPr>
              <w:spacing w:after="0"/>
              <w:rPr>
                <w:sz w:val="20"/>
                <w:szCs w:val="20"/>
                <w:color w:val="auto"/>
              </w:rPr>
            </w:pPr>
            <w:r>
              <w:rPr>
                <w:rFonts w:ascii="Arial" w:cs="Arial" w:eastAsia="Arial" w:hAnsi="Arial"/>
                <w:sz w:val="16"/>
                <w:szCs w:val="16"/>
                <w:color w:val="auto"/>
              </w:rPr>
              <w:t>Provision for credit losses</w:t>
            </w: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168,000</w:t>
            </w:r>
          </w:p>
        </w:tc>
        <w:tc>
          <w:tcPr>
            <w:tcW w:w="2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190,000</w:t>
            </w:r>
          </w:p>
        </w:tc>
        <w:tc>
          <w:tcPr>
            <w:tcW w:w="220" w:type="dxa"/>
            <w:vAlign w:val="bottom"/>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170,000</w:t>
            </w:r>
          </w:p>
        </w:tc>
        <w:tc>
          <w:tcPr>
            <w:tcW w:w="24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124,000</w:t>
            </w:r>
          </w:p>
        </w:tc>
        <w:tc>
          <w:tcPr>
            <w:tcW w:w="2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185,000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53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Net interest income after provision for credit losses</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3,613,044</w:t>
            </w:r>
          </w:p>
        </w:tc>
        <w:tc>
          <w:tcPr>
            <w:tcW w:w="22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3,279,887</w:t>
            </w:r>
          </w:p>
        </w:tc>
        <w:tc>
          <w:tcPr>
            <w:tcW w:w="220" w:type="dxa"/>
            <w:vAlign w:val="bottom"/>
            <w:tcBorders>
              <w:bottom w:val="single" w:sz="8" w:color="CFF0FC"/>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2,672,587</w:t>
            </w:r>
          </w:p>
        </w:tc>
        <w:tc>
          <w:tcPr>
            <w:tcW w:w="24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2,552,446</w:t>
            </w:r>
          </w:p>
        </w:tc>
        <w:tc>
          <w:tcPr>
            <w:tcW w:w="22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2,488,229</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3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Other income</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320" w:type="dxa"/>
            <w:vAlign w:val="bottom"/>
          </w:tcPr>
          <w:p>
            <w:pPr>
              <w:spacing w:after="0"/>
              <w:rPr>
                <w:sz w:val="20"/>
                <w:szCs w:val="20"/>
                <w:color w:val="auto"/>
              </w:rPr>
            </w:pPr>
            <w:r>
              <w:rPr>
                <w:rFonts w:ascii="Arial" w:cs="Arial" w:eastAsia="Arial" w:hAnsi="Arial"/>
                <w:sz w:val="16"/>
                <w:szCs w:val="16"/>
                <w:color w:val="auto"/>
              </w:rPr>
              <w:t>Mortgage banking revenues</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363,827</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373,697</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375,738</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362,912</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331,265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320" w:type="dxa"/>
            <w:vAlign w:val="bottom"/>
            <w:shd w:val="clear" w:color="auto" w:fill="CFF0FC"/>
          </w:tcPr>
          <w:p>
            <w:pPr>
              <w:spacing w:after="0"/>
              <w:rPr>
                <w:sz w:val="20"/>
                <w:szCs w:val="20"/>
                <w:color w:val="auto"/>
              </w:rPr>
            </w:pPr>
            <w:r>
              <w:rPr>
                <w:rFonts w:ascii="Arial" w:cs="Arial" w:eastAsia="Arial" w:hAnsi="Arial"/>
                <w:sz w:val="16"/>
                <w:szCs w:val="16"/>
                <w:color w:val="auto"/>
              </w:rPr>
              <w:t>Service charges on deposit accounts</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427,372</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419,102</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420,608</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427,956</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446,941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320" w:type="dxa"/>
            <w:vAlign w:val="bottom"/>
          </w:tcPr>
          <w:p>
            <w:pPr>
              <w:spacing w:after="0"/>
              <w:rPr>
                <w:sz w:val="20"/>
                <w:szCs w:val="20"/>
                <w:color w:val="auto"/>
              </w:rPr>
            </w:pPr>
            <w:r>
              <w:rPr>
                <w:rFonts w:ascii="Arial" w:cs="Arial" w:eastAsia="Arial" w:hAnsi="Arial"/>
                <w:sz w:val="16"/>
                <w:szCs w:val="16"/>
                <w:color w:val="auto"/>
              </w:rPr>
              <w:t>Trust income</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501,381</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472,184</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470,640</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508,258</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496,008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320" w:type="dxa"/>
            <w:vAlign w:val="bottom"/>
            <w:shd w:val="clear" w:color="auto" w:fill="CFF0FC"/>
          </w:tcPr>
          <w:p>
            <w:pPr>
              <w:spacing w:after="0"/>
              <w:rPr>
                <w:sz w:val="20"/>
                <w:szCs w:val="20"/>
                <w:color w:val="auto"/>
              </w:rPr>
            </w:pPr>
            <w:r>
              <w:rPr>
                <w:rFonts w:ascii="Arial" w:cs="Arial" w:eastAsia="Arial" w:hAnsi="Arial"/>
                <w:sz w:val="16"/>
                <w:szCs w:val="16"/>
                <w:color w:val="auto"/>
              </w:rPr>
              <w:t>Brokerage services income</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61,445</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63,423</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64,770</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67,212</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65,647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320" w:type="dxa"/>
            <w:vAlign w:val="bottom"/>
          </w:tcPr>
          <w:p>
            <w:pPr>
              <w:spacing w:after="0"/>
              <w:rPr>
                <w:sz w:val="20"/>
                <w:szCs w:val="20"/>
                <w:color w:val="auto"/>
              </w:rPr>
            </w:pPr>
            <w:r>
              <w:rPr>
                <w:rFonts w:ascii="Arial" w:cs="Arial" w:eastAsia="Arial" w:hAnsi="Arial"/>
                <w:sz w:val="16"/>
                <w:szCs w:val="16"/>
                <w:color w:val="auto"/>
              </w:rPr>
              <w:t>Trading account and foreign exchange gains</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35,301</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41,126</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30,577</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29,874</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40,828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320" w:type="dxa"/>
            <w:vAlign w:val="bottom"/>
            <w:shd w:val="clear" w:color="auto" w:fill="CFF0FC"/>
          </w:tcPr>
          <w:p>
            <w:pPr>
              <w:spacing w:after="0"/>
              <w:rPr>
                <w:sz w:val="20"/>
                <w:szCs w:val="20"/>
                <w:color w:val="auto"/>
              </w:rPr>
            </w:pPr>
            <w:r>
              <w:rPr>
                <w:rFonts w:ascii="Arial" w:cs="Arial" w:eastAsia="Arial" w:hAnsi="Arial"/>
                <w:sz w:val="16"/>
                <w:szCs w:val="16"/>
                <w:color w:val="auto"/>
              </w:rPr>
              <w:t>Gain (loss) on bank investment securities</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21,279</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30,314</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(130)</w:t>
            </w:r>
          </w:p>
        </w:tc>
        <w:tc>
          <w:tcPr>
            <w:tcW w:w="2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56,457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320" w:type="dxa"/>
            <w:vAlign w:val="bottom"/>
          </w:tcPr>
          <w:p>
            <w:pPr>
              <w:spacing w:after="0"/>
              <w:rPr>
                <w:sz w:val="20"/>
                <w:szCs w:val="20"/>
                <w:color w:val="auto"/>
              </w:rPr>
            </w:pPr>
            <w:r>
              <w:rPr>
                <w:rFonts w:ascii="Arial" w:cs="Arial" w:eastAsia="Arial" w:hAnsi="Arial"/>
                <w:sz w:val="16"/>
                <w:szCs w:val="16"/>
                <w:color w:val="auto"/>
              </w:rPr>
              <w:t>Total other-than-temporary impairment (“OTTI”) losses</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(1,884)</w:t>
            </w:r>
          </w:p>
        </w:tc>
        <w:tc>
          <w:tcPr>
            <w:tcW w:w="0" w:type="dxa"/>
            <w:vAlign w:val="bottom"/>
          </w:tcPr>
          <w:p>
            <w:pPr>
              <w:spacing w:after="0"/>
              <w:rPr>
                <w:sz w:val="1"/>
                <w:szCs w:val="1"/>
                <w:color w:val="auto"/>
              </w:rPr>
            </w:pPr>
          </w:p>
        </w:tc>
      </w:tr>
      <w:tr>
        <w:trPr>
          <w:trHeight w:val="204"/>
        </w:trPr>
        <w:tc>
          <w:tcPr>
            <w:tcW w:w="5320" w:type="dxa"/>
            <w:vAlign w:val="bottom"/>
            <w:shd w:val="clear" w:color="auto" w:fill="CFF0FC"/>
          </w:tcPr>
          <w:p>
            <w:pPr>
              <w:spacing w:after="0"/>
              <w:rPr>
                <w:sz w:val="20"/>
                <w:szCs w:val="20"/>
                <w:color w:val="auto"/>
              </w:rPr>
            </w:pPr>
            <w:r>
              <w:rPr>
                <w:rFonts w:ascii="Arial" w:cs="Arial" w:eastAsia="Arial" w:hAnsi="Arial"/>
                <w:sz w:val="16"/>
                <w:szCs w:val="16"/>
                <w:color w:val="auto"/>
              </w:rPr>
              <w:t>Portion of OTTI losses recognized in other</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3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comprehensive income (before taxes)</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(7,916)</w:t>
            </w:r>
          </w:p>
        </w:tc>
        <w:tc>
          <w:tcPr>
            <w:tcW w:w="0" w:type="dxa"/>
            <w:vAlign w:val="bottom"/>
          </w:tcPr>
          <w:p>
            <w:pPr>
              <w:spacing w:after="0"/>
              <w:rPr>
                <w:sz w:val="1"/>
                <w:szCs w:val="1"/>
                <w:color w:val="auto"/>
              </w:rPr>
            </w:pPr>
          </w:p>
        </w:tc>
      </w:tr>
      <w:tr>
        <w:trPr>
          <w:trHeight w:val="20"/>
        </w:trPr>
        <w:tc>
          <w:tcPr>
            <w:tcW w:w="5320" w:type="dxa"/>
            <w:vAlign w:val="bottom"/>
            <w:vMerge w:val="restart"/>
          </w:tcPr>
          <w:p>
            <w:pPr>
              <w:spacing w:after="0"/>
              <w:rPr>
                <w:sz w:val="20"/>
                <w:szCs w:val="20"/>
                <w:color w:val="auto"/>
              </w:rPr>
            </w:pPr>
            <w:r>
              <w:rPr>
                <w:rFonts w:ascii="Arial" w:cs="Arial" w:eastAsia="Arial" w:hAnsi="Arial"/>
                <w:sz w:val="16"/>
                <w:szCs w:val="16"/>
                <w:color w:val="auto"/>
              </w:rPr>
              <w:t>Net OTTI losses recognized in earnings</w:t>
            </w: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3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(9,800)</w:t>
            </w:r>
          </w:p>
        </w:tc>
        <w:tc>
          <w:tcPr>
            <w:tcW w:w="0" w:type="dxa"/>
            <w:vAlign w:val="bottom"/>
          </w:tcPr>
          <w:p>
            <w:pPr>
              <w:spacing w:after="0"/>
              <w:rPr>
                <w:sz w:val="1"/>
                <w:szCs w:val="1"/>
                <w:color w:val="auto"/>
              </w:rPr>
            </w:pPr>
          </w:p>
        </w:tc>
      </w:tr>
      <w:tr>
        <w:trPr>
          <w:trHeight w:val="214"/>
        </w:trPr>
        <w:tc>
          <w:tcPr>
            <w:tcW w:w="5320" w:type="dxa"/>
            <w:vAlign w:val="bottom"/>
            <w:shd w:val="clear" w:color="auto" w:fill="CFF0FC"/>
          </w:tcPr>
          <w:p>
            <w:pPr>
              <w:spacing w:after="0"/>
              <w:rPr>
                <w:sz w:val="20"/>
                <w:szCs w:val="20"/>
                <w:color w:val="auto"/>
              </w:rPr>
            </w:pPr>
            <w:r>
              <w:rPr>
                <w:rFonts w:ascii="Arial" w:cs="Arial" w:eastAsia="Arial" w:hAnsi="Arial"/>
                <w:sz w:val="16"/>
                <w:szCs w:val="16"/>
                <w:color w:val="auto"/>
              </w:rPr>
              <w:t>Other revenues from operations</w:t>
            </w: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440,538</w:t>
            </w:r>
          </w:p>
        </w:tc>
        <w:tc>
          <w:tcPr>
            <w:tcW w:w="2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426,150</w:t>
            </w:r>
          </w:p>
        </w:tc>
        <w:tc>
          <w:tcPr>
            <w:tcW w:w="220" w:type="dxa"/>
            <w:vAlign w:val="bottom"/>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462,834</w:t>
            </w:r>
          </w:p>
        </w:tc>
        <w:tc>
          <w:tcPr>
            <w:tcW w:w="24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383,061</w:t>
            </w:r>
          </w:p>
        </w:tc>
        <w:tc>
          <w:tcPr>
            <w:tcW w:w="2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437,859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5320" w:type="dxa"/>
            <w:vAlign w:val="bottom"/>
            <w:tcBorders>
              <w:bottom w:val="single" w:sz="8" w:color="CFF0FC"/>
            </w:tcBorders>
          </w:tcPr>
          <w:p>
            <w:pPr>
              <w:ind w:left="240"/>
              <w:spacing w:after="0"/>
              <w:rPr>
                <w:sz w:val="20"/>
                <w:szCs w:val="20"/>
                <w:color w:val="auto"/>
              </w:rPr>
            </w:pPr>
            <w:r>
              <w:rPr>
                <w:rFonts w:ascii="Arial" w:cs="Arial" w:eastAsia="Arial" w:hAnsi="Arial"/>
                <w:sz w:val="16"/>
                <w:szCs w:val="16"/>
                <w:color w:val="auto"/>
              </w:rPr>
              <w:t>Total other income</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1,851,143</w:t>
            </w:r>
          </w:p>
        </w:tc>
        <w:tc>
          <w:tcPr>
            <w:tcW w:w="22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1,825,996</w:t>
            </w:r>
          </w:p>
        </w:tc>
        <w:tc>
          <w:tcPr>
            <w:tcW w:w="220" w:type="dxa"/>
            <w:vAlign w:val="bottom"/>
            <w:tcBorders>
              <w:bottom w:val="single" w:sz="8" w:color="CFF0FC"/>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1,825,037</w:t>
            </w:r>
          </w:p>
        </w:tc>
        <w:tc>
          <w:tcPr>
            <w:tcW w:w="24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1,779,273</w:t>
            </w:r>
          </w:p>
        </w:tc>
        <w:tc>
          <w:tcPr>
            <w:tcW w:w="22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1,865,205</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3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Other expense</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320" w:type="dxa"/>
            <w:vAlign w:val="bottom"/>
          </w:tcPr>
          <w:p>
            <w:pPr>
              <w:spacing w:after="0"/>
              <w:rPr>
                <w:sz w:val="20"/>
                <w:szCs w:val="20"/>
                <w:color w:val="auto"/>
              </w:rPr>
            </w:pPr>
            <w:r>
              <w:rPr>
                <w:rFonts w:ascii="Arial" w:cs="Arial" w:eastAsia="Arial" w:hAnsi="Arial"/>
                <w:sz w:val="16"/>
                <w:szCs w:val="16"/>
                <w:color w:val="auto"/>
              </w:rPr>
              <w:t>Salaries and employee benefits</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1,650,729</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1,623,600</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1,549,530</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1,404,950</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1,355,178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320" w:type="dxa"/>
            <w:vAlign w:val="bottom"/>
            <w:shd w:val="clear" w:color="auto" w:fill="CFF0FC"/>
          </w:tcPr>
          <w:p>
            <w:pPr>
              <w:spacing w:after="0"/>
              <w:rPr>
                <w:sz w:val="20"/>
                <w:szCs w:val="20"/>
                <w:color w:val="auto"/>
              </w:rPr>
            </w:pPr>
            <w:r>
              <w:rPr>
                <w:rFonts w:ascii="Arial" w:cs="Arial" w:eastAsia="Arial" w:hAnsi="Arial"/>
                <w:sz w:val="16"/>
                <w:szCs w:val="16"/>
                <w:color w:val="auto"/>
              </w:rPr>
              <w:t>Equipment and net occupancy</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295,084</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295,141</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272,539</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269,299</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264,327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320" w:type="dxa"/>
            <w:vAlign w:val="bottom"/>
          </w:tcPr>
          <w:p>
            <w:pPr>
              <w:spacing w:after="0"/>
              <w:rPr>
                <w:sz w:val="20"/>
                <w:szCs w:val="20"/>
                <w:color w:val="auto"/>
              </w:rPr>
            </w:pPr>
            <w:r>
              <w:rPr>
                <w:rFonts w:ascii="Arial" w:cs="Arial" w:eastAsia="Arial" w:hAnsi="Arial"/>
                <w:sz w:val="16"/>
                <w:szCs w:val="16"/>
                <w:color w:val="auto"/>
              </w:rPr>
              <w:t>Outside data processing and software</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184,670</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172,389</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164,133</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151,568</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134,011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320" w:type="dxa"/>
            <w:vAlign w:val="bottom"/>
            <w:shd w:val="clear" w:color="auto" w:fill="CFF0FC"/>
          </w:tcPr>
          <w:p>
            <w:pPr>
              <w:spacing w:after="0"/>
              <w:rPr>
                <w:sz w:val="20"/>
                <w:szCs w:val="20"/>
                <w:color w:val="auto"/>
              </w:rPr>
            </w:pPr>
            <w:r>
              <w:rPr>
                <w:rFonts w:ascii="Arial" w:cs="Arial" w:eastAsia="Arial" w:hAnsi="Arial"/>
                <w:sz w:val="16"/>
                <w:szCs w:val="16"/>
                <w:color w:val="auto"/>
              </w:rPr>
              <w:t>FDIC assessments</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101,871</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105,045</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52,113</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55,531</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69,584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320" w:type="dxa"/>
            <w:vAlign w:val="bottom"/>
          </w:tcPr>
          <w:p>
            <w:pPr>
              <w:spacing w:after="0"/>
              <w:rPr>
                <w:sz w:val="20"/>
                <w:szCs w:val="20"/>
                <w:color w:val="auto"/>
              </w:rPr>
            </w:pPr>
            <w:r>
              <w:rPr>
                <w:rFonts w:ascii="Arial" w:cs="Arial" w:eastAsia="Arial" w:hAnsi="Arial"/>
                <w:sz w:val="16"/>
                <w:szCs w:val="16"/>
                <w:color w:val="auto"/>
              </w:rPr>
              <w:t>Advertising and marketing</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69,203</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87,137</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59,227</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47,111</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56,597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320" w:type="dxa"/>
            <w:vAlign w:val="bottom"/>
            <w:shd w:val="clear" w:color="auto" w:fill="CFF0FC"/>
          </w:tcPr>
          <w:p>
            <w:pPr>
              <w:spacing w:after="0"/>
              <w:rPr>
                <w:sz w:val="20"/>
                <w:szCs w:val="20"/>
                <w:color w:val="auto"/>
              </w:rPr>
            </w:pPr>
            <w:r>
              <w:rPr>
                <w:rFonts w:ascii="Arial" w:cs="Arial" w:eastAsia="Arial" w:hAnsi="Arial"/>
                <w:sz w:val="16"/>
                <w:szCs w:val="16"/>
                <w:color w:val="auto"/>
              </w:rPr>
              <w:t>Printing, postage and supplies</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35,960</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39,546</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38,491</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38,201</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39,557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320" w:type="dxa"/>
            <w:vAlign w:val="bottom"/>
          </w:tcPr>
          <w:p>
            <w:pPr>
              <w:spacing w:after="0"/>
              <w:rPr>
                <w:sz w:val="20"/>
                <w:szCs w:val="20"/>
                <w:color w:val="auto"/>
              </w:rPr>
            </w:pPr>
            <w:r>
              <w:rPr>
                <w:rFonts w:ascii="Arial" w:cs="Arial" w:eastAsia="Arial" w:hAnsi="Arial"/>
                <w:sz w:val="16"/>
                <w:szCs w:val="16"/>
                <w:color w:val="auto"/>
              </w:rPr>
              <w:t>Amortization of core deposit and other intangible assets</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31,366</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42,613</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26,424</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33,824</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46,912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320" w:type="dxa"/>
            <w:vAlign w:val="bottom"/>
            <w:shd w:val="clear" w:color="auto" w:fill="CFF0FC"/>
          </w:tcPr>
          <w:p>
            <w:pPr>
              <w:spacing w:after="0"/>
              <w:rPr>
                <w:sz w:val="20"/>
                <w:szCs w:val="20"/>
                <w:color w:val="auto"/>
              </w:rPr>
            </w:pPr>
            <w:r>
              <w:rPr>
                <w:rFonts w:ascii="Arial" w:cs="Arial" w:eastAsia="Arial" w:hAnsi="Arial"/>
                <w:sz w:val="16"/>
                <w:szCs w:val="16"/>
                <w:color w:val="auto"/>
              </w:rPr>
              <w:t>Other costs of operations</w:t>
            </w: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771,442</w:t>
            </w:r>
          </w:p>
        </w:tc>
        <w:tc>
          <w:tcPr>
            <w:tcW w:w="2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682,014</w:t>
            </w:r>
          </w:p>
        </w:tc>
        <w:tc>
          <w:tcPr>
            <w:tcW w:w="220" w:type="dxa"/>
            <w:vAlign w:val="bottom"/>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660,475</w:t>
            </w:r>
          </w:p>
        </w:tc>
        <w:tc>
          <w:tcPr>
            <w:tcW w:w="24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688,990</w:t>
            </w:r>
          </w:p>
        </w:tc>
        <w:tc>
          <w:tcPr>
            <w:tcW w:w="2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621,700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5320" w:type="dxa"/>
            <w:vAlign w:val="bottom"/>
            <w:tcBorders>
              <w:bottom w:val="single" w:sz="8" w:color="CFF0FC"/>
            </w:tcBorders>
          </w:tcPr>
          <w:p>
            <w:pPr>
              <w:ind w:left="240"/>
              <w:spacing w:after="0"/>
              <w:rPr>
                <w:sz w:val="20"/>
                <w:szCs w:val="20"/>
                <w:color w:val="auto"/>
              </w:rPr>
            </w:pPr>
            <w:r>
              <w:rPr>
                <w:rFonts w:ascii="Arial" w:cs="Arial" w:eastAsia="Arial" w:hAnsi="Arial"/>
                <w:sz w:val="16"/>
                <w:szCs w:val="16"/>
                <w:color w:val="auto"/>
              </w:rPr>
              <w:t>Total other expense</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3,140,325</w:t>
            </w:r>
          </w:p>
        </w:tc>
        <w:tc>
          <w:tcPr>
            <w:tcW w:w="22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3,047,485</w:t>
            </w:r>
          </w:p>
        </w:tc>
        <w:tc>
          <w:tcPr>
            <w:tcW w:w="220" w:type="dxa"/>
            <w:vAlign w:val="bottom"/>
            <w:tcBorders>
              <w:bottom w:val="single" w:sz="8" w:color="CFF0FC"/>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2,822,932</w:t>
            </w:r>
          </w:p>
        </w:tc>
        <w:tc>
          <w:tcPr>
            <w:tcW w:w="24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2,689,474</w:t>
            </w:r>
          </w:p>
        </w:tc>
        <w:tc>
          <w:tcPr>
            <w:tcW w:w="22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2,587,866</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320" w:type="dxa"/>
            <w:vAlign w:val="bottom"/>
            <w:shd w:val="clear" w:color="auto" w:fill="CFF0FC"/>
          </w:tcPr>
          <w:p>
            <w:pPr>
              <w:spacing w:after="0"/>
              <w:rPr>
                <w:sz w:val="20"/>
                <w:szCs w:val="20"/>
                <w:color w:val="auto"/>
              </w:rPr>
            </w:pPr>
            <w:r>
              <w:rPr>
                <w:rFonts w:ascii="Arial" w:cs="Arial" w:eastAsia="Arial" w:hAnsi="Arial"/>
                <w:sz w:val="16"/>
                <w:szCs w:val="16"/>
                <w:color w:val="auto"/>
              </w:rPr>
              <w:t>Income before income taxes</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2,323,862</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2,058,398</w:t>
            </w: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1,674,692</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1,642,245</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1,765,568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3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Income taxes</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915,556</w:t>
            </w:r>
          </w:p>
        </w:tc>
        <w:tc>
          <w:tcPr>
            <w:tcW w:w="22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743,284</w:t>
            </w:r>
          </w:p>
        </w:tc>
        <w:tc>
          <w:tcPr>
            <w:tcW w:w="220" w:type="dxa"/>
            <w:vAlign w:val="bottom"/>
            <w:tcBorders>
              <w:bottom w:val="single" w:sz="8" w:color="CFF0FC"/>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595,025</w:t>
            </w:r>
          </w:p>
        </w:tc>
        <w:tc>
          <w:tcPr>
            <w:tcW w:w="24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575,999</w:t>
            </w:r>
          </w:p>
        </w:tc>
        <w:tc>
          <w:tcPr>
            <w:tcW w:w="22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627,088</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Net income</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1,408,306</w:t>
            </w:r>
          </w:p>
        </w:tc>
        <w:tc>
          <w:tcPr>
            <w:tcW w:w="4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1,315,114</w:t>
            </w: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1,079,667</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1,066,246</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1,138,480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b w:val="1"/>
                <w:bCs w:val="1"/>
                <w:color w:val="auto"/>
              </w:rPr>
              <w:t>Dividends declared</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3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3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Common</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457,200</w:t>
            </w:r>
          </w:p>
        </w:tc>
        <w:tc>
          <w:tcPr>
            <w:tcW w:w="4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441,765</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374,912</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371,137</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365,171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320" w:type="dxa"/>
            <w:vAlign w:val="bottom"/>
          </w:tcPr>
          <w:p>
            <w:pPr>
              <w:ind w:left="240"/>
              <w:spacing w:after="0"/>
              <w:rPr>
                <w:sz w:val="20"/>
                <w:szCs w:val="20"/>
                <w:color w:val="auto"/>
              </w:rPr>
            </w:pPr>
            <w:r>
              <w:rPr>
                <w:rFonts w:ascii="Arial" w:cs="Arial" w:eastAsia="Arial" w:hAnsi="Arial"/>
                <w:sz w:val="16"/>
                <w:szCs w:val="16"/>
                <w:color w:val="auto"/>
              </w:rPr>
              <w:t>Preferred</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72,734</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81,270</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81,270</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75,878</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53,450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5" w:name="page26"/>
    <w:bookmarkEnd w:id="25"/>
    <w:p>
      <w:pPr>
        <w:spacing w:after="0"/>
        <w:rPr>
          <w:sz w:val="20"/>
          <w:szCs w:val="20"/>
          <w:color w:val="auto"/>
        </w:rPr>
      </w:pPr>
      <w:r>
        <w:rPr>
          <w:rFonts w:ascii="Arial" w:cs="Arial" w:eastAsia="Arial" w:hAnsi="Arial"/>
          <w:sz w:val="20"/>
          <w:szCs w:val="20"/>
          <w:b w:val="1"/>
          <w:bCs w:val="1"/>
          <w:color w:val="auto"/>
        </w:rPr>
        <w:t>Table 4</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COMMON SHAREHOLDER DATA</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520" w:type="dxa"/>
            <w:vAlign w:val="bottom"/>
            <w:tcBorders>
              <w:bottom w:val="single" w:sz="8" w:color="CFF0FC"/>
            </w:tcBorders>
          </w:tcPr>
          <w:p>
            <w:pPr>
              <w:spacing w:after="0"/>
              <w:rPr>
                <w:sz w:val="14"/>
                <w:szCs w:val="14"/>
                <w:color w:val="auto"/>
              </w:rPr>
            </w:pPr>
          </w:p>
        </w:tc>
        <w:tc>
          <w:tcPr>
            <w:tcW w:w="13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2013</w:t>
            </w:r>
          </w:p>
        </w:tc>
        <w:tc>
          <w:tcPr>
            <w:tcW w:w="160" w:type="dxa"/>
            <w:vAlign w:val="bottom"/>
            <w:tcBorders>
              <w:bottom w:val="single" w:sz="8" w:color="CFF0FC"/>
            </w:tcBorders>
          </w:tcPr>
          <w:p>
            <w:pPr>
              <w:spacing w:after="0"/>
              <w:rPr>
                <w:sz w:val="14"/>
                <w:szCs w:val="14"/>
                <w:color w:val="auto"/>
              </w:rPr>
            </w:pPr>
          </w:p>
        </w:tc>
      </w:tr>
      <w:tr>
        <w:trPr>
          <w:trHeight w:val="217"/>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Per share</w:t>
            </w: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r>
      <w:tr>
        <w:trPr>
          <w:trHeight w:val="223"/>
        </w:trPr>
        <w:tc>
          <w:tcPr>
            <w:tcW w:w="4520" w:type="dxa"/>
            <w:vAlign w:val="bottom"/>
          </w:tcPr>
          <w:p>
            <w:pPr>
              <w:ind w:left="240"/>
              <w:spacing w:after="0"/>
              <w:rPr>
                <w:sz w:val="20"/>
                <w:szCs w:val="20"/>
                <w:color w:val="auto"/>
              </w:rPr>
            </w:pPr>
            <w:r>
              <w:rPr>
                <w:rFonts w:ascii="Arial" w:cs="Arial" w:eastAsia="Arial" w:hAnsi="Arial"/>
                <w:sz w:val="18"/>
                <w:szCs w:val="18"/>
                <w:color w:val="auto"/>
              </w:rPr>
              <w:t>Net income</w:t>
            </w: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24"/>
        </w:trPr>
        <w:tc>
          <w:tcPr>
            <w:tcW w:w="45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Basic</w:t>
            </w:r>
          </w:p>
        </w:tc>
        <w:tc>
          <w:tcPr>
            <w:tcW w:w="15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8.72</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7.80</w:t>
            </w:r>
          </w:p>
        </w:tc>
        <w:tc>
          <w:tcPr>
            <w:tcW w:w="2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7.22</w:t>
            </w:r>
          </w:p>
        </w:tc>
        <w:tc>
          <w:tcPr>
            <w:tcW w:w="2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7.47</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8.26</w:t>
            </w:r>
          </w:p>
        </w:tc>
        <w:tc>
          <w:tcPr>
            <w:tcW w:w="160" w:type="dxa"/>
            <w:vAlign w:val="bottom"/>
            <w:shd w:val="clear" w:color="auto" w:fill="CFF0FC"/>
          </w:tcPr>
          <w:p>
            <w:pPr>
              <w:spacing w:after="0"/>
              <w:rPr>
                <w:sz w:val="19"/>
                <w:szCs w:val="19"/>
                <w:color w:val="auto"/>
              </w:rPr>
            </w:pPr>
          </w:p>
        </w:tc>
      </w:tr>
      <w:tr>
        <w:trPr>
          <w:trHeight w:val="223"/>
        </w:trPr>
        <w:tc>
          <w:tcPr>
            <w:tcW w:w="4520" w:type="dxa"/>
            <w:vAlign w:val="bottom"/>
          </w:tcPr>
          <w:p>
            <w:pPr>
              <w:ind w:left="480"/>
              <w:spacing w:after="0"/>
              <w:rPr>
                <w:sz w:val="20"/>
                <w:szCs w:val="20"/>
                <w:color w:val="auto"/>
              </w:rPr>
            </w:pPr>
            <w:r>
              <w:rPr>
                <w:rFonts w:ascii="Arial" w:cs="Arial" w:eastAsia="Arial" w:hAnsi="Arial"/>
                <w:sz w:val="18"/>
                <w:szCs w:val="18"/>
                <w:color w:val="auto"/>
              </w:rPr>
              <w:t>Diluted</w:t>
            </w: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8.70</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7.78</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7.18</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7.42</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8.20</w:t>
            </w:r>
          </w:p>
        </w:tc>
        <w:tc>
          <w:tcPr>
            <w:tcW w:w="160" w:type="dxa"/>
            <w:vAlign w:val="bottom"/>
          </w:tcPr>
          <w:p>
            <w:pPr>
              <w:spacing w:after="0"/>
              <w:rPr>
                <w:sz w:val="19"/>
                <w:szCs w:val="19"/>
                <w:color w:val="auto"/>
              </w:rPr>
            </w:pPr>
          </w:p>
        </w:tc>
      </w:tr>
      <w:tr>
        <w:trPr>
          <w:trHeight w:val="224"/>
        </w:trPr>
        <w:tc>
          <w:tcPr>
            <w:tcW w:w="4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dividends declared</w:t>
            </w:r>
          </w:p>
        </w:tc>
        <w:tc>
          <w:tcPr>
            <w:tcW w:w="1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w:t>
            </w:r>
          </w:p>
        </w:tc>
        <w:tc>
          <w:tcPr>
            <w:tcW w:w="160" w:type="dxa"/>
            <w:vAlign w:val="bottom"/>
            <w:shd w:val="clear" w:color="auto" w:fill="CFF0FC"/>
          </w:tcPr>
          <w:p>
            <w:pPr>
              <w:spacing w:after="0"/>
              <w:rPr>
                <w:sz w:val="19"/>
                <w:szCs w:val="19"/>
                <w:color w:val="auto"/>
              </w:rPr>
            </w:pPr>
          </w:p>
        </w:tc>
      </w:tr>
      <w:tr>
        <w:trPr>
          <w:trHeight w:val="223"/>
        </w:trPr>
        <w:tc>
          <w:tcPr>
            <w:tcW w:w="4520" w:type="dxa"/>
            <w:vAlign w:val="bottom"/>
          </w:tcPr>
          <w:p>
            <w:pPr>
              <w:ind w:left="240"/>
              <w:spacing w:after="0"/>
              <w:rPr>
                <w:sz w:val="20"/>
                <w:szCs w:val="20"/>
                <w:color w:val="auto"/>
              </w:rPr>
            </w:pPr>
            <w:r>
              <w:rPr>
                <w:rFonts w:ascii="Arial" w:cs="Arial" w:eastAsia="Arial" w:hAnsi="Arial"/>
                <w:sz w:val="18"/>
                <w:szCs w:val="18"/>
                <w:color w:val="auto"/>
              </w:rPr>
              <w:t>Common shareholders’ equity at year-end</w:t>
            </w: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100.03</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97.64</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93.60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83.88</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79.81</w:t>
            </w:r>
          </w:p>
        </w:tc>
        <w:tc>
          <w:tcPr>
            <w:tcW w:w="160" w:type="dxa"/>
            <w:vAlign w:val="bottom"/>
          </w:tcPr>
          <w:p>
            <w:pPr>
              <w:spacing w:after="0"/>
              <w:rPr>
                <w:sz w:val="19"/>
                <w:szCs w:val="19"/>
                <w:color w:val="auto"/>
              </w:rPr>
            </w:pPr>
          </w:p>
        </w:tc>
      </w:tr>
      <w:tr>
        <w:trPr>
          <w:trHeight w:val="211"/>
        </w:trPr>
        <w:tc>
          <w:tcPr>
            <w:tcW w:w="4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Tangible common shareholders’ equity at</w:t>
            </w: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r>
      <w:tr>
        <w:trPr>
          <w:trHeight w:val="223"/>
        </w:trPr>
        <w:tc>
          <w:tcPr>
            <w:tcW w:w="45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year-end</w:t>
            </w:r>
          </w:p>
        </w:tc>
        <w:tc>
          <w:tcPr>
            <w:tcW w:w="1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69.08</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67.85</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64.28</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57.06</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52.45</w:t>
            </w:r>
          </w:p>
        </w:tc>
        <w:tc>
          <w:tcPr>
            <w:tcW w:w="160" w:type="dxa"/>
            <w:vAlign w:val="bottom"/>
            <w:shd w:val="clear" w:color="auto" w:fill="CFF0FC"/>
          </w:tcPr>
          <w:p>
            <w:pPr>
              <w:spacing w:after="0"/>
              <w:rPr>
                <w:sz w:val="19"/>
                <w:szCs w:val="19"/>
                <w:color w:val="auto"/>
              </w:rPr>
            </w:pPr>
          </w:p>
        </w:tc>
      </w:tr>
      <w:tr>
        <w:trPr>
          <w:trHeight w:val="223"/>
        </w:trPr>
        <w:tc>
          <w:tcPr>
            <w:tcW w:w="4520" w:type="dxa"/>
            <w:vAlign w:val="bottom"/>
          </w:tcPr>
          <w:p>
            <w:pPr>
              <w:ind w:left="240"/>
              <w:spacing w:after="0"/>
              <w:rPr>
                <w:sz w:val="20"/>
                <w:szCs w:val="20"/>
                <w:color w:val="auto"/>
              </w:rPr>
            </w:pPr>
            <w:r>
              <w:rPr>
                <w:rFonts w:ascii="Arial" w:cs="Arial" w:eastAsia="Arial" w:hAnsi="Arial"/>
                <w:sz w:val="18"/>
                <w:szCs w:val="18"/>
                <w:color w:val="auto"/>
              </w:rPr>
              <w:t>Dividend payout ratio</w:t>
            </w: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34.24%</w:t>
            </w:r>
          </w:p>
        </w:tc>
        <w:tc>
          <w:tcPr>
            <w:tcW w:w="18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35.81%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37.56%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37.49%</w:t>
            </w:r>
          </w:p>
        </w:tc>
        <w:tc>
          <w:tcPr>
            <w:tcW w:w="18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33.94%</w:t>
            </w:r>
          </w:p>
        </w:tc>
      </w:tr>
    </w:tbl>
    <w:p>
      <w:pPr>
        <w:spacing w:after="0" w:line="3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Table 5</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CHANGES IN INTEREST INCOME AND EXPENSE(a)</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1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3"/>
          </w:tcPr>
          <w:p>
            <w:pPr>
              <w:jc w:val="right"/>
              <w:ind w:right="117"/>
              <w:spacing w:after="0"/>
              <w:rPr>
                <w:sz w:val="20"/>
                <w:szCs w:val="20"/>
                <w:color w:val="auto"/>
              </w:rPr>
            </w:pPr>
            <w:r>
              <w:rPr>
                <w:rFonts w:ascii="Arial" w:cs="Arial" w:eastAsia="Arial" w:hAnsi="Arial"/>
                <w:sz w:val="14"/>
                <w:szCs w:val="14"/>
                <w:b w:val="1"/>
                <w:bCs w:val="1"/>
                <w:color w:val="auto"/>
              </w:rPr>
              <w:t>2017 Compared with 2016</w:t>
            </w:r>
          </w:p>
        </w:tc>
        <w:tc>
          <w:tcPr>
            <w:tcW w:w="6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3"/>
          </w:tcPr>
          <w:p>
            <w:pPr>
              <w:jc w:val="right"/>
              <w:ind w:right="76"/>
              <w:spacing w:after="0"/>
              <w:rPr>
                <w:sz w:val="20"/>
                <w:szCs w:val="20"/>
                <w:color w:val="auto"/>
              </w:rPr>
            </w:pPr>
            <w:r>
              <w:rPr>
                <w:rFonts w:ascii="Arial" w:cs="Arial" w:eastAsia="Arial" w:hAnsi="Arial"/>
                <w:sz w:val="14"/>
                <w:szCs w:val="14"/>
                <w:b w:val="1"/>
                <w:bCs w:val="1"/>
                <w:color w:val="auto"/>
              </w:rPr>
              <w:t>2016 Compared with 2015</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14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60" w:type="dxa"/>
            <w:vAlign w:val="bottom"/>
            <w:gridSpan w:val="2"/>
          </w:tcPr>
          <w:p>
            <w:pPr>
              <w:jc w:val="right"/>
              <w:ind w:right="494"/>
              <w:spacing w:after="0" w:line="129" w:lineRule="exact"/>
              <w:rPr>
                <w:sz w:val="20"/>
                <w:szCs w:val="20"/>
                <w:color w:val="auto"/>
              </w:rPr>
            </w:pPr>
            <w:r>
              <w:rPr>
                <w:rFonts w:ascii="Arial" w:cs="Arial" w:eastAsia="Arial" w:hAnsi="Arial"/>
                <w:sz w:val="14"/>
                <w:szCs w:val="14"/>
                <w:b w:val="1"/>
                <w:bCs w:val="1"/>
                <w:color w:val="auto"/>
              </w:rPr>
              <w:t>Resulting from</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0" w:type="dxa"/>
            <w:vAlign w:val="bottom"/>
            <w:gridSpan w:val="2"/>
          </w:tcPr>
          <w:p>
            <w:pPr>
              <w:jc w:val="right"/>
              <w:ind w:right="474"/>
              <w:spacing w:after="0" w:line="129" w:lineRule="exact"/>
              <w:rPr>
                <w:sz w:val="20"/>
                <w:szCs w:val="20"/>
                <w:color w:val="auto"/>
              </w:rPr>
            </w:pPr>
            <w:r>
              <w:rPr>
                <w:rFonts w:ascii="Arial" w:cs="Arial" w:eastAsia="Arial" w:hAnsi="Arial"/>
                <w:sz w:val="14"/>
                <w:szCs w:val="14"/>
                <w:b w:val="1"/>
                <w:bCs w:val="1"/>
                <w:color w:val="auto"/>
              </w:rPr>
              <w:t>Resulting from</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Total</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Changes in:</w:t>
            </w:r>
          </w:p>
        </w:tc>
        <w:tc>
          <w:tcPr>
            <w:tcW w:w="6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Changes in:</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14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420" w:type="dxa"/>
            <w:vAlign w:val="bottom"/>
            <w:vMerge w:val="restart"/>
          </w:tcPr>
          <w:p>
            <w:pPr>
              <w:jc w:val="right"/>
              <w:ind w:right="657"/>
              <w:spacing w:after="0"/>
              <w:rPr>
                <w:sz w:val="20"/>
                <w:szCs w:val="20"/>
                <w:color w:val="auto"/>
              </w:rPr>
            </w:pPr>
            <w:r>
              <w:rPr>
                <w:rFonts w:ascii="Arial" w:cs="Arial" w:eastAsia="Arial" w:hAnsi="Arial"/>
                <w:sz w:val="14"/>
                <w:szCs w:val="14"/>
                <w:b w:val="1"/>
                <w:bCs w:val="1"/>
                <w:color w:val="auto"/>
              </w:rPr>
              <w:t>Volume</w:t>
            </w:r>
          </w:p>
        </w:tc>
        <w:tc>
          <w:tcPr>
            <w:tcW w:w="88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w w:val="98"/>
              </w:rPr>
              <w:t>Rate</w:t>
            </w:r>
          </w:p>
        </w:tc>
        <w:tc>
          <w:tcPr>
            <w:tcW w:w="16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380" w:type="dxa"/>
            <w:vAlign w:val="bottom"/>
            <w:vMerge w:val="restart"/>
          </w:tcPr>
          <w:p>
            <w:pPr>
              <w:jc w:val="right"/>
              <w:ind w:right="636"/>
              <w:spacing w:after="0"/>
              <w:rPr>
                <w:sz w:val="20"/>
                <w:szCs w:val="20"/>
                <w:color w:val="auto"/>
              </w:rPr>
            </w:pPr>
            <w:r>
              <w:rPr>
                <w:rFonts w:ascii="Arial" w:cs="Arial" w:eastAsia="Arial" w:hAnsi="Arial"/>
                <w:sz w:val="14"/>
                <w:szCs w:val="14"/>
                <w:b w:val="1"/>
                <w:bCs w:val="1"/>
                <w:color w:val="auto"/>
              </w:rPr>
              <w:t>Volume</w:t>
            </w:r>
          </w:p>
        </w:tc>
        <w:tc>
          <w:tcPr>
            <w:tcW w:w="7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2"/>
              </w:rPr>
              <w:t>Rate</w:t>
            </w:r>
          </w:p>
        </w:tc>
        <w:tc>
          <w:tcPr>
            <w:tcW w:w="0" w:type="dxa"/>
            <w:vAlign w:val="bottom"/>
          </w:tcPr>
          <w:p>
            <w:pPr>
              <w:spacing w:after="0"/>
              <w:rPr>
                <w:sz w:val="1"/>
                <w:szCs w:val="1"/>
                <w:color w:val="auto"/>
              </w:rPr>
            </w:pPr>
          </w:p>
        </w:tc>
      </w:tr>
      <w:tr>
        <w:trPr>
          <w:trHeight w:val="167"/>
        </w:trPr>
        <w:tc>
          <w:tcPr>
            <w:tcW w:w="21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7"/>
              </w:rPr>
              <w:t>Change</w:t>
            </w:r>
          </w:p>
        </w:tc>
        <w:tc>
          <w:tcPr>
            <w:tcW w:w="142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7"/>
              </w:rPr>
              <w:t>Change</w:t>
            </w:r>
          </w:p>
        </w:tc>
        <w:tc>
          <w:tcPr>
            <w:tcW w:w="1380" w:type="dxa"/>
            <w:vAlign w:val="bottom"/>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14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3420" w:type="dxa"/>
            <w:vAlign w:val="bottom"/>
            <w:tcBorders>
              <w:top w:val="single" w:sz="8" w:color="auto"/>
            </w:tcBorders>
            <w:gridSpan w:val="6"/>
          </w:tcPr>
          <w:p>
            <w:pPr>
              <w:jc w:val="right"/>
              <w:ind w:right="280"/>
              <w:spacing w:after="0" w:line="151" w:lineRule="exact"/>
              <w:rPr>
                <w:sz w:val="20"/>
                <w:szCs w:val="20"/>
                <w:color w:val="auto"/>
              </w:rPr>
            </w:pPr>
            <w:r>
              <w:rPr>
                <w:rFonts w:ascii="Arial" w:cs="Arial" w:eastAsia="Arial" w:hAnsi="Arial"/>
                <w:sz w:val="14"/>
                <w:szCs w:val="14"/>
                <w:b w:val="1"/>
                <w:bCs w:val="1"/>
                <w:color w:val="auto"/>
              </w:rPr>
              <w:t>(Increase (decrease) in thousands)</w:t>
            </w:r>
          </w:p>
        </w:tc>
        <w:tc>
          <w:tcPr>
            <w:tcW w:w="13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gridSpan w:val="2"/>
          </w:tcPr>
          <w:p>
            <w:pPr>
              <w:spacing w:after="0"/>
              <w:rPr>
                <w:sz w:val="20"/>
                <w:szCs w:val="20"/>
                <w:color w:val="auto"/>
              </w:rPr>
            </w:pPr>
            <w:r>
              <w:rPr>
                <w:rFonts w:ascii="Arial" w:cs="Arial" w:eastAsia="Arial" w:hAnsi="Arial"/>
                <w:sz w:val="18"/>
                <w:szCs w:val="18"/>
                <w:color w:val="auto"/>
              </w:rPr>
              <w:t>Loans and leases, including fees</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265,542</w:t>
            </w:r>
          </w:p>
        </w:tc>
        <w:tc>
          <w:tcPr>
            <w:tcW w:w="240" w:type="dxa"/>
            <w:vAlign w:val="bottom"/>
          </w:tcPr>
          <w:p>
            <w:pPr>
              <w:spacing w:after="0"/>
              <w:rPr>
                <w:sz w:val="19"/>
                <w:szCs w:val="19"/>
                <w:color w:val="auto"/>
              </w:rPr>
            </w:pPr>
          </w:p>
        </w:tc>
        <w:tc>
          <w:tcPr>
            <w:tcW w:w="1420" w:type="dxa"/>
            <w:vAlign w:val="bottom"/>
          </w:tcPr>
          <w:p>
            <w:pPr>
              <w:jc w:val="right"/>
              <w:ind w:right="437"/>
              <w:spacing w:after="0"/>
              <w:rPr>
                <w:sz w:val="20"/>
                <w:szCs w:val="20"/>
                <w:color w:val="auto"/>
              </w:rPr>
            </w:pPr>
            <w:r>
              <w:rPr>
                <w:rFonts w:ascii="Arial" w:cs="Arial" w:eastAsia="Arial" w:hAnsi="Arial"/>
                <w:sz w:val="18"/>
                <w:szCs w:val="18"/>
                <w:color w:val="auto"/>
              </w:rPr>
              <w:t>7,912</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257,630</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710,191</w:t>
            </w:r>
          </w:p>
        </w:tc>
        <w:tc>
          <w:tcPr>
            <w:tcW w:w="200" w:type="dxa"/>
            <w:vAlign w:val="bottom"/>
          </w:tcPr>
          <w:p>
            <w:pPr>
              <w:spacing w:after="0"/>
              <w:rPr>
                <w:sz w:val="19"/>
                <w:szCs w:val="19"/>
                <w:color w:val="auto"/>
              </w:rPr>
            </w:pPr>
          </w:p>
        </w:tc>
        <w:tc>
          <w:tcPr>
            <w:tcW w:w="1380" w:type="dxa"/>
            <w:vAlign w:val="bottom"/>
          </w:tcPr>
          <w:p>
            <w:pPr>
              <w:jc w:val="right"/>
              <w:ind w:right="416"/>
              <w:spacing w:after="0"/>
              <w:rPr>
                <w:sz w:val="20"/>
                <w:szCs w:val="20"/>
                <w:color w:val="auto"/>
              </w:rPr>
            </w:pPr>
            <w:r>
              <w:rPr>
                <w:rFonts w:ascii="Arial" w:cs="Arial" w:eastAsia="Arial" w:hAnsi="Arial"/>
                <w:sz w:val="18"/>
                <w:szCs w:val="18"/>
                <w:color w:val="auto"/>
              </w:rPr>
              <w:t>703,099</w:t>
            </w:r>
          </w:p>
        </w:tc>
        <w:tc>
          <w:tcPr>
            <w:tcW w:w="620" w:type="dxa"/>
            <w:vAlign w:val="bottom"/>
          </w:tcPr>
          <w:p>
            <w:pPr>
              <w:jc w:val="right"/>
              <w:spacing w:after="0"/>
              <w:rPr>
                <w:sz w:val="20"/>
                <w:szCs w:val="20"/>
                <w:color w:val="auto"/>
              </w:rPr>
            </w:pPr>
            <w:r>
              <w:rPr>
                <w:rFonts w:ascii="Arial" w:cs="Arial" w:eastAsia="Arial" w:hAnsi="Arial"/>
                <w:sz w:val="18"/>
                <w:szCs w:val="18"/>
                <w:color w:val="auto"/>
              </w:rPr>
              <w:t>7,092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Deposits at banks</w:t>
            </w: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15,810</w:t>
            </w: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377"/>
              <w:spacing w:after="0"/>
              <w:rPr>
                <w:sz w:val="20"/>
                <w:szCs w:val="20"/>
                <w:color w:val="auto"/>
              </w:rPr>
            </w:pPr>
            <w:r>
              <w:rPr>
                <w:rFonts w:ascii="Arial" w:cs="Arial" w:eastAsia="Arial" w:hAnsi="Arial"/>
                <w:sz w:val="18"/>
                <w:szCs w:val="18"/>
                <w:color w:val="auto"/>
              </w:rPr>
              <w:t>(21,398)</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37,208</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30,264</w:t>
            </w: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416"/>
              <w:spacing w:after="0"/>
              <w:rPr>
                <w:sz w:val="20"/>
                <w:szCs w:val="20"/>
                <w:color w:val="auto"/>
              </w:rPr>
            </w:pPr>
            <w:r>
              <w:rPr>
                <w:rFonts w:ascii="Arial" w:cs="Arial" w:eastAsia="Arial" w:hAnsi="Arial"/>
                <w:sz w:val="18"/>
                <w:szCs w:val="18"/>
                <w:color w:val="auto"/>
              </w:rPr>
              <w:t>10,805</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740" w:type="dxa"/>
            <w:vAlign w:val="bottom"/>
            <w:gridSpan w:val="2"/>
          </w:tcPr>
          <w:p>
            <w:pPr>
              <w:spacing w:after="0"/>
              <w:rPr>
                <w:sz w:val="20"/>
                <w:szCs w:val="20"/>
                <w:color w:val="auto"/>
              </w:rPr>
            </w:pPr>
            <w:r>
              <w:rPr>
                <w:rFonts w:ascii="Arial" w:cs="Arial" w:eastAsia="Arial" w:hAnsi="Arial"/>
                <w:sz w:val="18"/>
                <w:szCs w:val="18"/>
                <w:color w:val="auto"/>
              </w:rPr>
              <w:t>Federal funds sold and agreements to resell</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40" w:type="dxa"/>
            <w:vAlign w:val="bottom"/>
            <w:gridSpan w:val="2"/>
          </w:tcPr>
          <w:p>
            <w:pPr>
              <w:ind w:left="140"/>
              <w:spacing w:after="0"/>
              <w:rPr>
                <w:sz w:val="20"/>
                <w:szCs w:val="20"/>
                <w:color w:val="auto"/>
              </w:rPr>
            </w:pPr>
            <w:r>
              <w:rPr>
                <w:rFonts w:ascii="Arial" w:cs="Arial" w:eastAsia="Arial" w:hAnsi="Arial"/>
                <w:sz w:val="18"/>
                <w:szCs w:val="18"/>
                <w:color w:val="auto"/>
              </w:rPr>
              <w:t>securities</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9"/>
                <w:szCs w:val="19"/>
                <w:color w:val="auto"/>
              </w:rPr>
            </w:pPr>
          </w:p>
        </w:tc>
        <w:tc>
          <w:tcPr>
            <w:tcW w:w="1420" w:type="dxa"/>
            <w:vAlign w:val="bottom"/>
          </w:tcPr>
          <w:p>
            <w:pPr>
              <w:jc w:val="right"/>
              <w:ind w:right="437"/>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(32)</w:t>
            </w:r>
          </w:p>
        </w:tc>
        <w:tc>
          <w:tcPr>
            <w:tcW w:w="1380" w:type="dxa"/>
            <w:vAlign w:val="bottom"/>
          </w:tcPr>
          <w:p>
            <w:pPr>
              <w:jc w:val="right"/>
              <w:ind w:right="336"/>
              <w:spacing w:after="0"/>
              <w:rPr>
                <w:sz w:val="20"/>
                <w:szCs w:val="20"/>
                <w:color w:val="auto"/>
              </w:rPr>
            </w:pPr>
            <w:r>
              <w:rPr>
                <w:rFonts w:ascii="Arial" w:cs="Arial" w:eastAsia="Arial" w:hAnsi="Arial"/>
                <w:sz w:val="18"/>
                <w:szCs w:val="18"/>
                <w:color w:val="auto"/>
              </w:rPr>
              <w:t>(65)</w:t>
            </w:r>
          </w:p>
        </w:tc>
        <w:tc>
          <w:tcPr>
            <w:tcW w:w="62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Trading account</w:t>
            </w: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(240)</w:t>
            </w:r>
          </w:p>
        </w:tc>
        <w:tc>
          <w:tcPr>
            <w:tcW w:w="1420" w:type="dxa"/>
            <w:vAlign w:val="bottom"/>
            <w:shd w:val="clear" w:color="auto" w:fill="CFF0FC"/>
          </w:tcPr>
          <w:p>
            <w:pPr>
              <w:jc w:val="right"/>
              <w:ind w:right="377"/>
              <w:spacing w:after="0"/>
              <w:rPr>
                <w:sz w:val="20"/>
                <w:szCs w:val="20"/>
                <w:color w:val="auto"/>
              </w:rPr>
            </w:pPr>
            <w:r>
              <w:rPr>
                <w:rFonts w:ascii="Arial" w:cs="Arial" w:eastAsia="Arial" w:hAnsi="Arial"/>
                <w:sz w:val="18"/>
                <w:szCs w:val="18"/>
                <w:color w:val="auto"/>
              </w:rPr>
              <w:t>(232)</w:t>
            </w: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w:t>
            </w: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w:t>
            </w: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336"/>
              <w:spacing w:after="0"/>
              <w:rPr>
                <w:sz w:val="20"/>
                <w:szCs w:val="20"/>
                <w:color w:val="auto"/>
              </w:rPr>
            </w:pPr>
            <w:r>
              <w:rPr>
                <w:rFonts w:ascii="Arial" w:cs="Arial" w:eastAsia="Arial" w:hAnsi="Arial"/>
                <w:sz w:val="18"/>
                <w:szCs w:val="18"/>
                <w:color w:val="auto"/>
              </w:rPr>
              <w:t>(31)</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gridSpan w:val="2"/>
          </w:tcPr>
          <w:p>
            <w:pPr>
              <w:spacing w:after="0"/>
              <w:rPr>
                <w:sz w:val="20"/>
                <w:szCs w:val="20"/>
                <w:color w:val="auto"/>
              </w:rPr>
            </w:pPr>
            <w:r>
              <w:rPr>
                <w:rFonts w:ascii="Arial" w:cs="Arial" w:eastAsia="Arial" w:hAnsi="Arial"/>
                <w:sz w:val="18"/>
                <w:szCs w:val="18"/>
                <w:color w:val="auto"/>
              </w:rPr>
              <w:t>Investment securities</w:t>
            </w: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7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U.S. Treasury and federal agencies</w:t>
            </w: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3,520</w:t>
            </w: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437"/>
              <w:spacing w:after="0"/>
              <w:rPr>
                <w:sz w:val="20"/>
                <w:szCs w:val="20"/>
                <w:color w:val="auto"/>
              </w:rPr>
            </w:pPr>
            <w:r>
              <w:rPr>
                <w:rFonts w:ascii="Arial" w:cs="Arial" w:eastAsia="Arial" w:hAnsi="Arial"/>
                <w:sz w:val="18"/>
                <w:szCs w:val="18"/>
                <w:color w:val="auto"/>
              </w:rPr>
              <w:t>15,273</w:t>
            </w: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(11,753)</w:t>
            </w: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(3,947)</w:t>
            </w:r>
          </w:p>
        </w:tc>
        <w:tc>
          <w:tcPr>
            <w:tcW w:w="1380" w:type="dxa"/>
            <w:vAlign w:val="bottom"/>
            <w:shd w:val="clear" w:color="auto" w:fill="CFF0FC"/>
          </w:tcPr>
          <w:p>
            <w:pPr>
              <w:jc w:val="right"/>
              <w:ind w:right="416"/>
              <w:spacing w:after="0"/>
              <w:rPr>
                <w:sz w:val="20"/>
                <w:szCs w:val="20"/>
                <w:color w:val="auto"/>
              </w:rPr>
            </w:pPr>
            <w:r>
              <w:rPr>
                <w:rFonts w:ascii="Arial" w:cs="Arial" w:eastAsia="Arial" w:hAnsi="Arial"/>
                <w:sz w:val="18"/>
                <w:szCs w:val="18"/>
                <w:color w:val="auto"/>
              </w:rPr>
              <w:t>12,524</w:t>
            </w: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8"/>
              </w:rPr>
              <w:t>(16,471)</w:t>
            </w:r>
          </w:p>
        </w:tc>
        <w:tc>
          <w:tcPr>
            <w:tcW w:w="0" w:type="dxa"/>
            <w:vAlign w:val="bottom"/>
          </w:tcPr>
          <w:p>
            <w:pPr>
              <w:spacing w:after="0"/>
              <w:rPr>
                <w:sz w:val="1"/>
                <w:szCs w:val="1"/>
                <w:color w:val="auto"/>
              </w:rPr>
            </w:pPr>
          </w:p>
        </w:tc>
      </w:tr>
      <w:tr>
        <w:trPr>
          <w:trHeight w:val="211"/>
        </w:trPr>
        <w:tc>
          <w:tcPr>
            <w:tcW w:w="4740" w:type="dxa"/>
            <w:vAlign w:val="bottom"/>
            <w:gridSpan w:val="2"/>
          </w:tcPr>
          <w:p>
            <w:pPr>
              <w:ind w:left="240"/>
              <w:spacing w:after="0"/>
              <w:rPr>
                <w:sz w:val="20"/>
                <w:szCs w:val="20"/>
                <w:color w:val="auto"/>
              </w:rPr>
            </w:pPr>
            <w:r>
              <w:rPr>
                <w:rFonts w:ascii="Arial" w:cs="Arial" w:eastAsia="Arial" w:hAnsi="Arial"/>
                <w:sz w:val="18"/>
                <w:szCs w:val="18"/>
                <w:color w:val="auto"/>
              </w:rPr>
              <w:t>Obligations of states and political</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40" w:type="dxa"/>
            <w:vAlign w:val="bottom"/>
            <w:gridSpan w:val="2"/>
          </w:tcPr>
          <w:p>
            <w:pPr>
              <w:ind w:left="380"/>
              <w:spacing w:after="0"/>
              <w:rPr>
                <w:sz w:val="20"/>
                <w:szCs w:val="20"/>
                <w:color w:val="auto"/>
              </w:rPr>
            </w:pPr>
            <w:r>
              <w:rPr>
                <w:rFonts w:ascii="Arial" w:cs="Arial" w:eastAsia="Arial" w:hAnsi="Arial"/>
                <w:sz w:val="18"/>
                <w:szCs w:val="18"/>
                <w:color w:val="auto"/>
              </w:rPr>
              <w:t>subdivisions</w:t>
            </w: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(1,888)</w:t>
            </w:r>
          </w:p>
        </w:tc>
        <w:tc>
          <w:tcPr>
            <w:tcW w:w="1420" w:type="dxa"/>
            <w:vAlign w:val="bottom"/>
          </w:tcPr>
          <w:p>
            <w:pPr>
              <w:jc w:val="right"/>
              <w:ind w:right="377"/>
              <w:spacing w:after="0"/>
              <w:rPr>
                <w:sz w:val="20"/>
                <w:szCs w:val="20"/>
                <w:color w:val="auto"/>
              </w:rPr>
            </w:pPr>
            <w:r>
              <w:rPr>
                <w:rFonts w:ascii="Arial" w:cs="Arial" w:eastAsia="Arial" w:hAnsi="Arial"/>
                <w:sz w:val="18"/>
                <w:szCs w:val="18"/>
                <w:color w:val="auto"/>
              </w:rPr>
              <w:t>(2,061)</w:t>
            </w:r>
          </w:p>
        </w:tc>
        <w:tc>
          <w:tcPr>
            <w:tcW w:w="640" w:type="dxa"/>
            <w:vAlign w:val="bottom"/>
          </w:tcPr>
          <w:p>
            <w:pPr>
              <w:jc w:val="right"/>
              <w:spacing w:after="0"/>
              <w:rPr>
                <w:sz w:val="20"/>
                <w:szCs w:val="20"/>
                <w:color w:val="auto"/>
              </w:rPr>
            </w:pPr>
            <w:r>
              <w:rPr>
                <w:rFonts w:ascii="Arial" w:cs="Arial" w:eastAsia="Arial" w:hAnsi="Arial"/>
                <w:sz w:val="18"/>
                <w:szCs w:val="18"/>
                <w:color w:val="auto"/>
              </w:rPr>
              <w:t>173</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(2,552)</w:t>
            </w:r>
          </w:p>
        </w:tc>
        <w:tc>
          <w:tcPr>
            <w:tcW w:w="1380" w:type="dxa"/>
            <w:vAlign w:val="bottom"/>
          </w:tcPr>
          <w:p>
            <w:pPr>
              <w:jc w:val="right"/>
              <w:ind w:right="336"/>
              <w:spacing w:after="0"/>
              <w:rPr>
                <w:sz w:val="20"/>
                <w:szCs w:val="20"/>
                <w:color w:val="auto"/>
              </w:rPr>
            </w:pPr>
            <w:r>
              <w:rPr>
                <w:rFonts w:ascii="Arial" w:cs="Arial" w:eastAsia="Arial" w:hAnsi="Arial"/>
                <w:sz w:val="18"/>
                <w:szCs w:val="18"/>
                <w:color w:val="auto"/>
              </w:rPr>
              <w:t>(2,251)</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24"/>
        </w:trPr>
        <w:tc>
          <w:tcPr>
            <w:tcW w:w="47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(3,215)</w:t>
            </w:r>
          </w:p>
        </w:tc>
        <w:tc>
          <w:tcPr>
            <w:tcW w:w="1420" w:type="dxa"/>
            <w:vAlign w:val="bottom"/>
            <w:shd w:val="clear" w:color="auto" w:fill="CFF0FC"/>
          </w:tcPr>
          <w:p>
            <w:pPr>
              <w:jc w:val="right"/>
              <w:ind w:right="377"/>
              <w:spacing w:after="0"/>
              <w:rPr>
                <w:sz w:val="20"/>
                <w:szCs w:val="20"/>
                <w:color w:val="auto"/>
              </w:rPr>
            </w:pPr>
            <w:r>
              <w:rPr>
                <w:rFonts w:ascii="Arial" w:cs="Arial" w:eastAsia="Arial" w:hAnsi="Arial"/>
                <w:sz w:val="18"/>
                <w:szCs w:val="18"/>
                <w:color w:val="auto"/>
              </w:rPr>
              <w:t>(3,302)</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(6,593)</w:t>
            </w:r>
          </w:p>
        </w:tc>
        <w:tc>
          <w:tcPr>
            <w:tcW w:w="1380" w:type="dxa"/>
            <w:vAlign w:val="bottom"/>
            <w:shd w:val="clear" w:color="auto" w:fill="CFF0FC"/>
          </w:tcPr>
          <w:p>
            <w:pPr>
              <w:jc w:val="right"/>
              <w:ind w:right="416"/>
              <w:spacing w:after="0"/>
              <w:rPr>
                <w:sz w:val="20"/>
                <w:szCs w:val="20"/>
                <w:color w:val="auto"/>
              </w:rPr>
            </w:pPr>
            <w:r>
              <w:rPr>
                <w:rFonts w:ascii="Arial" w:cs="Arial" w:eastAsia="Arial" w:hAnsi="Arial"/>
                <w:sz w:val="18"/>
                <w:szCs w:val="18"/>
                <w:color w:val="auto"/>
              </w:rPr>
              <w:t>3,890</w:t>
            </w: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8"/>
              </w:rPr>
              <w:t>(10,483)</w:t>
            </w:r>
          </w:p>
        </w:tc>
        <w:tc>
          <w:tcPr>
            <w:tcW w:w="0" w:type="dxa"/>
            <w:vAlign w:val="bottom"/>
          </w:tcPr>
          <w:p>
            <w:pPr>
              <w:spacing w:after="0"/>
              <w:rPr>
                <w:sz w:val="1"/>
                <w:szCs w:val="1"/>
                <w:color w:val="auto"/>
              </w:rPr>
            </w:pPr>
          </w:p>
        </w:tc>
      </w:tr>
      <w:tr>
        <w:trPr>
          <w:trHeight w:val="256"/>
        </w:trPr>
        <w:tc>
          <w:tcPr>
            <w:tcW w:w="4740" w:type="dxa"/>
            <w:vAlign w:val="bottom"/>
            <w:tcBorders>
              <w:bottom w:val="single" w:sz="8" w:color="CFF0FC"/>
            </w:tcBorders>
            <w:gridSpan w:val="2"/>
          </w:tcPr>
          <w:p>
            <w:pPr>
              <w:ind w:left="240"/>
              <w:spacing w:after="0"/>
              <w:rPr>
                <w:sz w:val="20"/>
                <w:szCs w:val="20"/>
                <w:color w:val="auto"/>
              </w:rPr>
            </w:pPr>
            <w:r>
              <w:rPr>
                <w:rFonts w:ascii="Arial" w:cs="Arial" w:eastAsia="Arial" w:hAnsi="Arial"/>
                <w:sz w:val="18"/>
                <w:szCs w:val="18"/>
                <w:color w:val="auto"/>
              </w:rPr>
              <w:t>Total interest income</w:t>
            </w: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279,532</w:t>
            </w:r>
          </w:p>
        </w:tc>
        <w:tc>
          <w:tcPr>
            <w:tcW w:w="240" w:type="dxa"/>
            <w:vAlign w:val="bottom"/>
            <w:tcBorders>
              <w:bottom w:val="single" w:sz="8" w:color="CFF0FC"/>
            </w:tcBorders>
          </w:tcPr>
          <w:p>
            <w:pPr>
              <w:spacing w:after="0"/>
              <w:rPr>
                <w:sz w:val="22"/>
                <w:szCs w:val="22"/>
                <w:color w:val="auto"/>
              </w:rPr>
            </w:pPr>
          </w:p>
        </w:tc>
        <w:tc>
          <w:tcPr>
            <w:tcW w:w="1420" w:type="dxa"/>
            <w:vAlign w:val="bottom"/>
            <w:tcBorders>
              <w:bottom w:val="single" w:sz="8" w:color="CFF0FC"/>
            </w:tcBorders>
          </w:tcPr>
          <w:p>
            <w:pPr>
              <w:spacing w:after="0"/>
              <w:rPr>
                <w:sz w:val="22"/>
                <w:szCs w:val="22"/>
                <w:color w:val="auto"/>
              </w:rPr>
            </w:pPr>
          </w:p>
        </w:tc>
        <w:tc>
          <w:tcPr>
            <w:tcW w:w="640" w:type="dxa"/>
            <w:vAlign w:val="bottom"/>
            <w:tcBorders>
              <w:bottom w:val="single" w:sz="8" w:color="CFF0FC"/>
            </w:tcBorders>
          </w:tcPr>
          <w:p>
            <w:pPr>
              <w:spacing w:after="0"/>
              <w:rPr>
                <w:sz w:val="22"/>
                <w:szCs w:val="22"/>
                <w:color w:val="auto"/>
              </w:rPr>
            </w:pPr>
          </w:p>
        </w:tc>
        <w:tc>
          <w:tcPr>
            <w:tcW w:w="24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727,526</w:t>
            </w:r>
          </w:p>
        </w:tc>
        <w:tc>
          <w:tcPr>
            <w:tcW w:w="200" w:type="dxa"/>
            <w:vAlign w:val="bottom"/>
            <w:tcBorders>
              <w:bottom w:val="single" w:sz="8" w:color="CFF0FC"/>
            </w:tcBorders>
          </w:tcPr>
          <w:p>
            <w:pPr>
              <w:spacing w:after="0"/>
              <w:rPr>
                <w:sz w:val="22"/>
                <w:szCs w:val="22"/>
                <w:color w:val="auto"/>
              </w:rPr>
            </w:pPr>
          </w:p>
        </w:tc>
        <w:tc>
          <w:tcPr>
            <w:tcW w:w="1380" w:type="dxa"/>
            <w:vAlign w:val="bottom"/>
            <w:tcBorders>
              <w:bottom w:val="single" w:sz="8" w:color="CFF0FC"/>
            </w:tcBorders>
          </w:tcPr>
          <w:p>
            <w:pPr>
              <w:spacing w:after="0"/>
              <w:rPr>
                <w:sz w:val="22"/>
                <w:szCs w:val="22"/>
                <w:color w:val="auto"/>
              </w:rPr>
            </w:pPr>
          </w:p>
        </w:tc>
        <w:tc>
          <w:tcPr>
            <w:tcW w:w="62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474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Interest expense</w:t>
            </w: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740" w:type="dxa"/>
            <w:vAlign w:val="bottom"/>
            <w:gridSpan w:val="2"/>
          </w:tcPr>
          <w:p>
            <w:pPr>
              <w:spacing w:after="0"/>
              <w:rPr>
                <w:sz w:val="20"/>
                <w:szCs w:val="20"/>
                <w:color w:val="auto"/>
              </w:rPr>
            </w:pPr>
            <w:r>
              <w:rPr>
                <w:rFonts w:ascii="Arial" w:cs="Arial" w:eastAsia="Arial" w:hAnsi="Arial"/>
                <w:sz w:val="18"/>
                <w:szCs w:val="18"/>
                <w:color w:val="auto"/>
              </w:rPr>
              <w:t>Interest-bearing deposits</w:t>
            </w: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7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Savings and interest-checking deposits</w:t>
            </w:r>
          </w:p>
        </w:tc>
        <w:tc>
          <w:tcPr>
            <w:tcW w:w="160" w:type="dxa"/>
            <w:vAlign w:val="bottom"/>
            <w:shd w:val="clear" w:color="auto" w:fill="CFF0FC"/>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45,473</w:t>
            </w: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437"/>
              <w:spacing w:after="0"/>
              <w:rPr>
                <w:sz w:val="20"/>
                <w:szCs w:val="20"/>
                <w:color w:val="auto"/>
              </w:rPr>
            </w:pPr>
            <w:r>
              <w:rPr>
                <w:rFonts w:ascii="Arial" w:cs="Arial" w:eastAsia="Arial" w:hAnsi="Arial"/>
                <w:sz w:val="18"/>
                <w:szCs w:val="18"/>
                <w:color w:val="auto"/>
              </w:rPr>
              <w:t>2,132</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43,341</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41,564</w:t>
            </w: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416"/>
              <w:spacing w:after="0"/>
              <w:rPr>
                <w:sz w:val="20"/>
                <w:szCs w:val="20"/>
                <w:color w:val="auto"/>
              </w:rPr>
            </w:pPr>
            <w:r>
              <w:rPr>
                <w:rFonts w:ascii="Arial" w:cs="Arial" w:eastAsia="Arial" w:hAnsi="Arial"/>
                <w:sz w:val="18"/>
                <w:szCs w:val="18"/>
                <w:color w:val="auto"/>
              </w:rPr>
              <w:t>10,724</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gridSpan w:val="2"/>
          </w:tcPr>
          <w:p>
            <w:pPr>
              <w:ind w:left="240"/>
              <w:spacing w:after="0"/>
              <w:rPr>
                <w:sz w:val="20"/>
                <w:szCs w:val="20"/>
                <w:color w:val="auto"/>
              </w:rPr>
            </w:pPr>
            <w:r>
              <w:rPr>
                <w:rFonts w:ascii="Arial" w:cs="Arial" w:eastAsia="Arial" w:hAnsi="Arial"/>
                <w:sz w:val="18"/>
                <w:szCs w:val="18"/>
                <w:color w:val="auto"/>
              </w:rPr>
              <w:t>Time deposits</w:t>
            </w: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(41,336)</w:t>
            </w:r>
          </w:p>
        </w:tc>
        <w:tc>
          <w:tcPr>
            <w:tcW w:w="1420" w:type="dxa"/>
            <w:vAlign w:val="bottom"/>
          </w:tcPr>
          <w:p>
            <w:pPr>
              <w:jc w:val="right"/>
              <w:ind w:right="377"/>
              <w:spacing w:after="0"/>
              <w:rPr>
                <w:sz w:val="20"/>
                <w:szCs w:val="20"/>
                <w:color w:val="auto"/>
              </w:rPr>
            </w:pPr>
            <w:r>
              <w:rPr>
                <w:rFonts w:ascii="Arial" w:cs="Arial" w:eastAsia="Arial" w:hAnsi="Arial"/>
                <w:sz w:val="18"/>
                <w:szCs w:val="18"/>
                <w:color w:val="auto"/>
              </w:rPr>
              <w:t>(31,283)</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(10,053)</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75,782</w:t>
            </w:r>
          </w:p>
        </w:tc>
        <w:tc>
          <w:tcPr>
            <w:tcW w:w="200" w:type="dxa"/>
            <w:vAlign w:val="bottom"/>
          </w:tcPr>
          <w:p>
            <w:pPr>
              <w:spacing w:after="0"/>
              <w:rPr>
                <w:sz w:val="19"/>
                <w:szCs w:val="19"/>
                <w:color w:val="auto"/>
              </w:rPr>
            </w:pPr>
          </w:p>
        </w:tc>
        <w:tc>
          <w:tcPr>
            <w:tcW w:w="1380" w:type="dxa"/>
            <w:vAlign w:val="bottom"/>
          </w:tcPr>
          <w:p>
            <w:pPr>
              <w:jc w:val="right"/>
              <w:ind w:right="416"/>
              <w:spacing w:after="0"/>
              <w:rPr>
                <w:sz w:val="20"/>
                <w:szCs w:val="20"/>
                <w:color w:val="auto"/>
              </w:rPr>
            </w:pPr>
            <w:r>
              <w:rPr>
                <w:rFonts w:ascii="Arial" w:cs="Arial" w:eastAsia="Arial" w:hAnsi="Arial"/>
                <w:sz w:val="18"/>
                <w:szCs w:val="18"/>
                <w:color w:val="auto"/>
              </w:rPr>
              <w:t>59,607</w:t>
            </w:r>
          </w:p>
        </w:tc>
        <w:tc>
          <w:tcPr>
            <w:tcW w:w="620" w:type="dxa"/>
            <w:vAlign w:val="bottom"/>
          </w:tcPr>
          <w:p>
            <w:pPr>
              <w:jc w:val="right"/>
              <w:spacing w:after="0"/>
              <w:rPr>
                <w:sz w:val="20"/>
                <w:szCs w:val="20"/>
                <w:color w:val="auto"/>
              </w:rPr>
            </w:pPr>
            <w:r>
              <w:rPr>
                <w:rFonts w:ascii="Arial" w:cs="Arial" w:eastAsia="Arial" w:hAnsi="Arial"/>
                <w:sz w:val="18"/>
                <w:szCs w:val="18"/>
                <w:color w:val="auto"/>
              </w:rPr>
              <w:t>16,175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7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Deposits at Cayman Islands office</w:t>
            </w: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w:t>
            </w: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377"/>
              <w:spacing w:after="0"/>
              <w:rPr>
                <w:sz w:val="20"/>
                <w:szCs w:val="20"/>
                <w:color w:val="auto"/>
              </w:rPr>
            </w:pPr>
            <w:r>
              <w:rPr>
                <w:rFonts w:ascii="Arial" w:cs="Arial" w:eastAsia="Arial" w:hAnsi="Arial"/>
                <w:sz w:val="18"/>
                <w:szCs w:val="18"/>
                <w:color w:val="auto"/>
              </w:rPr>
              <w:t>(61)</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w:t>
            </w: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336"/>
              <w:spacing w:after="0"/>
              <w:rPr>
                <w:sz w:val="20"/>
                <w:szCs w:val="20"/>
                <w:color w:val="auto"/>
              </w:rPr>
            </w:pPr>
            <w:r>
              <w:rPr>
                <w:rFonts w:ascii="Arial" w:cs="Arial" w:eastAsia="Arial" w:hAnsi="Arial"/>
                <w:sz w:val="18"/>
                <w:szCs w:val="18"/>
                <w:color w:val="auto"/>
              </w:rPr>
              <w:t>(53)</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gridSpan w:val="2"/>
          </w:tcPr>
          <w:p>
            <w:pPr>
              <w:spacing w:after="0"/>
              <w:rPr>
                <w:sz w:val="20"/>
                <w:szCs w:val="20"/>
                <w:color w:val="auto"/>
              </w:rPr>
            </w:pPr>
            <w:r>
              <w:rPr>
                <w:rFonts w:ascii="Arial" w:cs="Arial" w:eastAsia="Arial" w:hAnsi="Arial"/>
                <w:sz w:val="18"/>
                <w:szCs w:val="18"/>
                <w:color w:val="auto"/>
              </w:rPr>
              <w:t>Short-term borrowings</w:t>
            </w: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(2,114)</w:t>
            </w:r>
          </w:p>
        </w:tc>
        <w:tc>
          <w:tcPr>
            <w:tcW w:w="1420" w:type="dxa"/>
            <w:vAlign w:val="bottom"/>
          </w:tcPr>
          <w:p>
            <w:pPr>
              <w:jc w:val="right"/>
              <w:ind w:right="377"/>
              <w:spacing w:after="0"/>
              <w:rPr>
                <w:sz w:val="20"/>
                <w:szCs w:val="20"/>
                <w:color w:val="auto"/>
              </w:rPr>
            </w:pPr>
            <w:r>
              <w:rPr>
                <w:rFonts w:ascii="Arial" w:cs="Arial" w:eastAsia="Arial" w:hAnsi="Arial"/>
                <w:sz w:val="18"/>
                <w:szCs w:val="18"/>
                <w:color w:val="auto"/>
              </w:rPr>
              <w:t>(3,923)</w:t>
            </w:r>
          </w:p>
        </w:tc>
        <w:tc>
          <w:tcPr>
            <w:tcW w:w="640" w:type="dxa"/>
            <w:vAlign w:val="bottom"/>
          </w:tcPr>
          <w:p>
            <w:pPr>
              <w:jc w:val="right"/>
              <w:spacing w:after="0"/>
              <w:rPr>
                <w:sz w:val="20"/>
                <w:szCs w:val="20"/>
                <w:color w:val="auto"/>
              </w:rPr>
            </w:pPr>
            <w:r>
              <w:rPr>
                <w:rFonts w:ascii="Arial" w:cs="Arial" w:eastAsia="Arial" w:hAnsi="Arial"/>
                <w:sz w:val="18"/>
                <w:szCs w:val="18"/>
                <w:color w:val="auto"/>
              </w:rPr>
              <w:t>1,809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1,948</w:t>
            </w:r>
          </w:p>
        </w:tc>
        <w:tc>
          <w:tcPr>
            <w:tcW w:w="200" w:type="dxa"/>
            <w:vAlign w:val="bottom"/>
          </w:tcPr>
          <w:p>
            <w:pPr>
              <w:spacing w:after="0"/>
              <w:rPr>
                <w:sz w:val="19"/>
                <w:szCs w:val="19"/>
                <w:color w:val="auto"/>
              </w:rPr>
            </w:pPr>
          </w:p>
        </w:tc>
        <w:tc>
          <w:tcPr>
            <w:tcW w:w="1380" w:type="dxa"/>
            <w:vAlign w:val="bottom"/>
          </w:tcPr>
          <w:p>
            <w:pPr>
              <w:jc w:val="right"/>
              <w:ind w:right="416"/>
              <w:spacing w:after="0"/>
              <w:rPr>
                <w:sz w:val="20"/>
                <w:szCs w:val="20"/>
                <w:color w:val="auto"/>
              </w:rPr>
            </w:pPr>
            <w:r>
              <w:rPr>
                <w:rFonts w:ascii="Arial" w:cs="Arial" w:eastAsia="Arial" w:hAnsi="Arial"/>
                <w:sz w:val="18"/>
                <w:szCs w:val="18"/>
                <w:color w:val="auto"/>
              </w:rPr>
              <w:t>1,288</w:t>
            </w:r>
          </w:p>
        </w:tc>
        <w:tc>
          <w:tcPr>
            <w:tcW w:w="620" w:type="dxa"/>
            <w:vAlign w:val="bottom"/>
          </w:tcPr>
          <w:p>
            <w:pPr>
              <w:jc w:val="right"/>
              <w:spacing w:after="0"/>
              <w:rPr>
                <w:sz w:val="20"/>
                <w:szCs w:val="20"/>
                <w:color w:val="auto"/>
              </w:rPr>
            </w:pPr>
            <w:r>
              <w:rPr>
                <w:rFonts w:ascii="Arial" w:cs="Arial" w:eastAsia="Arial" w:hAnsi="Arial"/>
                <w:sz w:val="18"/>
                <w:szCs w:val="18"/>
                <w:color w:val="auto"/>
              </w:rPr>
              <w:t>660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Long-term borrowings</w:t>
            </w: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(41,645)</w:t>
            </w:r>
          </w:p>
        </w:tc>
        <w:tc>
          <w:tcPr>
            <w:tcW w:w="1420" w:type="dxa"/>
            <w:vAlign w:val="bottom"/>
            <w:shd w:val="clear" w:color="auto" w:fill="CFF0FC"/>
          </w:tcPr>
          <w:p>
            <w:pPr>
              <w:jc w:val="right"/>
              <w:ind w:right="377"/>
              <w:spacing w:after="0"/>
              <w:rPr>
                <w:sz w:val="20"/>
                <w:szCs w:val="20"/>
                <w:color w:val="auto"/>
              </w:rPr>
            </w:pPr>
            <w:r>
              <w:rPr>
                <w:rFonts w:ascii="Arial" w:cs="Arial" w:eastAsia="Arial" w:hAnsi="Arial"/>
                <w:sz w:val="18"/>
                <w:szCs w:val="18"/>
                <w:color w:val="auto"/>
              </w:rPr>
              <w:t>(44,662)</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3,017</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(21,749)</w:t>
            </w:r>
          </w:p>
        </w:tc>
        <w:tc>
          <w:tcPr>
            <w:tcW w:w="1380" w:type="dxa"/>
            <w:vAlign w:val="bottom"/>
            <w:shd w:val="clear" w:color="auto" w:fill="CFF0FC"/>
          </w:tcPr>
          <w:p>
            <w:pPr>
              <w:jc w:val="right"/>
              <w:ind w:right="416"/>
              <w:spacing w:after="0"/>
              <w:rPr>
                <w:sz w:val="20"/>
                <w:szCs w:val="20"/>
                <w:color w:val="auto"/>
              </w:rPr>
            </w:pPr>
            <w:r>
              <w:rPr>
                <w:rFonts w:ascii="Arial" w:cs="Arial" w:eastAsia="Arial" w:hAnsi="Arial"/>
                <w:sz w:val="18"/>
                <w:szCs w:val="18"/>
                <w:color w:val="auto"/>
              </w:rPr>
              <w:t>857</w:t>
            </w: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8"/>
              </w:rPr>
              <w:t>(22,606)</w:t>
            </w:r>
          </w:p>
        </w:tc>
        <w:tc>
          <w:tcPr>
            <w:tcW w:w="0" w:type="dxa"/>
            <w:vAlign w:val="bottom"/>
          </w:tcPr>
          <w:p>
            <w:pPr>
              <w:spacing w:after="0"/>
              <w:rPr>
                <w:sz w:val="1"/>
                <w:szCs w:val="1"/>
                <w:color w:val="auto"/>
              </w:rPr>
            </w:pPr>
          </w:p>
        </w:tc>
      </w:tr>
      <w:tr>
        <w:trPr>
          <w:trHeight w:val="20"/>
        </w:trPr>
        <w:tc>
          <w:tcPr>
            <w:tcW w:w="4740" w:type="dxa"/>
            <w:vAlign w:val="bottom"/>
            <w:gridSpan w:val="2"/>
            <w:vMerge w:val="restart"/>
          </w:tcPr>
          <w:p>
            <w:pPr>
              <w:ind w:left="240"/>
              <w:spacing w:after="0"/>
              <w:rPr>
                <w:sz w:val="20"/>
                <w:szCs w:val="20"/>
                <w:color w:val="auto"/>
              </w:rPr>
            </w:pPr>
            <w:r>
              <w:rPr>
                <w:rFonts w:ascii="Arial" w:cs="Arial" w:eastAsia="Arial" w:hAnsi="Arial"/>
                <w:sz w:val="18"/>
                <w:szCs w:val="18"/>
                <w:color w:val="auto"/>
              </w:rPr>
              <w:t>Total interest expense</w:t>
            </w: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740" w:type="dxa"/>
            <w:vAlign w:val="bottom"/>
            <w:gridSpan w:val="2"/>
            <w:vMerge w:val="continue"/>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(39,233)</w:t>
            </w:r>
          </w:p>
        </w:tc>
        <w:tc>
          <w:tcPr>
            <w:tcW w:w="1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97,727</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2140" w:type="dxa"/>
            <w:vAlign w:val="bottom"/>
            <w:tcBorders>
              <w:bottom w:val="single" w:sz="8" w:color="auto"/>
            </w:tcBorders>
          </w:tcPr>
          <w:p>
            <w:pPr>
              <w:spacing w:after="0"/>
              <w:rPr>
                <w:sz w:val="9"/>
                <w:szCs w:val="9"/>
                <w:color w:val="auto"/>
              </w:rPr>
            </w:pPr>
          </w:p>
        </w:tc>
        <w:tc>
          <w:tcPr>
            <w:tcW w:w="2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ind w:left="600" w:right="320" w:hanging="595"/>
        <w:spacing w:after="0" w:line="261" w:lineRule="auto"/>
        <w:tabs>
          <w:tab w:leader="none" w:pos="60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Interest income data are on a taxable-equivalent basis. The apportionment of changes resulting from the combined effect of both volume and rate was based on the separately determined volume and rate changes.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6" w:name="page27"/>
    <w:bookmarkEnd w:id="26"/>
    <w:p>
      <w:pPr>
        <w:spacing w:after="0"/>
        <w:tabs>
          <w:tab w:leader="none" w:pos="1160" w:val="left"/>
        </w:tabs>
        <w:rPr>
          <w:sz w:val="20"/>
          <w:szCs w:val="20"/>
          <w:color w:val="auto"/>
        </w:rPr>
      </w:pPr>
      <w:r>
        <w:rPr>
          <w:rFonts w:ascii="Arial" w:cs="Arial" w:eastAsia="Arial" w:hAnsi="Arial"/>
          <w:sz w:val="20"/>
          <w:szCs w:val="20"/>
          <w:b w:val="1"/>
          <w:bCs w:val="1"/>
          <w:color w:val="auto"/>
        </w:rPr>
        <w:t>Item 1A.</w:t>
      </w:r>
      <w:r>
        <w:rPr>
          <w:sz w:val="20"/>
          <w:szCs w:val="20"/>
          <w:color w:val="auto"/>
        </w:rPr>
        <w:tab/>
      </w:r>
      <w:r>
        <w:rPr>
          <w:rFonts w:ascii="Arial" w:cs="Arial" w:eastAsia="Arial" w:hAnsi="Arial"/>
          <w:sz w:val="17"/>
          <w:szCs w:val="17"/>
          <w:b w:val="1"/>
          <w:bCs w:val="1"/>
          <w:i w:val="1"/>
          <w:iCs w:val="1"/>
          <w:color w:val="auto"/>
        </w:rPr>
        <w:t>Risk Factors</w:t>
      </w:r>
      <w:r>
        <w:rPr>
          <w:rFonts w:ascii="Arial" w:cs="Arial" w:eastAsia="Arial" w:hAnsi="Arial"/>
          <w:sz w:val="17"/>
          <w:szCs w:val="17"/>
          <w:b w:val="1"/>
          <w:bCs w:val="1"/>
          <w:color w:val="auto"/>
        </w:rPr>
        <w:t>.</w:t>
      </w:r>
    </w:p>
    <w:p>
      <w:pPr>
        <w:spacing w:after="0" w:line="116" w:lineRule="exact"/>
        <w:rPr>
          <w:sz w:val="20"/>
          <w:szCs w:val="20"/>
          <w:color w:val="auto"/>
        </w:rPr>
      </w:pPr>
    </w:p>
    <w:p>
      <w:pPr>
        <w:ind w:right="20"/>
        <w:spacing w:after="0" w:line="251" w:lineRule="auto"/>
        <w:rPr>
          <w:sz w:val="20"/>
          <w:szCs w:val="20"/>
          <w:color w:val="auto"/>
        </w:rPr>
      </w:pPr>
      <w:r>
        <w:rPr>
          <w:rFonts w:ascii="Arial" w:cs="Arial" w:eastAsia="Arial" w:hAnsi="Arial"/>
          <w:sz w:val="20"/>
          <w:szCs w:val="20"/>
          <w:color w:val="auto"/>
        </w:rPr>
        <w:t>M&amp;T and its subsidiaries could be adversely impacted by a number of risks and uncertainties that are difficult to predict. As a financial institution certain risk elements are inherent in the ordinary course of the Company’s business activities and adverse experience with those risks could have a material impact on the Company’s business, financial condition and results of operations, as well as on the values of the Company’s financial instruments and M&amp;T’s common stock. The Company has developed a risk management process to identify, understand, mitigate and balance its exposure to significant risks. The following risk factors set forth some of the risks that could materially and adversely impact the Company, although there may be additional risks that are not presently material or known that may adversely affect the Company.</w:t>
      </w:r>
    </w:p>
    <w:p>
      <w:pPr>
        <w:spacing w:after="0" w:line="28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Market Risk</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Weakness in the economy has adversely affected the Company in the past and may adversely affect the Company in the future.</w:t>
      </w:r>
    </w:p>
    <w:p>
      <w:pPr>
        <w:spacing w:after="0" w:line="112" w:lineRule="exact"/>
        <w:rPr>
          <w:sz w:val="20"/>
          <w:szCs w:val="20"/>
          <w:color w:val="auto"/>
        </w:rPr>
      </w:pPr>
    </w:p>
    <w:p>
      <w:pPr>
        <w:spacing w:after="0" w:line="256" w:lineRule="auto"/>
        <w:rPr>
          <w:sz w:val="20"/>
          <w:szCs w:val="20"/>
          <w:color w:val="auto"/>
        </w:rPr>
      </w:pPr>
      <w:r>
        <w:rPr>
          <w:rFonts w:ascii="Arial" w:cs="Arial" w:eastAsia="Arial" w:hAnsi="Arial"/>
          <w:sz w:val="20"/>
          <w:szCs w:val="20"/>
          <w:color w:val="auto"/>
        </w:rPr>
        <w:t>Poor business and economic conditions in general or specifically in markets served by the Company could have one or more of the following adverse effects on the Company’s business:</w:t>
      </w:r>
    </w:p>
    <w:p>
      <w:pPr>
        <w:ind w:left="1180" w:hanging="584"/>
        <w:spacing w:after="0"/>
        <w:tabs>
          <w:tab w:leader="none" w:pos="1180" w:val="left"/>
        </w:tabs>
        <w:numPr>
          <w:ilvl w:val="0"/>
          <w:numId w:val="13"/>
        </w:numPr>
        <w:rPr>
          <w:rFonts w:ascii="Arial" w:cs="Arial" w:eastAsia="Arial" w:hAnsi="Arial"/>
          <w:sz w:val="20"/>
          <w:szCs w:val="20"/>
          <w:color w:val="auto"/>
        </w:rPr>
      </w:pPr>
      <w:r>
        <w:rPr>
          <w:rFonts w:ascii="Arial" w:cs="Arial" w:eastAsia="Arial" w:hAnsi="Arial"/>
          <w:sz w:val="20"/>
          <w:szCs w:val="20"/>
          <w:color w:val="auto"/>
        </w:rPr>
        <w:t>A decrease in the demand for loans and other products and services offered by the Company.</w:t>
      </w:r>
    </w:p>
    <w:p>
      <w:pPr>
        <w:spacing w:after="0" w:line="6" w:lineRule="exact"/>
        <w:rPr>
          <w:rFonts w:ascii="Arial" w:cs="Arial" w:eastAsia="Arial" w:hAnsi="Arial"/>
          <w:sz w:val="20"/>
          <w:szCs w:val="20"/>
          <w:color w:val="auto"/>
        </w:rPr>
      </w:pPr>
    </w:p>
    <w:p>
      <w:pPr>
        <w:ind w:left="1180" w:hanging="584"/>
        <w:spacing w:after="0"/>
        <w:tabs>
          <w:tab w:leader="none" w:pos="1180" w:val="left"/>
        </w:tabs>
        <w:numPr>
          <w:ilvl w:val="0"/>
          <w:numId w:val="13"/>
        </w:numPr>
        <w:rPr>
          <w:rFonts w:ascii="Arial" w:cs="Arial" w:eastAsia="Arial" w:hAnsi="Arial"/>
          <w:sz w:val="20"/>
          <w:szCs w:val="20"/>
          <w:color w:val="auto"/>
        </w:rPr>
      </w:pPr>
      <w:r>
        <w:rPr>
          <w:rFonts w:ascii="Arial" w:cs="Arial" w:eastAsia="Arial" w:hAnsi="Arial"/>
          <w:sz w:val="20"/>
          <w:szCs w:val="20"/>
          <w:color w:val="auto"/>
        </w:rPr>
        <w:t>A decrease in net interest income derived from the Company’s lending and deposit gathering activities.</w:t>
      </w:r>
    </w:p>
    <w:p>
      <w:pPr>
        <w:spacing w:after="0" w:line="6" w:lineRule="exact"/>
        <w:rPr>
          <w:rFonts w:ascii="Arial" w:cs="Arial" w:eastAsia="Arial" w:hAnsi="Arial"/>
          <w:sz w:val="20"/>
          <w:szCs w:val="20"/>
          <w:color w:val="auto"/>
        </w:rPr>
      </w:pPr>
    </w:p>
    <w:p>
      <w:pPr>
        <w:ind w:left="1180" w:right="280" w:hanging="584"/>
        <w:spacing w:after="0" w:line="246" w:lineRule="auto"/>
        <w:tabs>
          <w:tab w:leader="none" w:pos="1180" w:val="left"/>
        </w:tabs>
        <w:numPr>
          <w:ilvl w:val="0"/>
          <w:numId w:val="13"/>
        </w:numPr>
        <w:rPr>
          <w:rFonts w:ascii="Arial" w:cs="Arial" w:eastAsia="Arial" w:hAnsi="Arial"/>
          <w:sz w:val="20"/>
          <w:szCs w:val="20"/>
          <w:color w:val="auto"/>
        </w:rPr>
      </w:pPr>
      <w:r>
        <w:rPr>
          <w:rFonts w:ascii="Arial" w:cs="Arial" w:eastAsia="Arial" w:hAnsi="Arial"/>
          <w:sz w:val="20"/>
          <w:szCs w:val="20"/>
          <w:color w:val="auto"/>
        </w:rPr>
        <w:t>A decrease in the value of the Company’s investment securities, loans held for sale or other assets secured by residential or commercial real estate.</w:t>
      </w:r>
    </w:p>
    <w:p>
      <w:pPr>
        <w:spacing w:after="0" w:line="1" w:lineRule="exact"/>
        <w:rPr>
          <w:rFonts w:ascii="Arial" w:cs="Arial" w:eastAsia="Arial" w:hAnsi="Arial"/>
          <w:sz w:val="20"/>
          <w:szCs w:val="20"/>
          <w:color w:val="auto"/>
        </w:rPr>
      </w:pPr>
    </w:p>
    <w:p>
      <w:pPr>
        <w:ind w:left="1180" w:hanging="584"/>
        <w:spacing w:after="0"/>
        <w:tabs>
          <w:tab w:leader="none" w:pos="1180" w:val="left"/>
        </w:tabs>
        <w:numPr>
          <w:ilvl w:val="0"/>
          <w:numId w:val="13"/>
        </w:numPr>
        <w:rPr>
          <w:rFonts w:ascii="Arial" w:cs="Arial" w:eastAsia="Arial" w:hAnsi="Arial"/>
          <w:sz w:val="20"/>
          <w:szCs w:val="20"/>
          <w:color w:val="auto"/>
        </w:rPr>
      </w:pPr>
      <w:r>
        <w:rPr>
          <w:rFonts w:ascii="Arial" w:cs="Arial" w:eastAsia="Arial" w:hAnsi="Arial"/>
          <w:sz w:val="20"/>
          <w:szCs w:val="20"/>
          <w:color w:val="auto"/>
        </w:rPr>
        <w:t>Other-than-temporary impairment of investment securities in the Company’s investment securities portfolio.</w:t>
      </w:r>
    </w:p>
    <w:p>
      <w:pPr>
        <w:spacing w:after="0" w:line="6" w:lineRule="exact"/>
        <w:rPr>
          <w:rFonts w:ascii="Arial" w:cs="Arial" w:eastAsia="Arial" w:hAnsi="Arial"/>
          <w:sz w:val="20"/>
          <w:szCs w:val="20"/>
          <w:color w:val="auto"/>
        </w:rPr>
      </w:pPr>
    </w:p>
    <w:p>
      <w:pPr>
        <w:ind w:left="1180" w:right="380" w:hanging="584"/>
        <w:spacing w:after="0" w:line="246" w:lineRule="auto"/>
        <w:tabs>
          <w:tab w:leader="none" w:pos="1180" w:val="left"/>
        </w:tabs>
        <w:numPr>
          <w:ilvl w:val="0"/>
          <w:numId w:val="13"/>
        </w:numPr>
        <w:rPr>
          <w:rFonts w:ascii="Arial" w:cs="Arial" w:eastAsia="Arial" w:hAnsi="Arial"/>
          <w:sz w:val="20"/>
          <w:szCs w:val="20"/>
          <w:color w:val="auto"/>
        </w:rPr>
      </w:pPr>
      <w:r>
        <w:rPr>
          <w:rFonts w:ascii="Arial" w:cs="Arial" w:eastAsia="Arial" w:hAnsi="Arial"/>
          <w:sz w:val="20"/>
          <w:szCs w:val="20"/>
          <w:color w:val="auto"/>
        </w:rPr>
        <w:t>A decrease in fees from the Company’s brokerage and trust businesses associated with declines or lack of growth in stock market prices.</w:t>
      </w:r>
    </w:p>
    <w:p>
      <w:pPr>
        <w:spacing w:after="0" w:line="1" w:lineRule="exact"/>
        <w:rPr>
          <w:rFonts w:ascii="Arial" w:cs="Arial" w:eastAsia="Arial" w:hAnsi="Arial"/>
          <w:sz w:val="20"/>
          <w:szCs w:val="20"/>
          <w:color w:val="auto"/>
        </w:rPr>
      </w:pPr>
    </w:p>
    <w:p>
      <w:pPr>
        <w:ind w:left="1180" w:hanging="584"/>
        <w:spacing w:after="0"/>
        <w:tabs>
          <w:tab w:leader="none" w:pos="1180" w:val="left"/>
        </w:tabs>
        <w:numPr>
          <w:ilvl w:val="0"/>
          <w:numId w:val="13"/>
        </w:numPr>
        <w:rPr>
          <w:rFonts w:ascii="Arial" w:cs="Arial" w:eastAsia="Arial" w:hAnsi="Arial"/>
          <w:sz w:val="20"/>
          <w:szCs w:val="20"/>
          <w:color w:val="auto"/>
        </w:rPr>
      </w:pPr>
      <w:r>
        <w:rPr>
          <w:rFonts w:ascii="Arial" w:cs="Arial" w:eastAsia="Arial" w:hAnsi="Arial"/>
          <w:sz w:val="20"/>
          <w:szCs w:val="20"/>
          <w:color w:val="auto"/>
        </w:rPr>
        <w:t>Potential higher FDIC assessments due to the DIF falling below minimum required levels.</w:t>
      </w:r>
    </w:p>
    <w:p>
      <w:pPr>
        <w:spacing w:after="0" w:line="6" w:lineRule="exact"/>
        <w:rPr>
          <w:rFonts w:ascii="Arial" w:cs="Arial" w:eastAsia="Arial" w:hAnsi="Arial"/>
          <w:sz w:val="20"/>
          <w:szCs w:val="20"/>
          <w:color w:val="auto"/>
        </w:rPr>
      </w:pPr>
    </w:p>
    <w:p>
      <w:pPr>
        <w:ind w:left="1180" w:hanging="584"/>
        <w:spacing w:after="0"/>
        <w:tabs>
          <w:tab w:leader="none" w:pos="1180" w:val="left"/>
        </w:tabs>
        <w:numPr>
          <w:ilvl w:val="0"/>
          <w:numId w:val="13"/>
        </w:numPr>
        <w:rPr>
          <w:rFonts w:ascii="Arial" w:cs="Arial" w:eastAsia="Arial" w:hAnsi="Arial"/>
          <w:sz w:val="20"/>
          <w:szCs w:val="20"/>
          <w:color w:val="auto"/>
        </w:rPr>
      </w:pPr>
      <w:r>
        <w:rPr>
          <w:rFonts w:ascii="Arial" w:cs="Arial" w:eastAsia="Arial" w:hAnsi="Arial"/>
          <w:sz w:val="20"/>
          <w:szCs w:val="20"/>
          <w:color w:val="auto"/>
        </w:rPr>
        <w:t>An impairment of certain intangible assets, such as goodwill.</w:t>
      </w:r>
    </w:p>
    <w:p>
      <w:pPr>
        <w:spacing w:after="0" w:line="6" w:lineRule="exact"/>
        <w:rPr>
          <w:rFonts w:ascii="Arial" w:cs="Arial" w:eastAsia="Arial" w:hAnsi="Arial"/>
          <w:sz w:val="20"/>
          <w:szCs w:val="20"/>
          <w:color w:val="auto"/>
        </w:rPr>
      </w:pPr>
    </w:p>
    <w:p>
      <w:pPr>
        <w:ind w:left="1180" w:right="60" w:hanging="584"/>
        <w:spacing w:after="0" w:line="250" w:lineRule="auto"/>
        <w:tabs>
          <w:tab w:leader="none" w:pos="1180" w:val="left"/>
        </w:tabs>
        <w:numPr>
          <w:ilvl w:val="0"/>
          <w:numId w:val="13"/>
        </w:numPr>
        <w:rPr>
          <w:rFonts w:ascii="Arial" w:cs="Arial" w:eastAsia="Arial" w:hAnsi="Arial"/>
          <w:sz w:val="20"/>
          <w:szCs w:val="20"/>
          <w:color w:val="auto"/>
        </w:rPr>
      </w:pPr>
      <w:r>
        <w:rPr>
          <w:rFonts w:ascii="Arial" w:cs="Arial" w:eastAsia="Arial" w:hAnsi="Arial"/>
          <w:sz w:val="20"/>
          <w:szCs w:val="20"/>
          <w:color w:val="auto"/>
        </w:rPr>
        <w:t>An increase in the number of customers and counterparties who become delinquent, file for protection under bankruptcy laws or default on their loans or other obligations to the Company. An increase in the number of delinquencies, bankruptcies or defaults could result in higher levels of nonperforming assets, net charge-offs, provision for credit losses and valuation adjustments on loans held for sale.</w:t>
      </w:r>
    </w:p>
    <w:p>
      <w:pPr>
        <w:spacing w:after="0" w:line="285" w:lineRule="exact"/>
        <w:rPr>
          <w:sz w:val="20"/>
          <w:szCs w:val="20"/>
          <w:color w:val="auto"/>
        </w:rPr>
      </w:pPr>
    </w:p>
    <w:p>
      <w:pPr>
        <w:ind w:right="280"/>
        <w:spacing w:after="0" w:line="256" w:lineRule="auto"/>
        <w:rPr>
          <w:sz w:val="20"/>
          <w:szCs w:val="20"/>
          <w:color w:val="auto"/>
        </w:rPr>
      </w:pPr>
      <w:r>
        <w:rPr>
          <w:rFonts w:ascii="Arial" w:cs="Arial" w:eastAsia="Arial" w:hAnsi="Arial"/>
          <w:sz w:val="20"/>
          <w:szCs w:val="20"/>
          <w:i w:val="1"/>
          <w:iCs w:val="1"/>
          <w:color w:val="auto"/>
        </w:rPr>
        <w:t>The Company’s business and financial performance is impacted significantly by market interest rates and movements in those rates. The monetary, tax and other policies of governmental agencies, including the Federal Reserve, have a significant impact on interest rates and overall financial market performance over which the Company has no control and which the Company may not be able to anticipate adequately.</w:t>
      </w:r>
    </w:p>
    <w:p>
      <w:pPr>
        <w:spacing w:after="0" w:line="70" w:lineRule="exact"/>
        <w:rPr>
          <w:sz w:val="20"/>
          <w:szCs w:val="20"/>
          <w:color w:val="auto"/>
        </w:rPr>
      </w:pPr>
    </w:p>
    <w:p>
      <w:pPr>
        <w:spacing w:after="0" w:line="266" w:lineRule="auto"/>
        <w:rPr>
          <w:sz w:val="20"/>
          <w:szCs w:val="20"/>
          <w:color w:val="auto"/>
        </w:rPr>
      </w:pPr>
      <w:r>
        <w:rPr>
          <w:rFonts w:ascii="Arial" w:cs="Arial" w:eastAsia="Arial" w:hAnsi="Arial"/>
          <w:sz w:val="19"/>
          <w:szCs w:val="19"/>
          <w:color w:val="auto"/>
        </w:rPr>
        <w:t>As a result of the high percentage of the Company’s assets and liabilities that are in the form of interest-bearing or interest-related instruments, changes in interest rates, in the shape of the yield curve or in spreads between different market interest rates, can have a material effect on the Company’s business and profitability and the value of the Company’s assets and liabilities. For example:</w:t>
      </w:r>
    </w:p>
    <w:p>
      <w:pPr>
        <w:spacing w:after="0" w:line="1" w:lineRule="exact"/>
        <w:rPr>
          <w:sz w:val="20"/>
          <w:szCs w:val="20"/>
          <w:color w:val="auto"/>
        </w:rPr>
      </w:pPr>
    </w:p>
    <w:p>
      <w:pPr>
        <w:ind w:left="1180" w:hanging="584"/>
        <w:spacing w:after="0"/>
        <w:tabs>
          <w:tab w:leader="none" w:pos="1180" w:val="left"/>
        </w:tabs>
        <w:numPr>
          <w:ilvl w:val="0"/>
          <w:numId w:val="14"/>
        </w:numPr>
        <w:rPr>
          <w:rFonts w:ascii="Arial" w:cs="Arial" w:eastAsia="Arial" w:hAnsi="Arial"/>
          <w:sz w:val="20"/>
          <w:szCs w:val="20"/>
          <w:color w:val="auto"/>
        </w:rPr>
      </w:pPr>
      <w:r>
        <w:rPr>
          <w:rFonts w:ascii="Arial" w:cs="Arial" w:eastAsia="Arial" w:hAnsi="Arial"/>
          <w:sz w:val="20"/>
          <w:szCs w:val="20"/>
          <w:color w:val="auto"/>
        </w:rPr>
        <w:t>Changes in interest rates or interest rate spreads can affect the difference between the</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380"/>
          </w:cols>
          <w:pgMar w:left="240" w:top="122" w:right="279" w:bottom="1440" w:gutter="0" w:footer="0" w:header="0"/>
        </w:sectPr>
      </w:pPr>
    </w:p>
    <w:bookmarkStart w:id="27" w:name="page28"/>
    <w:bookmarkEnd w:id="27"/>
    <w:p>
      <w:pPr>
        <w:ind w:left="1180" w:right="140"/>
        <w:spacing w:after="0" w:line="256" w:lineRule="auto"/>
        <w:rPr>
          <w:sz w:val="20"/>
          <w:szCs w:val="20"/>
          <w:color w:val="auto"/>
        </w:rPr>
      </w:pPr>
      <w:r>
        <w:rPr>
          <w:rFonts w:ascii="Arial" w:cs="Arial" w:eastAsia="Arial" w:hAnsi="Arial"/>
          <w:sz w:val="20"/>
          <w:szCs w:val="20"/>
          <w:color w:val="auto"/>
        </w:rPr>
        <w:t>interest that the Company earns on assets and the interest that the Company pays on liabilities, which impacts the Company’s overall net interest income and profitability.</w:t>
      </w:r>
    </w:p>
    <w:p>
      <w:pPr>
        <w:ind w:left="1180" w:right="440" w:hanging="584"/>
        <w:spacing w:after="0" w:line="246" w:lineRule="auto"/>
        <w:tabs>
          <w:tab w:leader="none" w:pos="1180" w:val="left"/>
        </w:tabs>
        <w:numPr>
          <w:ilvl w:val="0"/>
          <w:numId w:val="15"/>
        </w:numPr>
        <w:rPr>
          <w:rFonts w:ascii="Arial" w:cs="Arial" w:eastAsia="Arial" w:hAnsi="Arial"/>
          <w:sz w:val="20"/>
          <w:szCs w:val="20"/>
          <w:color w:val="auto"/>
        </w:rPr>
      </w:pPr>
      <w:r>
        <w:rPr>
          <w:rFonts w:ascii="Arial" w:cs="Arial" w:eastAsia="Arial" w:hAnsi="Arial"/>
          <w:sz w:val="20"/>
          <w:szCs w:val="20"/>
          <w:color w:val="auto"/>
        </w:rPr>
        <w:t>Such changes can affect the ability of borrowers to meet obligations under variable or adjustable rate loans and other debt instruments, and can, in turn, affect the Company’s loss rates on those assets.</w:t>
      </w:r>
    </w:p>
    <w:p>
      <w:pPr>
        <w:spacing w:after="0" w:line="1" w:lineRule="exact"/>
        <w:rPr>
          <w:rFonts w:ascii="Arial" w:cs="Arial" w:eastAsia="Arial" w:hAnsi="Arial"/>
          <w:sz w:val="20"/>
          <w:szCs w:val="20"/>
          <w:color w:val="auto"/>
        </w:rPr>
      </w:pPr>
    </w:p>
    <w:p>
      <w:pPr>
        <w:ind w:left="1180" w:hanging="584"/>
        <w:spacing w:after="0"/>
        <w:tabs>
          <w:tab w:leader="none" w:pos="1180" w:val="left"/>
        </w:tabs>
        <w:numPr>
          <w:ilvl w:val="0"/>
          <w:numId w:val="15"/>
        </w:numPr>
        <w:rPr>
          <w:rFonts w:ascii="Arial" w:cs="Arial" w:eastAsia="Arial" w:hAnsi="Arial"/>
          <w:sz w:val="19"/>
          <w:szCs w:val="19"/>
          <w:color w:val="auto"/>
        </w:rPr>
      </w:pPr>
      <w:r>
        <w:rPr>
          <w:rFonts w:ascii="Arial" w:cs="Arial" w:eastAsia="Arial" w:hAnsi="Arial"/>
          <w:sz w:val="19"/>
          <w:szCs w:val="19"/>
          <w:color w:val="auto"/>
        </w:rPr>
        <w:t>Such changes may decrease the demand for interest rate based products and services, including loans and deposits.</w:t>
      </w:r>
    </w:p>
    <w:p>
      <w:pPr>
        <w:spacing w:after="0" w:line="18" w:lineRule="exact"/>
        <w:rPr>
          <w:rFonts w:ascii="Arial" w:cs="Arial" w:eastAsia="Arial" w:hAnsi="Arial"/>
          <w:sz w:val="19"/>
          <w:szCs w:val="19"/>
          <w:color w:val="auto"/>
        </w:rPr>
      </w:pPr>
    </w:p>
    <w:p>
      <w:pPr>
        <w:ind w:left="1180" w:right="200" w:hanging="584"/>
        <w:spacing w:after="0" w:line="246" w:lineRule="auto"/>
        <w:tabs>
          <w:tab w:leader="none" w:pos="1180" w:val="left"/>
        </w:tabs>
        <w:numPr>
          <w:ilvl w:val="0"/>
          <w:numId w:val="15"/>
        </w:numPr>
        <w:rPr>
          <w:rFonts w:ascii="Arial" w:cs="Arial" w:eastAsia="Arial" w:hAnsi="Arial"/>
          <w:sz w:val="20"/>
          <w:szCs w:val="20"/>
          <w:color w:val="auto"/>
        </w:rPr>
      </w:pPr>
      <w:r>
        <w:rPr>
          <w:rFonts w:ascii="Arial" w:cs="Arial" w:eastAsia="Arial" w:hAnsi="Arial"/>
          <w:sz w:val="20"/>
          <w:szCs w:val="20"/>
          <w:color w:val="auto"/>
        </w:rPr>
        <w:t>Such changes can also affect the Company’s ability to hedge various forms of market and interest rate risk and may decrease the profitability or protection or increase the risk or cost associated with such hedges.</w:t>
      </w:r>
    </w:p>
    <w:p>
      <w:pPr>
        <w:spacing w:after="0" w:line="1" w:lineRule="exact"/>
        <w:rPr>
          <w:rFonts w:ascii="Arial" w:cs="Arial" w:eastAsia="Arial" w:hAnsi="Arial"/>
          <w:sz w:val="20"/>
          <w:szCs w:val="20"/>
          <w:color w:val="auto"/>
        </w:rPr>
      </w:pPr>
    </w:p>
    <w:p>
      <w:pPr>
        <w:ind w:left="1180" w:right="340" w:hanging="584"/>
        <w:spacing w:after="0" w:line="251" w:lineRule="auto"/>
        <w:tabs>
          <w:tab w:leader="none" w:pos="1180" w:val="left"/>
        </w:tabs>
        <w:numPr>
          <w:ilvl w:val="0"/>
          <w:numId w:val="15"/>
        </w:numPr>
        <w:rPr>
          <w:rFonts w:ascii="Arial" w:cs="Arial" w:eastAsia="Arial" w:hAnsi="Arial"/>
          <w:sz w:val="20"/>
          <w:szCs w:val="20"/>
          <w:color w:val="auto"/>
        </w:rPr>
      </w:pPr>
      <w:r>
        <w:rPr>
          <w:rFonts w:ascii="Arial" w:cs="Arial" w:eastAsia="Arial" w:hAnsi="Arial"/>
          <w:sz w:val="20"/>
          <w:szCs w:val="20"/>
          <w:color w:val="auto"/>
        </w:rPr>
        <w:t>Movements in interest rates also affect mortgage prepayment speeds and could result in the impairment of capitalized mortgage servicing assets, reduce the value of loans held for sale and increase the volatility of mortgage banking revenues, potentially adversely affecting the Company’s results of operations.</w:t>
      </w:r>
    </w:p>
    <w:p>
      <w:pPr>
        <w:spacing w:after="0" w:line="180" w:lineRule="exact"/>
        <w:rPr>
          <w:sz w:val="20"/>
          <w:szCs w:val="20"/>
          <w:color w:val="auto"/>
        </w:rPr>
      </w:pPr>
    </w:p>
    <w:p>
      <w:pPr>
        <w:ind w:firstLine="598"/>
        <w:spacing w:after="0" w:line="278" w:lineRule="auto"/>
        <w:rPr>
          <w:sz w:val="20"/>
          <w:szCs w:val="20"/>
          <w:color w:val="auto"/>
        </w:rPr>
      </w:pPr>
      <w:r>
        <w:rPr>
          <w:rFonts w:ascii="Arial" w:cs="Arial" w:eastAsia="Arial" w:hAnsi="Arial"/>
          <w:sz w:val="18"/>
          <w:szCs w:val="18"/>
          <w:color w:val="auto"/>
        </w:rPr>
        <w:t>The monetary, tax and other policies of the government and its agencies, including the Federal Reserve, have a significant impact on interest rates and overall financial market performance. These governmental policies can thus affect the activities and results of operations of banking companies such as the Company. An important function of the Federal Reserve is to regulate the national supply of bank credit and certain interest rates. The actions of the Federal Reserve influence the rates of interest that the Company charges on loans and that the Company pays on borrowings and interest-bearing deposits and can also affect the value of the Company’s on-balance sheet and off-balance sheet financial instruments. Also, due to the impact on rates for short-term funding, the Federal Reserve’s policies also influence, to a significant extent, the Company’s cost of such funding. In addition, the Company is routinely subject to examinations from various governmental taxing authorities. Such examinations may result in challenges to the tax return treatment applied by the Company to specific transactions. Management believes that the assumptions and judgment used to record tax-related assets or liabilities have been appropriate. Should tax laws change or the tax authorities determine that management’s assumptions were inappropriate, the result and adjustments required could have a material effect on the Company’s results of operations. In December 2017, President Trump signed into law the Tax Cuts and Jobs Act which is one of the most significant overhauls to the United States federal tax code since 1986 and could have a significant impact on domestic and international tax consequences. M&amp;T cannot predict the nature or timing of future changes in monetary, tax and other policies or the effect that they may have on the Company’s business activities, financial condition and results of operations.</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The Company’s business and performance is vulnerable to the impact of volatility in debt and equity markets.</w:t>
      </w:r>
    </w:p>
    <w:p>
      <w:pPr>
        <w:spacing w:after="0" w:line="112" w:lineRule="exact"/>
        <w:rPr>
          <w:sz w:val="20"/>
          <w:szCs w:val="20"/>
          <w:color w:val="auto"/>
        </w:rPr>
      </w:pPr>
    </w:p>
    <w:p>
      <w:pPr>
        <w:ind w:right="160"/>
        <w:spacing w:after="0" w:line="263" w:lineRule="auto"/>
        <w:rPr>
          <w:sz w:val="20"/>
          <w:szCs w:val="20"/>
          <w:color w:val="auto"/>
        </w:rPr>
      </w:pPr>
      <w:r>
        <w:rPr>
          <w:rFonts w:ascii="Arial" w:cs="Arial" w:eastAsia="Arial" w:hAnsi="Arial"/>
          <w:sz w:val="19"/>
          <w:szCs w:val="19"/>
          <w:color w:val="auto"/>
        </w:rPr>
        <w:t>As most of the Company’s assets and liabilities are financial in nature, the Company’s performance tends to be sensitive to the performance of the financial markets. Turmoil and volatility in U.S. and global financial markets can be a major contributory factor to overall weak economic conditions, leading to some of the risks discussed herein, including the impaired ability of borrowers and other counterparties to meet obligations to the Company. Financial market volatility also can have some of the following adverse effects on the Company and its business, including adversely affecting the Company’s financial condition and results of operations:</w:t>
      </w:r>
    </w:p>
    <w:p>
      <w:pPr>
        <w:spacing w:after="0" w:line="3" w:lineRule="exact"/>
        <w:rPr>
          <w:sz w:val="20"/>
          <w:szCs w:val="20"/>
          <w:color w:val="auto"/>
        </w:rPr>
      </w:pPr>
    </w:p>
    <w:p>
      <w:pPr>
        <w:ind w:left="1180" w:hanging="584"/>
        <w:spacing w:after="0"/>
        <w:tabs>
          <w:tab w:leader="none" w:pos="1180" w:val="left"/>
        </w:tabs>
        <w:numPr>
          <w:ilvl w:val="0"/>
          <w:numId w:val="16"/>
        </w:numPr>
        <w:rPr>
          <w:rFonts w:ascii="Arial" w:cs="Arial" w:eastAsia="Arial" w:hAnsi="Arial"/>
          <w:sz w:val="20"/>
          <w:szCs w:val="20"/>
          <w:color w:val="auto"/>
        </w:rPr>
      </w:pPr>
      <w:r>
        <w:rPr>
          <w:rFonts w:ascii="Arial" w:cs="Arial" w:eastAsia="Arial" w:hAnsi="Arial"/>
          <w:sz w:val="20"/>
          <w:szCs w:val="20"/>
          <w:color w:val="auto"/>
        </w:rPr>
        <w:t>It can affect the value or liquidity of the Company’s on-balance sheet and off-balance sheet financial instruments.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28" w:name="page29"/>
    <w:bookmarkEnd w:id="28"/>
    <w:p>
      <w:pPr>
        <w:ind w:left="1180" w:hanging="584"/>
        <w:spacing w:after="0"/>
        <w:tabs>
          <w:tab w:leader="none" w:pos="1180" w:val="left"/>
        </w:tabs>
        <w:numPr>
          <w:ilvl w:val="0"/>
          <w:numId w:val="17"/>
        </w:numPr>
        <w:rPr>
          <w:rFonts w:ascii="Arial" w:cs="Arial" w:eastAsia="Arial" w:hAnsi="Arial"/>
          <w:sz w:val="20"/>
          <w:szCs w:val="20"/>
          <w:color w:val="auto"/>
        </w:rPr>
      </w:pPr>
      <w:r>
        <w:rPr>
          <w:rFonts w:ascii="Arial" w:cs="Arial" w:eastAsia="Arial" w:hAnsi="Arial"/>
          <w:sz w:val="20"/>
          <w:szCs w:val="20"/>
          <w:color w:val="auto"/>
        </w:rPr>
        <w:t>It can affect the value of capitalized servicing assets.</w:t>
      </w:r>
    </w:p>
    <w:p>
      <w:pPr>
        <w:spacing w:after="0" w:line="24" w:lineRule="exact"/>
        <w:rPr>
          <w:rFonts w:ascii="Arial" w:cs="Arial" w:eastAsia="Arial" w:hAnsi="Arial"/>
          <w:sz w:val="20"/>
          <w:szCs w:val="20"/>
          <w:color w:val="auto"/>
        </w:rPr>
      </w:pPr>
    </w:p>
    <w:p>
      <w:pPr>
        <w:ind w:left="1180" w:right="580" w:hanging="584"/>
        <w:spacing w:after="0" w:line="246" w:lineRule="auto"/>
        <w:tabs>
          <w:tab w:leader="none" w:pos="1180" w:val="left"/>
        </w:tabs>
        <w:numPr>
          <w:ilvl w:val="0"/>
          <w:numId w:val="17"/>
        </w:numPr>
        <w:rPr>
          <w:rFonts w:ascii="Arial" w:cs="Arial" w:eastAsia="Arial" w:hAnsi="Arial"/>
          <w:sz w:val="20"/>
          <w:szCs w:val="20"/>
          <w:color w:val="auto"/>
        </w:rPr>
      </w:pPr>
      <w:r>
        <w:rPr>
          <w:rFonts w:ascii="Arial" w:cs="Arial" w:eastAsia="Arial" w:hAnsi="Arial"/>
          <w:sz w:val="20"/>
          <w:szCs w:val="20"/>
          <w:color w:val="auto"/>
        </w:rPr>
        <w:t>It can affect M&amp;T’s ability to access capital markets to raise funds. Inability to access capital markets if needed, at cost effective rates, could adversely affect the Company’s liquidity and results of operations.</w:t>
      </w:r>
    </w:p>
    <w:p>
      <w:pPr>
        <w:spacing w:after="0" w:line="1" w:lineRule="exact"/>
        <w:rPr>
          <w:rFonts w:ascii="Arial" w:cs="Arial" w:eastAsia="Arial" w:hAnsi="Arial"/>
          <w:sz w:val="20"/>
          <w:szCs w:val="20"/>
          <w:color w:val="auto"/>
        </w:rPr>
      </w:pPr>
    </w:p>
    <w:p>
      <w:pPr>
        <w:jc w:val="both"/>
        <w:ind w:left="1180" w:right="200" w:hanging="584"/>
        <w:spacing w:after="0" w:line="246" w:lineRule="auto"/>
        <w:tabs>
          <w:tab w:leader="none" w:pos="1180" w:val="left"/>
        </w:tabs>
        <w:numPr>
          <w:ilvl w:val="0"/>
          <w:numId w:val="17"/>
        </w:numPr>
        <w:rPr>
          <w:rFonts w:ascii="Arial" w:cs="Arial" w:eastAsia="Arial" w:hAnsi="Arial"/>
          <w:sz w:val="20"/>
          <w:szCs w:val="20"/>
          <w:color w:val="auto"/>
        </w:rPr>
      </w:pPr>
      <w:r>
        <w:rPr>
          <w:rFonts w:ascii="Arial" w:cs="Arial" w:eastAsia="Arial" w:hAnsi="Arial"/>
          <w:sz w:val="20"/>
          <w:szCs w:val="20"/>
          <w:color w:val="auto"/>
        </w:rPr>
        <w:t>It can affect the value of the assets that the Company manages or otherwise administers or services for others. Although the Company is not directly impacted by changes in the value of such assets, decreases in the value of those assets would affect related fee income and could result in decreased demand for the Company’s services.</w:t>
      </w:r>
    </w:p>
    <w:p>
      <w:pPr>
        <w:spacing w:after="0" w:line="2" w:lineRule="exact"/>
        <w:rPr>
          <w:rFonts w:ascii="Arial" w:cs="Arial" w:eastAsia="Arial" w:hAnsi="Arial"/>
          <w:sz w:val="20"/>
          <w:szCs w:val="20"/>
          <w:color w:val="auto"/>
        </w:rPr>
      </w:pPr>
    </w:p>
    <w:p>
      <w:pPr>
        <w:ind w:left="1180" w:hanging="584"/>
        <w:spacing w:after="0"/>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general, it can impact the nature, profitability or risk profile of the financial transactions in which the Company engages.</w:t>
      </w:r>
    </w:p>
    <w:p>
      <w:pPr>
        <w:spacing w:after="0" w:line="222" w:lineRule="exact"/>
        <w:rPr>
          <w:sz w:val="20"/>
          <w:szCs w:val="20"/>
          <w:color w:val="auto"/>
        </w:rPr>
      </w:pPr>
    </w:p>
    <w:p>
      <w:pPr>
        <w:ind w:right="380" w:firstLine="598"/>
        <w:spacing w:after="0" w:line="275" w:lineRule="auto"/>
        <w:rPr>
          <w:sz w:val="20"/>
          <w:szCs w:val="20"/>
          <w:color w:val="auto"/>
        </w:rPr>
      </w:pPr>
      <w:r>
        <w:rPr>
          <w:rFonts w:ascii="Arial" w:cs="Arial" w:eastAsia="Arial" w:hAnsi="Arial"/>
          <w:sz w:val="20"/>
          <w:szCs w:val="20"/>
          <w:color w:val="auto"/>
        </w:rPr>
        <w:t>Volatility in the markets for real estate and other assets commonly securing financial products has been and may continue to be a significant contributor to overall volatility in financial markets.</w:t>
      </w:r>
    </w:p>
    <w:p>
      <w:pPr>
        <w:spacing w:after="0" w:line="26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The Company’s regional concentrations expose it to adverse economic conditions in its primary retail banking office footprint.</w:t>
      </w:r>
    </w:p>
    <w:p>
      <w:pPr>
        <w:spacing w:after="0" w:line="112" w:lineRule="exact"/>
        <w:rPr>
          <w:sz w:val="20"/>
          <w:szCs w:val="20"/>
          <w:color w:val="auto"/>
        </w:rPr>
      </w:pPr>
    </w:p>
    <w:p>
      <w:pPr>
        <w:spacing w:after="0" w:line="256" w:lineRule="auto"/>
        <w:rPr>
          <w:sz w:val="20"/>
          <w:szCs w:val="20"/>
          <w:color w:val="auto"/>
        </w:rPr>
      </w:pPr>
      <w:r>
        <w:rPr>
          <w:rFonts w:ascii="Arial" w:cs="Arial" w:eastAsia="Arial" w:hAnsi="Arial"/>
          <w:sz w:val="20"/>
          <w:szCs w:val="20"/>
          <w:color w:val="auto"/>
        </w:rPr>
        <w:t>The Company’s core banking business is largely concentrated within the Company’s retail banking office network footprint, located principally in New York, Maryland, New Jersey, Pennsylvania, Delaware, Connecticut, Virginia, West Virginia and the District of Columbia. Therefore, the Company is, or in the future may be, particularly vulnerable to adverse changes in economic conditions in the Northeast and Mid-Atlantic regions.</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Risks Relating to Compliance and the Regulatory Environment</w:t>
      </w:r>
    </w:p>
    <w:p>
      <w:pPr>
        <w:spacing w:after="0" w:line="112" w:lineRule="exact"/>
        <w:rPr>
          <w:sz w:val="20"/>
          <w:szCs w:val="20"/>
          <w:color w:val="auto"/>
        </w:rPr>
      </w:pPr>
    </w:p>
    <w:p>
      <w:pPr>
        <w:ind w:right="880"/>
        <w:spacing w:after="0" w:line="275" w:lineRule="auto"/>
        <w:rPr>
          <w:sz w:val="20"/>
          <w:szCs w:val="20"/>
          <w:color w:val="auto"/>
        </w:rPr>
      </w:pPr>
      <w:r>
        <w:rPr>
          <w:rFonts w:ascii="Arial" w:cs="Arial" w:eastAsia="Arial" w:hAnsi="Arial"/>
          <w:sz w:val="20"/>
          <w:szCs w:val="20"/>
          <w:i w:val="1"/>
          <w:iCs w:val="1"/>
          <w:color w:val="auto"/>
        </w:rPr>
        <w:t>The Company is subject to extensive government regulation and supervision and this regulatory environment can be and has been significantly impacted by financial regulatory reform initiatives.</w:t>
      </w:r>
    </w:p>
    <w:p>
      <w:pPr>
        <w:spacing w:after="0" w:line="51" w:lineRule="exact"/>
        <w:rPr>
          <w:sz w:val="20"/>
          <w:szCs w:val="20"/>
          <w:color w:val="auto"/>
        </w:rPr>
      </w:pPr>
    </w:p>
    <w:p>
      <w:pPr>
        <w:ind w:right="20"/>
        <w:spacing w:after="0" w:line="261" w:lineRule="auto"/>
        <w:rPr>
          <w:sz w:val="20"/>
          <w:szCs w:val="20"/>
          <w:color w:val="auto"/>
        </w:rPr>
      </w:pPr>
      <w:r>
        <w:rPr>
          <w:rFonts w:ascii="Arial" w:cs="Arial" w:eastAsia="Arial" w:hAnsi="Arial"/>
          <w:sz w:val="19"/>
          <w:szCs w:val="19"/>
          <w:color w:val="auto"/>
        </w:rPr>
        <w:t>The Company is subject to extensive federal and state regulation and supervision. Banking regulations are primarily intended to protect depositors’ funds, federal deposit insurance funds and the financial system as a whole, not stockholders. These regulations and supervisory guidance affect the Company’s lending practices, capital structure, amounts of capital, investment practices, dividend policy, growth and expansionary activity, among other things. Failure to comply with laws, regulations, policies or supervisory guidance could result in civil or criminal penalties, including monetary penalties, the loss of FDIC insurance, the revocation of a banking charter, other sanctions by regulatory agencies, and/or reputation damage, which could have a material adverse effect on the Company’s business, financial condition and results of operations. In this regard, government authorities, including the bank regulatory agencies, can pursue aggressive enforcement actions with respect to compliance and other legal matters involving financial activities, which heightens the risks associated with actual and perceived compliance failures and may also adversely affect the Company’s ability to enter into certain transactions or engage in certain activities, or obtain necessary regulatory approvals in connection therewith.</w:t>
      </w:r>
    </w:p>
    <w:p>
      <w:pPr>
        <w:spacing w:after="0" w:line="7" w:lineRule="exact"/>
        <w:rPr>
          <w:sz w:val="20"/>
          <w:szCs w:val="20"/>
          <w:color w:val="auto"/>
        </w:rPr>
      </w:pPr>
    </w:p>
    <w:p>
      <w:pPr>
        <w:ind w:right="40" w:firstLine="598"/>
        <w:spacing w:after="0" w:line="249" w:lineRule="auto"/>
        <w:rPr>
          <w:sz w:val="20"/>
          <w:szCs w:val="20"/>
          <w:color w:val="auto"/>
        </w:rPr>
      </w:pPr>
      <w:r>
        <w:rPr>
          <w:rFonts w:ascii="Arial" w:cs="Arial" w:eastAsia="Arial" w:hAnsi="Arial"/>
          <w:sz w:val="20"/>
          <w:szCs w:val="20"/>
          <w:color w:val="auto"/>
        </w:rPr>
        <w:t>The U.S. government and others have undertaken major reforms of the regulatory oversight structure of the financial services industry. M&amp;T has been subject to increased regulation of its industry as a result of certain and possible future initiatives. M&amp;T continues to expect scrutiny in the examination process and more aggressive enforcement of regulations on both the federal and state levels. Compliance with new regulations and supervisory initiatives could increase the Company’s costs, reduce its revenue and/or limit its ability to pursue certain desirable business opportunities.</w:t>
      </w:r>
    </w:p>
    <w:p>
      <w:pPr>
        <w:spacing w:after="0" w:line="18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360"/>
          </w:cols>
          <w:pgMar w:left="240" w:top="126" w:right="299" w:bottom="1440" w:gutter="0" w:footer="0" w:header="0"/>
        </w:sectPr>
      </w:pPr>
    </w:p>
    <w:bookmarkStart w:id="29" w:name="page30"/>
    <w:bookmarkEnd w:id="29"/>
    <w:p>
      <w:pPr>
        <w:ind w:right="100" w:firstLine="878"/>
        <w:spacing w:after="0" w:line="288" w:lineRule="auto"/>
        <w:rPr>
          <w:sz w:val="20"/>
          <w:szCs w:val="20"/>
          <w:color w:val="auto"/>
        </w:rPr>
      </w:pPr>
      <w:r>
        <w:rPr>
          <w:rFonts w:ascii="Arial" w:cs="Arial" w:eastAsia="Arial" w:hAnsi="Arial"/>
          <w:sz w:val="18"/>
          <w:szCs w:val="18"/>
          <w:color w:val="auto"/>
        </w:rPr>
        <w:t>Any new regulatory requirements or changes to existing requirements could require changes to the Company’s businesses, result in increased compliance costs and affect the profitability of such businesses. Additionally, such activity could affect the behaviors of third parties with which the Company deals in the ordinary course of business, such as rating agencies, insurance companies and investors. Heightened regulatory practices, requirements or expectations could affect the Company in substantial and unpredictable ways, and, in turn, could have a material adverse effect on the Company’s business, financial condition and results of operations.</w:t>
      </w:r>
    </w:p>
    <w:p>
      <w:pPr>
        <w:spacing w:after="0" w:line="256" w:lineRule="exact"/>
        <w:rPr>
          <w:sz w:val="20"/>
          <w:szCs w:val="20"/>
          <w:color w:val="auto"/>
        </w:rPr>
      </w:pPr>
    </w:p>
    <w:p>
      <w:pPr>
        <w:ind w:right="520"/>
        <w:spacing w:after="0" w:line="275" w:lineRule="auto"/>
        <w:rPr>
          <w:sz w:val="20"/>
          <w:szCs w:val="20"/>
          <w:color w:val="auto"/>
        </w:rPr>
      </w:pPr>
      <w:r>
        <w:rPr>
          <w:rFonts w:ascii="Arial" w:cs="Arial" w:eastAsia="Arial" w:hAnsi="Arial"/>
          <w:sz w:val="20"/>
          <w:szCs w:val="20"/>
          <w:i w:val="1"/>
          <w:iCs w:val="1"/>
          <w:color w:val="auto"/>
        </w:rPr>
        <w:t>Capital and liquidity standards adopted by the U.S. banking regulators have resulted in banks and bank holding companies needing to maintain more and higher quality capital and greater liquidity than has historically been the case.</w:t>
      </w:r>
    </w:p>
    <w:p>
      <w:pPr>
        <w:spacing w:after="0" w:line="51" w:lineRule="exact"/>
        <w:rPr>
          <w:sz w:val="20"/>
          <w:szCs w:val="20"/>
          <w:color w:val="auto"/>
        </w:rPr>
      </w:pPr>
    </w:p>
    <w:p>
      <w:pPr>
        <w:jc w:val="both"/>
        <w:ind w:right="60"/>
        <w:spacing w:after="0" w:line="251" w:lineRule="auto"/>
        <w:rPr>
          <w:sz w:val="20"/>
          <w:szCs w:val="20"/>
          <w:color w:val="auto"/>
        </w:rPr>
      </w:pPr>
      <w:r>
        <w:rPr>
          <w:rFonts w:ascii="Arial" w:cs="Arial" w:eastAsia="Arial" w:hAnsi="Arial"/>
          <w:sz w:val="20"/>
          <w:szCs w:val="20"/>
          <w:color w:val="auto"/>
        </w:rPr>
        <w:t>Capital standards imposed as a result of the Dodd-Frank Act and the U.S. Basel III-based capital rules have had a significant effect on banks and bank holding companies, including M&amp;T. The U.S. capital rules require bank holding companies and their bank subsidiaries to maintain substantially more capital, with a greater emphasis on common equity. For additional information, see “Capital Requirements” under Part I, Item 1 “Business.”</w:t>
      </w:r>
    </w:p>
    <w:p>
      <w:pPr>
        <w:spacing w:after="0" w:line="2" w:lineRule="exact"/>
        <w:rPr>
          <w:sz w:val="20"/>
          <w:szCs w:val="20"/>
          <w:color w:val="auto"/>
        </w:rPr>
      </w:pPr>
    </w:p>
    <w:p>
      <w:pPr>
        <w:ind w:right="200" w:firstLine="598"/>
        <w:spacing w:after="0" w:line="274" w:lineRule="auto"/>
        <w:rPr>
          <w:sz w:val="20"/>
          <w:szCs w:val="20"/>
          <w:color w:val="auto"/>
        </w:rPr>
      </w:pPr>
      <w:r>
        <w:rPr>
          <w:rFonts w:ascii="Arial" w:cs="Arial" w:eastAsia="Arial" w:hAnsi="Arial"/>
          <w:sz w:val="18"/>
          <w:szCs w:val="18"/>
          <w:color w:val="auto"/>
        </w:rPr>
        <w:t>The requirement to maintain more and higher quality capital, as well as greater liquidity than historically has been required, and generally increased regulatory scrutiny with respect to capital and liquidity levels, could limit the Company’s business activities, including lending, and its ability to expand, either organically or through acquisitions. It could also result in M&amp;T being required to take steps to increase its regulatory capital that may be dilutive to shareholders or limit its ability to pay dividends or otherwise return capital to shareholders, or sell or refrain from acquiring assets, the capital requirements for which are not justified by the assets’ underlying risks.</w:t>
      </w:r>
    </w:p>
    <w:p>
      <w:pPr>
        <w:spacing w:after="0" w:line="1" w:lineRule="exact"/>
        <w:rPr>
          <w:sz w:val="20"/>
          <w:szCs w:val="20"/>
          <w:color w:val="auto"/>
        </w:rPr>
      </w:pPr>
    </w:p>
    <w:p>
      <w:pPr>
        <w:ind w:right="40" w:firstLine="598"/>
        <w:spacing w:after="0" w:line="281" w:lineRule="auto"/>
        <w:rPr>
          <w:sz w:val="20"/>
          <w:szCs w:val="20"/>
          <w:color w:val="auto"/>
        </w:rPr>
      </w:pPr>
      <w:r>
        <w:rPr>
          <w:rFonts w:ascii="Arial" w:cs="Arial" w:eastAsia="Arial" w:hAnsi="Arial"/>
          <w:sz w:val="18"/>
          <w:szCs w:val="18"/>
          <w:color w:val="auto"/>
        </w:rPr>
        <w:t>In addition, the U.S. Basel III-based liquidity coverage ratio requirement and the liquidity-related provisions of the Federal Reserve’s liquidity-related enhanced prudential supervision requirements adopted pursuant to Section 165 of the Dodd-Frank Act require the Company to hold increased levels of unencumbered highly liquid investments, thereby reducing the Company’s ability to invest in other longer-term assets even if deemed more desirable from a balance sheet management perspective. Moreover, U.S. federal banking agencies have been taking into account expectations regarding the ability of banks to meet these requirements, including under stressed conditions, in approving actions that represent uses of capital, such as dividend increases, common stock share repurchases and acquisitions.</w:t>
      </w:r>
    </w:p>
    <w:p>
      <w:pPr>
        <w:spacing w:after="0" w:line="262" w:lineRule="exact"/>
        <w:rPr>
          <w:sz w:val="20"/>
          <w:szCs w:val="20"/>
          <w:color w:val="auto"/>
        </w:rPr>
      </w:pPr>
    </w:p>
    <w:p>
      <w:pPr>
        <w:spacing w:after="0" w:line="275" w:lineRule="auto"/>
        <w:rPr>
          <w:sz w:val="20"/>
          <w:szCs w:val="20"/>
          <w:color w:val="auto"/>
        </w:rPr>
      </w:pPr>
      <w:r>
        <w:rPr>
          <w:rFonts w:ascii="Arial" w:cs="Arial" w:eastAsia="Arial" w:hAnsi="Arial"/>
          <w:sz w:val="20"/>
          <w:szCs w:val="20"/>
          <w:i w:val="1"/>
          <w:iCs w:val="1"/>
          <w:color w:val="auto"/>
        </w:rPr>
        <w:t>M&amp;T’s ability to return capital to shareholders and to pay dividends on common stock may be adversely affected by market and other factors outside of its control and will depend, in part, on a review of its capital plan by the Federal Reserve.</w:t>
      </w:r>
    </w:p>
    <w:p>
      <w:pPr>
        <w:spacing w:after="0" w:line="51"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Any decision by M&amp;T to return capital to shareholders, whether through a common stock dividend or through a common stock share repurchase program, requires the approval of M&amp;T’s Board of Directors and depends in large part on receiving regulatory approval, including through the Federal Reserve’s CCAR process and the supervisory stress tests required under the Dodd-Frank Act whereby M&amp;T’s financial position is tested under assumed severely adverse economic conditions. Prior to the public disclosure of a BHC’s CCAR results, the Federal Reserve will provide the BHC with the results of its supervisory stress test and will offer a one-time opportunity for the BHC to reduce planned capital distributions through the submission of a revised capital plan. The Federal Reserve may object to any capital plan in which a BHC’s regulatory capital ratios inclusive of adjustments to planned capital distributions, if any, would not meet the minimum requirements throughout a nine-quarter period under severely adverse stress conditions. In January 2017, the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380"/>
          </w:cols>
          <w:pgMar w:left="240" w:top="231" w:right="279" w:bottom="1440" w:gutter="0" w:footer="0" w:header="0"/>
        </w:sectPr>
      </w:pPr>
    </w:p>
    <w:bookmarkStart w:id="30" w:name="page31"/>
    <w:bookmarkEnd w:id="30"/>
    <w:p>
      <w:pPr>
        <w:ind w:right="40"/>
        <w:spacing w:after="0" w:line="248" w:lineRule="auto"/>
        <w:rPr>
          <w:sz w:val="20"/>
          <w:szCs w:val="20"/>
          <w:color w:val="auto"/>
        </w:rPr>
      </w:pPr>
      <w:r>
        <w:rPr>
          <w:rFonts w:ascii="Arial" w:cs="Arial" w:eastAsia="Arial" w:hAnsi="Arial"/>
          <w:sz w:val="20"/>
          <w:szCs w:val="20"/>
          <w:color w:val="auto"/>
        </w:rPr>
        <w:t>Federal Reserve finalized a rule modifying the capital plan and stress testing rules for the 2017 cycle. The rule eliminated the qualitative component of CCAR for bank holding companies with total consolidated assets between $50 billion and $250 billion, such as M&amp;T. The qualitative assessment considered factors including the comprehensiveness of a BHC’s capital plan, the assumptions and analysis underlying the plan, and the extent to which the BHC had satisfied certain supervisory matters related to its processes, analyses, controls and governance. The Federal Reserve will continue to evaluate these factors through the regular supervisory process and targeted horizontal reviews of particular aspects of capital planning. If the Federal Reserve objects to M&amp;T’s capital plan, it could impose restrictions on M&amp;T’s ability to return capital to shareholders, including through paying dividends, entering into acquisitions or repurchasing its common stock, which in turn could negatively impact market and investor perceptions of M&amp;T. In June 2017, the Federal Reserve announced that it did not object to M&amp;T’s capital plan; however, M&amp;T cannot be certain that the Federal Reserve will not object to future capital plans submitted through the CCAR program.</w:t>
      </w:r>
    </w:p>
    <w:p>
      <w:pPr>
        <w:spacing w:after="0" w:line="7" w:lineRule="exact"/>
        <w:rPr>
          <w:sz w:val="20"/>
          <w:szCs w:val="20"/>
          <w:color w:val="auto"/>
        </w:rPr>
      </w:pPr>
    </w:p>
    <w:p>
      <w:pPr>
        <w:ind w:firstLine="598"/>
        <w:spacing w:after="0" w:line="247" w:lineRule="auto"/>
        <w:rPr>
          <w:sz w:val="20"/>
          <w:szCs w:val="20"/>
          <w:color w:val="auto"/>
        </w:rPr>
      </w:pPr>
      <w:r>
        <w:rPr>
          <w:rFonts w:ascii="Arial" w:cs="Arial" w:eastAsia="Arial" w:hAnsi="Arial"/>
          <w:sz w:val="20"/>
          <w:szCs w:val="20"/>
          <w:color w:val="auto"/>
        </w:rPr>
        <w:t>In addition, Federal Reserve capital planning and stress testing rules generally limit a BHC’s ability to make quarterly capital distributions – dividends and common stock share repurchases – if the amount of actual cumulative quarterly capital issuances of instruments that qualify as regulatory capital are less than the BHC had indicated in its submitted capital plan as to which it received a non-objection from the Federal Reserve. Under these rules, for example, if a BHC issued a smaller amount of additional common stock than it had stated in its capital plan, it would be required to reduce common dividends and/or the amount of common stock repurchases so that the dollar amount of capital distributions, net of the dollar amount of additional common stock issued (“net distributions”), is no greater than the dollar amount of net distributions relating to its common stock included in its capital plan, as measured on an aggregate basis beginning in the third quarter of the nine-quarter planning horizon through the end of the then current quarter. As such, M&amp;T’s ability to declare and pay dividends on its common stock, as well as the amount of such dividends, will depend, in part, on its ability to issue stock in accordance with its capital plan or to otherwise remain in compliance with its capital plan, which may be adversely affected by market and other factors outside of M&amp;T’s control.</w:t>
      </w:r>
    </w:p>
    <w:p>
      <w:pPr>
        <w:spacing w:after="0" w:line="29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The effect of resolution plan requirements may have a material adverse impact on M&amp;T.</w:t>
      </w:r>
    </w:p>
    <w:p>
      <w:pPr>
        <w:spacing w:after="0" w:line="112" w:lineRule="exact"/>
        <w:rPr>
          <w:sz w:val="20"/>
          <w:szCs w:val="20"/>
          <w:color w:val="auto"/>
        </w:rPr>
      </w:pPr>
    </w:p>
    <w:p>
      <w:pPr>
        <w:spacing w:after="0" w:line="261" w:lineRule="auto"/>
        <w:rPr>
          <w:sz w:val="20"/>
          <w:szCs w:val="20"/>
          <w:color w:val="auto"/>
        </w:rPr>
      </w:pPr>
      <w:r>
        <w:rPr>
          <w:rFonts w:ascii="Arial" w:cs="Arial" w:eastAsia="Arial" w:hAnsi="Arial"/>
          <w:sz w:val="19"/>
          <w:szCs w:val="19"/>
          <w:color w:val="auto"/>
        </w:rPr>
        <w:t>Bank holding companies with consolidated assets of $50 billion or more, such as M&amp;T, are required to report periodically to regulators a resolution plan for their rapid and orderly resolution in the event of material financial distress or failure. M&amp;T’s resolution plan must, among other things, ensure that its depository institution subsidiaries are adequately protected from risks arising from its other subsidiaries. The regulation adopted by the Federal Reserve and FDIC prescribes specific standards for the resolution plans, including requiring a strategic analysis of the plan’s components, a description of the range of specific actions the Company proposes to take in resolution, and a description of the Company’s organizational structure, material entities, core business lines, interconnections and interdependencies, and management information systems, among other elements. The most recent resolution plan for M&amp;T was filed in December 2017. In addition, insured depository institutions with $50 billion or more in total assets, such as M&amp;T Bank, are required to submit to the FDIC periodic plans for resolution in the event of the institution’s failure. M&amp;T Bank submitted its most recent resolution plan in December 2015, as required. The next resolution plan for M&amp;T Bank is required to be filed by July 1, 2018.</w:t>
      </w:r>
    </w:p>
    <w:p>
      <w:pPr>
        <w:spacing w:after="0" w:line="7" w:lineRule="exact"/>
        <w:rPr>
          <w:sz w:val="20"/>
          <w:szCs w:val="20"/>
          <w:color w:val="auto"/>
        </w:rPr>
      </w:pPr>
    </w:p>
    <w:p>
      <w:pPr>
        <w:jc w:val="both"/>
        <w:ind w:right="200" w:firstLine="878"/>
        <w:spacing w:after="0" w:line="251" w:lineRule="auto"/>
        <w:rPr>
          <w:sz w:val="20"/>
          <w:szCs w:val="20"/>
          <w:color w:val="auto"/>
        </w:rPr>
      </w:pPr>
      <w:r>
        <w:rPr>
          <w:rFonts w:ascii="Arial" w:cs="Arial" w:eastAsia="Arial" w:hAnsi="Arial"/>
          <w:sz w:val="20"/>
          <w:szCs w:val="20"/>
          <w:color w:val="auto"/>
        </w:rPr>
        <w:t>To address effectively any shortcomings in the Company’s resolution plan, the Federal Reserve and the FDIC could require the Company to change its business structure or dispose of businesses, which could have a material adverse effect on its liquidity and ability to pay dividends on its stock or interest and principal on its debt.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231" w:right="239" w:bottom="1440" w:gutter="0" w:footer="0" w:header="0"/>
        </w:sectPr>
      </w:pPr>
    </w:p>
    <w:bookmarkStart w:id="31" w:name="page32"/>
    <w:bookmarkEnd w:id="31"/>
    <w:p>
      <w:pPr>
        <w:ind w:right="240"/>
        <w:spacing w:after="0" w:line="275" w:lineRule="auto"/>
        <w:rPr>
          <w:sz w:val="20"/>
          <w:szCs w:val="20"/>
          <w:color w:val="auto"/>
        </w:rPr>
      </w:pPr>
      <w:r>
        <w:rPr>
          <w:rFonts w:ascii="Arial" w:cs="Arial" w:eastAsia="Arial" w:hAnsi="Arial"/>
          <w:sz w:val="20"/>
          <w:szCs w:val="20"/>
          <w:i w:val="1"/>
          <w:iCs w:val="1"/>
          <w:color w:val="auto"/>
        </w:rPr>
        <w:t>If an orderly liquidation of a systemically important BHC or non-bank financial company were triggered, M&amp;T could face assessments for the Orderly Liquidation Fund (“OLF”).</w:t>
      </w:r>
    </w:p>
    <w:p>
      <w:pPr>
        <w:spacing w:after="0" w:line="51"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color w:val="auto"/>
        </w:rPr>
        <w:t>The Dodd-Frank Act creates a mechanism, the OLF, for liquidation of systemically important bank holding companies and non-bank financial companies. The OLF is administered by the FDIC and is based on the FDIC’s bank resolution model. The Secretary of the U.S. Treasury may trigger a liquidation under this authority after consultation with the President of the U.S. and after receiving a recommendation from the boards of the FDIC and the Federal Reserve upon a two-thirds vote. Liquidation proceedings will be funded by the OLF, which will borrow from the U.S. Treasury and impose risk-based assessments on covered financial companies. Risk-based assessments would be first made on entities that received more in the resolution than they would have received in the liquidation to the extent of such excess, and second, if necessary, on, among others, bank holding companies with total consolidated assets of $50 billion or more, such as M&amp;T. Any such assessments may adversely affect the Company’s business, financial condition or results of operations.</w:t>
      </w: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Credit Risk</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Deteriorating credit quality could adversely impact the Company.</w:t>
      </w:r>
    </w:p>
    <w:p>
      <w:pPr>
        <w:spacing w:after="0" w:line="112" w:lineRule="exact"/>
        <w:rPr>
          <w:sz w:val="20"/>
          <w:szCs w:val="20"/>
          <w:color w:val="auto"/>
        </w:rPr>
      </w:pPr>
    </w:p>
    <w:p>
      <w:pPr>
        <w:ind w:right="140"/>
        <w:spacing w:after="0" w:line="253" w:lineRule="auto"/>
        <w:rPr>
          <w:sz w:val="20"/>
          <w:szCs w:val="20"/>
          <w:color w:val="auto"/>
        </w:rPr>
      </w:pPr>
      <w:r>
        <w:rPr>
          <w:rFonts w:ascii="Arial" w:cs="Arial" w:eastAsia="Arial" w:hAnsi="Arial"/>
          <w:sz w:val="20"/>
          <w:szCs w:val="20"/>
          <w:color w:val="auto"/>
        </w:rPr>
        <w:t>As a lender, the Company is exposed to the risk that customers will be unable to repay their loans in accordance with the terms of the agreements, and that any collateral securing the loans may be insufficient to assure full repayment. Credit losses are inherent in the business of making loans.</w:t>
      </w:r>
    </w:p>
    <w:p>
      <w:pPr>
        <w:ind w:firstLine="598"/>
        <w:spacing w:after="0" w:line="259" w:lineRule="auto"/>
        <w:rPr>
          <w:sz w:val="20"/>
          <w:szCs w:val="20"/>
          <w:color w:val="auto"/>
        </w:rPr>
      </w:pPr>
      <w:r>
        <w:rPr>
          <w:rFonts w:ascii="Arial" w:cs="Arial" w:eastAsia="Arial" w:hAnsi="Arial"/>
          <w:sz w:val="19"/>
          <w:szCs w:val="19"/>
          <w:color w:val="auto"/>
        </w:rPr>
        <w:t>Factors that influence the Company’s credit loss experience include overall economic conditions affecting businesses and consumers, generally, but also residential and commercial real estate valuations, in particular, given the size of the Company’s real estate loan portfolios. Factors that can influence the Company’s credit loss experience include: (i) the impact of residential real estate values on loans to residential real estate builders and developers and other loans secured by residential real estate; (ii) the concentrations of commercial real estate loans in the Company’s loan portfolio; (iii) the amount of commercial and industrial loans to businesses in areas of New York State outside of the New York City area and in central Pennsylvania that have historically experienced less economic growth and vitality than many other regions of the country; (iv) the repayment performance associated with first and second lien loans secured by residential real estate; and (v) the size of the Company’s portfolio of loans to individual consumers, which historically have experienced higher net charge-offs as a percentage of loans outstanding than loans to other types of borrowers.</w:t>
      </w:r>
    </w:p>
    <w:p>
      <w:pPr>
        <w:spacing w:after="0" w:line="6" w:lineRule="exact"/>
        <w:rPr>
          <w:sz w:val="20"/>
          <w:szCs w:val="20"/>
          <w:color w:val="auto"/>
        </w:rPr>
      </w:pPr>
    </w:p>
    <w:p>
      <w:pPr>
        <w:ind w:right="240" w:firstLine="598"/>
        <w:spacing w:after="0" w:line="259" w:lineRule="auto"/>
        <w:rPr>
          <w:sz w:val="20"/>
          <w:szCs w:val="20"/>
          <w:color w:val="auto"/>
        </w:rPr>
      </w:pPr>
      <w:r>
        <w:rPr>
          <w:rFonts w:ascii="Arial" w:cs="Arial" w:eastAsia="Arial" w:hAnsi="Arial"/>
          <w:sz w:val="19"/>
          <w:szCs w:val="19"/>
          <w:color w:val="auto"/>
        </w:rPr>
        <w:t>Commercial real estate valuations can be highly subjective as they are based upon many assumptions. Such valuations can be significantly affected over relatively short periods of time by changes in business climate, economic conditions, interest rates and, in many cases, the results of operations of businesses and other occupants of the real property. Similarly, residential real estate valuations can be impacted by housing trends, the availability of financing at reasonable interest rates, governmental policy regarding housing and housing finance, and general economic conditions affecting consumers.</w:t>
      </w:r>
    </w:p>
    <w:p>
      <w:pPr>
        <w:spacing w:after="0" w:line="4" w:lineRule="exact"/>
        <w:rPr>
          <w:sz w:val="20"/>
          <w:szCs w:val="20"/>
          <w:color w:val="auto"/>
        </w:rPr>
      </w:pPr>
    </w:p>
    <w:p>
      <w:pPr>
        <w:ind w:right="40" w:firstLine="598"/>
        <w:spacing w:after="0" w:line="249" w:lineRule="auto"/>
        <w:rPr>
          <w:sz w:val="20"/>
          <w:szCs w:val="20"/>
          <w:color w:val="auto"/>
        </w:rPr>
      </w:pPr>
      <w:r>
        <w:rPr>
          <w:rFonts w:ascii="Arial" w:cs="Arial" w:eastAsia="Arial" w:hAnsi="Arial"/>
          <w:sz w:val="20"/>
          <w:szCs w:val="20"/>
          <w:color w:val="auto"/>
        </w:rPr>
        <w:t>The Company maintains an allowance for credit losses which represents, in management’s judgment, the amount of losses inherent in the loan and lease portfolio. The allowance is determined by management’s evaluation of the loan and lease portfolio based on such factors as the differing economic risks associated with each loan category, the current financial condition of specific borrowers, the economic environment in which borrowers operate, the level of delinquent loans, the value of any collateral and, where applicable, the existence of any guarantees or indemnifications.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sectPr>
      </w:pPr>
    </w:p>
    <w:bookmarkStart w:id="32" w:name="page33"/>
    <w:bookmarkEnd w:id="32"/>
    <w:p>
      <w:pPr>
        <w:ind w:right="60"/>
        <w:spacing w:after="0" w:line="256" w:lineRule="auto"/>
        <w:rPr>
          <w:sz w:val="20"/>
          <w:szCs w:val="20"/>
          <w:color w:val="auto"/>
        </w:rPr>
      </w:pPr>
      <w:r>
        <w:rPr>
          <w:rFonts w:ascii="Arial" w:cs="Arial" w:eastAsia="Arial" w:hAnsi="Arial"/>
          <w:sz w:val="20"/>
          <w:szCs w:val="20"/>
          <w:color w:val="auto"/>
        </w:rPr>
        <w:t>The effects of probable decreases in expected principal cash flows on loans acquired at a discount are also considered in the establishment of the allowance for credit losses.</w:t>
      </w:r>
    </w:p>
    <w:p>
      <w:pPr>
        <w:ind w:right="160" w:firstLine="598"/>
        <w:spacing w:after="0" w:line="250" w:lineRule="auto"/>
        <w:rPr>
          <w:sz w:val="20"/>
          <w:szCs w:val="20"/>
          <w:color w:val="auto"/>
        </w:rPr>
      </w:pPr>
      <w:r>
        <w:rPr>
          <w:rFonts w:ascii="Arial" w:cs="Arial" w:eastAsia="Arial" w:hAnsi="Arial"/>
          <w:sz w:val="20"/>
          <w:szCs w:val="20"/>
          <w:color w:val="auto"/>
        </w:rPr>
        <w:t>Management believes that the allowance for credit losses appropriately reflects credit losses inherent in the loan and lease portfolio. However, there is no assurance that the allowance will be sufficient to cover such credit losses, particularly if housing and employment conditions worsen or the economy experiences a downturn. In those cases, the Company may be required to increase the allowance through an increase in the provision for credit losses, which would reduce net income.</w:t>
      </w:r>
    </w:p>
    <w:p>
      <w:pPr>
        <w:spacing w:after="0" w:line="31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The Company may be adversely affected by the soundness of other financial institutions.</w:t>
      </w:r>
    </w:p>
    <w:p>
      <w:pPr>
        <w:spacing w:after="0" w:line="112" w:lineRule="exact"/>
        <w:rPr>
          <w:sz w:val="20"/>
          <w:szCs w:val="20"/>
          <w:color w:val="auto"/>
        </w:rPr>
      </w:pPr>
    </w:p>
    <w:p>
      <w:pPr>
        <w:spacing w:after="0" w:line="251" w:lineRule="auto"/>
        <w:rPr>
          <w:sz w:val="20"/>
          <w:szCs w:val="20"/>
          <w:color w:val="auto"/>
        </w:rPr>
      </w:pPr>
      <w:r>
        <w:rPr>
          <w:rFonts w:ascii="Arial" w:cs="Arial" w:eastAsia="Arial" w:hAnsi="Arial"/>
          <w:sz w:val="20"/>
          <w:szCs w:val="20"/>
          <w:color w:val="auto"/>
        </w:rPr>
        <w:t>Financial services institutions are interrelated as a result of trading, clearing, counterparty, or other relationships. The Company has exposure to many different industries and counterparties, and routinely executes transactions with counterparties in the financial services industry, including commercial banks, brokers and dealers, investment banks, and other institutional clients. Many of these transactions expose the Company to credit risk in the event of a default by a counterparty or client. In addition, the Company’s credit risk may be exacerbated when the collateral held by the Company cannot be realized or is liquidated at prices not sufficient to recover the full amount of the credit or derivative exposure due to the Company. Any such losses could have a material adverse effect on the Company’s financial condition and results of operations.</w:t>
      </w:r>
    </w:p>
    <w:p>
      <w:pPr>
        <w:spacing w:after="0" w:line="28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Liquidity Risk</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The Company must maintain adequate sources of funding and liquidity.</w:t>
      </w:r>
    </w:p>
    <w:p>
      <w:pPr>
        <w:spacing w:after="0" w:line="112" w:lineRule="exact"/>
        <w:rPr>
          <w:sz w:val="20"/>
          <w:szCs w:val="20"/>
          <w:color w:val="auto"/>
        </w:rPr>
      </w:pPr>
    </w:p>
    <w:p>
      <w:pPr>
        <w:ind w:right="40"/>
        <w:spacing w:after="0" w:line="263" w:lineRule="auto"/>
        <w:rPr>
          <w:sz w:val="20"/>
          <w:szCs w:val="20"/>
          <w:color w:val="auto"/>
        </w:rPr>
      </w:pPr>
      <w:r>
        <w:rPr>
          <w:rFonts w:ascii="Arial" w:cs="Arial" w:eastAsia="Arial" w:hAnsi="Arial"/>
          <w:sz w:val="19"/>
          <w:szCs w:val="19"/>
          <w:color w:val="auto"/>
        </w:rPr>
        <w:t>The Company must maintain adequate funding sources in the normal course of business to support its operations and fund outstanding liabilities, as well as meet regulatory expectations. The Company primarily relies on deposits to be a low cost and stable source of funding for the loans it makes and the operations of its business. Core customer deposits, which include noninterest-bearing deposits, interest-bearing transaction accounts, savings deposits and time deposits of $250,000 or less, have historically provided the Company with a sizeable source of relatively stable and low-cost funds. In addition to customer deposits, sources of liquidity include borrowings from third party banks, securities dealers, various Federal Home Loan Banks and the Federal Reserve Bank of New York.</w:t>
      </w:r>
    </w:p>
    <w:p>
      <w:pPr>
        <w:ind w:firstLine="598"/>
        <w:spacing w:after="0" w:line="261" w:lineRule="auto"/>
        <w:rPr>
          <w:sz w:val="20"/>
          <w:szCs w:val="20"/>
          <w:color w:val="auto"/>
        </w:rPr>
      </w:pPr>
      <w:r>
        <w:rPr>
          <w:rFonts w:ascii="Arial" w:cs="Arial" w:eastAsia="Arial" w:hAnsi="Arial"/>
          <w:sz w:val="19"/>
          <w:szCs w:val="19"/>
          <w:color w:val="auto"/>
        </w:rPr>
        <w:t>The Company’s liquidity and ability to fund and operate the business could be materially adversely affected by a variety of conditions and factors, including financial and credit market disruptions and volatility or a lack of market or customer confidence in financial markets in general, which may result in a loss of customer deposits or outflows of cash or collateral and/or ability to access capital markets on favorable terms. Other conditions and factors that could materially adversely affect the Company’s liquidity and funding include a lack of market or customer confidence in, or negative news about, the Company or the financial services industry generally which also may result in a loss of deposits and/or negatively affect the ability to access the capital markets; the loss of customer deposits to alternative investments; inability to sell or securitize loans or other assets; and downgrades in one or more of the Company’s credit ratings. A downgrade in the Company’s credit ratings, which could result from general industry-wide or regulatory factors not solely related to the Company, could adversely affect the Company’s ability to borrow funds and raise the cost of borrowings substantially and could cause creditors and business counterparties to raise collateral requirements or take other actions that could adversely affect M&amp;T’s ability to raise capital. Many of the above conditions and factors may be caused by events over which M&amp;T has little or no control. There can be no assurance that significant disruption and volatility in the financial markets will not occur in the future.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33" w:name="page34"/>
    <w:bookmarkEnd w:id="33"/>
    <w:p>
      <w:pPr>
        <w:ind w:right="420" w:firstLine="598"/>
        <w:spacing w:after="0" w:line="253" w:lineRule="auto"/>
        <w:rPr>
          <w:sz w:val="20"/>
          <w:szCs w:val="20"/>
          <w:color w:val="auto"/>
        </w:rPr>
      </w:pPr>
      <w:r>
        <w:rPr>
          <w:rFonts w:ascii="Arial" w:cs="Arial" w:eastAsia="Arial" w:hAnsi="Arial"/>
          <w:sz w:val="20"/>
          <w:szCs w:val="20"/>
          <w:color w:val="auto"/>
        </w:rPr>
        <w:t>Recent regulatory changes relating to liquidity and risk management have also impacted the Company’s results of operations and competitive position. These regulations address, among other matters, liquidity stress testing, minimum liquidity requirements and restrictions on short-term debt issued by top-tier holding companies.</w:t>
      </w:r>
    </w:p>
    <w:p>
      <w:pPr>
        <w:ind w:firstLine="598"/>
        <w:spacing w:after="0" w:line="251" w:lineRule="auto"/>
        <w:rPr>
          <w:sz w:val="20"/>
          <w:szCs w:val="20"/>
          <w:color w:val="auto"/>
        </w:rPr>
      </w:pPr>
      <w:r>
        <w:rPr>
          <w:rFonts w:ascii="Arial" w:cs="Arial" w:eastAsia="Arial" w:hAnsi="Arial"/>
          <w:sz w:val="20"/>
          <w:szCs w:val="20"/>
          <w:color w:val="auto"/>
        </w:rPr>
        <w:t>If the Company is unable to continue to fund assets through customer bank deposits or access funding sources on favorable terms or if the Company suffers an increase in borrowing costs or otherwise fails to manage liquidity effectively, the Company’s liquidity, operating margins, financial condition and results of operations may be materially adversely affected.</w:t>
      </w: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M&amp;T relies on dividends from its subsidiaries for its liquidity.</w:t>
      </w:r>
    </w:p>
    <w:p>
      <w:pPr>
        <w:spacing w:after="0" w:line="112" w:lineRule="exact"/>
        <w:rPr>
          <w:sz w:val="20"/>
          <w:szCs w:val="20"/>
          <w:color w:val="auto"/>
        </w:rPr>
      </w:pPr>
    </w:p>
    <w:p>
      <w:pPr>
        <w:spacing w:after="0" w:line="249" w:lineRule="auto"/>
        <w:rPr>
          <w:sz w:val="20"/>
          <w:szCs w:val="20"/>
          <w:color w:val="auto"/>
        </w:rPr>
      </w:pPr>
      <w:r>
        <w:rPr>
          <w:rFonts w:ascii="Arial" w:cs="Arial" w:eastAsia="Arial" w:hAnsi="Arial"/>
          <w:sz w:val="20"/>
          <w:szCs w:val="20"/>
          <w:color w:val="auto"/>
        </w:rPr>
        <w:t>M&amp;T is a separate and distinct legal entity from its subsidiaries. M&amp;T typically receives substantially all of its revenue from subsidiary dividends. These dividends are the principal source of funds to pay dividends on M&amp;T stock and interest and principal on its debt. Various federal and/or state laws and regulations, as well as regulatory expectations, limit the amount of dividends that M&amp;T’s banking subsidiaries and certain non-bank subsidiaries may pay. Regulatory scrutiny of capital levels at bank holding companies and insured depository institution subsidiaries has increased in recent years and has resulted in increased regulatory focus on all aspects of capital planning, including dividends and other distributions to shareholders of banks, such as parent bank holding companies. See “Item 1. Business — Distributions” for a discussion of regulatory and other restrictions on dividend declarations. Also, M&amp;T’s right to participate in a distribution of assets upon a subsidiary’s liquidation or reorganization is subject to the prior claims of that subsidiary’s creditors. Limitations on M&amp;T’s ability to receive dividends from its subsidiaries could have a material adverse effect on its liquidity and ability to pay dividends on its stock or interest and principal on its debt.</w:t>
      </w:r>
    </w:p>
    <w:p>
      <w:pPr>
        <w:spacing w:after="0" w:line="29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Strategic Risk</w:t>
      </w:r>
    </w:p>
    <w:p>
      <w:pPr>
        <w:spacing w:after="0" w:line="125" w:lineRule="exact"/>
        <w:rPr>
          <w:sz w:val="20"/>
          <w:szCs w:val="20"/>
          <w:color w:val="auto"/>
        </w:rPr>
      </w:pPr>
    </w:p>
    <w:p>
      <w:pPr>
        <w:spacing w:after="0" w:line="275" w:lineRule="auto"/>
        <w:rPr>
          <w:sz w:val="20"/>
          <w:szCs w:val="20"/>
          <w:color w:val="auto"/>
        </w:rPr>
      </w:pPr>
      <w:r>
        <w:rPr>
          <w:rFonts w:ascii="Arial" w:cs="Arial" w:eastAsia="Arial" w:hAnsi="Arial"/>
          <w:sz w:val="20"/>
          <w:szCs w:val="20"/>
          <w:i w:val="1"/>
          <w:iCs w:val="1"/>
          <w:color w:val="auto"/>
        </w:rPr>
        <w:t>The financial services industry is highly competitive and creates competitive pressures that could adversely affect the Company’s revenue and profitability.</w:t>
      </w:r>
    </w:p>
    <w:p>
      <w:pPr>
        <w:spacing w:after="0" w:line="51" w:lineRule="exact"/>
        <w:rPr>
          <w:sz w:val="20"/>
          <w:szCs w:val="20"/>
          <w:color w:val="auto"/>
        </w:rPr>
      </w:pPr>
    </w:p>
    <w:p>
      <w:pPr>
        <w:spacing w:after="0" w:line="279" w:lineRule="auto"/>
        <w:rPr>
          <w:sz w:val="20"/>
          <w:szCs w:val="20"/>
          <w:color w:val="auto"/>
        </w:rPr>
      </w:pPr>
      <w:r>
        <w:rPr>
          <w:rFonts w:ascii="Arial" w:cs="Arial" w:eastAsia="Arial" w:hAnsi="Arial"/>
          <w:sz w:val="18"/>
          <w:szCs w:val="18"/>
          <w:color w:val="auto"/>
        </w:rPr>
        <w:t>The financial services industry in which the Company operates is highly competitive. The Company competes not only with commercial and other banks and thrifts, but also with insurance companies, mutual funds, hedge funds, securities brokerage firms and other companies offering financial services in the U.S., globally and over the Internet. Some of the Company’s non-bank competitors are not subject to the same extensive regulations the Company and its subsidiaries are, and may have greater flexibility in competing for business. In particular, the activity and prominence of so-called marketplace lenders and other technological financial services companies have grown significantly in recent years and is expected to continue growing. The Company competes on the basis of several factors, including capital, access to capital, revenue generation, products, services, transaction execution, innovation, reputation and price. Over time, certain sectors of the financial services industry have become more concentrated, as institutions involved in a broad range of financial services have been acquired by or merged into other firms. These developments could result in the Company’s competitors gaining greater capital and other resources, such as a broader range of products and services and geographic diversity. The Company may experience pricing pressures as a result of these factors and as some of its competitors seek to increase market share by reducing prices or paying higher rates of interest on deposits. Finally, technological change is influencing how individuals and firms conduct their financial affairs and changing the delivery channels for financial</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34" w:name="page35"/>
    <w:bookmarkEnd w:id="34"/>
    <w:p>
      <w:pPr>
        <w:ind w:right="460"/>
        <w:spacing w:after="0" w:line="275" w:lineRule="auto"/>
        <w:rPr>
          <w:sz w:val="20"/>
          <w:szCs w:val="20"/>
          <w:color w:val="auto"/>
        </w:rPr>
      </w:pPr>
      <w:r>
        <w:rPr>
          <w:rFonts w:ascii="Arial" w:cs="Arial" w:eastAsia="Arial" w:hAnsi="Arial"/>
          <w:sz w:val="20"/>
          <w:szCs w:val="20"/>
          <w:color w:val="auto"/>
        </w:rPr>
        <w:t>services, with the result that the Company may have to contend with a broader range of competitors including many that are not located within the geographic footprint of its banking office network.</w:t>
      </w:r>
    </w:p>
    <w:p>
      <w:pPr>
        <w:spacing w:after="0" w:line="26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Operational Risk</w:t>
      </w:r>
    </w:p>
    <w:p>
      <w:pPr>
        <w:spacing w:after="0" w:line="125" w:lineRule="exact"/>
        <w:rPr>
          <w:sz w:val="20"/>
          <w:szCs w:val="20"/>
          <w:color w:val="auto"/>
        </w:rPr>
      </w:pPr>
    </w:p>
    <w:p>
      <w:pPr>
        <w:ind w:right="280"/>
        <w:spacing w:after="0" w:line="275" w:lineRule="auto"/>
        <w:rPr>
          <w:sz w:val="20"/>
          <w:szCs w:val="20"/>
          <w:color w:val="auto"/>
        </w:rPr>
      </w:pPr>
      <w:r>
        <w:rPr>
          <w:rFonts w:ascii="Arial" w:cs="Arial" w:eastAsia="Arial" w:hAnsi="Arial"/>
          <w:sz w:val="20"/>
          <w:szCs w:val="20"/>
          <w:i w:val="1"/>
          <w:iCs w:val="1"/>
          <w:color w:val="auto"/>
        </w:rPr>
        <w:t>The Company is subject to operational risk which could adversely affect the Company’s business and reputation and create material legal and financial exposure.</w:t>
      </w:r>
    </w:p>
    <w:p>
      <w:pPr>
        <w:spacing w:after="0" w:line="51" w:lineRule="exact"/>
        <w:rPr>
          <w:sz w:val="20"/>
          <w:szCs w:val="20"/>
          <w:color w:val="auto"/>
        </w:rPr>
      </w:pPr>
    </w:p>
    <w:p>
      <w:pPr>
        <w:spacing w:after="0" w:line="279" w:lineRule="auto"/>
        <w:rPr>
          <w:sz w:val="20"/>
          <w:szCs w:val="20"/>
          <w:color w:val="auto"/>
        </w:rPr>
      </w:pPr>
      <w:r>
        <w:rPr>
          <w:rFonts w:ascii="Arial" w:cs="Arial" w:eastAsia="Arial" w:hAnsi="Arial"/>
          <w:sz w:val="18"/>
          <w:szCs w:val="18"/>
          <w:color w:val="auto"/>
        </w:rPr>
        <w:t>Like all businesses, the Company is subject to operational risk, which represents the risk of loss resulting from human error, inadequate or failed internal processes and systems, and external events. Operational risk also encompasses reputational risk and compliance and legal risk, which is the risk of loss from violations of, or noncompliance with, laws, rules, regulations, prescribed practices or ethical standards, as well as the risk of noncompliance with contractual and other obligations. The Company is also exposed to operational risk through outsourcing arrangements, and the effect that changes in circumstances or capabilities of its outsourcing vendors can have on the Company’s ability to continue to perform operational functions necessary to its business. In addition, along with other participants in the financial services industry, the Company frequently attempts to introduce new technology-driven products and services that are aimed at allowing the Company to better serve customers and to reduce costs. The Company may not be able to effectively implement new technology-driven products and services that allow it to remain competitive or be successful in marketing these products and services to its customers. Although the Company seeks to mitigate operational risk through a system of internal controls that are reviewed and updated, no system of controls, however well designed and maintained, is infallible. Control weaknesses or failures or other operational risks could result in charges, increased operational costs, harm to the Company’s reputation or foregone business opportunities.</w:t>
      </w: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Changes in accounting standards could impact the Company’s financial condition and results of operations.</w:t>
      </w:r>
    </w:p>
    <w:p>
      <w:pPr>
        <w:spacing w:after="0" w:line="112" w:lineRule="exact"/>
        <w:rPr>
          <w:sz w:val="20"/>
          <w:szCs w:val="20"/>
          <w:color w:val="auto"/>
        </w:rPr>
      </w:pPr>
    </w:p>
    <w:p>
      <w:pPr>
        <w:ind w:right="40"/>
        <w:spacing w:after="0" w:line="253" w:lineRule="auto"/>
        <w:rPr>
          <w:sz w:val="20"/>
          <w:szCs w:val="20"/>
          <w:color w:val="auto"/>
        </w:rPr>
      </w:pPr>
      <w:r>
        <w:rPr>
          <w:rFonts w:ascii="Arial" w:cs="Arial" w:eastAsia="Arial" w:hAnsi="Arial"/>
          <w:sz w:val="20"/>
          <w:szCs w:val="20"/>
          <w:color w:val="auto"/>
        </w:rPr>
        <w:t>The accounting standard setters, including the Financial Accounting Standards Board (“FASB”), the SEC and other regulatory bodies, periodically change the financial accounting and reporting standards that govern the preparation of the Company’s consolidated financial statements. These changes can be difficult to predict and can materially impact how the Company records and reports its financial condition and results of operations. In some cases, the Company could be required to apply a new or revised standard retroactively, which would result in the restating of the Company’s prior period financial statements.</w:t>
      </w:r>
    </w:p>
    <w:p>
      <w:pPr>
        <w:spacing w:after="0" w:line="286" w:lineRule="exact"/>
        <w:rPr>
          <w:sz w:val="20"/>
          <w:szCs w:val="20"/>
          <w:color w:val="auto"/>
        </w:rPr>
      </w:pPr>
    </w:p>
    <w:p>
      <w:pPr>
        <w:ind w:right="220"/>
        <w:spacing w:after="0" w:line="275" w:lineRule="auto"/>
        <w:rPr>
          <w:sz w:val="20"/>
          <w:szCs w:val="20"/>
          <w:color w:val="auto"/>
        </w:rPr>
      </w:pPr>
      <w:r>
        <w:rPr>
          <w:rFonts w:ascii="Arial" w:cs="Arial" w:eastAsia="Arial" w:hAnsi="Arial"/>
          <w:sz w:val="20"/>
          <w:szCs w:val="20"/>
          <w:i w:val="1"/>
          <w:iCs w:val="1"/>
          <w:color w:val="auto"/>
        </w:rPr>
        <w:t>M&amp;T’s accounting policies and processes are critical to the reporting of the Company’s financial condition and results of operations. They require management to make estimates about matters that are uncertain.</w:t>
      </w:r>
    </w:p>
    <w:p>
      <w:pPr>
        <w:spacing w:after="0" w:line="51" w:lineRule="exact"/>
        <w:rPr>
          <w:sz w:val="20"/>
          <w:szCs w:val="20"/>
          <w:color w:val="auto"/>
        </w:rPr>
      </w:pPr>
    </w:p>
    <w:p>
      <w:pPr>
        <w:ind w:right="60"/>
        <w:spacing w:after="0" w:line="266" w:lineRule="auto"/>
        <w:rPr>
          <w:sz w:val="20"/>
          <w:szCs w:val="20"/>
          <w:color w:val="auto"/>
        </w:rPr>
      </w:pPr>
      <w:r>
        <w:rPr>
          <w:rFonts w:ascii="Arial" w:cs="Arial" w:eastAsia="Arial" w:hAnsi="Arial"/>
          <w:sz w:val="19"/>
          <w:szCs w:val="19"/>
          <w:color w:val="auto"/>
        </w:rPr>
        <w:t>Accounting policies and processes are fundamental to the Company’s reported financial condition and results of operations. Some of these policies require use of estimates and assumptions that may affect the reported amounts of assets or liabilities and financial results. Several of M&amp;T’s accounting policies are critical because they require management to make difficult, subjective and complex judgments about matters that are inherently uncertain and because it is likely that materially different amounts would be reported under different conditions or using different assumptions. Pursuant to generally accepted accounting principles, management is required to make certain assumptions and estimates in preparing the Company’s financial statements. If assumptions or estimates underlying the Company’s financial statements are incorrect, the Company may experience material losses.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00"/>
          </w:cols>
          <w:pgMar w:left="240" w:top="231" w:right="259" w:bottom="1440" w:gutter="0" w:footer="0" w:header="0"/>
        </w:sectPr>
      </w:pPr>
    </w:p>
    <w:bookmarkStart w:id="35" w:name="page36"/>
    <w:bookmarkEnd w:id="35"/>
    <w:p>
      <w:pPr>
        <w:ind w:right="20" w:firstLine="598"/>
        <w:spacing w:after="0" w:line="264" w:lineRule="auto"/>
        <w:rPr>
          <w:sz w:val="20"/>
          <w:szCs w:val="20"/>
          <w:color w:val="auto"/>
        </w:rPr>
      </w:pPr>
      <w:r>
        <w:rPr>
          <w:rFonts w:ascii="Arial" w:cs="Arial" w:eastAsia="Arial" w:hAnsi="Arial"/>
          <w:sz w:val="19"/>
          <w:szCs w:val="19"/>
          <w:color w:val="auto"/>
        </w:rPr>
        <w:t>Management has identified certain accounting policies as being critical because they require management’s judgment to ascertain the valuations of assets, liabilities, commitments and contingencies. A variety of factors could affect the ultimate value that is obtained either when earning income, recognizing an expense, recovering an asset, valuing an asset or liability, or recognizing or reducing a liability. M&amp;T has established detailed policies and control procedures that are intended to ensure these critical accounting estimates and judgments are well controlled and applied consistently. In addition, the policies and procedures are intended to ensure that the process for changing methodologies occurs in an appropriate manner. Because of the uncertainty surrounding judgments and the estimates pertaining to these matters, M&amp;T could be required to adjust accounting policies or restate prior period financial statements if those judgments and estimates prove to be incorrect. For additional information, see Part II, Item 7, Management’s Discussion and Analysis of Financial Condition and Results of Operations, “Critical Accounting Estimates” and Note 1, “Significant Accounting Policies,” of Notes to Financial Statements in Part II, Item 8.</w:t>
      </w:r>
    </w:p>
    <w:p>
      <w:pPr>
        <w:spacing w:after="0" w:line="277" w:lineRule="exact"/>
        <w:rPr>
          <w:sz w:val="20"/>
          <w:szCs w:val="20"/>
          <w:color w:val="auto"/>
        </w:rPr>
      </w:pPr>
    </w:p>
    <w:p>
      <w:pPr>
        <w:ind w:right="580"/>
        <w:spacing w:after="0" w:line="275" w:lineRule="auto"/>
        <w:rPr>
          <w:sz w:val="20"/>
          <w:szCs w:val="20"/>
          <w:color w:val="auto"/>
        </w:rPr>
      </w:pPr>
      <w:r>
        <w:rPr>
          <w:rFonts w:ascii="Arial" w:cs="Arial" w:eastAsia="Arial" w:hAnsi="Arial"/>
          <w:sz w:val="20"/>
          <w:szCs w:val="20"/>
          <w:i w:val="1"/>
          <w:iCs w:val="1"/>
          <w:color w:val="auto"/>
        </w:rPr>
        <w:t>Difficulties in combining the operations of acquired entities with the Company’s own operations may prevent M&amp;T from achieving the expected benefits from its acquisitions.</w:t>
      </w:r>
    </w:p>
    <w:p>
      <w:pPr>
        <w:spacing w:after="0" w:line="51" w:lineRule="exact"/>
        <w:rPr>
          <w:sz w:val="20"/>
          <w:szCs w:val="20"/>
          <w:color w:val="auto"/>
        </w:rPr>
      </w:pPr>
    </w:p>
    <w:p>
      <w:pPr>
        <w:ind w:right="260"/>
        <w:spacing w:after="0" w:line="263" w:lineRule="auto"/>
        <w:rPr>
          <w:sz w:val="20"/>
          <w:szCs w:val="20"/>
          <w:color w:val="auto"/>
        </w:rPr>
      </w:pPr>
      <w:r>
        <w:rPr>
          <w:rFonts w:ascii="Arial" w:cs="Arial" w:eastAsia="Arial" w:hAnsi="Arial"/>
          <w:sz w:val="19"/>
          <w:szCs w:val="19"/>
          <w:color w:val="auto"/>
        </w:rPr>
        <w:t>M&amp;T has expanded its business through past acquisitions and may do so in the future. Inherent uncertainties exist when integrating the operations of an acquired entity. M&amp;T may not be able to fully achieve its strategic objectives and planned operating efficiencies in an acquisition. In addition, the markets and industries in which the Company and its actual or potential acquisition targets operate are highly competitive. The Company may lose customers or fail to retain the customers of acquired entities as a result of an acquisition. Acquisition and integration activities require M&amp;T to devote substantial time and resources, and as a result M&amp;T may not be able to pursue other business opportunities while integrating acquired entities with the Company.</w:t>
      </w:r>
    </w:p>
    <w:p>
      <w:pPr>
        <w:ind w:right="40" w:firstLine="598"/>
        <w:spacing w:after="0" w:line="251" w:lineRule="auto"/>
        <w:rPr>
          <w:sz w:val="20"/>
          <w:szCs w:val="20"/>
          <w:color w:val="auto"/>
        </w:rPr>
      </w:pPr>
      <w:r>
        <w:rPr>
          <w:rFonts w:ascii="Arial" w:cs="Arial" w:eastAsia="Arial" w:hAnsi="Arial"/>
          <w:sz w:val="20"/>
          <w:szCs w:val="20"/>
          <w:color w:val="auto"/>
        </w:rPr>
        <w:t>After completing an acquisition, the Company may not realize the expected benefits of the acquisition due to lower financial results pertaining to the acquired entity. For example, the Company could experience higher credit losses, incur higher operating expenses or realize less revenue than originally anticipated related to an acquired entity.</w:t>
      </w: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M&amp;T could suffer if it fails to attract and retain skilled personnel.</w:t>
      </w:r>
    </w:p>
    <w:p>
      <w:pPr>
        <w:spacing w:after="0" w:line="112" w:lineRule="exact"/>
        <w:rPr>
          <w:sz w:val="20"/>
          <w:szCs w:val="20"/>
          <w:color w:val="auto"/>
        </w:rPr>
      </w:pPr>
    </w:p>
    <w:p>
      <w:pPr>
        <w:spacing w:after="0" w:line="263" w:lineRule="auto"/>
        <w:rPr>
          <w:sz w:val="20"/>
          <w:szCs w:val="20"/>
          <w:color w:val="auto"/>
        </w:rPr>
      </w:pPr>
      <w:r>
        <w:rPr>
          <w:rFonts w:ascii="Arial" w:cs="Arial" w:eastAsia="Arial" w:hAnsi="Arial"/>
          <w:sz w:val="19"/>
          <w:szCs w:val="19"/>
          <w:color w:val="auto"/>
        </w:rPr>
        <w:t>M&amp;T’s success depends, in large part, on its ability to attract and retain key individuals and to have a diverse workforce. Competition for qualified and diverse candidates in the activities and markets that the Company serves is significant and the Company may not be able to hire candidates and retain them. Growth in the Company’s business, including through acquisitions, may increase its need for additional qualified personnel. If the Company is not able to hire or retain these type of individuals, it may be unable to execute its business strategies and may suffer adverse consequences to its business, financial condition and results of operations.</w:t>
      </w:r>
    </w:p>
    <w:p>
      <w:pPr>
        <w:spacing w:after="0" w:line="3" w:lineRule="exact"/>
        <w:rPr>
          <w:sz w:val="20"/>
          <w:szCs w:val="20"/>
          <w:color w:val="auto"/>
        </w:rPr>
      </w:pPr>
    </w:p>
    <w:p>
      <w:pPr>
        <w:ind w:right="100" w:firstLine="598"/>
        <w:spacing w:after="0" w:line="248" w:lineRule="auto"/>
        <w:rPr>
          <w:sz w:val="20"/>
          <w:szCs w:val="20"/>
          <w:color w:val="auto"/>
        </w:rPr>
      </w:pPr>
      <w:r>
        <w:rPr>
          <w:rFonts w:ascii="Arial" w:cs="Arial" w:eastAsia="Arial" w:hAnsi="Arial"/>
          <w:sz w:val="20"/>
          <w:szCs w:val="20"/>
          <w:color w:val="auto"/>
        </w:rPr>
        <w:t>The federal banking agencies have issued joint guidance on executive compensation designed to help ensure that a banking organization’s incentive compensation policies do not encourage imprudent risk taking and are consistent with the safety and soundness of the organization. In addition, the Dodd-Frank Act required those agencies, along with the SEC, to adopt rules to require reporting of incentive compensation and to prohibit certain compensation arrangements. If as a result of complying with such rules the Company is unable to attract and retain qualified employees, or do so at rates necessary to maintain its competitive position, or if the compensation costs required to attract and retain employees become more significant, the Company’s performance, including its competitive position, could be materially adversely affected.</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00"/>
          </w:cols>
          <w:pgMar w:left="240" w:top="126" w:right="259" w:bottom="1440" w:gutter="0" w:footer="0" w:header="0"/>
        </w:sectPr>
      </w:pPr>
    </w:p>
    <w:bookmarkStart w:id="36" w:name="page37"/>
    <w:bookmarkEnd w:id="36"/>
    <w:p>
      <w:pPr>
        <w:spacing w:after="0"/>
        <w:rPr>
          <w:sz w:val="20"/>
          <w:szCs w:val="20"/>
          <w:color w:val="auto"/>
        </w:rPr>
      </w:pPr>
      <w:r>
        <w:rPr>
          <w:rFonts w:ascii="Arial" w:cs="Arial" w:eastAsia="Arial" w:hAnsi="Arial"/>
          <w:sz w:val="18"/>
          <w:szCs w:val="18"/>
          <w:i w:val="1"/>
          <w:iCs w:val="1"/>
          <w:color w:val="auto"/>
        </w:rPr>
        <w:t>Severe weather, natural disasters, acts of war or terrorism and other external events could significantly impact the Company’s business.</w:t>
      </w:r>
    </w:p>
    <w:p>
      <w:pPr>
        <w:spacing w:after="0" w:line="135" w:lineRule="exact"/>
        <w:rPr>
          <w:sz w:val="20"/>
          <w:szCs w:val="20"/>
          <w:color w:val="auto"/>
        </w:rPr>
      </w:pPr>
    </w:p>
    <w:p>
      <w:pPr>
        <w:ind w:right="120"/>
        <w:spacing w:after="0" w:line="252" w:lineRule="auto"/>
        <w:rPr>
          <w:sz w:val="20"/>
          <w:szCs w:val="20"/>
          <w:color w:val="auto"/>
        </w:rPr>
      </w:pPr>
      <w:r>
        <w:rPr>
          <w:rFonts w:ascii="Arial" w:cs="Arial" w:eastAsia="Arial" w:hAnsi="Arial"/>
          <w:sz w:val="20"/>
          <w:szCs w:val="20"/>
          <w:color w:val="auto"/>
        </w:rPr>
        <w:t>Severe weather, natural disasters, acts of war or terrorism and other adverse external events could have a significant impact on the Company’s ability to conduct business. Such events could affect the stability of the Company’s deposit base, impair the ability of borrowers to repay outstanding loans, impair the value of collateral securing loans, cause significant property damage, result in loss of revenue and/or cause the Company to incur additional expenses. Although the Company has established disaster recovery plans and procedures, and monitors for significant environmental effects on its properties or its investments, the occurrence of any such event could have a material adverse effect on the Company.</w:t>
      </w: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The Company’s information systems may experience interruptions or breaches in security.</w:t>
      </w:r>
    </w:p>
    <w:p>
      <w:pPr>
        <w:spacing w:after="0" w:line="112" w:lineRule="exact"/>
        <w:rPr>
          <w:sz w:val="20"/>
          <w:szCs w:val="20"/>
          <w:color w:val="auto"/>
        </w:rPr>
      </w:pPr>
    </w:p>
    <w:p>
      <w:pPr>
        <w:ind w:right="40"/>
        <w:spacing w:after="0" w:line="250" w:lineRule="auto"/>
        <w:rPr>
          <w:sz w:val="20"/>
          <w:szCs w:val="20"/>
          <w:color w:val="auto"/>
        </w:rPr>
      </w:pPr>
      <w:r>
        <w:rPr>
          <w:rFonts w:ascii="Arial" w:cs="Arial" w:eastAsia="Arial" w:hAnsi="Arial"/>
          <w:sz w:val="20"/>
          <w:szCs w:val="20"/>
          <w:color w:val="auto"/>
        </w:rPr>
        <w:t>The Company relies heavily on communications and information systems to conduct its business. Any failure, interruption or breach in security of these systems could result in disruptions to its accounting, deposit, loan and other systems, and adversely affect the Company’s customer relationships. While the Company has policies and procedures designed to prevent or limit the effect of these possible events, there can be no assurance that any such failure, interruption or security breach will not occur or, if any does occur, that it can be sufficiently or timely remediated.</w:t>
      </w:r>
    </w:p>
    <w:p>
      <w:pPr>
        <w:spacing w:after="0" w:line="3" w:lineRule="exact"/>
        <w:rPr>
          <w:sz w:val="20"/>
          <w:szCs w:val="20"/>
          <w:color w:val="auto"/>
        </w:rPr>
      </w:pPr>
    </w:p>
    <w:p>
      <w:pPr>
        <w:ind w:right="40" w:firstLine="598"/>
        <w:spacing w:after="0" w:line="246" w:lineRule="auto"/>
        <w:rPr>
          <w:sz w:val="20"/>
          <w:szCs w:val="20"/>
          <w:color w:val="auto"/>
        </w:rPr>
      </w:pPr>
      <w:r>
        <w:rPr>
          <w:rFonts w:ascii="Arial" w:cs="Arial" w:eastAsia="Arial" w:hAnsi="Arial"/>
          <w:sz w:val="20"/>
          <w:szCs w:val="20"/>
          <w:color w:val="auto"/>
        </w:rPr>
        <w:t>Information security risks for large financial institutions such as M&amp;T have increased significantly in recent years in part because of the proliferation of new technologies, such as Internet and mobile banking to conduct financial transactions, and the increased sophistication and activities of organized crime, hackers, terrorists, nation-states, activists and other external parties. There have been increasing efforts on the part of third parties, including through cyber attacks, to breach data security at financial institutions or with respect to financial transactions. There have been several instances involving financial services and consumer-based companies reporting unauthorized access to and disclosure of client or customer information or the destruction or theft of corporate data, including by executive impersonation and third party vendors. There have also been several highly publicized cases where hackers have requested “ransom” payments in exchange for not disclosing customer information.</w:t>
      </w:r>
    </w:p>
    <w:p>
      <w:pPr>
        <w:spacing w:after="0" w:line="6" w:lineRule="exact"/>
        <w:rPr>
          <w:sz w:val="20"/>
          <w:szCs w:val="20"/>
          <w:color w:val="auto"/>
        </w:rPr>
      </w:pPr>
    </w:p>
    <w:p>
      <w:pPr>
        <w:ind w:firstLine="598"/>
        <w:spacing w:after="0" w:line="259" w:lineRule="auto"/>
        <w:rPr>
          <w:sz w:val="20"/>
          <w:szCs w:val="20"/>
          <w:color w:val="auto"/>
        </w:rPr>
      </w:pPr>
      <w:r>
        <w:rPr>
          <w:rFonts w:ascii="Arial" w:cs="Arial" w:eastAsia="Arial" w:hAnsi="Arial"/>
          <w:sz w:val="19"/>
          <w:szCs w:val="19"/>
          <w:color w:val="auto"/>
        </w:rPr>
        <w:t>As cyber threats continue to evolve, the Company may be required to expend significant additional resources to continue to modify or enhance its layers of defense or to investigate and remediate any information security vulnerabilities. The techniques used by cyber criminals change frequently, may not be recognized until launched and can be initiated from a variety of sources, including terrorist organizations and hostile foreign governments. These actors may attempt to fraudulently induce employees, customers or other users of the Company’s systems to disclose sensitive information in order to gain access to data or the Company’s systems. These risks may increase as the use of mobile payment and other Internet-based applications expands.</w:t>
      </w:r>
    </w:p>
    <w:p>
      <w:pPr>
        <w:spacing w:after="0" w:line="4" w:lineRule="exact"/>
        <w:rPr>
          <w:sz w:val="20"/>
          <w:szCs w:val="20"/>
          <w:color w:val="auto"/>
        </w:rPr>
      </w:pPr>
    </w:p>
    <w:p>
      <w:pPr>
        <w:ind w:right="340" w:firstLine="598"/>
        <w:spacing w:after="0" w:line="251" w:lineRule="auto"/>
        <w:rPr>
          <w:sz w:val="20"/>
          <w:szCs w:val="20"/>
          <w:color w:val="auto"/>
        </w:rPr>
      </w:pPr>
      <w:r>
        <w:rPr>
          <w:rFonts w:ascii="Arial" w:cs="Arial" w:eastAsia="Arial" w:hAnsi="Arial"/>
          <w:sz w:val="20"/>
          <w:szCs w:val="20"/>
          <w:color w:val="auto"/>
        </w:rPr>
        <w:t>The occurrence of any failure, interruption or security breach of the Company’s systems, particularly if widespread or resulting in financial losses to customers, could damage the Company’s reputation, result in a loss of customer business, subject it to additional regulatory scrutiny and potential sanctions, or expose it to civil litigation and financial liability.</w:t>
      </w:r>
    </w:p>
    <w:p>
      <w:pPr>
        <w:spacing w:after="0" w:line="285" w:lineRule="exact"/>
        <w:rPr>
          <w:sz w:val="20"/>
          <w:szCs w:val="20"/>
          <w:color w:val="auto"/>
        </w:rPr>
      </w:pPr>
    </w:p>
    <w:p>
      <w:pPr>
        <w:ind w:right="300"/>
        <w:spacing w:after="0" w:line="275" w:lineRule="auto"/>
        <w:rPr>
          <w:sz w:val="20"/>
          <w:szCs w:val="20"/>
          <w:color w:val="auto"/>
        </w:rPr>
      </w:pPr>
      <w:r>
        <w:rPr>
          <w:rFonts w:ascii="Arial" w:cs="Arial" w:eastAsia="Arial" w:hAnsi="Arial"/>
          <w:sz w:val="20"/>
          <w:szCs w:val="20"/>
          <w:i w:val="1"/>
          <w:iCs w:val="1"/>
          <w:color w:val="auto"/>
        </w:rPr>
        <w:t>The Company is or may become involved from time to time in suits, legal proceedings, information-gathering requests, investigations and proceedings by governmental and self-regulatory agencies that may lead to adverse consequences.</w:t>
      </w:r>
    </w:p>
    <w:p>
      <w:pPr>
        <w:spacing w:after="0" w:line="51" w:lineRule="exact"/>
        <w:rPr>
          <w:sz w:val="20"/>
          <w:szCs w:val="20"/>
          <w:color w:val="auto"/>
        </w:rPr>
      </w:pPr>
    </w:p>
    <w:p>
      <w:pPr>
        <w:ind w:right="140"/>
        <w:spacing w:after="0" w:line="261" w:lineRule="auto"/>
        <w:rPr>
          <w:sz w:val="20"/>
          <w:szCs w:val="20"/>
          <w:color w:val="auto"/>
        </w:rPr>
      </w:pPr>
      <w:r>
        <w:rPr>
          <w:rFonts w:ascii="Arial" w:cs="Arial" w:eastAsia="Arial" w:hAnsi="Arial"/>
          <w:sz w:val="20"/>
          <w:szCs w:val="20"/>
          <w:color w:val="auto"/>
        </w:rPr>
        <w:t>Many aspects of the Company’s business and operations involve substantial risk of legal liability. M&amp;T and/or its subsidiaries have been named or threatened to be named as defendants in various lawsuits arising from its or its subsidiaries’ business activities (and in some cases from the activities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00"/>
          </w:cols>
          <w:pgMar w:left="240" w:top="441" w:right="259" w:bottom="1440" w:gutter="0" w:footer="0" w:header="0"/>
        </w:sectPr>
      </w:pPr>
    </w:p>
    <w:bookmarkStart w:id="37" w:name="page38"/>
    <w:bookmarkEnd w:id="37"/>
    <w:p>
      <w:pPr>
        <w:spacing w:after="0" w:line="249" w:lineRule="auto"/>
        <w:rPr>
          <w:sz w:val="20"/>
          <w:szCs w:val="20"/>
          <w:color w:val="auto"/>
        </w:rPr>
      </w:pPr>
      <w:r>
        <w:rPr>
          <w:rFonts w:ascii="Arial" w:cs="Arial" w:eastAsia="Arial" w:hAnsi="Arial"/>
          <w:sz w:val="20"/>
          <w:szCs w:val="20"/>
          <w:color w:val="auto"/>
        </w:rPr>
        <w:t>of companies M&amp;T has acquired). In addition, from time to time, M&amp;T is, or may become, the subject of governmental and self-regulatory agency information-gathering requests, reviews, investigations and proceedings and other forms of regulatory inquiry, including by bank and other regulatory agencies, the SEC and law enforcement authorities. The SEC has announced a policy of seeking admissions of liability in certain settled cases, which could adversely impact the defense of private litigation. M&amp;T is also at risk when it has agreed to indemnify others for losses related to legal proceedings, including for litigation and governmental investigations and inquiries, such as in connection with the purchase or sale of a business or assets. The results of such proceedings could lead to significant civil or criminal penalties, including monetary penalties, damages, adverse judgments, settlements, fines, injunctions, restrictions on the way in which the Company conducts its business, or reputational harm.</w:t>
      </w:r>
    </w:p>
    <w:p>
      <w:pPr>
        <w:spacing w:after="0" w:line="1" w:lineRule="exact"/>
        <w:rPr>
          <w:sz w:val="20"/>
          <w:szCs w:val="20"/>
          <w:color w:val="auto"/>
        </w:rPr>
      </w:pPr>
    </w:p>
    <w:p>
      <w:pPr>
        <w:ind w:right="140" w:firstLine="598"/>
        <w:spacing w:after="0" w:line="281" w:lineRule="auto"/>
        <w:rPr>
          <w:sz w:val="20"/>
          <w:szCs w:val="20"/>
          <w:color w:val="auto"/>
        </w:rPr>
      </w:pPr>
      <w:r>
        <w:rPr>
          <w:rFonts w:ascii="Arial" w:cs="Arial" w:eastAsia="Arial" w:hAnsi="Arial"/>
          <w:sz w:val="18"/>
          <w:szCs w:val="18"/>
          <w:color w:val="auto"/>
        </w:rPr>
        <w:t>Although the Company establishes accruals for legal proceedings when information related to the loss contingencies represented by those matters indicates both that a loss is probable and that the amount of loss can be reasonably estimated, the Company does not have accruals for all legal proceedings where it faces a risk of loss. In addition, due to the inherent subjectivity of the assessments and unpredictability of the outcome of legal proceedings, amounts accrued may not represent the ultimate loss to the Company from the legal proceedings in question. Thus, the Company’s ultimate losses may be higher, and possibly significantly so, than the amounts accrued for legal loss contingencies, which could adversely affect the Company’s financial condition and results of operations.</w:t>
      </w: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M&amp;T relies on other companies to provide key components of the Company’s business infrastructure.</w:t>
      </w:r>
    </w:p>
    <w:p>
      <w:pPr>
        <w:spacing w:after="0" w:line="112" w:lineRule="exact"/>
        <w:rPr>
          <w:sz w:val="20"/>
          <w:szCs w:val="20"/>
          <w:color w:val="auto"/>
        </w:rPr>
      </w:pPr>
    </w:p>
    <w:p>
      <w:pPr>
        <w:spacing w:after="0" w:line="249" w:lineRule="auto"/>
        <w:rPr>
          <w:sz w:val="20"/>
          <w:szCs w:val="20"/>
          <w:color w:val="auto"/>
        </w:rPr>
      </w:pPr>
      <w:r>
        <w:rPr>
          <w:rFonts w:ascii="Arial" w:cs="Arial" w:eastAsia="Arial" w:hAnsi="Arial"/>
          <w:sz w:val="20"/>
          <w:szCs w:val="20"/>
          <w:color w:val="auto"/>
        </w:rPr>
        <w:t>Third parties provide key components of the Company’s business infrastructure such as banking services, processing, and Internet connections and network access. Any disruption in such services provided by these third parties or any failure of these third parties to handle current or higher volumes of use could adversely affect the Company’s ability to deliver products and services to clients and otherwise to conduct business. Technological or financial difficulties of a third party service provider could adversely affect the Company’s business to the extent those difficulties result in the interruption or discontinuation of services provided by that party. The Company may not be insured against all types of losses as a result of third party failures and insurance coverage may be inadequate to cover all losses resulting from system failures or other disruptions. Failures in the Company’s business infrastructure could interrupt the operations or increase the costs of doing business.</w:t>
      </w:r>
    </w:p>
    <w:p>
      <w:pPr>
        <w:spacing w:after="0" w:line="1" w:lineRule="exact"/>
        <w:rPr>
          <w:sz w:val="20"/>
          <w:szCs w:val="20"/>
          <w:color w:val="auto"/>
        </w:rPr>
      </w:pPr>
    </w:p>
    <w:p>
      <w:pPr>
        <w:ind w:right="40" w:firstLine="598"/>
        <w:spacing w:after="0" w:line="246" w:lineRule="auto"/>
        <w:rPr>
          <w:sz w:val="20"/>
          <w:szCs w:val="20"/>
          <w:color w:val="auto"/>
        </w:rPr>
      </w:pPr>
      <w:r>
        <w:rPr>
          <w:rFonts w:ascii="Arial" w:cs="Arial" w:eastAsia="Arial" w:hAnsi="Arial"/>
          <w:sz w:val="20"/>
          <w:szCs w:val="20"/>
          <w:color w:val="auto"/>
        </w:rPr>
        <w:t>Discussions of the specific risks outlined above and other risks facing the Company are included within this Annual Report on Form 10-K in Part I, Item 1 “Business,” and Part II, Item 7 “Management’s Discussion and Analysis of Financial Condition and Results of Operations.” Furthermore, in Part II, Item 7 under the heading “Forward-Looking Statements” is included a description of certain risks, uncertainties and assumptions identified by management that are difficult to predict and that could materially affect the Company’s financial condition and results of operations, as well as the value of the Company’s financial instruments in general, and M&amp;T common stock, in particular.</w:t>
      </w:r>
    </w:p>
    <w:p>
      <w:pPr>
        <w:spacing w:after="0" w:line="5" w:lineRule="exact"/>
        <w:rPr>
          <w:sz w:val="20"/>
          <w:szCs w:val="20"/>
          <w:color w:val="auto"/>
        </w:rPr>
      </w:pPr>
    </w:p>
    <w:p>
      <w:pPr>
        <w:ind w:right="80" w:firstLine="598"/>
        <w:spacing w:after="0" w:line="250" w:lineRule="auto"/>
        <w:rPr>
          <w:sz w:val="20"/>
          <w:szCs w:val="20"/>
          <w:color w:val="auto"/>
        </w:rPr>
      </w:pPr>
      <w:r>
        <w:rPr>
          <w:rFonts w:ascii="Arial" w:cs="Arial" w:eastAsia="Arial" w:hAnsi="Arial"/>
          <w:sz w:val="20"/>
          <w:szCs w:val="20"/>
          <w:color w:val="auto"/>
        </w:rPr>
        <w:t>In addition, the market price of M&amp;T common stock may fluctuate significantly in response to a number of other factors, including changes in securities analysts’ estimates of financial performance, volatility of stock market prices and volumes, rumors or erroneous information, changes in market valuations of similar companies and changes in accounting policies or procedures as may be required by the FASB or other regulatory agencies.</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360"/>
          </w:cols>
          <w:pgMar w:left="240" w:top="231" w:right="299" w:bottom="1440" w:gutter="0" w:footer="0" w:header="0"/>
        </w:sectPr>
      </w:pPr>
    </w:p>
    <w:bookmarkStart w:id="38" w:name="page39"/>
    <w:bookmarkEnd w:id="38"/>
    <w:p>
      <w:pPr>
        <w:spacing w:after="0"/>
        <w:tabs>
          <w:tab w:leader="none" w:pos="1160" w:val="left"/>
        </w:tabs>
        <w:rPr>
          <w:sz w:val="20"/>
          <w:szCs w:val="20"/>
          <w:color w:val="auto"/>
        </w:rPr>
      </w:pPr>
      <w:r>
        <w:rPr>
          <w:rFonts w:ascii="Arial" w:cs="Arial" w:eastAsia="Arial" w:hAnsi="Arial"/>
          <w:sz w:val="20"/>
          <w:szCs w:val="20"/>
          <w:b w:val="1"/>
          <w:bCs w:val="1"/>
          <w:color w:val="auto"/>
        </w:rPr>
        <w:t>Item 1B.</w:t>
      </w:r>
      <w:r>
        <w:rPr>
          <w:sz w:val="20"/>
          <w:szCs w:val="20"/>
          <w:color w:val="auto"/>
        </w:rPr>
        <w:tab/>
      </w:r>
      <w:r>
        <w:rPr>
          <w:rFonts w:ascii="Arial" w:cs="Arial" w:eastAsia="Arial" w:hAnsi="Arial"/>
          <w:sz w:val="17"/>
          <w:szCs w:val="17"/>
          <w:b w:val="1"/>
          <w:bCs w:val="1"/>
          <w:i w:val="1"/>
          <w:iCs w:val="1"/>
          <w:color w:val="auto"/>
        </w:rPr>
        <w:t>Unresolved Staff Comments</w:t>
      </w:r>
      <w:r>
        <w:rPr>
          <w:rFonts w:ascii="Arial" w:cs="Arial" w:eastAsia="Arial" w:hAnsi="Arial"/>
          <w:sz w:val="17"/>
          <w:szCs w:val="17"/>
          <w:b w:val="1"/>
          <w:bCs w:val="1"/>
          <w:color w:val="auto"/>
        </w:rPr>
        <w:t>.</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318" w:lineRule="exact"/>
        <w:rPr>
          <w:sz w:val="20"/>
          <w:szCs w:val="20"/>
          <w:color w:val="auto"/>
        </w:rPr>
      </w:pPr>
    </w:p>
    <w:p>
      <w:pPr>
        <w:spacing w:after="0"/>
        <w:tabs>
          <w:tab w:leader="none" w:pos="1160" w:val="left"/>
        </w:tabs>
        <w:rPr>
          <w:sz w:val="20"/>
          <w:szCs w:val="20"/>
          <w:color w:val="auto"/>
        </w:rPr>
      </w:pPr>
      <w:r>
        <w:rPr>
          <w:rFonts w:ascii="Arial" w:cs="Arial" w:eastAsia="Arial" w:hAnsi="Arial"/>
          <w:sz w:val="20"/>
          <w:szCs w:val="20"/>
          <w:b w:val="1"/>
          <w:bCs w:val="1"/>
          <w:color w:val="auto"/>
        </w:rPr>
        <w:t>Item 2.</w:t>
      </w:r>
      <w:r>
        <w:rPr>
          <w:sz w:val="20"/>
          <w:szCs w:val="20"/>
          <w:color w:val="auto"/>
        </w:rPr>
        <w:tab/>
      </w:r>
      <w:r>
        <w:rPr>
          <w:rFonts w:ascii="Arial" w:cs="Arial" w:eastAsia="Arial" w:hAnsi="Arial"/>
          <w:sz w:val="17"/>
          <w:szCs w:val="17"/>
          <w:b w:val="1"/>
          <w:bCs w:val="1"/>
          <w:i w:val="1"/>
          <w:iCs w:val="1"/>
          <w:color w:val="auto"/>
        </w:rPr>
        <w:t>Properties</w:t>
      </w:r>
      <w:r>
        <w:rPr>
          <w:rFonts w:ascii="Arial" w:cs="Arial" w:eastAsia="Arial" w:hAnsi="Arial"/>
          <w:sz w:val="17"/>
          <w:szCs w:val="17"/>
          <w:b w:val="1"/>
          <w:bCs w:val="1"/>
          <w:color w:val="auto"/>
        </w:rPr>
        <w:t>.</w:t>
      </w:r>
    </w:p>
    <w:p>
      <w:pPr>
        <w:spacing w:after="0" w:line="116" w:lineRule="exact"/>
        <w:rPr>
          <w:sz w:val="20"/>
          <w:szCs w:val="20"/>
          <w:color w:val="auto"/>
        </w:rPr>
      </w:pPr>
    </w:p>
    <w:p>
      <w:pPr>
        <w:ind w:right="60"/>
        <w:spacing w:after="0" w:line="250" w:lineRule="auto"/>
        <w:rPr>
          <w:sz w:val="20"/>
          <w:szCs w:val="20"/>
          <w:color w:val="auto"/>
        </w:rPr>
      </w:pPr>
      <w:r>
        <w:rPr>
          <w:rFonts w:ascii="Arial" w:cs="Arial" w:eastAsia="Arial" w:hAnsi="Arial"/>
          <w:sz w:val="20"/>
          <w:szCs w:val="20"/>
          <w:color w:val="auto"/>
        </w:rPr>
        <w:t>Both M&amp;T and M&amp;T Bank maintain their executive offices at One M&amp;T Plaza in Buffalo, New York. This twenty-one story headquarters building, containing approximately 300,000 rentable square feet of space, is owned in fee by M&amp;T Bank and was completed in 1967. M&amp;T, M&amp;T Bank and their subsidiaries occupy approximately 98% of the building and the remainder is leased to non-affiliated tenants. At December 31, 2017, the cost of this property (including improvements subsequent to the initial construction), net of accumulated depreciation, was $9.6 million.</w:t>
      </w:r>
    </w:p>
    <w:p>
      <w:pPr>
        <w:spacing w:after="0" w:line="3" w:lineRule="exact"/>
        <w:rPr>
          <w:sz w:val="20"/>
          <w:szCs w:val="20"/>
          <w:color w:val="auto"/>
        </w:rPr>
      </w:pPr>
    </w:p>
    <w:p>
      <w:pPr>
        <w:jc w:val="both"/>
        <w:ind w:right="280" w:firstLine="598"/>
        <w:spacing w:after="0" w:line="246" w:lineRule="auto"/>
        <w:rPr>
          <w:sz w:val="20"/>
          <w:szCs w:val="20"/>
          <w:color w:val="auto"/>
        </w:rPr>
      </w:pPr>
      <w:r>
        <w:rPr>
          <w:rFonts w:ascii="Arial" w:cs="Arial" w:eastAsia="Arial" w:hAnsi="Arial"/>
          <w:sz w:val="20"/>
          <w:szCs w:val="20"/>
          <w:color w:val="auto"/>
        </w:rPr>
        <w:t>M&amp;T Bank owns and occupies an additional facility in Buffalo, New York (known as M&amp;T Center) with approximately 395,000 rentable square feet of space. At December 31, 2017, the cost of this building (including improvements subsequent to acquisition), net of accumulated depreciation, was $10.6 million.</w:t>
      </w:r>
    </w:p>
    <w:p>
      <w:pPr>
        <w:spacing w:after="0" w:line="2" w:lineRule="exact"/>
        <w:rPr>
          <w:sz w:val="20"/>
          <w:szCs w:val="20"/>
          <w:color w:val="auto"/>
        </w:rPr>
      </w:pPr>
    </w:p>
    <w:p>
      <w:pPr>
        <w:ind w:right="160" w:firstLine="598"/>
        <w:spacing w:after="0" w:line="274" w:lineRule="auto"/>
        <w:rPr>
          <w:sz w:val="20"/>
          <w:szCs w:val="20"/>
          <w:color w:val="auto"/>
        </w:rPr>
      </w:pPr>
      <w:r>
        <w:rPr>
          <w:rFonts w:ascii="Arial" w:cs="Arial" w:eastAsia="Arial" w:hAnsi="Arial"/>
          <w:sz w:val="18"/>
          <w:szCs w:val="18"/>
          <w:color w:val="auto"/>
        </w:rPr>
        <w:t>M&amp;T Bank also owns and occupies three separate facilities in the Buffalo area which support certain back-office and operations functions of the Company. The total square footage of these facilities approximates 290,000 square feet and their combined cost (including improvements subsequent to acquisition), net of accumulated depreciation, was $27.5 million at December 31, 2017.</w:t>
      </w:r>
    </w:p>
    <w:p>
      <w:pPr>
        <w:spacing w:after="0" w:line="1" w:lineRule="exact"/>
        <w:rPr>
          <w:sz w:val="20"/>
          <w:szCs w:val="20"/>
          <w:color w:val="auto"/>
        </w:rPr>
      </w:pPr>
    </w:p>
    <w:p>
      <w:pPr>
        <w:jc w:val="both"/>
        <w:ind w:firstLine="598"/>
        <w:spacing w:after="0" w:line="246" w:lineRule="auto"/>
        <w:rPr>
          <w:sz w:val="20"/>
          <w:szCs w:val="20"/>
          <w:color w:val="auto"/>
        </w:rPr>
      </w:pPr>
      <w:r>
        <w:rPr>
          <w:rFonts w:ascii="Arial" w:cs="Arial" w:eastAsia="Arial" w:hAnsi="Arial"/>
          <w:sz w:val="20"/>
          <w:szCs w:val="20"/>
          <w:color w:val="auto"/>
        </w:rPr>
        <w:t>M&amp;T Bank owns a facility in Syracuse, New York with approximately 160,000 rentable square feet of space. Approximately 46% of that facility is occupied by M&amp;T Bank. At December 31, 2017, the cost of that building (including improvements subsequent to acquisition), net of accumulated depreciation, was less than $1 million.</w:t>
      </w:r>
    </w:p>
    <w:p>
      <w:pPr>
        <w:spacing w:after="0" w:line="2" w:lineRule="exact"/>
        <w:rPr>
          <w:sz w:val="20"/>
          <w:szCs w:val="20"/>
          <w:color w:val="auto"/>
        </w:rPr>
      </w:pPr>
    </w:p>
    <w:p>
      <w:pPr>
        <w:ind w:right="260" w:firstLine="598"/>
        <w:spacing w:after="0" w:line="246" w:lineRule="auto"/>
        <w:rPr>
          <w:sz w:val="20"/>
          <w:szCs w:val="20"/>
          <w:color w:val="auto"/>
        </w:rPr>
      </w:pPr>
      <w:r>
        <w:rPr>
          <w:rFonts w:ascii="Arial" w:cs="Arial" w:eastAsia="Arial" w:hAnsi="Arial"/>
          <w:sz w:val="20"/>
          <w:szCs w:val="20"/>
          <w:color w:val="auto"/>
        </w:rPr>
        <w:t>M&amp;T Bank owns facilities in Wilmington, Delaware, with approximately 340,000 (known as Wilmington Center) and 295,000 (known as Wilmington Plaza) rentable square feet of space, respectively. M&amp;T Bank occupies approximately 97% of Wilmington Center. Wilmington Plaza is occupied by a tenant. At December 31, 2017, the cost of these buildings (including improvements subsequent to acquisition), net of accumulated depreciation, was $41.6 million and $12.3 million, respectively.</w:t>
      </w:r>
    </w:p>
    <w:p>
      <w:pPr>
        <w:spacing w:after="0" w:line="3" w:lineRule="exact"/>
        <w:rPr>
          <w:sz w:val="20"/>
          <w:szCs w:val="20"/>
          <w:color w:val="auto"/>
        </w:rPr>
      </w:pPr>
    </w:p>
    <w:p>
      <w:pPr>
        <w:ind w:right="240" w:firstLine="598"/>
        <w:spacing w:after="0" w:line="246" w:lineRule="auto"/>
        <w:rPr>
          <w:sz w:val="20"/>
          <w:szCs w:val="20"/>
          <w:color w:val="auto"/>
        </w:rPr>
      </w:pPr>
      <w:r>
        <w:rPr>
          <w:rFonts w:ascii="Arial" w:cs="Arial" w:eastAsia="Arial" w:hAnsi="Arial"/>
          <w:sz w:val="20"/>
          <w:szCs w:val="20"/>
          <w:color w:val="auto"/>
        </w:rPr>
        <w:t>M&amp;T Bank also owns facilities in Harrisburg, Pennsylvania and Millsboro, Delaware with approximately 220,000 and 325,000 rentable square feet of space, respectively. M&amp;T Bank occupies approximately 30% and 89% of those facilities, respectively. At December 31, 2017, the cost of those buildings (including improvements subsequent to acquisition), net of accumulated depreciation, was $10.3 million and $8.8 million, respectively.</w:t>
      </w:r>
    </w:p>
    <w:p>
      <w:pPr>
        <w:spacing w:after="0" w:line="3" w:lineRule="exact"/>
        <w:rPr>
          <w:sz w:val="20"/>
          <w:szCs w:val="20"/>
          <w:color w:val="auto"/>
        </w:rPr>
      </w:pPr>
    </w:p>
    <w:p>
      <w:pPr>
        <w:jc w:val="both"/>
        <w:ind w:right="160" w:firstLine="598"/>
        <w:spacing w:after="0" w:line="246" w:lineRule="auto"/>
        <w:rPr>
          <w:sz w:val="20"/>
          <w:szCs w:val="20"/>
          <w:color w:val="auto"/>
        </w:rPr>
      </w:pPr>
      <w:r>
        <w:rPr>
          <w:rFonts w:ascii="Arial" w:cs="Arial" w:eastAsia="Arial" w:hAnsi="Arial"/>
          <w:sz w:val="20"/>
          <w:szCs w:val="20"/>
          <w:color w:val="auto"/>
        </w:rPr>
        <w:t>No other properties owned by M&amp;T Bank have more than 100,000 square feet of space. The cost, net of accumulated depreciation and amortization, of the Company’s premises and equipment is detailed in note 6 of Notes to Financial Statements filed herewith in Part II, Item 8, “Financial Statements and Supplementary Data.”</w:t>
      </w:r>
    </w:p>
    <w:p>
      <w:pPr>
        <w:spacing w:after="0" w:line="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Of the 782 domestic banking offices of M&amp;T’s subsidiary banks at December 31, 2017, 308 are owned in fee and 474 are leased.</w:t>
      </w:r>
    </w:p>
    <w:p>
      <w:pPr>
        <w:spacing w:after="0" w:line="323" w:lineRule="exact"/>
        <w:rPr>
          <w:sz w:val="20"/>
          <w:szCs w:val="20"/>
          <w:color w:val="auto"/>
        </w:rPr>
      </w:pPr>
    </w:p>
    <w:p>
      <w:pPr>
        <w:spacing w:after="0"/>
        <w:tabs>
          <w:tab w:leader="none" w:pos="1160" w:val="left"/>
        </w:tabs>
        <w:rPr>
          <w:sz w:val="20"/>
          <w:szCs w:val="20"/>
          <w:color w:val="auto"/>
        </w:rPr>
      </w:pPr>
      <w:r>
        <w:rPr>
          <w:rFonts w:ascii="Arial" w:cs="Arial" w:eastAsia="Arial" w:hAnsi="Arial"/>
          <w:sz w:val="20"/>
          <w:szCs w:val="20"/>
          <w:b w:val="1"/>
          <w:bCs w:val="1"/>
          <w:color w:val="auto"/>
        </w:rPr>
        <w:t>Item 3.</w:t>
      </w:r>
      <w:r>
        <w:rPr>
          <w:sz w:val="20"/>
          <w:szCs w:val="20"/>
          <w:color w:val="auto"/>
        </w:rPr>
        <w:tab/>
      </w:r>
      <w:r>
        <w:rPr>
          <w:rFonts w:ascii="Arial" w:cs="Arial" w:eastAsia="Arial" w:hAnsi="Arial"/>
          <w:sz w:val="17"/>
          <w:szCs w:val="17"/>
          <w:b w:val="1"/>
          <w:bCs w:val="1"/>
          <w:i w:val="1"/>
          <w:iCs w:val="1"/>
          <w:color w:val="auto"/>
        </w:rPr>
        <w:t>Legal Proceedings</w:t>
      </w:r>
      <w:r>
        <w:rPr>
          <w:rFonts w:ascii="Arial" w:cs="Arial" w:eastAsia="Arial" w:hAnsi="Arial"/>
          <w:sz w:val="17"/>
          <w:szCs w:val="17"/>
          <w:b w:val="1"/>
          <w:bCs w:val="1"/>
          <w:color w:val="auto"/>
        </w:rPr>
        <w:t>.</w:t>
      </w:r>
    </w:p>
    <w:p>
      <w:pPr>
        <w:spacing w:after="0" w:line="116" w:lineRule="exact"/>
        <w:rPr>
          <w:sz w:val="20"/>
          <w:szCs w:val="20"/>
          <w:color w:val="auto"/>
        </w:rPr>
      </w:pPr>
    </w:p>
    <w:p>
      <w:pPr>
        <w:ind w:right="60"/>
        <w:spacing w:after="0" w:line="281" w:lineRule="auto"/>
        <w:rPr>
          <w:sz w:val="20"/>
          <w:szCs w:val="20"/>
          <w:color w:val="auto"/>
        </w:rPr>
      </w:pPr>
      <w:r>
        <w:rPr>
          <w:rFonts w:ascii="Arial" w:cs="Arial" w:eastAsia="Arial" w:hAnsi="Arial"/>
          <w:sz w:val="19"/>
          <w:szCs w:val="19"/>
          <w:color w:val="auto"/>
        </w:rPr>
        <w:t>M&amp;T and its subsidiaries are subject in the normal course of business to various pending and threatened legal proceedings and other matters in which claims for monetary damages are asserted. On an on-going basis management, after consultation with legal counsel, assesses the Company’s liabilities and contingencies in connection with such proceedings. For those matters where it is</w:t>
      </w:r>
    </w:p>
    <w:p>
      <w:pPr>
        <w:spacing w:after="0" w:line="15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360"/>
          </w:cols>
          <w:pgMar w:left="240" w:top="122" w:right="299" w:bottom="1440" w:gutter="0" w:footer="0" w:header="0"/>
        </w:sectPr>
      </w:pPr>
    </w:p>
    <w:bookmarkStart w:id="39" w:name="page40"/>
    <w:bookmarkEnd w:id="39"/>
    <w:p>
      <w:pPr>
        <w:spacing w:after="0" w:line="251" w:lineRule="auto"/>
        <w:rPr>
          <w:sz w:val="20"/>
          <w:szCs w:val="20"/>
          <w:color w:val="auto"/>
        </w:rPr>
      </w:pPr>
      <w:r>
        <w:rPr>
          <w:rFonts w:ascii="Arial" w:cs="Arial" w:eastAsia="Arial" w:hAnsi="Arial"/>
          <w:sz w:val="20"/>
          <w:szCs w:val="20"/>
          <w:color w:val="auto"/>
        </w:rPr>
        <w:t>probable that the Company will incur losses and the amounts of the losses can be reasonably estimated, the Company records an expense and corresponding liability in its consolidated financial statements. To the extent the pending or threatened litigation could result in exposure in excess of that liability, the amount of such excess is not currently estimable. Although not considered probable, the range of reasonably possible losses for such matters in the aggregate, beyond the existing recorded liability, was between $0 and $50 million. Although the Company does not believe that the outcome of pending litigations will be material to the Company’s consolidated financial position, it cannot rule out the possibility that such outcomes will be material to the consolidated results of operations for a particular reporting period in the future.</w:t>
      </w:r>
    </w:p>
    <w:p>
      <w:pPr>
        <w:spacing w:after="0" w:line="28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Wilmington Trust Corporation Litigation Matter</w:t>
      </w:r>
    </w:p>
    <w:p>
      <w:pPr>
        <w:spacing w:after="0" w:line="112" w:lineRule="exact"/>
        <w:rPr>
          <w:sz w:val="20"/>
          <w:szCs w:val="20"/>
          <w:color w:val="auto"/>
        </w:rPr>
      </w:pPr>
    </w:p>
    <w:p>
      <w:pPr>
        <w:ind w:right="400"/>
        <w:spacing w:after="0" w:line="269" w:lineRule="auto"/>
        <w:rPr>
          <w:sz w:val="20"/>
          <w:szCs w:val="20"/>
          <w:color w:val="auto"/>
        </w:rPr>
      </w:pPr>
      <w:r>
        <w:rPr>
          <w:rFonts w:ascii="Arial" w:cs="Arial" w:eastAsia="Arial" w:hAnsi="Arial"/>
          <w:sz w:val="19"/>
          <w:szCs w:val="19"/>
          <w:color w:val="auto"/>
        </w:rPr>
        <w:t>M&amp;T’s Wilmington Trust Corporation subsidiary is the subject of certain litigation arising from actions undertaken by Wilmington Trust Corporation prior to M&amp;T’s acquisition of Wilmington Trust Corporation and its subsidiaries, as set forth below.</w:t>
      </w:r>
    </w:p>
    <w:p>
      <w:pPr>
        <w:spacing w:after="0" w:line="1" w:lineRule="exact"/>
        <w:rPr>
          <w:sz w:val="20"/>
          <w:szCs w:val="20"/>
          <w:color w:val="auto"/>
        </w:rPr>
      </w:pPr>
    </w:p>
    <w:p>
      <w:pPr>
        <w:ind w:right="40" w:firstLine="688"/>
        <w:spacing w:after="0" w:line="259" w:lineRule="auto"/>
        <w:rPr>
          <w:sz w:val="20"/>
          <w:szCs w:val="20"/>
          <w:color w:val="auto"/>
        </w:rPr>
      </w:pPr>
      <w:r>
        <w:rPr>
          <w:rFonts w:ascii="Arial" w:cs="Arial" w:eastAsia="Arial" w:hAnsi="Arial"/>
          <w:sz w:val="19"/>
          <w:szCs w:val="19"/>
          <w:i w:val="1"/>
          <w:iCs w:val="1"/>
          <w:color w:val="auto"/>
        </w:rPr>
        <w:t xml:space="preserve">In Re Wilmington Trust Securities Litigation (U.S. District Court, District of Delaware, Case No. 10-CV-0990-SLR): </w:t>
      </w:r>
      <w:r>
        <w:rPr>
          <w:rFonts w:ascii="Arial" w:cs="Arial" w:eastAsia="Arial" w:hAnsi="Arial"/>
          <w:sz w:val="19"/>
          <w:szCs w:val="19"/>
          <w:color w:val="auto"/>
        </w:rPr>
        <w:t>Beginning on</w:t>
      </w:r>
      <w:r>
        <w:rPr>
          <w:rFonts w:ascii="Arial" w:cs="Arial" w:eastAsia="Arial" w:hAnsi="Arial"/>
          <w:sz w:val="19"/>
          <w:szCs w:val="19"/>
          <w:i w:val="1"/>
          <w:iCs w:val="1"/>
          <w:color w:val="auto"/>
        </w:rPr>
        <w:t xml:space="preserve"> </w:t>
      </w:r>
      <w:r>
        <w:rPr>
          <w:rFonts w:ascii="Arial" w:cs="Arial" w:eastAsia="Arial" w:hAnsi="Arial"/>
          <w:sz w:val="19"/>
          <w:szCs w:val="19"/>
          <w:color w:val="auto"/>
        </w:rPr>
        <w:t>November 18, 2010, a series of parties, purporting to be class representatives, commenced a putative class action lawsuit against Wilmington Trust Corporation, alleging that Wilmington Trust Corporation’s financial reporting and securities filings were in violation of securities laws. The cases were consolidated. Wilmington Trust Corporation moved to dismiss. The Court issued an order denying Wilmington Trust Corporation’s motion to dismiss on March 20, 2014. Plaintiffs’ motion for class certification was granted on September 3, 2015. Fact discovery was stayed by Court order during extended periods of this litigation. On December 19, 2016, the Court issued an order lifting the existing stay in its entirety. Fact discovery was completed on or about August 15, 2017. On December 12, 2017, the Court issued an order extending certain pre-trial deadlines, pushing all dates off until after the completion of the criminal trial involving certain individual witnesses. Expert discovery must now be completed by July 31, 2018 and summary judgment motions must be fully briefed by October 31, 2018. The Court has removed this matter from the trial calendar and no trial date has been set.</w:t>
      </w:r>
    </w:p>
    <w:p>
      <w:pPr>
        <w:spacing w:after="0" w:line="7" w:lineRule="exact"/>
        <w:rPr>
          <w:sz w:val="20"/>
          <w:szCs w:val="20"/>
          <w:color w:val="auto"/>
        </w:rPr>
      </w:pPr>
    </w:p>
    <w:p>
      <w:pPr>
        <w:ind w:right="260" w:firstLine="739"/>
        <w:spacing w:after="0" w:line="267" w:lineRule="auto"/>
        <w:rPr>
          <w:sz w:val="20"/>
          <w:szCs w:val="20"/>
          <w:color w:val="auto"/>
        </w:rPr>
      </w:pPr>
      <w:r>
        <w:rPr>
          <w:rFonts w:ascii="Arial" w:cs="Arial" w:eastAsia="Arial" w:hAnsi="Arial"/>
          <w:sz w:val="19"/>
          <w:szCs w:val="19"/>
          <w:color w:val="auto"/>
        </w:rPr>
        <w:t>Due to their complex nature, it is difficult to estimate when litigation or investigatory matters may be resolved. As set forth in the introductory paragraph to this Item 1 — Legal Proceedings, losses from current litigation and regulatory matters which the Company is subject to that are not currently considered probable are within a range of reasonably possible losses for such matters in the aggregate, beyond the existing recorded liability, and are included in the range of reasonably possible losses set forth above.</w:t>
      </w:r>
    </w:p>
    <w:p>
      <w:pPr>
        <w:spacing w:after="0" w:line="267" w:lineRule="exact"/>
        <w:rPr>
          <w:sz w:val="20"/>
          <w:szCs w:val="20"/>
          <w:color w:val="auto"/>
        </w:rPr>
      </w:pPr>
    </w:p>
    <w:p>
      <w:pPr>
        <w:spacing w:after="0"/>
        <w:tabs>
          <w:tab w:leader="none" w:pos="116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17"/>
          <w:szCs w:val="17"/>
          <w:b w:val="1"/>
          <w:bCs w:val="1"/>
          <w:i w:val="1"/>
          <w:iCs w:val="1"/>
          <w:color w:val="auto"/>
        </w:rPr>
        <w:t>Mine Safety Disclosures</w:t>
      </w:r>
      <w:r>
        <w:rPr>
          <w:rFonts w:ascii="Arial" w:cs="Arial" w:eastAsia="Arial" w:hAnsi="Arial"/>
          <w:sz w:val="17"/>
          <w:szCs w:val="17"/>
          <w:b w:val="1"/>
          <w:bCs w:val="1"/>
          <w:color w:val="auto"/>
        </w:rPr>
        <w:t>.</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Executive Officers of the Registrant</w:t>
      </w:r>
    </w:p>
    <w:p>
      <w:pPr>
        <w:spacing w:after="0" w:line="29" w:lineRule="exact"/>
        <w:rPr>
          <w:sz w:val="20"/>
          <w:szCs w:val="20"/>
          <w:color w:val="auto"/>
        </w:rPr>
      </w:pPr>
    </w:p>
    <w:p>
      <w:pPr>
        <w:ind w:right="80"/>
        <w:spacing w:after="0" w:line="250" w:lineRule="auto"/>
        <w:rPr>
          <w:sz w:val="20"/>
          <w:szCs w:val="20"/>
          <w:color w:val="auto"/>
        </w:rPr>
      </w:pPr>
      <w:r>
        <w:rPr>
          <w:rFonts w:ascii="Arial" w:cs="Arial" w:eastAsia="Arial" w:hAnsi="Arial"/>
          <w:sz w:val="20"/>
          <w:szCs w:val="20"/>
          <w:color w:val="auto"/>
        </w:rPr>
        <w:t>Information concerning M&amp;T’s executive officers is presented below as of February 22, 2018. The year the officer was first appointed to the indicated position with M&amp;T or its subsidiaries is shown parenthetically. In the case of each entity noted below, officers’ terms run until the first meeting of the board of directors after such entity’s annual meeting, which in the case of M&amp;T takes place immediately following the Annual Meeting of Shareholders, and until their successors are elected and qualified.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231" w:right="239" w:bottom="1440" w:gutter="0" w:footer="0" w:header="0"/>
        </w:sectPr>
      </w:pPr>
    </w:p>
    <w:bookmarkStart w:id="40" w:name="page41"/>
    <w:bookmarkEnd w:id="40"/>
    <w:p>
      <w:pPr>
        <w:ind w:right="40" w:firstLine="598"/>
        <w:spacing w:after="0" w:line="262" w:lineRule="auto"/>
        <w:rPr>
          <w:sz w:val="20"/>
          <w:szCs w:val="20"/>
          <w:color w:val="auto"/>
        </w:rPr>
      </w:pPr>
      <w:r>
        <w:rPr>
          <w:rFonts w:ascii="Arial" w:cs="Arial" w:eastAsia="Arial" w:hAnsi="Arial"/>
          <w:sz w:val="19"/>
          <w:szCs w:val="19"/>
          <w:color w:val="auto"/>
        </w:rPr>
        <w:t>René F. Jones, age 53, is chief executive officer, chairman of the board and a director of M&amp;T and M&amp;T Bank (2017). Previously, he was an executive vice president (2006) of M&amp;T and a vice chairman (2014) of M&amp;T Bank. Mr. Jones had overall responsibility for the Company’s Wealth and Institutional Services Division, Treasury Division, and Mortgage and Consumer Lending Divisions. Mr. Jones is chairman, president and chief executive officer (2017) and a director (2007) of Wilmington Trust, N.A., and he is chairman of the board, president (2009) and a trustee (2005) of M&amp;T Real Estate. Mr. Jones is chairman of the board and a director (2014) of Wilmington Trust Investment Advisors, and is a director (2007) of M&amp;T Insurance Agency. Mr. Jones is chairman of the board and a director (2014) of Wilmington Trust Company. Previously, Mr. Jones served as chief financial officer (2005) of M&amp;T, M&amp;T Bank and Wilmington Trust, N.A. and had held a number of management positions within M&amp;T Bank’s Finance Division since 1992.</w:t>
      </w:r>
    </w:p>
    <w:p>
      <w:pPr>
        <w:spacing w:after="0" w:line="2" w:lineRule="exact"/>
        <w:rPr>
          <w:sz w:val="20"/>
          <w:szCs w:val="20"/>
          <w:color w:val="auto"/>
        </w:rPr>
      </w:pPr>
    </w:p>
    <w:p>
      <w:pPr>
        <w:ind w:firstLine="598"/>
        <w:spacing w:after="0" w:line="246" w:lineRule="auto"/>
        <w:rPr>
          <w:sz w:val="20"/>
          <w:szCs w:val="20"/>
          <w:color w:val="auto"/>
        </w:rPr>
      </w:pPr>
      <w:r>
        <w:rPr>
          <w:rFonts w:ascii="Arial" w:cs="Arial" w:eastAsia="Arial" w:hAnsi="Arial"/>
          <w:sz w:val="20"/>
          <w:szCs w:val="20"/>
          <w:color w:val="auto"/>
        </w:rPr>
        <w:t>Richard S. Gold, age 57, is president, chief operating officer and a director of M&amp;T and M&amp;T Bank (2017). Mr. Gold is responsible for the Mortgage, Consumer Lending, Retail, Business Banking and Legal Divisions. Previously, he was an executive vice president (2006) and chief risk officer (2014) of M&amp;T and was a vice chairman and chief risk officer (2014) of M&amp;T Bank. Mr. Gold had been responsible for overseeing the Company’s governance and strategy for risk management, as well as relationships with key regulators and supervisory agencies. He served as a senior vice president of M&amp;T Bank from 2000 to 2006 and has held a number of management positions since he began his career with M&amp;T Bank in 1989. Mr. Gold is an executive vice president (2006) and a director (2017) of Wilmington Trust, N.A. and a director of Wilmington Trust Company (2017).</w:t>
      </w:r>
    </w:p>
    <w:p>
      <w:pPr>
        <w:spacing w:after="0" w:line="5" w:lineRule="exact"/>
        <w:rPr>
          <w:sz w:val="20"/>
          <w:szCs w:val="20"/>
          <w:color w:val="auto"/>
        </w:rPr>
      </w:pPr>
    </w:p>
    <w:p>
      <w:pPr>
        <w:ind w:right="20" w:firstLine="598"/>
        <w:spacing w:after="0" w:line="259" w:lineRule="auto"/>
        <w:rPr>
          <w:sz w:val="20"/>
          <w:szCs w:val="20"/>
          <w:color w:val="auto"/>
        </w:rPr>
      </w:pPr>
      <w:r>
        <w:rPr>
          <w:rFonts w:ascii="Arial" w:cs="Arial" w:eastAsia="Arial" w:hAnsi="Arial"/>
          <w:sz w:val="19"/>
          <w:szCs w:val="19"/>
          <w:color w:val="auto"/>
        </w:rPr>
        <w:t>Kevin J. Pearson, age 56, is an executive vice president (2002) of M&amp;T and is a vice chairman (2014) of M&amp;T Bank. He is a member of the Directors Advisory Council (2006) of the New York City/Long Island Division of M&amp;T Bank. Mr. Pearson is responsible for M&amp;T Bank’s Commercial Banking, Credit, and Technology and Banking Operations Divisions. Previously, Mr. Pearson served as senior vice president of M&amp;T Bank from 2000 to 2002, and has held a number of management positions since he began his career with M&amp;T Bank in 1989. He is an executive vice president (2003) and a trustee (2014) of M&amp;T Real Estate, chairman of the board (2009) and a director (2003) of M&amp;T Realty Capital, and an executive vice president and a director of Wilmington Trust, N.A. (2014).</w:t>
      </w:r>
    </w:p>
    <w:p>
      <w:pPr>
        <w:spacing w:after="0" w:line="4" w:lineRule="exact"/>
        <w:rPr>
          <w:sz w:val="20"/>
          <w:szCs w:val="20"/>
          <w:color w:val="auto"/>
        </w:rPr>
      </w:pPr>
    </w:p>
    <w:p>
      <w:pPr>
        <w:jc w:val="both"/>
        <w:ind w:firstLine="598"/>
        <w:spacing w:after="0" w:line="246" w:lineRule="auto"/>
        <w:rPr>
          <w:sz w:val="20"/>
          <w:szCs w:val="20"/>
          <w:color w:val="auto"/>
        </w:rPr>
      </w:pPr>
      <w:r>
        <w:rPr>
          <w:rFonts w:ascii="Arial" w:cs="Arial" w:eastAsia="Arial" w:hAnsi="Arial"/>
          <w:sz w:val="20"/>
          <w:szCs w:val="20"/>
          <w:color w:val="auto"/>
        </w:rPr>
        <w:t>Robert J. Bojdak, age 62, is an executive vice president and chief credit officer (2004) of M&amp;T and M&amp;T Bank, and is responsible for the Company’s Credit Division. From April 2002 to April 2004, Mr. Bojdak served as senior vice president and credit deputy for M&amp;T Bank. He is an executive vice president and a director (2004) of Wilmington Trust, N.A.</w:t>
      </w:r>
    </w:p>
    <w:p>
      <w:pPr>
        <w:spacing w:after="0" w:line="2" w:lineRule="exact"/>
        <w:rPr>
          <w:sz w:val="20"/>
          <w:szCs w:val="20"/>
          <w:color w:val="auto"/>
        </w:rPr>
      </w:pPr>
    </w:p>
    <w:p>
      <w:pPr>
        <w:jc w:val="both"/>
        <w:ind w:right="20" w:firstLine="598"/>
        <w:spacing w:after="0" w:line="246" w:lineRule="auto"/>
        <w:rPr>
          <w:sz w:val="20"/>
          <w:szCs w:val="20"/>
          <w:color w:val="auto"/>
        </w:rPr>
      </w:pPr>
      <w:r>
        <w:rPr>
          <w:rFonts w:ascii="Arial" w:cs="Arial" w:eastAsia="Arial" w:hAnsi="Arial"/>
          <w:sz w:val="20"/>
          <w:szCs w:val="20"/>
          <w:color w:val="auto"/>
        </w:rPr>
        <w:t>Janet M. Coletti, age 54, is an executive vice president (2015) of M&amp;T and M&amp;T Bank, overseeing the Company’s Human Resources Division. Ms. Coletti previously served as senior vice president of M&amp;T Bank, most recently responsible for the Business Banking Division, and has held a number of management positions within M&amp;T Bank since 1985.</w:t>
      </w:r>
    </w:p>
    <w:p>
      <w:pPr>
        <w:spacing w:after="0" w:line="2" w:lineRule="exact"/>
        <w:rPr>
          <w:sz w:val="20"/>
          <w:szCs w:val="20"/>
          <w:color w:val="auto"/>
        </w:rPr>
      </w:pPr>
    </w:p>
    <w:p>
      <w:pPr>
        <w:ind w:right="20" w:firstLine="598"/>
        <w:spacing w:after="0" w:line="281" w:lineRule="auto"/>
        <w:rPr>
          <w:sz w:val="20"/>
          <w:szCs w:val="20"/>
          <w:color w:val="auto"/>
        </w:rPr>
      </w:pPr>
      <w:r>
        <w:rPr>
          <w:rFonts w:ascii="Arial" w:cs="Arial" w:eastAsia="Arial" w:hAnsi="Arial"/>
          <w:sz w:val="18"/>
          <w:szCs w:val="18"/>
          <w:color w:val="auto"/>
        </w:rPr>
        <w:t>William J. Farrell II, age 60, is an executive vice president (2011) of M&amp;T and M&amp;T Bank, and is responsible for managing administrative and business development functions of the Company’s Wealth and Institutional Services Division, which includes Institutional Client Services and M&amp;T Insurance Agency. Mr. Farrell joined M&amp;T through the Wilmington Trust Corporation acquisition. He joined Wilmington Trust Corporation in 1976, and held a number of senior management positions, most recently as executive vice president and head of the Corporate Client Services business. Mr. Farrell is president, chief executive officer and a director (2012) of Wilmington Trust Company, an executive vice president and a director (2011) of Wilmington Trust, N.A. and a director (2013) of M&amp;T Securities.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41" w:name="page42"/>
    <w:bookmarkEnd w:id="41"/>
    <w:p>
      <w:pPr>
        <w:ind w:right="100" w:firstLine="598"/>
        <w:spacing w:after="0" w:line="250" w:lineRule="auto"/>
        <w:rPr>
          <w:sz w:val="20"/>
          <w:szCs w:val="20"/>
          <w:color w:val="auto"/>
        </w:rPr>
      </w:pPr>
      <w:r>
        <w:rPr>
          <w:rFonts w:ascii="Arial" w:cs="Arial" w:eastAsia="Arial" w:hAnsi="Arial"/>
          <w:sz w:val="20"/>
          <w:szCs w:val="20"/>
          <w:color w:val="auto"/>
        </w:rPr>
        <w:t>Brian E. Hickey, age 65, is an executive vice president of M&amp;T (1997) and M&amp;T Bank (1996). He is a member of the Directors Advisory Council (1994) of the Rochester Division of M&amp;T Bank. Mr. Hickey is responsible for co-managing with Mr. Martocci M&amp;T Bank’s commercial banking lines of business and all of the non-retail banking segments in Upstate New York, Western New York and in the Northern, Central and Western Pennsylvania and Connecticut regions. Mr. Hickey is also responsible for the Dealer Commercial Services line of business.</w:t>
      </w:r>
    </w:p>
    <w:p>
      <w:pPr>
        <w:spacing w:after="0" w:line="3" w:lineRule="exact"/>
        <w:rPr>
          <w:sz w:val="20"/>
          <w:szCs w:val="20"/>
          <w:color w:val="auto"/>
        </w:rPr>
      </w:pPr>
    </w:p>
    <w:p>
      <w:pPr>
        <w:ind w:right="140" w:firstLine="598"/>
        <w:spacing w:after="0" w:line="246" w:lineRule="auto"/>
        <w:rPr>
          <w:sz w:val="20"/>
          <w:szCs w:val="20"/>
          <w:color w:val="auto"/>
        </w:rPr>
      </w:pPr>
      <w:r>
        <w:rPr>
          <w:rFonts w:ascii="Arial" w:cs="Arial" w:eastAsia="Arial" w:hAnsi="Arial"/>
          <w:sz w:val="20"/>
          <w:szCs w:val="20"/>
          <w:color w:val="auto"/>
        </w:rPr>
        <w:t>Darren J. King, age 48, is an executive vice president (2010) and chief financial officer (2016) of M&amp;T and executive vice president (2009) and chief financial officer (2016) of M&amp;T Bank. Mr. King has responsibility for the overall financial management of the Company. Prior to his current role, Mr. King was the Retail Banking executive with responsibility for overseeing Business Banking, Consumer Deposits, Consumer Lending and M&amp;T Bank’s Marketing and Communications team. Mr. King previously served as senior vice president of M&amp;T Bank and has held a number of management positions within M&amp;T Bank since 2000. Mr. King is an executive vice president (2009) and chief financial officer (2016) of Wilmington Trust, N.A.</w:t>
      </w:r>
    </w:p>
    <w:p>
      <w:pPr>
        <w:spacing w:after="0" w:line="5" w:lineRule="exact"/>
        <w:rPr>
          <w:sz w:val="20"/>
          <w:szCs w:val="20"/>
          <w:color w:val="auto"/>
        </w:rPr>
      </w:pPr>
    </w:p>
    <w:p>
      <w:pPr>
        <w:ind w:right="20" w:firstLine="598"/>
        <w:spacing w:after="0" w:line="259" w:lineRule="auto"/>
        <w:rPr>
          <w:sz w:val="20"/>
          <w:szCs w:val="20"/>
          <w:color w:val="auto"/>
        </w:rPr>
      </w:pPr>
      <w:r>
        <w:rPr>
          <w:rFonts w:ascii="Arial" w:cs="Arial" w:eastAsia="Arial" w:hAnsi="Arial"/>
          <w:sz w:val="19"/>
          <w:szCs w:val="19"/>
          <w:color w:val="auto"/>
        </w:rPr>
        <w:t>Gino A. Martocci, age 52, is an executive vice president (2014) of M&amp;T and M&amp;T Bank, and is responsible for co-managing with Mr. Hickey M&amp;T Bank’s commercial banking lines of business and all non-retail banking segments in the metropolitan New York City, New Jersey, Philadelphia, Delaware, Baltimore and Washington, D.C. markets. He is also responsible for M&amp;T Realty Capital. Mr. Martocci was a senior vice president of M&amp;T Bank from 2002 to 2013, serving in a number of management positions. He is an executive vice president (2015) and a director (2009) of M&amp;T Realty Capital, an executive vice president of M&amp;T Real Estate, co-chairman of the Senior Loan Committee and a member of the New York City Mortgage Investment Committee. Mr. Martocci is also a member of the Directors Advisory Council of the New York City/Long Island (2013) and the New Jersey (2015) Divisions of M&amp;T Bank.</w:t>
      </w:r>
    </w:p>
    <w:p>
      <w:pPr>
        <w:spacing w:after="0" w:line="5" w:lineRule="exact"/>
        <w:rPr>
          <w:sz w:val="20"/>
          <w:szCs w:val="20"/>
          <w:color w:val="auto"/>
        </w:rPr>
      </w:pPr>
    </w:p>
    <w:p>
      <w:pPr>
        <w:ind w:firstLine="598"/>
        <w:spacing w:after="0" w:line="246" w:lineRule="auto"/>
        <w:rPr>
          <w:sz w:val="20"/>
          <w:szCs w:val="20"/>
          <w:color w:val="auto"/>
        </w:rPr>
      </w:pPr>
      <w:r>
        <w:rPr>
          <w:rFonts w:ascii="Arial" w:cs="Arial" w:eastAsia="Arial" w:hAnsi="Arial"/>
          <w:sz w:val="20"/>
          <w:szCs w:val="20"/>
          <w:color w:val="auto"/>
        </w:rPr>
        <w:t>Doris P. Meister, age 62, is an executive vice president (2016) of M&amp;T and M&amp;T Bank, and is responsible for overseeing the Company’s wealth management business, including Wealth Advisory Services, M&amp;T Securities and Wilmington Trust Investment Advisors. Ms. Meister is an executive vice president and a director (2016) of Wilmington Trust, N.A., an executive vice president and director of Wilmington Trust Company (2016), and a director (2016) of M&amp;T Securities. Prior to joining M&amp;T in 2016, Ms. Meister served as President of U.S. Markets for BNY Mellon Wealth Management and was a Managing Director of the New York office of Bernstein Global Wealth Management.</w:t>
      </w:r>
    </w:p>
    <w:p>
      <w:pPr>
        <w:spacing w:after="0" w:line="5" w:lineRule="exact"/>
        <w:rPr>
          <w:sz w:val="20"/>
          <w:szCs w:val="20"/>
          <w:color w:val="auto"/>
        </w:rPr>
      </w:pPr>
    </w:p>
    <w:p>
      <w:pPr>
        <w:ind w:right="100" w:firstLine="598"/>
        <w:spacing w:after="0" w:line="246" w:lineRule="auto"/>
        <w:rPr>
          <w:sz w:val="20"/>
          <w:szCs w:val="20"/>
          <w:color w:val="auto"/>
        </w:rPr>
      </w:pPr>
      <w:r>
        <w:rPr>
          <w:rFonts w:ascii="Arial" w:cs="Arial" w:eastAsia="Arial" w:hAnsi="Arial"/>
          <w:sz w:val="20"/>
          <w:szCs w:val="20"/>
          <w:color w:val="auto"/>
        </w:rPr>
        <w:t>Michael J. Todaro, age 56, is an executive vice president (2015) of M&amp;T and M&amp;T Bank, and is responsible for the Mortgage, Consumer Lending and Customer Asset Management Divisions. Mr. Todaro previously served as senior vice president of M&amp;T Bank and has held a number of management positions within M&amp;T Bank’s Mortgage Division since 1995. He is an executive vice president (2015) of Wilmington Trust, N.A.</w:t>
      </w:r>
    </w:p>
    <w:p>
      <w:pPr>
        <w:spacing w:after="0" w:line="3" w:lineRule="exact"/>
        <w:rPr>
          <w:sz w:val="20"/>
          <w:szCs w:val="20"/>
          <w:color w:val="auto"/>
        </w:rPr>
      </w:pPr>
    </w:p>
    <w:p>
      <w:pPr>
        <w:ind w:right="180" w:firstLine="598"/>
        <w:spacing w:after="0" w:line="246" w:lineRule="auto"/>
        <w:rPr>
          <w:sz w:val="20"/>
          <w:szCs w:val="20"/>
          <w:color w:val="auto"/>
        </w:rPr>
      </w:pPr>
      <w:r>
        <w:rPr>
          <w:rFonts w:ascii="Arial" w:cs="Arial" w:eastAsia="Arial" w:hAnsi="Arial"/>
          <w:sz w:val="20"/>
          <w:szCs w:val="20"/>
          <w:color w:val="auto"/>
        </w:rPr>
        <w:t>Michele D. Trolli, age 56, is an executive vice president and chief information officer (2005) of M&amp;T and M&amp;T Bank. Ms. Trolli leads a wide range of the Company’s Technology and Banking Operations, which includes banking services, corporate services, digital and telephone banking, the enterprise data office, enterprise and cyber security, and enterprise technology.</w:t>
      </w:r>
    </w:p>
    <w:p>
      <w:pPr>
        <w:spacing w:after="0" w:line="2" w:lineRule="exact"/>
        <w:rPr>
          <w:sz w:val="20"/>
          <w:szCs w:val="20"/>
          <w:color w:val="auto"/>
        </w:rPr>
      </w:pPr>
    </w:p>
    <w:p>
      <w:pPr>
        <w:ind w:right="200" w:firstLine="598"/>
        <w:spacing w:after="0" w:line="286" w:lineRule="auto"/>
        <w:rPr>
          <w:sz w:val="20"/>
          <w:szCs w:val="20"/>
          <w:color w:val="auto"/>
        </w:rPr>
      </w:pPr>
      <w:r>
        <w:rPr>
          <w:rFonts w:ascii="Arial" w:cs="Arial" w:eastAsia="Arial" w:hAnsi="Arial"/>
          <w:sz w:val="18"/>
          <w:szCs w:val="18"/>
          <w:color w:val="auto"/>
        </w:rPr>
        <w:t>D. Scott N. Warman, age 52, is an executive vice president (2009) and treasurer (2008) of M&amp;T and M&amp;T Bank. He is responsible for managing the Company’s Treasury Division. Mr. Warman previously served as senior vice president of M&amp;T Bank and has held a number of management positions within M&amp;T Bank since 1995. He is an executive vice president and treasurer of Wilmington Trust, N.A. (2008), a trustee of M&amp;T Real Estate (2009), and is an executive vice president and treasurer of Wilmington Trust Company (2012).</w:t>
      </w: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00"/>
          </w:cols>
          <w:pgMar w:left="240" w:top="126" w:right="259" w:bottom="1440" w:gutter="0" w:footer="0" w:header="0"/>
        </w:sectPr>
      </w:pPr>
    </w:p>
    <w:bookmarkStart w:id="42" w:name="page43"/>
    <w:bookmarkEnd w:id="42"/>
    <w:p>
      <w:pPr>
        <w:jc w:val="center"/>
        <w:spacing w:after="0"/>
        <w:rPr>
          <w:sz w:val="20"/>
          <w:szCs w:val="20"/>
          <w:color w:val="auto"/>
        </w:rPr>
      </w:pPr>
      <w:r>
        <w:rPr>
          <w:rFonts w:ascii="Arial" w:cs="Arial" w:eastAsia="Arial" w:hAnsi="Arial"/>
          <w:sz w:val="20"/>
          <w:szCs w:val="20"/>
          <w:b w:val="1"/>
          <w:bCs w:val="1"/>
          <w:color w:val="auto"/>
        </w:rPr>
        <w:t>PART II</w:t>
      </w:r>
    </w:p>
    <w:p>
      <w:pPr>
        <w:spacing w:after="0" w:line="217" w:lineRule="exact"/>
        <w:rPr>
          <w:sz w:val="20"/>
          <w:szCs w:val="20"/>
          <w:color w:val="auto"/>
        </w:rPr>
      </w:pPr>
    </w:p>
    <w:p>
      <w:pPr>
        <w:spacing w:after="0"/>
        <w:tabs>
          <w:tab w:leader="none" w:pos="1160" w:val="left"/>
        </w:tabs>
        <w:rPr>
          <w:sz w:val="20"/>
          <w:szCs w:val="20"/>
          <w:color w:val="auto"/>
        </w:rPr>
      </w:pPr>
      <w:r>
        <w:rPr>
          <w:rFonts w:ascii="Arial" w:cs="Arial" w:eastAsia="Arial" w:hAnsi="Arial"/>
          <w:sz w:val="20"/>
          <w:szCs w:val="20"/>
          <w:b w:val="1"/>
          <w:bCs w:val="1"/>
          <w:color w:val="auto"/>
        </w:rPr>
        <w:t>Item 5.</w:t>
      </w:r>
      <w:r>
        <w:rPr>
          <w:sz w:val="20"/>
          <w:szCs w:val="20"/>
          <w:color w:val="auto"/>
        </w:rPr>
        <w:tab/>
      </w:r>
      <w:r>
        <w:rPr>
          <w:rFonts w:ascii="Arial" w:cs="Arial" w:eastAsia="Arial" w:hAnsi="Arial"/>
          <w:sz w:val="17"/>
          <w:szCs w:val="17"/>
          <w:b w:val="1"/>
          <w:bCs w:val="1"/>
          <w:i w:val="1"/>
          <w:iCs w:val="1"/>
          <w:color w:val="auto"/>
        </w:rPr>
        <w:t>Market for Registrant’s Common Equity, Related Stockholder Matters and Issuer Purchases of Equity Securities.</w:t>
      </w:r>
    </w:p>
    <w:p>
      <w:pPr>
        <w:spacing w:after="0" w:line="116" w:lineRule="exact"/>
        <w:rPr>
          <w:sz w:val="20"/>
          <w:szCs w:val="20"/>
          <w:color w:val="auto"/>
        </w:rPr>
      </w:pPr>
    </w:p>
    <w:p>
      <w:pPr>
        <w:ind w:right="280"/>
        <w:spacing w:after="0" w:line="281" w:lineRule="auto"/>
        <w:rPr>
          <w:sz w:val="20"/>
          <w:szCs w:val="20"/>
          <w:color w:val="auto"/>
        </w:rPr>
      </w:pPr>
      <w:r>
        <w:rPr>
          <w:rFonts w:ascii="Arial" w:cs="Arial" w:eastAsia="Arial" w:hAnsi="Arial"/>
          <w:sz w:val="18"/>
          <w:szCs w:val="18"/>
          <w:color w:val="auto"/>
        </w:rPr>
        <w:t>M&amp;T’s common stock is traded under the symbol MTB on the New York Stock Exchange. See cross-reference sheet for disclosures incorporated elsewhere in this Annual Report on Form 10-K for market prices of M&amp;T’s common stock, approximate number of common shareholders at year-end, frequency and amounts of dividends on common stock and restrictions on the payment of dividends.</w:t>
      </w:r>
    </w:p>
    <w:p>
      <w:pPr>
        <w:ind w:right="300" w:firstLine="598"/>
        <w:spacing w:after="0" w:line="256" w:lineRule="auto"/>
        <w:rPr>
          <w:sz w:val="20"/>
          <w:szCs w:val="20"/>
          <w:color w:val="auto"/>
        </w:rPr>
      </w:pPr>
      <w:r>
        <w:rPr>
          <w:rFonts w:ascii="Arial" w:cs="Arial" w:eastAsia="Arial" w:hAnsi="Arial"/>
          <w:sz w:val="20"/>
          <w:szCs w:val="20"/>
          <w:color w:val="auto"/>
        </w:rPr>
        <w:t>During the fourth quarter of 2017, M&amp;T did not issue any shares of its common stock that were not registered under the Securities Act of 1933.</w:t>
      </w:r>
    </w:p>
    <w:p>
      <w:pPr>
        <w:spacing w:after="0" w:line="2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Equity Compensation Plan Information</w:t>
      </w:r>
    </w:p>
    <w:p>
      <w:pPr>
        <w:spacing w:after="0" w:line="29" w:lineRule="exact"/>
        <w:rPr>
          <w:sz w:val="20"/>
          <w:szCs w:val="20"/>
          <w:color w:val="auto"/>
        </w:rPr>
      </w:pPr>
    </w:p>
    <w:p>
      <w:pPr>
        <w:ind w:right="20"/>
        <w:spacing w:after="0" w:line="259" w:lineRule="auto"/>
        <w:rPr>
          <w:sz w:val="20"/>
          <w:szCs w:val="20"/>
          <w:color w:val="auto"/>
        </w:rPr>
      </w:pPr>
      <w:r>
        <w:rPr>
          <w:rFonts w:ascii="Arial" w:cs="Arial" w:eastAsia="Arial" w:hAnsi="Arial"/>
          <w:sz w:val="19"/>
          <w:szCs w:val="19"/>
          <w:color w:val="auto"/>
        </w:rPr>
        <w:t>The following table provides information as of December 31, 2017 with respect to shares of common stock that may be issued under M&amp;T’s existing equity compensation plans. M&amp;T’s existing equity compensation plans include the M&amp;T Bank Corporation 2001 Stock Option Plan, the 2005 Incentive Compensation Plan, which replaced the 2001 Stock Option Plan, and the 2009 Equity Incentive Compensation Plan, each of which has been previously approved by shareholders, and the M&amp;T Bank Corporation 2008 Directors’ Stock Plan and the M&amp;T Bank Corporation Deferred Bonus Plan, each of which did not require shareholder approval.</w:t>
      </w:r>
    </w:p>
    <w:p>
      <w:pPr>
        <w:spacing w:after="0" w:line="4" w:lineRule="exact"/>
        <w:rPr>
          <w:sz w:val="20"/>
          <w:szCs w:val="20"/>
          <w:color w:val="auto"/>
        </w:rPr>
      </w:pPr>
    </w:p>
    <w:p>
      <w:pPr>
        <w:ind w:right="80" w:firstLine="598"/>
        <w:spacing w:after="0" w:line="250" w:lineRule="auto"/>
        <w:rPr>
          <w:sz w:val="20"/>
          <w:szCs w:val="20"/>
          <w:color w:val="auto"/>
        </w:rPr>
      </w:pPr>
      <w:r>
        <w:rPr>
          <w:rFonts w:ascii="Arial" w:cs="Arial" w:eastAsia="Arial" w:hAnsi="Arial"/>
          <w:sz w:val="20"/>
          <w:szCs w:val="20"/>
          <w:color w:val="auto"/>
        </w:rPr>
        <w:t>The table does not include information with respect to shares of common stock subject to outstanding options and rights assumed by M&amp;T in connection with mergers and acquisitions of the companies that originally granted those options and rights. Footnote (1) to the table sets forth the total number of shares of common stock issuable upon the exercise of such assumed options and rights as of December 31, 2017, and their weighted-average exercise price.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3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Number of</w:t>
            </w:r>
          </w:p>
        </w:tc>
        <w:tc>
          <w:tcPr>
            <w:tcW w:w="2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Number of Securities</w:t>
            </w:r>
          </w:p>
        </w:tc>
        <w:tc>
          <w:tcPr>
            <w:tcW w:w="0" w:type="dxa"/>
            <w:vAlign w:val="bottom"/>
          </w:tcPr>
          <w:p>
            <w:pPr>
              <w:spacing w:after="0"/>
              <w:rPr>
                <w:sz w:val="1"/>
                <w:szCs w:val="1"/>
                <w:color w:val="auto"/>
              </w:rPr>
            </w:pPr>
          </w:p>
        </w:tc>
      </w:tr>
      <w:tr>
        <w:trPr>
          <w:trHeight w:val="145"/>
        </w:trPr>
        <w:tc>
          <w:tcPr>
            <w:tcW w:w="86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3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90"/>
              </w:rPr>
              <w:t>Remaining Available</w:t>
            </w:r>
          </w:p>
        </w:tc>
        <w:tc>
          <w:tcPr>
            <w:tcW w:w="0" w:type="dxa"/>
            <w:vAlign w:val="bottom"/>
          </w:tcPr>
          <w:p>
            <w:pPr>
              <w:spacing w:after="0"/>
              <w:rPr>
                <w:sz w:val="1"/>
                <w:szCs w:val="1"/>
                <w:color w:val="auto"/>
              </w:rPr>
            </w:pPr>
          </w:p>
        </w:tc>
      </w:tr>
      <w:tr>
        <w:trPr>
          <w:trHeight w:val="145"/>
        </w:trPr>
        <w:tc>
          <w:tcPr>
            <w:tcW w:w="86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36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w w:val="86"/>
              </w:rPr>
              <w:t>Securities</w:t>
            </w:r>
          </w:p>
        </w:tc>
        <w:tc>
          <w:tcPr>
            <w:tcW w:w="280" w:type="dxa"/>
            <w:vAlign w:val="bottom"/>
          </w:tcPr>
          <w:p>
            <w:pPr>
              <w:spacing w:after="0"/>
              <w:rPr>
                <w:sz w:val="12"/>
                <w:szCs w:val="12"/>
                <w:color w:val="auto"/>
              </w:rPr>
            </w:pPr>
          </w:p>
        </w:tc>
        <w:tc>
          <w:tcPr>
            <w:tcW w:w="206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w w:val="89"/>
              </w:rPr>
              <w:t>Weighted-Average</w:t>
            </w:r>
          </w:p>
        </w:tc>
        <w:tc>
          <w:tcPr>
            <w:tcW w:w="220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89"/>
              </w:rPr>
              <w:t>for Future Issuance</w:t>
            </w:r>
          </w:p>
        </w:tc>
        <w:tc>
          <w:tcPr>
            <w:tcW w:w="0" w:type="dxa"/>
            <w:vAlign w:val="bottom"/>
          </w:tcPr>
          <w:p>
            <w:pPr>
              <w:spacing w:after="0"/>
              <w:rPr>
                <w:sz w:val="1"/>
                <w:szCs w:val="1"/>
                <w:color w:val="auto"/>
              </w:rPr>
            </w:pPr>
          </w:p>
        </w:tc>
      </w:tr>
      <w:tr>
        <w:trPr>
          <w:trHeight w:val="145"/>
        </w:trPr>
        <w:tc>
          <w:tcPr>
            <w:tcW w:w="86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36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88"/>
              </w:rPr>
              <w:t>to be Issued Upon</w:t>
            </w:r>
          </w:p>
        </w:tc>
        <w:tc>
          <w:tcPr>
            <w:tcW w:w="280" w:type="dxa"/>
            <w:vAlign w:val="bottom"/>
          </w:tcPr>
          <w:p>
            <w:pPr>
              <w:spacing w:after="0"/>
              <w:rPr>
                <w:sz w:val="12"/>
                <w:szCs w:val="12"/>
                <w:color w:val="auto"/>
              </w:rPr>
            </w:pPr>
          </w:p>
        </w:tc>
        <w:tc>
          <w:tcPr>
            <w:tcW w:w="2060" w:type="dxa"/>
            <w:vAlign w:val="bottom"/>
            <w:gridSpan w:val="2"/>
            <w:vMerge w:val="continue"/>
          </w:tcPr>
          <w:p>
            <w:pPr>
              <w:spacing w:after="0"/>
              <w:rPr>
                <w:sz w:val="12"/>
                <w:szCs w:val="12"/>
                <w:color w:val="auto"/>
              </w:rPr>
            </w:pPr>
          </w:p>
        </w:tc>
        <w:tc>
          <w:tcPr>
            <w:tcW w:w="220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91"/>
              </w:rPr>
              <w:t>Under Equity</w:t>
            </w:r>
          </w:p>
        </w:tc>
        <w:tc>
          <w:tcPr>
            <w:tcW w:w="0" w:type="dxa"/>
            <w:vAlign w:val="bottom"/>
          </w:tcPr>
          <w:p>
            <w:pPr>
              <w:spacing w:after="0"/>
              <w:rPr>
                <w:sz w:val="1"/>
                <w:szCs w:val="1"/>
                <w:color w:val="auto"/>
              </w:rPr>
            </w:pPr>
          </w:p>
        </w:tc>
      </w:tr>
      <w:tr>
        <w:trPr>
          <w:trHeight w:val="145"/>
        </w:trPr>
        <w:tc>
          <w:tcPr>
            <w:tcW w:w="86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36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w w:val="88"/>
              </w:rPr>
              <w:t>Exercise of</w:t>
            </w:r>
          </w:p>
        </w:tc>
        <w:tc>
          <w:tcPr>
            <w:tcW w:w="280" w:type="dxa"/>
            <w:vAlign w:val="bottom"/>
          </w:tcPr>
          <w:p>
            <w:pPr>
              <w:spacing w:after="0"/>
              <w:rPr>
                <w:sz w:val="12"/>
                <w:szCs w:val="12"/>
                <w:color w:val="auto"/>
              </w:rPr>
            </w:pPr>
          </w:p>
        </w:tc>
        <w:tc>
          <w:tcPr>
            <w:tcW w:w="2060" w:type="dxa"/>
            <w:vAlign w:val="bottom"/>
            <w:gridSpan w:val="2"/>
          </w:tcPr>
          <w:p>
            <w:pPr>
              <w:jc w:val="center"/>
              <w:ind w:right="580"/>
              <w:spacing w:after="0" w:line="145" w:lineRule="exact"/>
              <w:rPr>
                <w:sz w:val="20"/>
                <w:szCs w:val="20"/>
                <w:color w:val="auto"/>
              </w:rPr>
            </w:pPr>
            <w:r>
              <w:rPr>
                <w:rFonts w:ascii="Arial" w:cs="Arial" w:eastAsia="Arial" w:hAnsi="Arial"/>
                <w:sz w:val="14"/>
                <w:szCs w:val="14"/>
                <w:b w:val="1"/>
                <w:bCs w:val="1"/>
                <w:color w:val="auto"/>
                <w:w w:val="88"/>
              </w:rPr>
              <w:t>Exercise Price of</w:t>
            </w:r>
          </w:p>
        </w:tc>
        <w:tc>
          <w:tcPr>
            <w:tcW w:w="220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89"/>
              </w:rPr>
              <w:t>Compensation Plans</w:t>
            </w:r>
          </w:p>
        </w:tc>
        <w:tc>
          <w:tcPr>
            <w:tcW w:w="0" w:type="dxa"/>
            <w:vAlign w:val="bottom"/>
          </w:tcPr>
          <w:p>
            <w:pPr>
              <w:spacing w:after="0"/>
              <w:rPr>
                <w:sz w:val="1"/>
                <w:szCs w:val="1"/>
                <w:color w:val="auto"/>
              </w:rPr>
            </w:pPr>
          </w:p>
        </w:tc>
      </w:tr>
      <w:tr>
        <w:trPr>
          <w:trHeight w:val="145"/>
        </w:trPr>
        <w:tc>
          <w:tcPr>
            <w:tcW w:w="4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236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92"/>
              </w:rPr>
              <w:t>Outstanding</w:t>
            </w:r>
          </w:p>
        </w:tc>
        <w:tc>
          <w:tcPr>
            <w:tcW w:w="280" w:type="dxa"/>
            <w:vAlign w:val="bottom"/>
          </w:tcPr>
          <w:p>
            <w:pPr>
              <w:spacing w:after="0"/>
              <w:rPr>
                <w:sz w:val="12"/>
                <w:szCs w:val="12"/>
                <w:color w:val="auto"/>
              </w:rPr>
            </w:pPr>
          </w:p>
        </w:tc>
        <w:tc>
          <w:tcPr>
            <w:tcW w:w="2060" w:type="dxa"/>
            <w:vAlign w:val="bottom"/>
            <w:gridSpan w:val="2"/>
          </w:tcPr>
          <w:p>
            <w:pPr>
              <w:jc w:val="center"/>
              <w:ind w:right="560"/>
              <w:spacing w:after="0" w:line="145" w:lineRule="exact"/>
              <w:rPr>
                <w:sz w:val="20"/>
                <w:szCs w:val="20"/>
                <w:color w:val="auto"/>
              </w:rPr>
            </w:pPr>
            <w:r>
              <w:rPr>
                <w:rFonts w:ascii="Arial" w:cs="Arial" w:eastAsia="Arial" w:hAnsi="Arial"/>
                <w:sz w:val="14"/>
                <w:szCs w:val="14"/>
                <w:b w:val="1"/>
                <w:bCs w:val="1"/>
                <w:color w:val="auto"/>
                <w:w w:val="89"/>
              </w:rPr>
              <w:t>Outstanding</w:t>
            </w:r>
          </w:p>
        </w:tc>
        <w:tc>
          <w:tcPr>
            <w:tcW w:w="220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89"/>
              </w:rPr>
              <w:t>(Excluding Securities</w:t>
            </w:r>
          </w:p>
        </w:tc>
        <w:tc>
          <w:tcPr>
            <w:tcW w:w="0" w:type="dxa"/>
            <w:vAlign w:val="bottom"/>
          </w:tcPr>
          <w:p>
            <w:pPr>
              <w:spacing w:after="0"/>
              <w:rPr>
                <w:sz w:val="1"/>
                <w:szCs w:val="1"/>
                <w:color w:val="auto"/>
              </w:rPr>
            </w:pPr>
          </w:p>
        </w:tc>
      </w:tr>
      <w:tr>
        <w:trPr>
          <w:trHeight w:val="160"/>
        </w:trPr>
        <w:tc>
          <w:tcPr>
            <w:tcW w:w="4520" w:type="dxa"/>
            <w:vAlign w:val="bottom"/>
            <w:gridSpan w:val="2"/>
            <w:vMerge w:val="continue"/>
          </w:tcPr>
          <w:p>
            <w:pPr>
              <w:spacing w:after="0"/>
              <w:rPr>
                <w:sz w:val="13"/>
                <w:szCs w:val="13"/>
                <w:color w:val="auto"/>
              </w:rPr>
            </w:pPr>
          </w:p>
        </w:tc>
        <w:tc>
          <w:tcPr>
            <w:tcW w:w="2360" w:type="dxa"/>
            <w:vAlign w:val="bottom"/>
            <w:gridSpan w:val="2"/>
          </w:tcPr>
          <w:p>
            <w:pPr>
              <w:jc w:val="center"/>
              <w:ind w:right="300"/>
              <w:spacing w:after="0" w:line="154" w:lineRule="exact"/>
              <w:rPr>
                <w:sz w:val="20"/>
                <w:szCs w:val="20"/>
                <w:color w:val="auto"/>
              </w:rPr>
            </w:pPr>
            <w:r>
              <w:rPr>
                <w:rFonts w:ascii="Arial" w:cs="Arial" w:eastAsia="Arial" w:hAnsi="Arial"/>
                <w:sz w:val="14"/>
                <w:szCs w:val="14"/>
                <w:b w:val="1"/>
                <w:bCs w:val="1"/>
                <w:color w:val="auto"/>
                <w:w w:val="89"/>
              </w:rPr>
              <w:t>Options or Rights</w:t>
            </w:r>
          </w:p>
        </w:tc>
        <w:tc>
          <w:tcPr>
            <w:tcW w:w="280" w:type="dxa"/>
            <w:vAlign w:val="bottom"/>
          </w:tcPr>
          <w:p>
            <w:pPr>
              <w:spacing w:after="0"/>
              <w:rPr>
                <w:sz w:val="13"/>
                <w:szCs w:val="13"/>
                <w:color w:val="auto"/>
              </w:rPr>
            </w:pPr>
          </w:p>
        </w:tc>
        <w:tc>
          <w:tcPr>
            <w:tcW w:w="2060" w:type="dxa"/>
            <w:vAlign w:val="bottom"/>
            <w:gridSpan w:val="2"/>
          </w:tcPr>
          <w:p>
            <w:pPr>
              <w:jc w:val="center"/>
              <w:ind w:right="560"/>
              <w:spacing w:after="0" w:line="154" w:lineRule="exact"/>
              <w:rPr>
                <w:sz w:val="20"/>
                <w:szCs w:val="20"/>
                <w:color w:val="auto"/>
              </w:rPr>
            </w:pPr>
            <w:r>
              <w:rPr>
                <w:rFonts w:ascii="Arial" w:cs="Arial" w:eastAsia="Arial" w:hAnsi="Arial"/>
                <w:sz w:val="14"/>
                <w:szCs w:val="14"/>
                <w:b w:val="1"/>
                <w:bCs w:val="1"/>
                <w:color w:val="auto"/>
                <w:w w:val="89"/>
              </w:rPr>
              <w:t>Options or Rights</w:t>
            </w:r>
          </w:p>
        </w:tc>
        <w:tc>
          <w:tcPr>
            <w:tcW w:w="2200" w:type="dxa"/>
            <w:vAlign w:val="bottom"/>
            <w:gridSpan w:val="2"/>
          </w:tcPr>
          <w:p>
            <w:pPr>
              <w:jc w:val="center"/>
              <w:ind w:right="120"/>
              <w:spacing w:after="0" w:line="154" w:lineRule="exact"/>
              <w:rPr>
                <w:sz w:val="20"/>
                <w:szCs w:val="20"/>
                <w:color w:val="auto"/>
              </w:rPr>
            </w:pPr>
            <w:r>
              <w:rPr>
                <w:rFonts w:ascii="Arial" w:cs="Arial" w:eastAsia="Arial" w:hAnsi="Arial"/>
                <w:sz w:val="14"/>
                <w:szCs w:val="14"/>
                <w:b w:val="1"/>
                <w:bCs w:val="1"/>
                <w:color w:val="auto"/>
                <w:w w:val="90"/>
              </w:rPr>
              <w:t>Reflected in Column A)</w:t>
            </w:r>
          </w:p>
        </w:tc>
        <w:tc>
          <w:tcPr>
            <w:tcW w:w="0" w:type="dxa"/>
            <w:vAlign w:val="bottom"/>
          </w:tcPr>
          <w:p>
            <w:pPr>
              <w:spacing w:after="0"/>
              <w:rPr>
                <w:sz w:val="1"/>
                <w:szCs w:val="1"/>
                <w:color w:val="auto"/>
              </w:rPr>
            </w:pPr>
          </w:p>
        </w:tc>
      </w:tr>
      <w:tr>
        <w:trPr>
          <w:trHeight w:val="158"/>
        </w:trPr>
        <w:tc>
          <w:tcPr>
            <w:tcW w:w="860" w:type="dxa"/>
            <w:vAlign w:val="bottom"/>
            <w:tcBorders>
              <w:top w:val="single" w:sz="8" w:color="auto"/>
            </w:tcBorders>
          </w:tcPr>
          <w:p>
            <w:pPr>
              <w:spacing w:after="0"/>
              <w:rPr>
                <w:sz w:val="13"/>
                <w:szCs w:val="13"/>
                <w:color w:val="auto"/>
              </w:rPr>
            </w:pPr>
          </w:p>
        </w:tc>
        <w:tc>
          <w:tcPr>
            <w:tcW w:w="3660" w:type="dxa"/>
            <w:vAlign w:val="bottom"/>
          </w:tcPr>
          <w:p>
            <w:pPr>
              <w:spacing w:after="0"/>
              <w:rPr>
                <w:sz w:val="13"/>
                <w:szCs w:val="13"/>
                <w:color w:val="auto"/>
              </w:rPr>
            </w:pPr>
          </w:p>
        </w:tc>
        <w:tc>
          <w:tcPr>
            <w:tcW w:w="2080" w:type="dxa"/>
            <w:vAlign w:val="bottom"/>
            <w:tcBorders>
              <w:top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rPr>
              <w:t>(A)</w:t>
            </w:r>
          </w:p>
        </w:tc>
        <w:tc>
          <w:tcPr>
            <w:tcW w:w="28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800" w:type="dxa"/>
            <w:vAlign w:val="bottom"/>
            <w:tcBorders>
              <w:top w:val="single" w:sz="8" w:color="auto"/>
            </w:tcBorders>
          </w:tcPr>
          <w:p>
            <w:pPr>
              <w:jc w:val="center"/>
              <w:ind w:right="223"/>
              <w:spacing w:after="0" w:line="158" w:lineRule="exact"/>
              <w:rPr>
                <w:sz w:val="20"/>
                <w:szCs w:val="20"/>
                <w:color w:val="auto"/>
              </w:rPr>
            </w:pPr>
            <w:r>
              <w:rPr>
                <w:rFonts w:ascii="Arial" w:cs="Arial" w:eastAsia="Arial" w:hAnsi="Arial"/>
                <w:sz w:val="14"/>
                <w:szCs w:val="14"/>
                <w:b w:val="1"/>
                <w:bCs w:val="1"/>
                <w:color w:val="auto"/>
                <w:w w:val="92"/>
              </w:rPr>
              <w:t>(B)</w:t>
            </w:r>
          </w:p>
        </w:tc>
        <w:tc>
          <w:tcPr>
            <w:tcW w:w="260" w:type="dxa"/>
            <w:vAlign w:val="bottom"/>
          </w:tcPr>
          <w:p>
            <w:pPr>
              <w:spacing w:after="0"/>
              <w:rPr>
                <w:sz w:val="13"/>
                <w:szCs w:val="13"/>
                <w:color w:val="auto"/>
              </w:rPr>
            </w:pPr>
          </w:p>
        </w:tc>
        <w:tc>
          <w:tcPr>
            <w:tcW w:w="2080" w:type="dxa"/>
            <w:vAlign w:val="bottom"/>
            <w:tcBorders>
              <w:top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rPr>
              <w:t>(C)</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4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Equity compensation plans approved</w:t>
            </w:r>
          </w:p>
        </w:tc>
        <w:tc>
          <w:tcPr>
            <w:tcW w:w="2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by security holders</w:t>
            </w:r>
          </w:p>
        </w:tc>
        <w:tc>
          <w:tcPr>
            <w:tcW w:w="2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135,827</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3"/>
              <w:spacing w:after="0"/>
              <w:rPr>
                <w:sz w:val="20"/>
                <w:szCs w:val="20"/>
                <w:color w:val="auto"/>
              </w:rPr>
            </w:pPr>
            <w:r>
              <w:rPr>
                <w:rFonts w:ascii="Arial" w:cs="Arial" w:eastAsia="Arial" w:hAnsi="Arial"/>
                <w:sz w:val="15"/>
                <w:szCs w:val="15"/>
                <w:color w:val="auto"/>
                <w:w w:val="71"/>
              </w:rPr>
              <w:t>$</w:t>
            </w: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81.68</w:t>
            </w:r>
          </w:p>
        </w:tc>
        <w:tc>
          <w:tcPr>
            <w:tcW w:w="260" w:type="dxa"/>
            <w:vAlign w:val="bottom"/>
            <w:shd w:val="clear" w:color="auto" w:fill="CFF0FC"/>
          </w:tcPr>
          <w:p>
            <w:pPr>
              <w:spacing w:after="0"/>
              <w:rPr>
                <w:sz w:val="19"/>
                <w:szCs w:val="19"/>
                <w:color w:val="auto"/>
              </w:rPr>
            </w:pPr>
          </w:p>
        </w:tc>
        <w:tc>
          <w:tcPr>
            <w:tcW w:w="2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3,278,036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52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w:t>
            </w:r>
          </w:p>
        </w:tc>
        <w:tc>
          <w:tcPr>
            <w:tcW w:w="2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20" w:type="dxa"/>
            <w:vAlign w:val="bottom"/>
            <w:tcBorders>
              <w:bottom w:val="single" w:sz="8" w:color="CFF0FC"/>
            </w:tcBorders>
            <w:gridSpan w:val="2"/>
          </w:tcPr>
          <w:p>
            <w:pPr>
              <w:ind w:left="140"/>
              <w:spacing w:after="0"/>
              <w:rPr>
                <w:sz w:val="20"/>
                <w:szCs w:val="20"/>
                <w:color w:val="auto"/>
              </w:rPr>
            </w:pPr>
            <w:r>
              <w:rPr>
                <w:rFonts w:ascii="Arial" w:cs="Arial" w:eastAsia="Arial" w:hAnsi="Arial"/>
                <w:sz w:val="18"/>
                <w:szCs w:val="18"/>
                <w:color w:val="auto"/>
              </w:rPr>
              <w:t>by security holders</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23,078</w:t>
            </w:r>
          </w:p>
        </w:tc>
        <w:tc>
          <w:tcPr>
            <w:tcW w:w="2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85.36</w:t>
            </w:r>
          </w:p>
        </w:tc>
        <w:tc>
          <w:tcPr>
            <w:tcW w:w="260" w:type="dxa"/>
            <w:vAlign w:val="bottom"/>
            <w:tcBorders>
              <w:bottom w:val="single" w:sz="8" w:color="CFF0FC"/>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40,676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520" w:type="dxa"/>
            <w:vAlign w:val="bottom"/>
            <w:tcBorders>
              <w:bottom w:val="single" w:sz="8" w:color="CFF0FC"/>
            </w:tcBorders>
            <w:gridSpan w:val="2"/>
            <w:shd w:val="clear" w:color="auto" w:fill="CFF0FC"/>
          </w:tcPr>
          <w:p>
            <w:pPr>
              <w:ind w:left="480"/>
              <w:spacing w:after="0"/>
              <w:rPr>
                <w:sz w:val="20"/>
                <w:szCs w:val="20"/>
                <w:color w:val="auto"/>
              </w:rPr>
            </w:pPr>
            <w:r>
              <w:rPr>
                <w:rFonts w:ascii="Arial" w:cs="Arial" w:eastAsia="Arial" w:hAnsi="Arial"/>
                <w:sz w:val="18"/>
                <w:szCs w:val="18"/>
                <w:color w:val="auto"/>
              </w:rPr>
              <w:t>Total</w:t>
            </w:r>
          </w:p>
        </w:tc>
        <w:tc>
          <w:tcPr>
            <w:tcW w:w="2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158,905</w:t>
            </w:r>
          </w:p>
        </w:tc>
        <w:tc>
          <w:tcPr>
            <w:tcW w:w="2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123"/>
              <w:spacing w:after="0"/>
              <w:rPr>
                <w:sz w:val="20"/>
                <w:szCs w:val="20"/>
                <w:color w:val="auto"/>
              </w:rPr>
            </w:pPr>
            <w:r>
              <w:rPr>
                <w:rFonts w:ascii="Arial" w:cs="Arial" w:eastAsia="Arial" w:hAnsi="Arial"/>
                <w:sz w:val="15"/>
                <w:szCs w:val="15"/>
                <w:color w:val="auto"/>
                <w:w w:val="71"/>
              </w:rPr>
              <w:t>$</w:t>
            </w:r>
          </w:p>
        </w:tc>
        <w:tc>
          <w:tcPr>
            <w:tcW w:w="1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82.22</w:t>
            </w:r>
          </w:p>
        </w:tc>
        <w:tc>
          <w:tcPr>
            <w:tcW w:w="260" w:type="dxa"/>
            <w:vAlign w:val="bottom"/>
            <w:tcBorders>
              <w:bottom w:val="single" w:sz="8" w:color="CFF0FC"/>
            </w:tcBorders>
            <w:shd w:val="clear" w:color="auto" w:fill="CFF0FC"/>
          </w:tcPr>
          <w:p>
            <w:pPr>
              <w:spacing w:after="0"/>
              <w:rPr>
                <w:sz w:val="18"/>
                <w:szCs w:val="18"/>
                <w:color w:val="auto"/>
              </w:rPr>
            </w:pPr>
          </w:p>
        </w:tc>
        <w:tc>
          <w:tcPr>
            <w:tcW w:w="2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3,318,712</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13601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152" w:lineRule="exact"/>
        <w:rPr>
          <w:sz w:val="20"/>
          <w:szCs w:val="20"/>
          <w:color w:val="auto"/>
        </w:rPr>
      </w:pPr>
    </w:p>
    <w:p>
      <w:pPr>
        <w:ind w:left="600" w:right="40" w:hanging="595"/>
        <w:spacing w:after="0" w:line="252" w:lineRule="auto"/>
        <w:tabs>
          <w:tab w:leader="none" w:pos="60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As of December 31, 2017, a total of 537,090 shares of M&amp;T common stock were issuable upon exercise of outstanding options or rights assumed by M&amp;T in connection with merger and acquisition transactions. The weighted-average exercise price of those outstanding options or rights is $168.81 per common share.</w:t>
      </w:r>
    </w:p>
    <w:p>
      <w:pPr>
        <w:spacing w:after="0" w:line="201" w:lineRule="exact"/>
        <w:rPr>
          <w:sz w:val="20"/>
          <w:szCs w:val="20"/>
          <w:color w:val="auto"/>
        </w:rPr>
      </w:pPr>
    </w:p>
    <w:p>
      <w:pPr>
        <w:ind w:left="600"/>
        <w:spacing w:after="0"/>
        <w:rPr>
          <w:sz w:val="20"/>
          <w:szCs w:val="20"/>
          <w:color w:val="auto"/>
        </w:rPr>
      </w:pPr>
      <w:r>
        <w:rPr>
          <w:rFonts w:ascii="Arial" w:cs="Arial" w:eastAsia="Arial" w:hAnsi="Arial"/>
          <w:sz w:val="20"/>
          <w:szCs w:val="20"/>
          <w:color w:val="auto"/>
        </w:rPr>
        <w:t>Equity compensation plans adopted without the approval of shareholders are described below:</w:t>
      </w:r>
    </w:p>
    <w:p>
      <w:pPr>
        <w:spacing w:after="0" w:line="213" w:lineRule="exact"/>
        <w:rPr>
          <w:sz w:val="20"/>
          <w:szCs w:val="20"/>
          <w:color w:val="auto"/>
        </w:rPr>
      </w:pPr>
    </w:p>
    <w:p>
      <w:pPr>
        <w:ind w:right="80" w:firstLine="598"/>
        <w:spacing w:after="0" w:line="257" w:lineRule="auto"/>
        <w:rPr>
          <w:sz w:val="20"/>
          <w:szCs w:val="20"/>
          <w:color w:val="auto"/>
        </w:rPr>
      </w:pPr>
      <w:r>
        <w:rPr>
          <w:rFonts w:ascii="Arial" w:cs="Arial" w:eastAsia="Arial" w:hAnsi="Arial"/>
          <w:sz w:val="20"/>
          <w:szCs w:val="20"/>
          <w:b w:val="1"/>
          <w:bCs w:val="1"/>
          <w:u w:val="single" w:color="auto"/>
          <w:color w:val="auto"/>
        </w:rPr>
        <w:t>2008 Directors’ Stock Plan</w:t>
      </w:r>
      <w:r>
        <w:rPr>
          <w:rFonts w:ascii="Arial" w:cs="Arial" w:eastAsia="Arial" w:hAnsi="Arial"/>
          <w:sz w:val="20"/>
          <w:szCs w:val="20"/>
          <w:b w:val="1"/>
          <w:bCs w:val="1"/>
          <w:color w:val="auto"/>
        </w:rPr>
        <w:t xml:space="preserve">. </w:t>
      </w:r>
      <w:r>
        <w:rPr>
          <w:rFonts w:ascii="Arial" w:cs="Arial" w:eastAsia="Arial" w:hAnsi="Arial"/>
          <w:sz w:val="20"/>
          <w:szCs w:val="20"/>
          <w:color w:val="auto"/>
        </w:rPr>
        <w:t>M&amp;T maintains a plan for non-employee members of the Board of Directors of M&amp;T and the members</w:t>
      </w:r>
      <w:r>
        <w:rPr>
          <w:rFonts w:ascii="Arial" w:cs="Arial" w:eastAsia="Arial" w:hAnsi="Arial"/>
          <w:sz w:val="20"/>
          <w:szCs w:val="20"/>
          <w:b w:val="1"/>
          <w:bCs w:val="1"/>
          <w:color w:val="auto"/>
        </w:rPr>
        <w:t xml:space="preserve"> </w:t>
      </w:r>
      <w:r>
        <w:rPr>
          <w:rFonts w:ascii="Arial" w:cs="Arial" w:eastAsia="Arial" w:hAnsi="Arial"/>
          <w:sz w:val="20"/>
          <w:szCs w:val="20"/>
          <w:color w:val="auto"/>
        </w:rPr>
        <w:t>of its Directors Advisory Council, and the non-employee members of the Board of Directors of M&amp;T Bank and the members of its regional Directors Advisory Councils, which allows such directors, advisory directors and members of regional Directors Advisory Councils to receive all or a portion of their directorial compensation in shares of M&amp;T common stock.</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3" w:name="page44"/>
    <w:bookmarkEnd w:id="43"/>
    <w:p>
      <w:pPr>
        <w:ind w:right="40" w:firstLine="598"/>
        <w:spacing w:after="0" w:line="290" w:lineRule="auto"/>
        <w:rPr>
          <w:sz w:val="20"/>
          <w:szCs w:val="20"/>
          <w:color w:val="auto"/>
        </w:rPr>
      </w:pPr>
      <w:r>
        <w:rPr>
          <w:rFonts w:ascii="Arial" w:cs="Arial" w:eastAsia="Arial" w:hAnsi="Arial"/>
          <w:sz w:val="18"/>
          <w:szCs w:val="18"/>
          <w:b w:val="1"/>
          <w:bCs w:val="1"/>
          <w:u w:val="single" w:color="auto"/>
          <w:color w:val="auto"/>
        </w:rPr>
        <w:t>Deferred Bonus Plan</w:t>
      </w:r>
      <w:r>
        <w:rPr>
          <w:rFonts w:ascii="Arial" w:cs="Arial" w:eastAsia="Arial" w:hAnsi="Arial"/>
          <w:sz w:val="18"/>
          <w:szCs w:val="18"/>
          <w:b w:val="1"/>
          <w:bCs w:val="1"/>
          <w:color w:val="auto"/>
        </w:rPr>
        <w:t xml:space="preserve">. </w:t>
      </w:r>
      <w:r>
        <w:rPr>
          <w:rFonts w:ascii="Arial" w:cs="Arial" w:eastAsia="Arial" w:hAnsi="Arial"/>
          <w:sz w:val="18"/>
          <w:szCs w:val="18"/>
          <w:color w:val="auto"/>
        </w:rPr>
        <w:t>M&amp;T maintains a deferred bonus plan which was frozen effective January 1, 2010 and did not allow any</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additional deferrals after that date. Prior to January 1, 2010, the plan allowed eligible officers of M&amp;T and its subsidiaries to elect to defer all or a portion of their annual incentive compensation awards and allocate such awards to several investment options, including M&amp;T common stock. At the time of the deferral election, participants also elected the timing of distributions from the plan. Such distributions are payable in cash, with the exception of balances allocated to M&amp;T common stock which are distributable in the form of shares of common stock.</w:t>
      </w: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Performance Graph</w:t>
      </w:r>
    </w:p>
    <w:p>
      <w:pPr>
        <w:spacing w:after="0" w:line="29" w:lineRule="exact"/>
        <w:rPr>
          <w:sz w:val="20"/>
          <w:szCs w:val="20"/>
          <w:color w:val="auto"/>
        </w:rPr>
      </w:pPr>
    </w:p>
    <w:p>
      <w:pPr>
        <w:spacing w:after="0" w:line="249" w:lineRule="auto"/>
        <w:rPr>
          <w:sz w:val="20"/>
          <w:szCs w:val="20"/>
          <w:color w:val="auto"/>
        </w:rPr>
      </w:pPr>
      <w:r>
        <w:rPr>
          <w:rFonts w:ascii="Arial" w:cs="Arial" w:eastAsia="Arial" w:hAnsi="Arial"/>
          <w:sz w:val="20"/>
          <w:szCs w:val="20"/>
          <w:color w:val="auto"/>
        </w:rPr>
        <w:t>The following graph contains a comparison of the cumulative shareholder return on M&amp;T common stock against the cumulative total returns of the KBW Nasdaq Bank Index, compiled by Keefe, Bruyette &amp; Woods, Inc., and the S&amp;P 500 Index, compiled by Standard &amp; Poor’s Corporation, for the five-year period beginning on December 31, 2012 and ending on December 31, 2017. The KBW Nasdaq Bank Index is a market capitalization index consisting of 24 banking stocks representing leading large U.S. national money centers, regional banks and thrift institutions.</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Comparison of Five-Year Cumulative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1388110</wp:posOffset>
            </wp:positionH>
            <wp:positionV relativeFrom="paragraph">
              <wp:posOffset>15240</wp:posOffset>
            </wp:positionV>
            <wp:extent cx="4488815" cy="24949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488815" cy="2494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Shareholder Value at Year End*</w:t>
      </w:r>
    </w:p>
    <w:p>
      <w:pPr>
        <w:spacing w:after="0" w:line="214" w:lineRule="exact"/>
        <w:rPr>
          <w:sz w:val="20"/>
          <w:szCs w:val="20"/>
          <w:color w:val="auto"/>
        </w:rPr>
      </w:pPr>
    </w:p>
    <w:tbl>
      <w:tblPr>
        <w:tblLayout w:type="fixed"/>
        <w:tblInd w:w="590" w:type="dxa"/>
        <w:tblCellMar>
          <w:top w:w="0" w:type="dxa"/>
          <w:left w:w="0" w:type="dxa"/>
          <w:bottom w:w="0" w:type="dxa"/>
          <w:right w:w="0" w:type="dxa"/>
        </w:tblCellMar>
      </w:tblPr>
      <w:tr>
        <w:trPr>
          <w:trHeight w:val="237"/>
        </w:trPr>
        <w:tc>
          <w:tcPr>
            <w:tcW w:w="4220" w:type="dxa"/>
            <w:vAlign w:val="bottom"/>
            <w:tcBorders>
              <w:top w:val="single" w:sz="8" w:color="auto"/>
              <w:left w:val="single" w:sz="8" w:color="auto"/>
              <w:bottom w:val="single" w:sz="8" w:color="auto"/>
              <w:right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420" w:type="dxa"/>
            <w:vAlign w:val="bottom"/>
            <w:tcBorders>
              <w:top w:val="single" w:sz="8" w:color="auto"/>
              <w:bottom w:val="single" w:sz="8" w:color="auto"/>
              <w:right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420" w:type="dxa"/>
            <w:vAlign w:val="bottom"/>
            <w:tcBorders>
              <w:top w:val="single" w:sz="8" w:color="auto"/>
              <w:bottom w:val="single" w:sz="8" w:color="auto"/>
              <w:right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400" w:type="dxa"/>
            <w:vAlign w:val="bottom"/>
            <w:tcBorders>
              <w:top w:val="single" w:sz="8" w:color="auto"/>
              <w:bottom w:val="single" w:sz="8" w:color="auto"/>
              <w:right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400" w:type="dxa"/>
            <w:vAlign w:val="bottom"/>
            <w:tcBorders>
              <w:top w:val="single" w:sz="8" w:color="auto"/>
              <w:bottom w:val="single" w:sz="8" w:color="auto"/>
              <w:right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top w:val="single" w:sz="8" w:color="auto"/>
              <w:bottom w:val="single" w:sz="8" w:color="auto"/>
              <w:right w:val="single" w:sz="8" w:color="auto"/>
            </w:tcBorders>
          </w:tcPr>
          <w:p>
            <w:pPr>
              <w:spacing w:after="0"/>
              <w:rPr>
                <w:sz w:val="20"/>
                <w:szCs w:val="20"/>
                <w:color w:val="auto"/>
              </w:rPr>
            </w:pPr>
          </w:p>
        </w:tc>
        <w:tc>
          <w:tcPr>
            <w:tcW w:w="1020" w:type="dxa"/>
            <w:vAlign w:val="bottom"/>
            <w:tcBorders>
              <w:top w:val="single" w:sz="8" w:color="auto"/>
              <w:bottom w:val="single" w:sz="8" w:color="auto"/>
              <w:right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2017</w:t>
            </w:r>
          </w:p>
        </w:tc>
      </w:tr>
      <w:tr>
        <w:trPr>
          <w:trHeight w:val="216"/>
        </w:trPr>
        <w:tc>
          <w:tcPr>
            <w:tcW w:w="4220" w:type="dxa"/>
            <w:vAlign w:val="bottom"/>
            <w:tcBorders>
              <w:left w:val="single" w:sz="8" w:color="auto"/>
              <w:bottom w:val="single" w:sz="8" w:color="auto"/>
              <w:right w:val="single" w:sz="8" w:color="auto"/>
            </w:tcBorders>
            <w:shd w:val="clear" w:color="auto" w:fill="CFF0FC"/>
          </w:tcPr>
          <w:p>
            <w:pPr>
              <w:ind w:left="140"/>
              <w:spacing w:after="0"/>
              <w:rPr>
                <w:sz w:val="20"/>
                <w:szCs w:val="20"/>
                <w:color w:val="auto"/>
              </w:rPr>
            </w:pPr>
            <w:r>
              <w:rPr>
                <w:rFonts w:ascii="Arial" w:cs="Arial" w:eastAsia="Arial" w:hAnsi="Arial"/>
                <w:sz w:val="18"/>
                <w:szCs w:val="18"/>
                <w:color w:val="auto"/>
              </w:rPr>
              <w:t>M&amp;T Bank Corporation</w:t>
            </w:r>
          </w:p>
        </w:tc>
        <w:tc>
          <w:tcPr>
            <w:tcW w:w="620" w:type="dxa"/>
            <w:vAlign w:val="bottom"/>
            <w:tcBorders>
              <w:bottom w:val="single" w:sz="8" w:color="auto"/>
            </w:tcBorders>
            <w:shd w:val="clear" w:color="auto" w:fill="CFF0FC"/>
          </w:tcPr>
          <w:p>
            <w:pPr>
              <w:jc w:val="right"/>
              <w:ind w:right="467"/>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right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w w:val="86"/>
              </w:rPr>
              <w:t>100</w:t>
            </w:r>
          </w:p>
        </w:tc>
        <w:tc>
          <w:tcPr>
            <w:tcW w:w="58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right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w w:val="86"/>
              </w:rPr>
              <w:t>121</w:t>
            </w:r>
          </w:p>
        </w:tc>
        <w:tc>
          <w:tcPr>
            <w:tcW w:w="58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right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w w:val="86"/>
              </w:rPr>
              <w:t>134</w:t>
            </w:r>
          </w:p>
        </w:tc>
        <w:tc>
          <w:tcPr>
            <w:tcW w:w="60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right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w w:val="86"/>
              </w:rPr>
              <w:t>132</w:t>
            </w:r>
          </w:p>
        </w:tc>
        <w:tc>
          <w:tcPr>
            <w:tcW w:w="60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right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w w:val="86"/>
              </w:rPr>
              <w:t>175</w:t>
            </w:r>
          </w:p>
        </w:tc>
        <w:tc>
          <w:tcPr>
            <w:tcW w:w="1020" w:type="dxa"/>
            <w:vAlign w:val="bottom"/>
            <w:tcBorders>
              <w:bottom w:val="single" w:sz="8" w:color="auto"/>
              <w:right w:val="single" w:sz="8" w:color="auto"/>
            </w:tcBorders>
            <w:shd w:val="clear" w:color="auto" w:fill="CFF0FC"/>
          </w:tcPr>
          <w:p>
            <w:pPr>
              <w:jc w:val="right"/>
              <w:ind w:right="57"/>
              <w:spacing w:after="0"/>
              <w:rPr>
                <w:sz w:val="20"/>
                <w:szCs w:val="20"/>
                <w:color w:val="auto"/>
              </w:rPr>
            </w:pPr>
            <w:r>
              <w:rPr>
                <w:rFonts w:ascii="Arial" w:cs="Arial" w:eastAsia="Arial" w:hAnsi="Arial"/>
                <w:sz w:val="18"/>
                <w:szCs w:val="18"/>
                <w:color w:val="auto"/>
              </w:rPr>
              <w:t>194</w:t>
            </w:r>
          </w:p>
        </w:tc>
      </w:tr>
      <w:tr>
        <w:trPr>
          <w:trHeight w:val="217"/>
        </w:trPr>
        <w:tc>
          <w:tcPr>
            <w:tcW w:w="422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KBW Nasdaq Bank Index</w:t>
            </w:r>
          </w:p>
        </w:tc>
        <w:tc>
          <w:tcPr>
            <w:tcW w:w="62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8"/>
                <w:szCs w:val="18"/>
                <w:color w:val="auto"/>
                <w:w w:val="86"/>
              </w:rPr>
              <w:t>100</w:t>
            </w:r>
          </w:p>
        </w:tc>
        <w:tc>
          <w:tcPr>
            <w:tcW w:w="58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8"/>
                <w:szCs w:val="18"/>
                <w:color w:val="auto"/>
                <w:w w:val="86"/>
              </w:rPr>
              <w:t>138</w:t>
            </w:r>
          </w:p>
        </w:tc>
        <w:tc>
          <w:tcPr>
            <w:tcW w:w="58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8"/>
                <w:szCs w:val="18"/>
                <w:color w:val="auto"/>
                <w:w w:val="86"/>
              </w:rPr>
              <w:t>151</w:t>
            </w:r>
          </w:p>
        </w:tc>
        <w:tc>
          <w:tcPr>
            <w:tcW w:w="60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8"/>
                <w:szCs w:val="18"/>
                <w:color w:val="auto"/>
                <w:w w:val="86"/>
              </w:rPr>
              <w:t>151</w:t>
            </w:r>
          </w:p>
        </w:tc>
        <w:tc>
          <w:tcPr>
            <w:tcW w:w="60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8"/>
                <w:szCs w:val="18"/>
                <w:color w:val="auto"/>
                <w:w w:val="86"/>
              </w:rPr>
              <w:t>195</w:t>
            </w:r>
          </w:p>
        </w:tc>
        <w:tc>
          <w:tcPr>
            <w:tcW w:w="1020" w:type="dxa"/>
            <w:vAlign w:val="bottom"/>
            <w:tcBorders>
              <w:bottom w:val="single" w:sz="8" w:color="auto"/>
              <w:right w:val="single" w:sz="8" w:color="auto"/>
            </w:tcBorders>
          </w:tcPr>
          <w:p>
            <w:pPr>
              <w:jc w:val="right"/>
              <w:ind w:right="57"/>
              <w:spacing w:after="0"/>
              <w:rPr>
                <w:sz w:val="20"/>
                <w:szCs w:val="20"/>
                <w:color w:val="auto"/>
              </w:rPr>
            </w:pPr>
            <w:r>
              <w:rPr>
                <w:rFonts w:ascii="Arial" w:cs="Arial" w:eastAsia="Arial" w:hAnsi="Arial"/>
                <w:sz w:val="18"/>
                <w:szCs w:val="18"/>
                <w:color w:val="auto"/>
              </w:rPr>
              <w:t>231</w:t>
            </w:r>
          </w:p>
        </w:tc>
      </w:tr>
      <w:tr>
        <w:trPr>
          <w:trHeight w:val="217"/>
        </w:trPr>
        <w:tc>
          <w:tcPr>
            <w:tcW w:w="4220" w:type="dxa"/>
            <w:vAlign w:val="bottom"/>
            <w:tcBorders>
              <w:left w:val="single" w:sz="8" w:color="auto"/>
              <w:bottom w:val="single" w:sz="8" w:color="auto"/>
              <w:right w:val="single" w:sz="8" w:color="auto"/>
            </w:tcBorders>
            <w:shd w:val="clear" w:color="auto" w:fill="CFF0FC"/>
          </w:tcPr>
          <w:p>
            <w:pPr>
              <w:ind w:left="140"/>
              <w:spacing w:after="0"/>
              <w:rPr>
                <w:sz w:val="20"/>
                <w:szCs w:val="20"/>
                <w:color w:val="auto"/>
              </w:rPr>
            </w:pPr>
            <w:r>
              <w:rPr>
                <w:rFonts w:ascii="Arial" w:cs="Arial" w:eastAsia="Arial" w:hAnsi="Arial"/>
                <w:sz w:val="18"/>
                <w:szCs w:val="18"/>
                <w:color w:val="auto"/>
              </w:rPr>
              <w:t>S&amp;P 500 Index</w:t>
            </w:r>
          </w:p>
        </w:tc>
        <w:tc>
          <w:tcPr>
            <w:tcW w:w="62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right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w w:val="86"/>
              </w:rPr>
              <w:t>100</w:t>
            </w:r>
          </w:p>
        </w:tc>
        <w:tc>
          <w:tcPr>
            <w:tcW w:w="58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right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w w:val="86"/>
              </w:rPr>
              <w:t>132</w:t>
            </w:r>
          </w:p>
        </w:tc>
        <w:tc>
          <w:tcPr>
            <w:tcW w:w="58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right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w w:val="86"/>
              </w:rPr>
              <w:t>151</w:t>
            </w:r>
          </w:p>
        </w:tc>
        <w:tc>
          <w:tcPr>
            <w:tcW w:w="60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right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w w:val="86"/>
              </w:rPr>
              <w:t>153</w:t>
            </w:r>
          </w:p>
        </w:tc>
        <w:tc>
          <w:tcPr>
            <w:tcW w:w="60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right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w w:val="86"/>
              </w:rPr>
              <w:t>171</w:t>
            </w:r>
          </w:p>
        </w:tc>
        <w:tc>
          <w:tcPr>
            <w:tcW w:w="1020" w:type="dxa"/>
            <w:vAlign w:val="bottom"/>
            <w:tcBorders>
              <w:bottom w:val="single" w:sz="8" w:color="auto"/>
              <w:right w:val="single" w:sz="8" w:color="auto"/>
            </w:tcBorders>
            <w:shd w:val="clear" w:color="auto" w:fill="CFF0FC"/>
          </w:tcPr>
          <w:p>
            <w:pPr>
              <w:jc w:val="right"/>
              <w:ind w:right="57"/>
              <w:spacing w:after="0"/>
              <w:rPr>
                <w:sz w:val="20"/>
                <w:szCs w:val="20"/>
                <w:color w:val="auto"/>
              </w:rPr>
            </w:pPr>
            <w:r>
              <w:rPr>
                <w:rFonts w:ascii="Arial" w:cs="Arial" w:eastAsia="Arial" w:hAnsi="Arial"/>
                <w:sz w:val="18"/>
                <w:szCs w:val="18"/>
                <w:color w:val="auto"/>
              </w:rPr>
              <w:t>208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13601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150" w:lineRule="exact"/>
        <w:rPr>
          <w:sz w:val="20"/>
          <w:szCs w:val="20"/>
          <w:color w:val="auto"/>
        </w:rPr>
      </w:pPr>
    </w:p>
    <w:p>
      <w:pPr>
        <w:ind w:left="40"/>
        <w:spacing w:after="0"/>
        <w:rPr>
          <w:sz w:val="20"/>
          <w:szCs w:val="20"/>
          <w:color w:val="auto"/>
        </w:rPr>
      </w:pPr>
      <w:r>
        <w:rPr>
          <w:rFonts w:ascii="Arial" w:cs="Arial" w:eastAsia="Arial" w:hAnsi="Arial"/>
          <w:sz w:val="20"/>
          <w:szCs w:val="20"/>
          <w:i w:val="1"/>
          <w:iCs w:val="1"/>
          <w:color w:val="auto"/>
        </w:rPr>
        <w:t>* Assumes a $100 investment on December 31, 2012 and reinvestment of all dividends.</w:t>
      </w:r>
    </w:p>
    <w:p>
      <w:pPr>
        <w:spacing w:after="0" w:line="217" w:lineRule="exact"/>
        <w:rPr>
          <w:sz w:val="20"/>
          <w:szCs w:val="20"/>
          <w:color w:val="auto"/>
        </w:rPr>
      </w:pPr>
    </w:p>
    <w:p>
      <w:pPr>
        <w:ind w:right="120" w:firstLine="598"/>
        <w:spacing w:after="0" w:line="256" w:lineRule="auto"/>
        <w:rPr>
          <w:sz w:val="20"/>
          <w:szCs w:val="20"/>
          <w:color w:val="auto"/>
        </w:rPr>
      </w:pPr>
      <w:r>
        <w:rPr>
          <w:rFonts w:ascii="Arial" w:cs="Arial" w:eastAsia="Arial" w:hAnsi="Arial"/>
          <w:sz w:val="20"/>
          <w:szCs w:val="20"/>
          <w:color w:val="auto"/>
        </w:rPr>
        <w:t>In accordance with and to the extent permitted by applicable law or regulation, the information set forth above under the heading “Performance Graph” shall not be incorporated by reference into any future filing under the Securities Act of 1933, as amended (the “Securities Act”), or the Exchange Act and shall not be deemed to be “soliciting material” or to be “filed” with the SEC under the Securities Act or the Exchange Act.</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4" w:name="page45"/>
    <w:bookmarkEnd w:id="44"/>
    <w:p>
      <w:pPr>
        <w:spacing w:after="0"/>
        <w:rPr>
          <w:sz w:val="20"/>
          <w:szCs w:val="20"/>
          <w:color w:val="auto"/>
        </w:rPr>
      </w:pPr>
      <w:r>
        <w:rPr>
          <w:rFonts w:ascii="Arial" w:cs="Arial" w:eastAsia="Arial" w:hAnsi="Arial"/>
          <w:sz w:val="20"/>
          <w:szCs w:val="20"/>
          <w:b w:val="1"/>
          <w:bCs w:val="1"/>
          <w:color w:val="auto"/>
        </w:rPr>
        <w:t>Issuer Purchases of Equity Securities</w:t>
      </w:r>
    </w:p>
    <w:p>
      <w:pPr>
        <w:spacing w:after="0" w:line="29" w:lineRule="exact"/>
        <w:rPr>
          <w:sz w:val="20"/>
          <w:szCs w:val="20"/>
          <w:color w:val="auto"/>
        </w:rPr>
      </w:pPr>
    </w:p>
    <w:p>
      <w:pPr>
        <w:ind w:right="260"/>
        <w:spacing w:after="0" w:line="246" w:lineRule="auto"/>
        <w:rPr>
          <w:sz w:val="20"/>
          <w:szCs w:val="20"/>
          <w:color w:val="auto"/>
        </w:rPr>
      </w:pPr>
      <w:r>
        <w:rPr>
          <w:rFonts w:ascii="Arial" w:cs="Arial" w:eastAsia="Arial" w:hAnsi="Arial"/>
          <w:sz w:val="20"/>
          <w:szCs w:val="20"/>
          <w:color w:val="auto"/>
        </w:rPr>
        <w:t>On July 18, 2017, M&amp;T announced that it had been authorized by its Board of Directors to purchase up to $900 million of shares of its common stock through June 30, 2018. A repurchase program authorized in July 2016 by M&amp;T’s Board of Directors was completed during 2017. In total, M&amp;T repurchased 7,369,105 common shares for $1.21 billion during 2017.</w:t>
      </w:r>
    </w:p>
    <w:p>
      <w:pPr>
        <w:spacing w:after="0" w:line="2" w:lineRule="exact"/>
        <w:rPr>
          <w:sz w:val="20"/>
          <w:szCs w:val="20"/>
          <w:color w:val="auto"/>
        </w:rPr>
      </w:pPr>
    </w:p>
    <w:p>
      <w:pPr>
        <w:ind w:left="600"/>
        <w:spacing w:after="0"/>
        <w:rPr>
          <w:sz w:val="20"/>
          <w:szCs w:val="20"/>
          <w:color w:val="auto"/>
        </w:rPr>
      </w:pPr>
      <w:r>
        <w:rPr>
          <w:rFonts w:ascii="Arial" w:cs="Arial" w:eastAsia="Arial" w:hAnsi="Arial"/>
          <w:sz w:val="20"/>
          <w:szCs w:val="20"/>
          <w:color w:val="auto"/>
        </w:rPr>
        <w:t>During the fourth quarter of 2017, M&amp;T purchased shares of its common stock as follows: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8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w w:val="98"/>
              </w:rPr>
              <w:t>Issuer Purchases of Equity Securities</w:t>
            </w: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380" w:type="dxa"/>
            <w:vAlign w:val="bottom"/>
          </w:tcPr>
          <w:p>
            <w:pPr>
              <w:spacing w:after="0"/>
              <w:rPr>
                <w:sz w:val="11"/>
                <w:szCs w:val="11"/>
                <w:color w:val="auto"/>
              </w:rPr>
            </w:pPr>
          </w:p>
        </w:tc>
        <w:tc>
          <w:tcPr>
            <w:tcW w:w="6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0"/>
              </w:rPr>
              <w:t>(c)Total</w:t>
            </w:r>
          </w:p>
        </w:tc>
        <w:tc>
          <w:tcPr>
            <w:tcW w:w="10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6"/>
              </w:rPr>
              <w:t>(d)Maximum</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38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12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95"/>
              </w:rPr>
              <w:t>Number (or</w:t>
            </w:r>
          </w:p>
        </w:tc>
        <w:tc>
          <w:tcPr>
            <w:tcW w:w="0" w:type="dxa"/>
            <w:vAlign w:val="bottom"/>
          </w:tcPr>
          <w:p>
            <w:pPr>
              <w:spacing w:after="0"/>
              <w:rPr>
                <w:sz w:val="1"/>
                <w:szCs w:val="1"/>
                <w:color w:val="auto"/>
              </w:rPr>
            </w:pPr>
          </w:p>
        </w:tc>
      </w:tr>
      <w:tr>
        <w:trPr>
          <w:trHeight w:val="145"/>
        </w:trPr>
        <w:tc>
          <w:tcPr>
            <w:tcW w:w="38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60" w:type="dxa"/>
            <w:vAlign w:val="bottom"/>
            <w:gridSpan w:val="2"/>
          </w:tcPr>
          <w:p>
            <w:pPr>
              <w:jc w:val="center"/>
              <w:ind w:right="380"/>
              <w:spacing w:after="0" w:line="145" w:lineRule="exact"/>
              <w:rPr>
                <w:sz w:val="20"/>
                <w:szCs w:val="20"/>
                <w:color w:val="auto"/>
              </w:rPr>
            </w:pPr>
            <w:r>
              <w:rPr>
                <w:rFonts w:ascii="Arial" w:cs="Arial" w:eastAsia="Arial" w:hAnsi="Arial"/>
                <w:sz w:val="14"/>
                <w:szCs w:val="14"/>
                <w:b w:val="1"/>
                <w:bCs w:val="1"/>
                <w:color w:val="auto"/>
                <w:w w:val="91"/>
              </w:rPr>
              <w:t>Number of</w:t>
            </w:r>
          </w:p>
        </w:tc>
        <w:tc>
          <w:tcPr>
            <w:tcW w:w="112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93"/>
              </w:rPr>
              <w:t>Approximate</w:t>
            </w:r>
          </w:p>
        </w:tc>
        <w:tc>
          <w:tcPr>
            <w:tcW w:w="0" w:type="dxa"/>
            <w:vAlign w:val="bottom"/>
          </w:tcPr>
          <w:p>
            <w:pPr>
              <w:spacing w:after="0"/>
              <w:rPr>
                <w:sz w:val="1"/>
                <w:szCs w:val="1"/>
                <w:color w:val="auto"/>
              </w:rPr>
            </w:pPr>
          </w:p>
        </w:tc>
      </w:tr>
      <w:tr>
        <w:trPr>
          <w:trHeight w:val="145"/>
        </w:trPr>
        <w:tc>
          <w:tcPr>
            <w:tcW w:w="38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60" w:type="dxa"/>
            <w:vAlign w:val="bottom"/>
            <w:gridSpan w:val="2"/>
          </w:tcPr>
          <w:p>
            <w:pPr>
              <w:jc w:val="center"/>
              <w:ind w:right="380"/>
              <w:spacing w:after="0" w:line="145" w:lineRule="exact"/>
              <w:rPr>
                <w:sz w:val="20"/>
                <w:szCs w:val="20"/>
                <w:color w:val="auto"/>
              </w:rPr>
            </w:pPr>
            <w:r>
              <w:rPr>
                <w:rFonts w:ascii="Arial" w:cs="Arial" w:eastAsia="Arial" w:hAnsi="Arial"/>
                <w:sz w:val="14"/>
                <w:szCs w:val="14"/>
                <w:b w:val="1"/>
                <w:bCs w:val="1"/>
                <w:color w:val="auto"/>
                <w:w w:val="85"/>
              </w:rPr>
              <w:t>Shares</w:t>
            </w:r>
          </w:p>
        </w:tc>
        <w:tc>
          <w:tcPr>
            <w:tcW w:w="112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93"/>
              </w:rPr>
              <w:t>Dollar Value)</w:t>
            </w:r>
          </w:p>
        </w:tc>
        <w:tc>
          <w:tcPr>
            <w:tcW w:w="0" w:type="dxa"/>
            <w:vAlign w:val="bottom"/>
          </w:tcPr>
          <w:p>
            <w:pPr>
              <w:spacing w:after="0"/>
              <w:rPr>
                <w:sz w:val="1"/>
                <w:szCs w:val="1"/>
                <w:color w:val="auto"/>
              </w:rPr>
            </w:pPr>
          </w:p>
        </w:tc>
      </w:tr>
      <w:tr>
        <w:trPr>
          <w:trHeight w:val="145"/>
        </w:trPr>
        <w:tc>
          <w:tcPr>
            <w:tcW w:w="38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60" w:type="dxa"/>
            <w:vAlign w:val="bottom"/>
            <w:gridSpan w:val="2"/>
          </w:tcPr>
          <w:p>
            <w:pPr>
              <w:jc w:val="center"/>
              <w:ind w:right="360"/>
              <w:spacing w:after="0" w:line="145" w:lineRule="exact"/>
              <w:rPr>
                <w:sz w:val="20"/>
                <w:szCs w:val="20"/>
                <w:color w:val="auto"/>
              </w:rPr>
            </w:pPr>
            <w:r>
              <w:rPr>
                <w:rFonts w:ascii="Arial" w:cs="Arial" w:eastAsia="Arial" w:hAnsi="Arial"/>
                <w:sz w:val="14"/>
                <w:szCs w:val="14"/>
                <w:b w:val="1"/>
                <w:bCs w:val="1"/>
                <w:color w:val="auto"/>
                <w:w w:val="93"/>
              </w:rPr>
              <w:t>(or Units)</w:t>
            </w:r>
          </w:p>
        </w:tc>
        <w:tc>
          <w:tcPr>
            <w:tcW w:w="112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87"/>
              </w:rPr>
              <w:t>of Shares</w:t>
            </w:r>
          </w:p>
        </w:tc>
        <w:tc>
          <w:tcPr>
            <w:tcW w:w="0" w:type="dxa"/>
            <w:vAlign w:val="bottom"/>
          </w:tcPr>
          <w:p>
            <w:pPr>
              <w:spacing w:after="0"/>
              <w:rPr>
                <w:sz w:val="1"/>
                <w:szCs w:val="1"/>
                <w:color w:val="auto"/>
              </w:rPr>
            </w:pPr>
          </w:p>
        </w:tc>
      </w:tr>
      <w:tr>
        <w:trPr>
          <w:trHeight w:val="145"/>
        </w:trPr>
        <w:tc>
          <w:tcPr>
            <w:tcW w:w="38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12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4"/>
              </w:rPr>
              <w:t>(a)Total</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60" w:type="dxa"/>
            <w:vAlign w:val="bottom"/>
            <w:gridSpan w:val="2"/>
          </w:tcPr>
          <w:p>
            <w:pPr>
              <w:jc w:val="center"/>
              <w:ind w:right="360"/>
              <w:spacing w:after="0" w:line="145" w:lineRule="exact"/>
              <w:rPr>
                <w:sz w:val="20"/>
                <w:szCs w:val="20"/>
                <w:color w:val="auto"/>
              </w:rPr>
            </w:pPr>
            <w:r>
              <w:rPr>
                <w:rFonts w:ascii="Arial" w:cs="Arial" w:eastAsia="Arial" w:hAnsi="Arial"/>
                <w:sz w:val="14"/>
                <w:szCs w:val="14"/>
                <w:b w:val="1"/>
                <w:bCs w:val="1"/>
                <w:color w:val="auto"/>
                <w:w w:val="86"/>
              </w:rPr>
              <w:t>Purchased</w:t>
            </w:r>
          </w:p>
        </w:tc>
        <w:tc>
          <w:tcPr>
            <w:tcW w:w="1120" w:type="dxa"/>
            <w:vAlign w:val="bottom"/>
            <w:gridSpan w:val="2"/>
          </w:tcPr>
          <w:p>
            <w:pPr>
              <w:jc w:val="center"/>
              <w:ind w:right="140"/>
              <w:spacing w:after="0" w:line="145" w:lineRule="exact"/>
              <w:rPr>
                <w:sz w:val="20"/>
                <w:szCs w:val="20"/>
                <w:color w:val="auto"/>
              </w:rPr>
            </w:pPr>
            <w:r>
              <w:rPr>
                <w:rFonts w:ascii="Arial" w:cs="Arial" w:eastAsia="Arial" w:hAnsi="Arial"/>
                <w:sz w:val="14"/>
                <w:szCs w:val="14"/>
                <w:b w:val="1"/>
                <w:bCs w:val="1"/>
                <w:color w:val="auto"/>
                <w:w w:val="93"/>
              </w:rPr>
              <w:t>(or Units)</w:t>
            </w:r>
          </w:p>
        </w:tc>
        <w:tc>
          <w:tcPr>
            <w:tcW w:w="0" w:type="dxa"/>
            <w:vAlign w:val="bottom"/>
          </w:tcPr>
          <w:p>
            <w:pPr>
              <w:spacing w:after="0"/>
              <w:rPr>
                <w:sz w:val="1"/>
                <w:szCs w:val="1"/>
                <w:color w:val="auto"/>
              </w:rPr>
            </w:pPr>
          </w:p>
        </w:tc>
      </w:tr>
      <w:tr>
        <w:trPr>
          <w:trHeight w:val="145"/>
        </w:trPr>
        <w:tc>
          <w:tcPr>
            <w:tcW w:w="38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0"/>
              </w:rPr>
              <w:t>(b)Average</w:t>
            </w:r>
          </w:p>
        </w:tc>
        <w:tc>
          <w:tcPr>
            <w:tcW w:w="1260" w:type="dxa"/>
            <w:vAlign w:val="bottom"/>
            <w:gridSpan w:val="2"/>
          </w:tcPr>
          <w:p>
            <w:pPr>
              <w:jc w:val="center"/>
              <w:ind w:right="360"/>
              <w:spacing w:after="0" w:line="145" w:lineRule="exact"/>
              <w:rPr>
                <w:sz w:val="20"/>
                <w:szCs w:val="20"/>
                <w:color w:val="auto"/>
              </w:rPr>
            </w:pPr>
            <w:r>
              <w:rPr>
                <w:rFonts w:ascii="Arial" w:cs="Arial" w:eastAsia="Arial" w:hAnsi="Arial"/>
                <w:sz w:val="14"/>
                <w:szCs w:val="14"/>
                <w:b w:val="1"/>
                <w:bCs w:val="1"/>
                <w:color w:val="auto"/>
                <w:w w:val="90"/>
              </w:rPr>
              <w:t>as Part of</w:t>
            </w:r>
          </w:p>
        </w:tc>
        <w:tc>
          <w:tcPr>
            <w:tcW w:w="112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92"/>
              </w:rPr>
              <w:t>that may yet</w:t>
            </w:r>
          </w:p>
        </w:tc>
        <w:tc>
          <w:tcPr>
            <w:tcW w:w="0" w:type="dxa"/>
            <w:vAlign w:val="bottom"/>
          </w:tcPr>
          <w:p>
            <w:pPr>
              <w:spacing w:after="0"/>
              <w:rPr>
                <w:sz w:val="1"/>
                <w:szCs w:val="1"/>
                <w:color w:val="auto"/>
              </w:rPr>
            </w:pPr>
          </w:p>
        </w:tc>
      </w:tr>
      <w:tr>
        <w:trPr>
          <w:trHeight w:val="145"/>
        </w:trPr>
        <w:tc>
          <w:tcPr>
            <w:tcW w:w="38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1240" w:type="dxa"/>
            <w:vAlign w:val="bottom"/>
            <w:gridSpan w:val="2"/>
          </w:tcPr>
          <w:p>
            <w:pPr>
              <w:jc w:val="center"/>
              <w:ind w:right="340"/>
              <w:spacing w:after="0" w:line="145" w:lineRule="exact"/>
              <w:rPr>
                <w:sz w:val="20"/>
                <w:szCs w:val="20"/>
                <w:color w:val="auto"/>
              </w:rPr>
            </w:pPr>
            <w:r>
              <w:rPr>
                <w:rFonts w:ascii="Arial" w:cs="Arial" w:eastAsia="Arial" w:hAnsi="Arial"/>
                <w:sz w:val="14"/>
                <w:szCs w:val="14"/>
                <w:b w:val="1"/>
                <w:bCs w:val="1"/>
                <w:color w:val="auto"/>
                <w:w w:val="94"/>
              </w:rPr>
              <w:t>Number</w:t>
            </w:r>
          </w:p>
        </w:tc>
        <w:tc>
          <w:tcPr>
            <w:tcW w:w="1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260" w:type="dxa"/>
            <w:vAlign w:val="bottom"/>
            <w:gridSpan w:val="2"/>
          </w:tcPr>
          <w:p>
            <w:pPr>
              <w:jc w:val="center"/>
              <w:ind w:right="380"/>
              <w:spacing w:after="0" w:line="145" w:lineRule="exact"/>
              <w:rPr>
                <w:sz w:val="20"/>
                <w:szCs w:val="20"/>
                <w:color w:val="auto"/>
              </w:rPr>
            </w:pPr>
            <w:r>
              <w:rPr>
                <w:rFonts w:ascii="Arial" w:cs="Arial" w:eastAsia="Arial" w:hAnsi="Arial"/>
                <w:sz w:val="14"/>
                <w:szCs w:val="14"/>
                <w:b w:val="1"/>
                <w:bCs w:val="1"/>
                <w:color w:val="auto"/>
                <w:w w:val="89"/>
              </w:rPr>
              <w:t>Publicly</w:t>
            </w:r>
          </w:p>
        </w:tc>
        <w:tc>
          <w:tcPr>
            <w:tcW w:w="112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87"/>
              </w:rPr>
              <w:t>be Purchased</w:t>
            </w:r>
          </w:p>
        </w:tc>
        <w:tc>
          <w:tcPr>
            <w:tcW w:w="0" w:type="dxa"/>
            <w:vAlign w:val="bottom"/>
          </w:tcPr>
          <w:p>
            <w:pPr>
              <w:spacing w:after="0"/>
              <w:rPr>
                <w:sz w:val="1"/>
                <w:szCs w:val="1"/>
                <w:color w:val="auto"/>
              </w:rPr>
            </w:pPr>
          </w:p>
        </w:tc>
      </w:tr>
      <w:tr>
        <w:trPr>
          <w:trHeight w:val="145"/>
        </w:trPr>
        <w:tc>
          <w:tcPr>
            <w:tcW w:w="38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1240" w:type="dxa"/>
            <w:vAlign w:val="bottom"/>
            <w:gridSpan w:val="2"/>
          </w:tcPr>
          <w:p>
            <w:pPr>
              <w:jc w:val="center"/>
              <w:ind w:right="360"/>
              <w:spacing w:after="0" w:line="145" w:lineRule="exact"/>
              <w:rPr>
                <w:sz w:val="20"/>
                <w:szCs w:val="20"/>
                <w:color w:val="auto"/>
              </w:rPr>
            </w:pPr>
            <w:r>
              <w:rPr>
                <w:rFonts w:ascii="Arial" w:cs="Arial" w:eastAsia="Arial" w:hAnsi="Arial"/>
                <w:sz w:val="14"/>
                <w:szCs w:val="14"/>
                <w:b w:val="1"/>
                <w:bCs w:val="1"/>
                <w:color w:val="auto"/>
                <w:w w:val="87"/>
              </w:rPr>
              <w:t>of Shares</w:t>
            </w:r>
          </w:p>
        </w:tc>
        <w:tc>
          <w:tcPr>
            <w:tcW w:w="100" w:type="dxa"/>
            <w:vAlign w:val="bottom"/>
          </w:tcPr>
          <w:p>
            <w:pPr>
              <w:spacing w:after="0"/>
              <w:rPr>
                <w:sz w:val="12"/>
                <w:szCs w:val="12"/>
                <w:color w:val="auto"/>
              </w:rPr>
            </w:pPr>
          </w:p>
        </w:tc>
        <w:tc>
          <w:tcPr>
            <w:tcW w:w="1160" w:type="dxa"/>
            <w:vAlign w:val="bottom"/>
            <w:gridSpan w:val="2"/>
          </w:tcPr>
          <w:p>
            <w:pPr>
              <w:jc w:val="center"/>
              <w:ind w:right="460"/>
              <w:spacing w:after="0" w:line="145" w:lineRule="exact"/>
              <w:rPr>
                <w:sz w:val="20"/>
                <w:szCs w:val="20"/>
                <w:color w:val="auto"/>
              </w:rPr>
            </w:pPr>
            <w:r>
              <w:rPr>
                <w:rFonts w:ascii="Arial" w:cs="Arial" w:eastAsia="Arial" w:hAnsi="Arial"/>
                <w:sz w:val="14"/>
                <w:szCs w:val="14"/>
                <w:b w:val="1"/>
                <w:bCs w:val="1"/>
                <w:color w:val="auto"/>
                <w:w w:val="91"/>
              </w:rPr>
              <w:t>Price Paid</w:t>
            </w:r>
          </w:p>
        </w:tc>
        <w:tc>
          <w:tcPr>
            <w:tcW w:w="1260" w:type="dxa"/>
            <w:vAlign w:val="bottom"/>
            <w:gridSpan w:val="2"/>
          </w:tcPr>
          <w:p>
            <w:pPr>
              <w:jc w:val="center"/>
              <w:ind w:right="380"/>
              <w:spacing w:after="0" w:line="145" w:lineRule="exact"/>
              <w:rPr>
                <w:sz w:val="20"/>
                <w:szCs w:val="20"/>
                <w:color w:val="auto"/>
              </w:rPr>
            </w:pPr>
            <w:r>
              <w:rPr>
                <w:rFonts w:ascii="Arial" w:cs="Arial" w:eastAsia="Arial" w:hAnsi="Arial"/>
                <w:sz w:val="14"/>
                <w:szCs w:val="14"/>
                <w:b w:val="1"/>
                <w:bCs w:val="1"/>
                <w:color w:val="auto"/>
                <w:w w:val="88"/>
              </w:rPr>
              <w:t>Announced</w:t>
            </w:r>
          </w:p>
        </w:tc>
        <w:tc>
          <w:tcPr>
            <w:tcW w:w="112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91"/>
              </w:rPr>
              <w:t>Under the</w:t>
            </w:r>
          </w:p>
        </w:tc>
        <w:tc>
          <w:tcPr>
            <w:tcW w:w="0" w:type="dxa"/>
            <w:vAlign w:val="bottom"/>
          </w:tcPr>
          <w:p>
            <w:pPr>
              <w:spacing w:after="0"/>
              <w:rPr>
                <w:sz w:val="1"/>
                <w:szCs w:val="1"/>
                <w:color w:val="auto"/>
              </w:rPr>
            </w:pPr>
          </w:p>
        </w:tc>
      </w:tr>
      <w:tr>
        <w:trPr>
          <w:trHeight w:val="145"/>
        </w:trPr>
        <w:tc>
          <w:tcPr>
            <w:tcW w:w="38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1240" w:type="dxa"/>
            <w:vAlign w:val="bottom"/>
            <w:gridSpan w:val="2"/>
          </w:tcPr>
          <w:p>
            <w:pPr>
              <w:jc w:val="center"/>
              <w:ind w:right="340"/>
              <w:spacing w:after="0" w:line="145" w:lineRule="exact"/>
              <w:rPr>
                <w:sz w:val="20"/>
                <w:szCs w:val="20"/>
                <w:color w:val="auto"/>
              </w:rPr>
            </w:pPr>
            <w:r>
              <w:rPr>
                <w:rFonts w:ascii="Arial" w:cs="Arial" w:eastAsia="Arial" w:hAnsi="Arial"/>
                <w:sz w:val="14"/>
                <w:szCs w:val="14"/>
                <w:b w:val="1"/>
                <w:bCs w:val="1"/>
                <w:color w:val="auto"/>
                <w:w w:val="93"/>
              </w:rPr>
              <w:t>(or Units)</w:t>
            </w:r>
          </w:p>
        </w:tc>
        <w:tc>
          <w:tcPr>
            <w:tcW w:w="100" w:type="dxa"/>
            <w:vAlign w:val="bottom"/>
          </w:tcPr>
          <w:p>
            <w:pPr>
              <w:spacing w:after="0"/>
              <w:rPr>
                <w:sz w:val="12"/>
                <w:szCs w:val="12"/>
                <w:color w:val="auto"/>
              </w:rPr>
            </w:pPr>
          </w:p>
        </w:tc>
        <w:tc>
          <w:tcPr>
            <w:tcW w:w="1160" w:type="dxa"/>
            <w:vAlign w:val="bottom"/>
            <w:gridSpan w:val="2"/>
          </w:tcPr>
          <w:p>
            <w:pPr>
              <w:jc w:val="center"/>
              <w:ind w:right="460"/>
              <w:spacing w:after="0" w:line="145" w:lineRule="exact"/>
              <w:rPr>
                <w:sz w:val="20"/>
                <w:szCs w:val="20"/>
                <w:color w:val="auto"/>
              </w:rPr>
            </w:pPr>
            <w:r>
              <w:rPr>
                <w:rFonts w:ascii="Arial" w:cs="Arial" w:eastAsia="Arial" w:hAnsi="Arial"/>
                <w:sz w:val="14"/>
                <w:szCs w:val="14"/>
                <w:b w:val="1"/>
                <w:bCs w:val="1"/>
                <w:color w:val="auto"/>
                <w:w w:val="89"/>
              </w:rPr>
              <w:t>per Share</w:t>
            </w:r>
          </w:p>
        </w:tc>
        <w:tc>
          <w:tcPr>
            <w:tcW w:w="1260" w:type="dxa"/>
            <w:vAlign w:val="bottom"/>
            <w:gridSpan w:val="2"/>
          </w:tcPr>
          <w:p>
            <w:pPr>
              <w:jc w:val="center"/>
              <w:ind w:right="360"/>
              <w:spacing w:after="0" w:line="145" w:lineRule="exact"/>
              <w:rPr>
                <w:sz w:val="20"/>
                <w:szCs w:val="20"/>
                <w:color w:val="auto"/>
              </w:rPr>
            </w:pPr>
            <w:r>
              <w:rPr>
                <w:rFonts w:ascii="Arial" w:cs="Arial" w:eastAsia="Arial" w:hAnsi="Arial"/>
                <w:sz w:val="14"/>
                <w:szCs w:val="14"/>
                <w:b w:val="1"/>
                <w:bCs w:val="1"/>
                <w:color w:val="auto"/>
                <w:w w:val="90"/>
              </w:rPr>
              <w:t>Plans or</w:t>
            </w:r>
          </w:p>
        </w:tc>
        <w:tc>
          <w:tcPr>
            <w:tcW w:w="112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86"/>
              </w:rPr>
              <w:t>Plans or</w:t>
            </w:r>
          </w:p>
        </w:tc>
        <w:tc>
          <w:tcPr>
            <w:tcW w:w="0" w:type="dxa"/>
            <w:vAlign w:val="bottom"/>
          </w:tcPr>
          <w:p>
            <w:pPr>
              <w:spacing w:after="0"/>
              <w:rPr>
                <w:sz w:val="1"/>
                <w:szCs w:val="1"/>
                <w:color w:val="auto"/>
              </w:rPr>
            </w:pPr>
          </w:p>
        </w:tc>
      </w:tr>
      <w:tr>
        <w:trPr>
          <w:trHeight w:val="160"/>
        </w:trPr>
        <w:tc>
          <w:tcPr>
            <w:tcW w:w="6540" w:type="dxa"/>
            <w:vAlign w:val="bottom"/>
            <w:gridSpan w:val="2"/>
          </w:tcPr>
          <w:p>
            <w:pPr>
              <w:spacing w:after="0" w:line="154" w:lineRule="exact"/>
              <w:rPr>
                <w:sz w:val="20"/>
                <w:szCs w:val="20"/>
                <w:color w:val="auto"/>
              </w:rPr>
            </w:pPr>
            <w:r>
              <w:rPr>
                <w:rFonts w:ascii="Arial" w:cs="Arial" w:eastAsia="Arial" w:hAnsi="Arial"/>
                <w:sz w:val="14"/>
                <w:szCs w:val="14"/>
                <w:color w:val="auto"/>
              </w:rPr>
              <w:t>Period</w:t>
            </w:r>
          </w:p>
        </w:tc>
        <w:tc>
          <w:tcPr>
            <w:tcW w:w="1240" w:type="dxa"/>
            <w:vAlign w:val="bottom"/>
            <w:gridSpan w:val="2"/>
          </w:tcPr>
          <w:p>
            <w:pPr>
              <w:jc w:val="center"/>
              <w:ind w:right="360"/>
              <w:spacing w:after="0" w:line="154" w:lineRule="exact"/>
              <w:rPr>
                <w:sz w:val="20"/>
                <w:szCs w:val="20"/>
                <w:color w:val="auto"/>
              </w:rPr>
            </w:pPr>
            <w:r>
              <w:rPr>
                <w:rFonts w:ascii="Arial" w:cs="Arial" w:eastAsia="Arial" w:hAnsi="Arial"/>
                <w:sz w:val="14"/>
                <w:szCs w:val="14"/>
                <w:b w:val="1"/>
                <w:bCs w:val="1"/>
                <w:color w:val="auto"/>
                <w:w w:val="90"/>
              </w:rPr>
              <w:t>Purchased (1)</w:t>
            </w:r>
          </w:p>
        </w:tc>
        <w:tc>
          <w:tcPr>
            <w:tcW w:w="100" w:type="dxa"/>
            <w:vAlign w:val="bottom"/>
          </w:tcPr>
          <w:p>
            <w:pPr>
              <w:spacing w:after="0"/>
              <w:rPr>
                <w:sz w:val="13"/>
                <w:szCs w:val="13"/>
                <w:color w:val="auto"/>
              </w:rPr>
            </w:pPr>
          </w:p>
        </w:tc>
        <w:tc>
          <w:tcPr>
            <w:tcW w:w="1160" w:type="dxa"/>
            <w:vAlign w:val="bottom"/>
            <w:gridSpan w:val="2"/>
          </w:tcPr>
          <w:p>
            <w:pPr>
              <w:jc w:val="center"/>
              <w:ind w:right="460"/>
              <w:spacing w:after="0" w:line="154" w:lineRule="exact"/>
              <w:rPr>
                <w:sz w:val="20"/>
                <w:szCs w:val="20"/>
                <w:color w:val="auto"/>
              </w:rPr>
            </w:pPr>
            <w:r>
              <w:rPr>
                <w:rFonts w:ascii="Arial" w:cs="Arial" w:eastAsia="Arial" w:hAnsi="Arial"/>
                <w:sz w:val="14"/>
                <w:szCs w:val="14"/>
                <w:b w:val="1"/>
                <w:bCs w:val="1"/>
                <w:color w:val="auto"/>
                <w:w w:val="99"/>
              </w:rPr>
              <w:t>(or Unit)</w:t>
            </w:r>
          </w:p>
        </w:tc>
        <w:tc>
          <w:tcPr>
            <w:tcW w:w="1260" w:type="dxa"/>
            <w:vAlign w:val="bottom"/>
            <w:gridSpan w:val="2"/>
          </w:tcPr>
          <w:p>
            <w:pPr>
              <w:jc w:val="center"/>
              <w:ind w:right="360"/>
              <w:spacing w:after="0" w:line="154" w:lineRule="exact"/>
              <w:rPr>
                <w:sz w:val="20"/>
                <w:szCs w:val="20"/>
                <w:color w:val="auto"/>
              </w:rPr>
            </w:pPr>
            <w:r>
              <w:rPr>
                <w:rFonts w:ascii="Arial" w:cs="Arial" w:eastAsia="Arial" w:hAnsi="Arial"/>
                <w:sz w:val="14"/>
                <w:szCs w:val="14"/>
                <w:b w:val="1"/>
                <w:bCs w:val="1"/>
                <w:color w:val="auto"/>
                <w:w w:val="88"/>
              </w:rPr>
              <w:t>Programs</w:t>
            </w:r>
          </w:p>
        </w:tc>
        <w:tc>
          <w:tcPr>
            <w:tcW w:w="1120" w:type="dxa"/>
            <w:vAlign w:val="bottom"/>
            <w:gridSpan w:val="2"/>
          </w:tcPr>
          <w:p>
            <w:pPr>
              <w:jc w:val="center"/>
              <w:ind w:right="120"/>
              <w:spacing w:after="0" w:line="154" w:lineRule="exact"/>
              <w:rPr>
                <w:sz w:val="20"/>
                <w:szCs w:val="20"/>
                <w:color w:val="auto"/>
              </w:rPr>
            </w:pPr>
            <w:r>
              <w:rPr>
                <w:rFonts w:ascii="Arial" w:cs="Arial" w:eastAsia="Arial" w:hAnsi="Arial"/>
                <w:sz w:val="14"/>
                <w:szCs w:val="14"/>
                <w:b w:val="1"/>
                <w:bCs w:val="1"/>
                <w:color w:val="auto"/>
                <w:w w:val="92"/>
              </w:rPr>
              <w:t>Programs (2)(3)</w:t>
            </w:r>
          </w:p>
        </w:tc>
        <w:tc>
          <w:tcPr>
            <w:tcW w:w="0" w:type="dxa"/>
            <w:vAlign w:val="bottom"/>
          </w:tcPr>
          <w:p>
            <w:pPr>
              <w:spacing w:after="0"/>
              <w:rPr>
                <w:sz w:val="1"/>
                <w:szCs w:val="1"/>
                <w:color w:val="auto"/>
              </w:rPr>
            </w:pPr>
          </w:p>
        </w:tc>
      </w:tr>
      <w:tr>
        <w:trPr>
          <w:trHeight w:val="223"/>
        </w:trPr>
        <w:tc>
          <w:tcPr>
            <w:tcW w:w="380" w:type="dxa"/>
            <w:vAlign w:val="bottom"/>
            <w:tcBorders>
              <w:top w:val="single" w:sz="8" w:color="auto"/>
            </w:tcBorders>
            <w:shd w:val="clear" w:color="auto" w:fill="CFF0FC"/>
          </w:tcPr>
          <w:p>
            <w:pPr>
              <w:spacing w:after="0"/>
              <w:rPr>
                <w:sz w:val="19"/>
                <w:szCs w:val="19"/>
                <w:color w:val="auto"/>
              </w:rPr>
            </w:pPr>
          </w:p>
        </w:tc>
        <w:tc>
          <w:tcPr>
            <w:tcW w:w="616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40" w:type="dxa"/>
            <w:vAlign w:val="bottom"/>
            <w:gridSpan w:val="2"/>
          </w:tcPr>
          <w:p>
            <w:pPr>
              <w:spacing w:after="0"/>
              <w:rPr>
                <w:sz w:val="20"/>
                <w:szCs w:val="20"/>
                <w:color w:val="auto"/>
              </w:rPr>
            </w:pPr>
            <w:r>
              <w:rPr>
                <w:rFonts w:ascii="Arial" w:cs="Arial" w:eastAsia="Arial" w:hAnsi="Arial"/>
                <w:sz w:val="18"/>
                <w:szCs w:val="18"/>
                <w:color w:val="auto"/>
              </w:rPr>
              <w:t>October 1 — October 31, 2017</w:t>
            </w:r>
          </w:p>
        </w:tc>
        <w:tc>
          <w:tcPr>
            <w:tcW w:w="900" w:type="dxa"/>
            <w:vAlign w:val="bottom"/>
          </w:tcPr>
          <w:p>
            <w:pPr>
              <w:jc w:val="right"/>
              <w:spacing w:after="0"/>
              <w:rPr>
                <w:sz w:val="20"/>
                <w:szCs w:val="20"/>
                <w:color w:val="auto"/>
              </w:rPr>
            </w:pPr>
            <w:r>
              <w:rPr>
                <w:rFonts w:ascii="Arial" w:cs="Arial" w:eastAsia="Arial" w:hAnsi="Arial"/>
                <w:sz w:val="18"/>
                <w:szCs w:val="18"/>
                <w:color w:val="auto"/>
              </w:rPr>
              <w:t>800,969</w:t>
            </w:r>
          </w:p>
        </w:tc>
        <w:tc>
          <w:tcPr>
            <w:tcW w:w="3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166.59</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800,000</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85"/>
              </w:rPr>
              <w:t>$ 541,998,000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November 1 — November 30, 2017</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544,780</w:t>
            </w: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167.36</w:t>
            </w:r>
          </w:p>
        </w:tc>
        <w:tc>
          <w:tcPr>
            <w:tcW w:w="3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543,356</w:t>
            </w:r>
          </w:p>
        </w:tc>
        <w:tc>
          <w:tcPr>
            <w:tcW w:w="3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451,062,000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40" w:type="dxa"/>
            <w:vAlign w:val="bottom"/>
            <w:gridSpan w:val="2"/>
          </w:tcPr>
          <w:p>
            <w:pPr>
              <w:spacing w:after="0"/>
              <w:rPr>
                <w:sz w:val="20"/>
                <w:szCs w:val="20"/>
                <w:color w:val="auto"/>
              </w:rPr>
            </w:pPr>
            <w:r>
              <w:rPr>
                <w:rFonts w:ascii="Arial" w:cs="Arial" w:eastAsia="Arial" w:hAnsi="Arial"/>
                <w:sz w:val="18"/>
                <w:szCs w:val="18"/>
                <w:color w:val="auto"/>
              </w:rPr>
              <w:t>December 1 — December 31, 2017</w:t>
            </w:r>
          </w:p>
        </w:tc>
        <w:tc>
          <w:tcPr>
            <w:tcW w:w="900" w:type="dxa"/>
            <w:vAlign w:val="bottom"/>
          </w:tcPr>
          <w:p>
            <w:pPr>
              <w:jc w:val="right"/>
              <w:spacing w:after="0"/>
              <w:rPr>
                <w:sz w:val="20"/>
                <w:szCs w:val="20"/>
                <w:color w:val="auto"/>
              </w:rPr>
            </w:pPr>
            <w:r>
              <w:rPr>
                <w:rFonts w:ascii="Arial" w:cs="Arial" w:eastAsia="Arial" w:hAnsi="Arial"/>
                <w:sz w:val="18"/>
                <w:szCs w:val="18"/>
                <w:color w:val="auto"/>
              </w:rPr>
              <w:t>2,546</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171.94</w:t>
            </w:r>
          </w:p>
        </w:tc>
        <w:tc>
          <w:tcPr>
            <w:tcW w:w="360" w:type="dxa"/>
            <w:vAlign w:val="bottom"/>
          </w:tcPr>
          <w:p>
            <w:pPr>
              <w:spacing w:after="0"/>
              <w:rPr>
                <w:sz w:val="19"/>
                <w:szCs w:val="19"/>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7"/>
              </w:rPr>
              <w:t>451,062,000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5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1,348,295</w:t>
            </w:r>
          </w:p>
        </w:tc>
        <w:tc>
          <w:tcPr>
            <w:tcW w:w="34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166.91</w:t>
            </w:r>
          </w:p>
        </w:tc>
        <w:tc>
          <w:tcPr>
            <w:tcW w:w="360" w:type="dxa"/>
            <w:vAlign w:val="bottom"/>
            <w:tcBorders>
              <w:top w:val="single" w:sz="8" w:color="CFF0FC"/>
              <w:bottom w:val="single" w:sz="8" w:color="CFF0FC"/>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1,343,356</w:t>
            </w:r>
          </w:p>
        </w:tc>
        <w:tc>
          <w:tcPr>
            <w:tcW w:w="340" w:type="dxa"/>
            <w:vAlign w:val="bottom"/>
            <w:tcBorders>
              <w:top w:val="single" w:sz="8" w:color="CFF0FC"/>
              <w:bottom w:val="single" w:sz="8" w:color="CFF0FC"/>
            </w:tcBorders>
            <w:shd w:val="clear" w:color="auto" w:fill="CFF0FC"/>
          </w:tcPr>
          <w:p>
            <w:pPr>
              <w:spacing w:after="0"/>
              <w:rPr>
                <w:sz w:val="18"/>
                <w:szCs w:val="18"/>
                <w:color w:val="auto"/>
              </w:rPr>
            </w:pPr>
          </w:p>
        </w:tc>
        <w:tc>
          <w:tcPr>
            <w:tcW w:w="10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13601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150" w:lineRule="exact"/>
        <w:rPr>
          <w:sz w:val="20"/>
          <w:szCs w:val="20"/>
          <w:color w:val="auto"/>
        </w:rPr>
      </w:pPr>
    </w:p>
    <w:p>
      <w:pPr>
        <w:ind w:left="600" w:right="180" w:hanging="595"/>
        <w:spacing w:after="0" w:line="280" w:lineRule="auto"/>
        <w:tabs>
          <w:tab w:leader="none" w:pos="60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The total number of shares purchased during the periods indicated includes shares purchased as part of publicly announced programs and shares deemed to have been received from employees who exercised stock options by attesting to previously acquired common shares in satisfaction of the exercise price or shares received from employees upon the vesting of restricted stock awards in satisfaction of applicable tax withholding obligations, as is permitted under M&amp;T’s stock-based compensation plans.</w:t>
      </w:r>
    </w:p>
    <w:p>
      <w:pPr>
        <w:spacing w:after="0" w:line="1" w:lineRule="exact"/>
        <w:rPr>
          <w:rFonts w:ascii="Arial" w:cs="Arial" w:eastAsia="Arial" w:hAnsi="Arial"/>
          <w:sz w:val="18"/>
          <w:szCs w:val="18"/>
          <w:i w:val="1"/>
          <w:iCs w:val="1"/>
          <w:color w:val="auto"/>
        </w:rPr>
      </w:pPr>
    </w:p>
    <w:p>
      <w:pPr>
        <w:ind w:left="600" w:hanging="595"/>
        <w:spacing w:after="0"/>
        <w:tabs>
          <w:tab w:leader="none" w:pos="600" w:val="left"/>
        </w:tabs>
        <w:numPr>
          <w:ilvl w:val="0"/>
          <w:numId w:val="19"/>
        </w:numPr>
        <w:rPr>
          <w:rFonts w:ascii="Arial" w:cs="Arial" w:eastAsia="Arial" w:hAnsi="Arial"/>
          <w:sz w:val="20"/>
          <w:szCs w:val="20"/>
          <w:i w:val="1"/>
          <w:iCs w:val="1"/>
          <w:color w:val="auto"/>
        </w:rPr>
      </w:pPr>
      <w:r>
        <w:rPr>
          <w:rFonts w:ascii="Arial" w:cs="Arial" w:eastAsia="Arial" w:hAnsi="Arial"/>
          <w:sz w:val="20"/>
          <w:szCs w:val="20"/>
          <w:i w:val="1"/>
          <w:iCs w:val="1"/>
          <w:color w:val="auto"/>
        </w:rPr>
        <w:t>On July 18, 2017, M&amp;T announced a program to purchase up to $900 million of its common stock through June 30, 2018.</w:t>
      </w:r>
    </w:p>
    <w:p>
      <w:pPr>
        <w:spacing w:after="0" w:line="16" w:lineRule="exact"/>
        <w:rPr>
          <w:rFonts w:ascii="Arial" w:cs="Arial" w:eastAsia="Arial" w:hAnsi="Arial"/>
          <w:sz w:val="20"/>
          <w:szCs w:val="20"/>
          <w:i w:val="1"/>
          <w:iCs w:val="1"/>
          <w:color w:val="auto"/>
        </w:rPr>
      </w:pPr>
    </w:p>
    <w:p>
      <w:pPr>
        <w:ind w:left="600" w:right="120" w:hanging="563"/>
        <w:spacing w:after="0" w:line="256" w:lineRule="auto"/>
        <w:tabs>
          <w:tab w:leader="none" w:pos="469" w:val="left"/>
        </w:tabs>
        <w:numPr>
          <w:ilvl w:val="1"/>
          <w:numId w:val="19"/>
        </w:numPr>
        <w:rPr>
          <w:rFonts w:ascii="Arial" w:cs="Arial" w:eastAsia="Arial" w:hAnsi="Arial"/>
          <w:sz w:val="20"/>
          <w:szCs w:val="20"/>
          <w:i w:val="1"/>
          <w:iCs w:val="1"/>
          <w:color w:val="auto"/>
        </w:rPr>
      </w:pPr>
      <w:r>
        <w:rPr>
          <w:rFonts w:ascii="Arial" w:cs="Arial" w:eastAsia="Arial" w:hAnsi="Arial"/>
          <w:sz w:val="20"/>
          <w:szCs w:val="20"/>
          <w:i w:val="1"/>
          <w:iCs w:val="1"/>
          <w:color w:val="auto"/>
        </w:rPr>
        <w:t>On February 21, 2018, M&amp;T’s Board of Directors approved a program to purchase an additional $745 million of M&amp;T common stock through June 30, 2018.</w:t>
      </w:r>
    </w:p>
    <w:p>
      <w:pPr>
        <w:spacing w:after="0" w:line="276" w:lineRule="exact"/>
        <w:rPr>
          <w:sz w:val="20"/>
          <w:szCs w:val="20"/>
          <w:color w:val="auto"/>
        </w:rPr>
      </w:pPr>
    </w:p>
    <w:p>
      <w:pPr>
        <w:spacing w:after="0"/>
        <w:tabs>
          <w:tab w:leader="none" w:pos="1160" w:val="left"/>
        </w:tabs>
        <w:rPr>
          <w:sz w:val="20"/>
          <w:szCs w:val="20"/>
          <w:color w:val="auto"/>
        </w:rPr>
      </w:pPr>
      <w:r>
        <w:rPr>
          <w:rFonts w:ascii="Arial" w:cs="Arial" w:eastAsia="Arial" w:hAnsi="Arial"/>
          <w:sz w:val="20"/>
          <w:szCs w:val="20"/>
          <w:b w:val="1"/>
          <w:bCs w:val="1"/>
          <w:color w:val="auto"/>
        </w:rPr>
        <w:t>Item 6.</w:t>
      </w:r>
      <w:r>
        <w:rPr>
          <w:sz w:val="20"/>
          <w:szCs w:val="20"/>
          <w:color w:val="auto"/>
        </w:rPr>
        <w:tab/>
      </w:r>
      <w:r>
        <w:rPr>
          <w:rFonts w:ascii="Arial" w:cs="Arial" w:eastAsia="Arial" w:hAnsi="Arial"/>
          <w:sz w:val="17"/>
          <w:szCs w:val="17"/>
          <w:b w:val="1"/>
          <w:bCs w:val="1"/>
          <w:i w:val="1"/>
          <w:iCs w:val="1"/>
          <w:color w:val="auto"/>
        </w:rPr>
        <w:t>Selected Financial Data</w:t>
      </w:r>
      <w:r>
        <w:rPr>
          <w:rFonts w:ascii="Arial" w:cs="Arial" w:eastAsia="Arial" w:hAnsi="Arial"/>
          <w:sz w:val="17"/>
          <w:szCs w:val="17"/>
          <w:b w:val="1"/>
          <w:bCs w:val="1"/>
          <w:color w:val="auto"/>
        </w:rPr>
        <w:t>.</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color w:val="auto"/>
        </w:rPr>
        <w:t>See cross-reference sheet for disclosures incorporated elsewhere in this Annual Report on Form 10-K.</w:t>
      </w:r>
    </w:p>
    <w:p>
      <w:pPr>
        <w:spacing w:after="0" w:line="397" w:lineRule="exact"/>
        <w:rPr>
          <w:sz w:val="20"/>
          <w:szCs w:val="20"/>
          <w:color w:val="auto"/>
        </w:rPr>
      </w:pPr>
    </w:p>
    <w:p>
      <w:pPr>
        <w:spacing w:after="0"/>
        <w:tabs>
          <w:tab w:leader="none" w:pos="1160" w:val="left"/>
        </w:tabs>
        <w:rPr>
          <w:sz w:val="20"/>
          <w:szCs w:val="20"/>
          <w:color w:val="auto"/>
        </w:rPr>
      </w:pPr>
      <w:r>
        <w:rPr>
          <w:rFonts w:ascii="Arial" w:cs="Arial" w:eastAsia="Arial" w:hAnsi="Arial"/>
          <w:sz w:val="20"/>
          <w:szCs w:val="20"/>
          <w:b w:val="1"/>
          <w:bCs w:val="1"/>
          <w:color w:val="auto"/>
        </w:rPr>
        <w:t>Item 7.</w:t>
      </w:r>
      <w:r>
        <w:rPr>
          <w:sz w:val="20"/>
          <w:szCs w:val="20"/>
          <w:color w:val="auto"/>
        </w:rPr>
        <w:tab/>
      </w:r>
      <w:r>
        <w:rPr>
          <w:rFonts w:ascii="Arial" w:cs="Arial" w:eastAsia="Arial" w:hAnsi="Arial"/>
          <w:sz w:val="17"/>
          <w:szCs w:val="17"/>
          <w:b w:val="1"/>
          <w:bCs w:val="1"/>
          <w:i w:val="1"/>
          <w:iCs w:val="1"/>
          <w:color w:val="auto"/>
        </w:rPr>
        <w:t>Management’s Discussion and Analysis of Financial Condition and Results of Operations.</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Corporate Profile</w:t>
      </w:r>
    </w:p>
    <w:p>
      <w:pPr>
        <w:spacing w:after="0" w:line="29" w:lineRule="exact"/>
        <w:rPr>
          <w:sz w:val="20"/>
          <w:szCs w:val="20"/>
          <w:color w:val="auto"/>
        </w:rPr>
      </w:pPr>
    </w:p>
    <w:p>
      <w:pPr>
        <w:ind w:right="40"/>
        <w:spacing w:after="0" w:line="246" w:lineRule="auto"/>
        <w:rPr>
          <w:sz w:val="20"/>
          <w:szCs w:val="20"/>
          <w:color w:val="auto"/>
        </w:rPr>
      </w:pPr>
      <w:r>
        <w:rPr>
          <w:rFonts w:ascii="Arial" w:cs="Arial" w:eastAsia="Arial" w:hAnsi="Arial"/>
          <w:sz w:val="20"/>
          <w:szCs w:val="20"/>
          <w:color w:val="auto"/>
        </w:rPr>
        <w:t>M&amp;T Bank Corporation (“M&amp;T”) is a bank holding company headquartered in Buffalo, New York with consolidated assets of $118.6 billion at December 31, 2017. The consolidated financial information presented herein reflects M&amp;T and all of its subsidiaries, which are referred to collectively as “the Company.” M&amp;T’s wholly owned bank subsidiaries are Manufacturers and Traders Trust Company (“M&amp;T Bank”) and Wilmington Trust, National Association (“Wilmington Trust, N.A.”).</w:t>
      </w:r>
    </w:p>
    <w:p>
      <w:pPr>
        <w:spacing w:after="0" w:line="3" w:lineRule="exact"/>
        <w:rPr>
          <w:sz w:val="20"/>
          <w:szCs w:val="20"/>
          <w:color w:val="auto"/>
        </w:rPr>
      </w:pPr>
    </w:p>
    <w:p>
      <w:pPr>
        <w:jc w:val="both"/>
        <w:ind w:right="140" w:firstLine="598"/>
        <w:spacing w:after="0" w:line="271" w:lineRule="auto"/>
        <w:rPr>
          <w:sz w:val="20"/>
          <w:szCs w:val="20"/>
          <w:color w:val="auto"/>
        </w:rPr>
      </w:pPr>
      <w:r>
        <w:rPr>
          <w:rFonts w:ascii="Arial" w:cs="Arial" w:eastAsia="Arial" w:hAnsi="Arial"/>
          <w:sz w:val="19"/>
          <w:szCs w:val="19"/>
          <w:color w:val="auto"/>
        </w:rPr>
        <w:t>M&amp;T Bank, with total assets of $118.1 billion at December 31, 2017, is a New York-chartered commercial bank with 780 domestic banking offices in New York State, Maryland, New Jersey, Pennsylvania, Delaware, Connecticut, Virginia, West Virginia and the District of Columbia, a full-service commercial banking office in Ontario, Canada, and an office in the Cayman Islands. M&amp;T</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437" w:right="239" w:bottom="1440" w:gutter="0" w:footer="0" w:header="0"/>
        </w:sectPr>
      </w:pPr>
    </w:p>
    <w:bookmarkStart w:id="45" w:name="page46"/>
    <w:bookmarkEnd w:id="45"/>
    <w:p>
      <w:pPr>
        <w:ind w:right="40"/>
        <w:spacing w:after="0" w:line="261" w:lineRule="auto"/>
        <w:rPr>
          <w:sz w:val="20"/>
          <w:szCs w:val="20"/>
          <w:color w:val="auto"/>
        </w:rPr>
      </w:pPr>
      <w:r>
        <w:rPr>
          <w:rFonts w:ascii="Arial" w:cs="Arial" w:eastAsia="Arial" w:hAnsi="Arial"/>
          <w:sz w:val="19"/>
          <w:szCs w:val="19"/>
          <w:color w:val="auto"/>
        </w:rPr>
        <w:t>Bank and its subsidiaries offer a broad range of financial services to a diverse base of consumers, businesses, professional clients, governmental entities and financial institutions located in their markets. Lending is largely focused on consumers residing in the states noted above and on small and medium size businesses based in those areas, although loans are originated through offices in other states and in Ontario, Canada. Certain lending activities are also conducted in other states through various subsidiaries. Trust and other fiduciary services are offered by M&amp;T Bank and through its wholly owned subsidiary, Wilmington Trust Company. Other subsidiaries of M&amp;T Bank include: M&amp;T Real Estate Trust, a commercial mortgage lender; M&amp;T Realty Capital Corporation, a multifamily commercial mortgage lender; M&amp;T Securities, Inc., which provides brokerage, investment advisory and insurance services; Wilmington Trust Investment Advisors, Inc., which serves as an investment advisor to the Wilmington Funds, a family of proprietary mutual funds, and other funds and institutional clients; and M&amp;T Insurance Agency, Inc., an insurance agency.</w:t>
      </w:r>
    </w:p>
    <w:p>
      <w:pPr>
        <w:spacing w:after="0" w:line="8" w:lineRule="exact"/>
        <w:rPr>
          <w:sz w:val="20"/>
          <w:szCs w:val="20"/>
          <w:color w:val="auto"/>
        </w:rPr>
      </w:pPr>
    </w:p>
    <w:p>
      <w:pPr>
        <w:ind w:right="100" w:firstLine="598"/>
        <w:spacing w:after="0" w:line="246" w:lineRule="auto"/>
        <w:rPr>
          <w:sz w:val="20"/>
          <w:szCs w:val="20"/>
          <w:color w:val="auto"/>
        </w:rPr>
      </w:pPr>
      <w:r>
        <w:rPr>
          <w:rFonts w:ascii="Arial" w:cs="Arial" w:eastAsia="Arial" w:hAnsi="Arial"/>
          <w:sz w:val="20"/>
          <w:szCs w:val="20"/>
          <w:color w:val="auto"/>
        </w:rPr>
        <w:t>Wilmington Trust, N.A. is a national bank with total assets of $5.0 billion at December 31, 2017. Wilmington Trust, N.A. and its subsidiaries offer various trust and wealth management services. Wilmington Trust, N.A. also offered selected deposit and loan products on a nationwide basis, largely through telephone, Internet and direct mail marketing techniques.</w:t>
      </w:r>
    </w:p>
    <w:p>
      <w:pPr>
        <w:spacing w:after="0" w:line="2" w:lineRule="exact"/>
        <w:rPr>
          <w:sz w:val="20"/>
          <w:szCs w:val="20"/>
          <w:color w:val="auto"/>
        </w:rPr>
      </w:pPr>
    </w:p>
    <w:p>
      <w:pPr>
        <w:ind w:right="100" w:firstLine="598"/>
        <w:spacing w:after="0" w:line="248" w:lineRule="auto"/>
        <w:rPr>
          <w:sz w:val="20"/>
          <w:szCs w:val="20"/>
          <w:color w:val="auto"/>
        </w:rPr>
      </w:pPr>
      <w:r>
        <w:rPr>
          <w:rFonts w:ascii="Arial" w:cs="Arial" w:eastAsia="Arial" w:hAnsi="Arial"/>
          <w:sz w:val="20"/>
          <w:szCs w:val="20"/>
          <w:color w:val="auto"/>
        </w:rPr>
        <w:t>On November 1, 2015, M&amp;T completed its acquisition of Hudson City Bancorp, Inc. (“Hudson City”). Immediately following completion of the merger, Hudson City Savings Bank merged with and into M&amp;T Bank. Pursuant to the merger agreement, M&amp;T paid cash consideration of $2.1 billion and issued 25,953,950 shares of M&amp;T common stock in exchange for Hudson City shares outstanding at the time of acquisition that added $3.1 billion to M&amp;T’s common shareholders’ equity. Assets acquired totaled approximately $36.7 billion, including $19.0 billion of loans (predominantly residential real estate loans) and $7.9 billion of investment securities. Liabilities assumed aggregated $31.5 billion, including $17.9 billion of deposits and $13.2 billion of borrowings. Immediately following the acquisition, the Company restructured its balance sheet by selling $5.8 billion of investment securities obtained in the acquisition and repaying $10.6 billion of borrowings assumed in the transaction.</w:t>
      </w:r>
    </w:p>
    <w:p>
      <w:pPr>
        <w:spacing w:after="0" w:line="2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Accounting Estimates</w:t>
      </w:r>
    </w:p>
    <w:p>
      <w:pPr>
        <w:spacing w:after="0" w:line="29" w:lineRule="exact"/>
        <w:rPr>
          <w:sz w:val="20"/>
          <w:szCs w:val="20"/>
          <w:color w:val="auto"/>
        </w:rPr>
      </w:pPr>
    </w:p>
    <w:p>
      <w:pPr>
        <w:spacing w:after="0" w:line="259" w:lineRule="auto"/>
        <w:rPr>
          <w:sz w:val="20"/>
          <w:szCs w:val="20"/>
          <w:color w:val="auto"/>
        </w:rPr>
      </w:pPr>
      <w:r>
        <w:rPr>
          <w:rFonts w:ascii="Arial" w:cs="Arial" w:eastAsia="Arial" w:hAnsi="Arial"/>
          <w:sz w:val="19"/>
          <w:szCs w:val="19"/>
          <w:color w:val="auto"/>
        </w:rPr>
        <w:t>The Company’s significant accounting policies conform with generally accepted accounting principles (“GAAP”) and are described in note 1 of Notes to Financial Statements. In applying those accounting policies, management of the Company is required to exercise judgment in determining many of the methodologies, assumptions and estimates to be utilized. Certain of the critical accounting estimates are more dependent on such judgment and in some cases may contribute to volatility in the Company’s reported financial performance should the assumptions and estimates used change over time due to changes in circumstances. Some of the more significant areas in which management of the Company applies critical assumptions and estimates include the following:</w:t>
      </w:r>
    </w:p>
    <w:p>
      <w:pPr>
        <w:spacing w:after="0" w:line="4" w:lineRule="exact"/>
        <w:rPr>
          <w:sz w:val="20"/>
          <w:szCs w:val="20"/>
          <w:color w:val="auto"/>
        </w:rPr>
      </w:pPr>
    </w:p>
    <w:p>
      <w:pPr>
        <w:ind w:left="1180" w:right="100" w:hanging="584"/>
        <w:spacing w:after="0" w:line="262" w:lineRule="auto"/>
        <w:tabs>
          <w:tab w:leader="none" w:pos="1180" w:val="left"/>
        </w:tabs>
        <w:numPr>
          <w:ilvl w:val="0"/>
          <w:numId w:val="20"/>
        </w:numPr>
        <w:rPr>
          <w:rFonts w:ascii="Arial" w:cs="Arial" w:eastAsia="Arial" w:hAnsi="Arial"/>
          <w:sz w:val="19"/>
          <w:szCs w:val="19"/>
          <w:color w:val="auto"/>
        </w:rPr>
      </w:pPr>
      <w:r>
        <w:rPr>
          <w:rFonts w:ascii="Arial" w:cs="Arial" w:eastAsia="Arial" w:hAnsi="Arial"/>
          <w:sz w:val="19"/>
          <w:szCs w:val="19"/>
          <w:color w:val="auto"/>
        </w:rPr>
        <w:t>Accounting for credit losses — The allowance for credit losses represents the amount that in management’s judgment appropriately reflects credit losses inherent in the loan and lease portfolio as of the balance sheet date. A provision for credit losses is recorded to adjust the level of the allowance as deemed necessary by management. In estimating losses inherent in the loan and lease portfolio, assumptions and judgment are applied to measure amounts and timing of expected future cash flows, collateral values and other factors used to determine the borrowers’ abilities to repay obligations. Historical loss trends are also considered, as are economic conditions, industry trends, portfolio trends and borrower-specific financial data. In accounting for loans acquired at a discount that is, in part, attributable to credit quality which are initially recorded at fair value with no carry-over of an acquired entity’s previously established allowance for credit losses, the cash flows expected at acquisition in excess of estimated fair value are recognized as interest income over the remaining lives of the loans. Subsequent decreases in the expected</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00"/>
          </w:cols>
          <w:pgMar w:left="240" w:top="126" w:right="259" w:bottom="1440" w:gutter="0" w:footer="0" w:header="0"/>
        </w:sectPr>
      </w:pPr>
    </w:p>
    <w:bookmarkStart w:id="46" w:name="page47"/>
    <w:bookmarkEnd w:id="46"/>
    <w:p>
      <w:pPr>
        <w:ind w:left="584" w:right="100"/>
        <w:spacing w:after="0" w:line="250" w:lineRule="auto"/>
        <w:rPr>
          <w:sz w:val="20"/>
          <w:szCs w:val="20"/>
          <w:color w:val="auto"/>
        </w:rPr>
      </w:pPr>
      <w:r>
        <w:rPr>
          <w:rFonts w:ascii="Arial" w:cs="Arial" w:eastAsia="Arial" w:hAnsi="Arial"/>
          <w:sz w:val="20"/>
          <w:szCs w:val="20"/>
          <w:color w:val="auto"/>
        </w:rPr>
        <w:t>principal cash flows require the Company to evaluate the need for additions to the Company’s allowance for credit losses. Subsequent improvements in expected cash flows result first in the recovery of any applicable allowance for credit losses and then in the recognition of additional interest income over the remaining lives of the loans. Changes in the circumstances considered when determining management’s estimates and assumptions could result in changes in those estimates and assumptions, which may result in adjustment of the allowance or, in the case of loans acquired at a discount, increases in interest income in future periods. A detailed discussion of facts and circumstances considered by management in determining the allowance for credit losses is included herein under the heading “Provision for Credit Losses” and in note 5 of Notes to Financial Statements.</w:t>
      </w:r>
    </w:p>
    <w:p>
      <w:pPr>
        <w:spacing w:after="0" w:line="81" w:lineRule="exact"/>
        <w:rPr>
          <w:sz w:val="20"/>
          <w:szCs w:val="20"/>
          <w:color w:val="auto"/>
        </w:rPr>
      </w:pPr>
    </w:p>
    <w:p>
      <w:pPr>
        <w:ind w:left="584" w:hanging="584"/>
        <w:spacing w:after="0" w:line="275" w:lineRule="auto"/>
        <w:tabs>
          <w:tab w:leader="none" w:pos="584" w:val="left"/>
        </w:tabs>
        <w:numPr>
          <w:ilvl w:val="0"/>
          <w:numId w:val="21"/>
        </w:numPr>
        <w:rPr>
          <w:rFonts w:ascii="Arial" w:cs="Arial" w:eastAsia="Arial" w:hAnsi="Arial"/>
          <w:sz w:val="18"/>
          <w:szCs w:val="18"/>
          <w:color w:val="auto"/>
        </w:rPr>
      </w:pPr>
      <w:r>
        <w:rPr>
          <w:rFonts w:ascii="Arial" w:cs="Arial" w:eastAsia="Arial" w:hAnsi="Arial"/>
          <w:sz w:val="18"/>
          <w:szCs w:val="18"/>
          <w:color w:val="auto"/>
        </w:rPr>
        <w:t>Valuation methodologies — Management of the Company applies various valuation methodologies to assets and liabilities which often involve a significant degree of judgment, particularly when liquid markets do not exist for the particular items being valued. Quoted market prices are referred to when estimating fair values for certain assets, such as trading assets, most investment securities, and residential real estate loans held for sale and related commitments. However, for those items for which an observable liquid market does not exist, management utilizes significant estimates and assumptions to value such items. Examples of these items include loans, deposits, borrowings, goodwill, core deposit and other intangible assets, other assets and liabilities obtained or assumed in business combinations, capitalized servicing assets, pension and other postretirement benefit obligations, estimated residual values of property associated with leases, and certain derivative and other financial instruments. These valuations require the use of various assumptions, including, among others, discount rates, rates of return on assets, repayment rates, cash flows, default rates, costs of servicing and liquidation values. The use of different assumptions could produce significantly different results, which could have material positive or negative effects on the Company’s results of operations, financial condition or disclosures of fair value information. In addition to valuation, the Company must assess whether there are any declines in value below the carrying value of assets that should be considered other than temporary or otherwise require an adjustment in carrying value and recognition of a loss in the consolidated statement of income. Examples include investment securities, other investments, loan servicing rights, goodwill and core deposit and other intangible assets, among others. Specific assumptions and estimates utilized by management are discussed in detail herein in management’s discussion and analysis of financial condition and results of operations and in notes 1, 3, 4, 7, 8, 12, 18, 19 and 20 of Notes to Financial Statements.</w:t>
      </w:r>
    </w:p>
    <w:p>
      <w:pPr>
        <w:spacing w:after="0" w:line="5" w:lineRule="exact"/>
        <w:rPr>
          <w:rFonts w:ascii="Arial" w:cs="Arial" w:eastAsia="Arial" w:hAnsi="Arial"/>
          <w:sz w:val="18"/>
          <w:szCs w:val="18"/>
          <w:color w:val="auto"/>
        </w:rPr>
      </w:pPr>
    </w:p>
    <w:p>
      <w:pPr>
        <w:ind w:left="584" w:right="20" w:hanging="584"/>
        <w:spacing w:after="0" w:line="278" w:lineRule="auto"/>
        <w:tabs>
          <w:tab w:leader="none" w:pos="584"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Commitments, contingencies and off-balance sheet arrangements — Information regarding the Company’s commitments and contingencies, including guarantees and contingent liabilities arising from litigation, and their potential effects on the Company’s results of operations is included in note 21 of Notes to Financial Statements. In addition, the Company is routinely subject to examinations from various governmental taxing authorities. Such examinations may result in challenges to the tax return treatment applied by the Company to specific transactions. Management believes that the assumptions and judgment used to record tax-related assets or liabilities have been appropriate. Should tax laws change or the tax authorities determine that management’s assumptions were inappropriate, the result and adjustments required could have a material effect on the Company’s results of operations. Information regarding the Company’s income taxes is presented in note 13 of Notes to Financial Statements. The recognition or de-recognition in the Company’s consolidated financial statements of assets and liabilities held by so-called variable interest entities is subject to the interpretation and application of complex</w:t>
      </w:r>
    </w:p>
    <w:p>
      <w:pPr>
        <w:spacing w:after="0" w:line="161" w:lineRule="exact"/>
        <w:rPr>
          <w:sz w:val="20"/>
          <w:szCs w:val="20"/>
          <w:color w:val="auto"/>
        </w:rPr>
      </w:pPr>
    </w:p>
    <w:p>
      <w:pPr>
        <w:ind w:left="5024"/>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-387350</wp:posOffset>
            </wp:positionH>
            <wp:positionV relativeFrom="paragraph">
              <wp:posOffset>64135</wp:posOffset>
            </wp:positionV>
            <wp:extent cx="729234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0804"/>
          </w:cols>
          <w:pgMar w:left="836" w:top="126" w:right="259" w:bottom="1440" w:gutter="0" w:footer="0" w:header="0"/>
        </w:sectPr>
      </w:pPr>
    </w:p>
    <w:bookmarkStart w:id="47" w:name="page48"/>
    <w:bookmarkEnd w:id="47"/>
    <w:p>
      <w:pPr>
        <w:ind w:left="1180" w:right="160"/>
        <w:spacing w:after="0" w:line="274" w:lineRule="auto"/>
        <w:rPr>
          <w:sz w:val="20"/>
          <w:szCs w:val="20"/>
          <w:color w:val="auto"/>
        </w:rPr>
      </w:pPr>
      <w:r>
        <w:rPr>
          <w:rFonts w:ascii="Arial" w:cs="Arial" w:eastAsia="Arial" w:hAnsi="Arial"/>
          <w:sz w:val="19"/>
          <w:szCs w:val="19"/>
          <w:color w:val="auto"/>
        </w:rPr>
        <w:t>accounting pronouncements or interpretations that require management to estimate and assess the relative significance of the Company’s financial interests in those entities and the degree to which the Company can influence the most important activities of the entities. Information relating to the Company’s involvement in such entities and the accounting treatment afforded each such involvement is included in note 19 of Notes to Financial Statements.</w:t>
      </w:r>
    </w:p>
    <w:p>
      <w:pPr>
        <w:spacing w:after="0" w:line="3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29" w:lineRule="exact"/>
        <w:rPr>
          <w:sz w:val="20"/>
          <w:szCs w:val="20"/>
          <w:color w:val="auto"/>
        </w:rPr>
      </w:pPr>
    </w:p>
    <w:p>
      <w:pPr>
        <w:ind w:right="100"/>
        <w:spacing w:after="0" w:line="274" w:lineRule="auto"/>
        <w:rPr>
          <w:sz w:val="20"/>
          <w:szCs w:val="20"/>
          <w:color w:val="auto"/>
        </w:rPr>
      </w:pPr>
      <w:r>
        <w:rPr>
          <w:rFonts w:ascii="Arial" w:cs="Arial" w:eastAsia="Arial" w:hAnsi="Arial"/>
          <w:sz w:val="18"/>
          <w:szCs w:val="18"/>
          <w:color w:val="auto"/>
        </w:rPr>
        <w:t>Net income for the Company during 2017 was $1.41 billion or $8.70 of diluted earnings per common share, up 7% and 12%, respectively, from $1.32 billion or $7.78 of diluted earnings per common share in 2016. Basic earnings per common share also increased 12% to $8.72 in 2017 from $7.80 in 2016. Net income in 2015 totaled $1.08 billion, while diluted and basic earnings per common share were $7.18 and $7.22, respectively. Expressed as a rate of return on average assets, net income in 2017 was 1.17%, compared with 1.06% in each of 2016 and 2015. The return on average common shareholders’ equity was 8.87% in 2017, 8.16% in 2016 and 8.32% in 2015.</w:t>
      </w:r>
    </w:p>
    <w:p>
      <w:pPr>
        <w:spacing w:after="0" w:line="1" w:lineRule="exact"/>
        <w:rPr>
          <w:sz w:val="20"/>
          <w:szCs w:val="20"/>
          <w:color w:val="auto"/>
        </w:rPr>
      </w:pPr>
    </w:p>
    <w:p>
      <w:pPr>
        <w:ind w:right="80" w:firstLine="598"/>
        <w:spacing w:after="0" w:line="246" w:lineRule="auto"/>
        <w:rPr>
          <w:sz w:val="20"/>
          <w:szCs w:val="20"/>
          <w:color w:val="auto"/>
        </w:rPr>
      </w:pPr>
      <w:r>
        <w:rPr>
          <w:rFonts w:ascii="Arial" w:cs="Arial" w:eastAsia="Arial" w:hAnsi="Arial"/>
          <w:sz w:val="20"/>
          <w:szCs w:val="20"/>
          <w:color w:val="auto"/>
        </w:rPr>
        <w:t>The enactment of the Tax Cuts and Jobs Act (“Tax Act”) on December 22, 2017 reduced the corporate Federal income tax rate from 35% to 21% effective January 1, 2018 and made other changes to U.S. corporate income tax laws. GAAP requires that the impact of the provisions of the Tax Act be accounted for in the period of enactment. Accordingly, the incremental income tax expense recorded by the Company in the fourth quarter of 2017 related to the Tax Act was $85 million, representing $.56 of diluted earnings per common share. The additional expense was largely attributable to the reduction in carrying value of net deferred tax assets reflecting lower future tax benefits resulting from the lower corporate tax rate.</w:t>
      </w:r>
    </w:p>
    <w:p>
      <w:pPr>
        <w:spacing w:after="0" w:line="5" w:lineRule="exact"/>
        <w:rPr>
          <w:sz w:val="20"/>
          <w:szCs w:val="20"/>
          <w:color w:val="auto"/>
        </w:rPr>
      </w:pPr>
    </w:p>
    <w:p>
      <w:pPr>
        <w:ind w:right="20" w:firstLine="598"/>
        <w:spacing w:after="0" w:line="246" w:lineRule="auto"/>
        <w:rPr>
          <w:sz w:val="20"/>
          <w:szCs w:val="20"/>
          <w:color w:val="auto"/>
        </w:rPr>
      </w:pPr>
      <w:r>
        <w:rPr>
          <w:rFonts w:ascii="Arial" w:cs="Arial" w:eastAsia="Arial" w:hAnsi="Arial"/>
          <w:sz w:val="20"/>
          <w:szCs w:val="20"/>
          <w:color w:val="auto"/>
        </w:rPr>
        <w:t>During the fourth quarter of 2017, the Company realized after-tax gains from investment securities of $14 million ($21 million pre-tax) that added $.09 to diluted earnings per common share. Gains from investment securities increased the Company’s net income in 2016 by $18 million ($30 million pre-tax), representing $.12 of diluted earnings per common share. There were no significant gains or losses on investment securities in 2015.</w:t>
      </w:r>
    </w:p>
    <w:p>
      <w:pPr>
        <w:spacing w:after="0" w:line="3" w:lineRule="exact"/>
        <w:rPr>
          <w:sz w:val="20"/>
          <w:szCs w:val="20"/>
          <w:color w:val="auto"/>
        </w:rPr>
      </w:pPr>
    </w:p>
    <w:p>
      <w:pPr>
        <w:ind w:right="20" w:firstLine="598"/>
        <w:spacing w:after="0" w:line="246" w:lineRule="auto"/>
        <w:rPr>
          <w:sz w:val="20"/>
          <w:szCs w:val="20"/>
          <w:color w:val="auto"/>
        </w:rPr>
      </w:pPr>
      <w:r>
        <w:rPr>
          <w:rFonts w:ascii="Arial" w:cs="Arial" w:eastAsia="Arial" w:hAnsi="Arial"/>
          <w:sz w:val="20"/>
          <w:szCs w:val="20"/>
          <w:color w:val="auto"/>
        </w:rPr>
        <w:t>The Company increased its contribution to The M&amp;T Charitable Foundation by $44 million in the final 2017 quarter, bringing total charitable contributions for all of 2017 to $50 million, thereby reducing net income by $30 million, or $.20 of diluted earnings per common share. Charitable contributions were $30 million in 2016 and $46 million in 2015. After applicable tax effect, those contributions equated to $.12 and $.20 per diluted common share in 2016 and 2015, respectively.</w:t>
      </w:r>
    </w:p>
    <w:p>
      <w:pPr>
        <w:spacing w:after="0" w:line="3" w:lineRule="exact"/>
        <w:rPr>
          <w:sz w:val="20"/>
          <w:szCs w:val="20"/>
          <w:color w:val="auto"/>
        </w:rPr>
      </w:pPr>
    </w:p>
    <w:p>
      <w:pPr>
        <w:ind w:right="100" w:firstLine="598"/>
        <w:spacing w:after="0" w:line="246" w:lineRule="auto"/>
        <w:rPr>
          <w:sz w:val="20"/>
          <w:szCs w:val="20"/>
          <w:color w:val="auto"/>
        </w:rPr>
      </w:pPr>
      <w:r>
        <w:rPr>
          <w:rFonts w:ascii="Arial" w:cs="Arial" w:eastAsia="Arial" w:hAnsi="Arial"/>
          <w:sz w:val="20"/>
          <w:szCs w:val="20"/>
          <w:color w:val="auto"/>
        </w:rPr>
        <w:t>On October 9, 2017, Wilmington Trust Corporation, a wholly owned subsidiary of M&amp;T, reached an agreement with the U.S. Attorney’s Office for the District of Delaware related to alleged conduct that took place between 2009 and 2010 prior to the acquisition of Wilmington Trust Corporation by M&amp;T. Under the terms of that agreement, Wilmington Trust Corporation was required to pay $60 million and settled the government’s claims. The settlement amount included $16 million previously paid to the U.S. Securities and Exchange Commission in a related action. The result was a payment of $44 million that is not deductible for income tax purposes. Wilmington Trust Corporation did not admit any liability.</w:t>
      </w:r>
    </w:p>
    <w:p>
      <w:pPr>
        <w:spacing w:after="0" w:line="5" w:lineRule="exact"/>
        <w:rPr>
          <w:sz w:val="20"/>
          <w:szCs w:val="20"/>
          <w:color w:val="auto"/>
        </w:rPr>
      </w:pPr>
    </w:p>
    <w:p>
      <w:pPr>
        <w:ind w:right="80" w:firstLine="598"/>
        <w:spacing w:after="0" w:line="274" w:lineRule="auto"/>
        <w:rPr>
          <w:sz w:val="20"/>
          <w:szCs w:val="20"/>
          <w:color w:val="auto"/>
        </w:rPr>
      </w:pPr>
      <w:r>
        <w:rPr>
          <w:rFonts w:ascii="Arial" w:cs="Arial" w:eastAsia="Arial" w:hAnsi="Arial"/>
          <w:sz w:val="18"/>
          <w:szCs w:val="18"/>
          <w:color w:val="auto"/>
        </w:rPr>
        <w:t>As of September 30, 2017, the Company increased the reserve for legal matters by $50 million. That increase, coupled with the non-deductible nature of the $44 million payment, reduced net income in 2017 by $48 million, or $.31 of diluted earnings per common share.</w:t>
      </w:r>
    </w:p>
    <w:p>
      <w:pPr>
        <w:ind w:firstLine="598"/>
        <w:spacing w:after="0" w:line="250" w:lineRule="auto"/>
        <w:rPr>
          <w:sz w:val="20"/>
          <w:szCs w:val="20"/>
          <w:color w:val="auto"/>
        </w:rPr>
      </w:pPr>
      <w:r>
        <w:rPr>
          <w:rFonts w:ascii="Arial" w:cs="Arial" w:eastAsia="Arial" w:hAnsi="Arial"/>
          <w:sz w:val="20"/>
          <w:szCs w:val="20"/>
          <w:color w:val="auto"/>
        </w:rPr>
        <w:t>The Hudson City transaction was accounted for using the acquisition method of accounting and, accordingly, the results of operations acquired in such transaction have been included in the Company’s financial results for the final two months of 2015 and for all of 2016 and 2017. The acquired operations added to the Company’s average earning assets, net interest income and non-interest expenses. Net acquisition and integration-related expenses (included herein as merger-related</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00"/>
          </w:cols>
          <w:pgMar w:left="240" w:top="126" w:right="259" w:bottom="1440" w:gutter="0" w:footer="0" w:header="0"/>
        </w:sectPr>
      </w:pPr>
    </w:p>
    <w:bookmarkStart w:id="48" w:name="page49"/>
    <w:bookmarkEnd w:id="48"/>
    <w:p>
      <w:pPr>
        <w:ind w:right="180"/>
        <w:spacing w:after="0" w:line="253" w:lineRule="auto"/>
        <w:rPr>
          <w:sz w:val="20"/>
          <w:szCs w:val="20"/>
          <w:color w:val="auto"/>
        </w:rPr>
      </w:pPr>
      <w:r>
        <w:rPr>
          <w:rFonts w:ascii="Arial" w:cs="Arial" w:eastAsia="Arial" w:hAnsi="Arial"/>
          <w:sz w:val="20"/>
          <w:szCs w:val="20"/>
          <w:color w:val="auto"/>
        </w:rPr>
        <w:t>expenses) associated with the Hudson City acquisition totaled $22 million after-tax effect, or $.14 of diluted earnings per common share during 2016 and $61 million after-tax effect, or $.44 of diluted earnings per common share in 2015. There were no merger-related expenses in 2017.</w:t>
      </w:r>
    </w:p>
    <w:p>
      <w:pPr>
        <w:ind w:firstLine="598"/>
        <w:spacing w:after="0" w:line="274" w:lineRule="auto"/>
        <w:rPr>
          <w:sz w:val="20"/>
          <w:szCs w:val="20"/>
          <w:color w:val="auto"/>
        </w:rPr>
      </w:pPr>
      <w:r>
        <w:rPr>
          <w:rFonts w:ascii="Arial" w:cs="Arial" w:eastAsia="Arial" w:hAnsi="Arial"/>
          <w:sz w:val="18"/>
          <w:szCs w:val="18"/>
          <w:color w:val="auto"/>
        </w:rPr>
        <w:t>Taxable-equivalent net interest income increased 9% to $3.82 billion in 2017 from $3.50 billion in 2016. That improvement resulted from a widening of the net interest margin, or taxable-equivalent net interest income expressed as a percentage of average earning assets, from 3.11% in 2016 to 3.47% in 2017. Partially offsetting the impact of the widened net interest margin was a 2% decline in average earning assets to $110.0 billion in 2017 from $112.6 billion in 2016. Taxable-equivalent net interest income in 2016 was 22% higher than $2.87 billion in 2015 due predominantly to a $21.4 billion increase in average earning assets. That increase reflected higher average balances of loans and leases of $17.8 billion, principally due to the full-year impact of the Hudson City acquisition, and interest-bearing deposits at banks of $3.1 billion. Offsetting the impact of higher earning assets was a three basis point (hundredths of one percent) narrowing of the net interest margin from 3.14% in 2015. Lower yields on investment securities and an increase in rates on interest-bearing deposits, reflecting the impact of time deposits in the former Hudson City markets, led to that narrowing.</w:t>
      </w:r>
    </w:p>
    <w:p>
      <w:pPr>
        <w:spacing w:after="0" w:line="2" w:lineRule="exact"/>
        <w:rPr>
          <w:sz w:val="20"/>
          <w:szCs w:val="20"/>
          <w:color w:val="auto"/>
        </w:rPr>
      </w:pPr>
    </w:p>
    <w:p>
      <w:pPr>
        <w:ind w:left="600"/>
        <w:spacing w:after="0"/>
        <w:rPr>
          <w:sz w:val="20"/>
          <w:szCs w:val="20"/>
          <w:color w:val="auto"/>
        </w:rPr>
      </w:pPr>
      <w:r>
        <w:rPr>
          <w:rFonts w:ascii="Arial" w:cs="Arial" w:eastAsia="Arial" w:hAnsi="Arial"/>
          <w:sz w:val="19"/>
          <w:szCs w:val="19"/>
          <w:color w:val="auto"/>
        </w:rPr>
        <w:t>The provision for credit losses decreased 12% to $168 million in 2017 from $190 million in 2016. The provision in 2015 of $170</w:t>
      </w:r>
    </w:p>
    <w:p>
      <w:pPr>
        <w:spacing w:after="0" w:line="18" w:lineRule="exact"/>
        <w:rPr>
          <w:sz w:val="20"/>
          <w:szCs w:val="20"/>
          <w:color w:val="auto"/>
        </w:rPr>
      </w:pPr>
    </w:p>
    <w:p>
      <w:pPr>
        <w:spacing w:after="0"/>
        <w:rPr>
          <w:sz w:val="20"/>
          <w:szCs w:val="20"/>
          <w:color w:val="auto"/>
        </w:rPr>
      </w:pPr>
      <w:r>
        <w:rPr>
          <w:rFonts w:ascii="Arial" w:cs="Arial" w:eastAsia="Arial" w:hAnsi="Arial"/>
          <w:sz w:val="19"/>
          <w:szCs w:val="19"/>
          <w:color w:val="auto"/>
        </w:rPr>
        <w:t>million reflected $21 million, as provided for by GAAP, for incurred credit losses in connection with the $18.3 billion of loans acquired in</w:t>
      </w:r>
    </w:p>
    <w:p>
      <w:pPr>
        <w:spacing w:after="0" w:line="18" w:lineRule="exact"/>
        <w:rPr>
          <w:sz w:val="20"/>
          <w:szCs w:val="20"/>
          <w:color w:val="auto"/>
        </w:rPr>
      </w:pPr>
    </w:p>
    <w:p>
      <w:pPr>
        <w:spacing w:after="0"/>
        <w:rPr>
          <w:sz w:val="20"/>
          <w:szCs w:val="20"/>
          <w:color w:val="auto"/>
        </w:rPr>
      </w:pPr>
      <w:r>
        <w:rPr>
          <w:rFonts w:ascii="Arial" w:cs="Arial" w:eastAsia="Arial" w:hAnsi="Arial"/>
          <w:sz w:val="19"/>
          <w:szCs w:val="19"/>
          <w:color w:val="auto"/>
        </w:rPr>
        <w:t>the Hudson City transaction at a premium that were not individually identifiable as impaired at the acquisition date. Net charge-offs were</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$140 million in 2017, $157 million in 2016 and $134 million in 2015. Net charge-offs as a percentage of average loans and leases were .16%</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in 2017, .18% in 2016 and .19% in 2015.</w:t>
      </w:r>
    </w:p>
    <w:p>
      <w:pPr>
        <w:spacing w:after="0" w:line="7" w:lineRule="exact"/>
        <w:rPr>
          <w:sz w:val="20"/>
          <w:szCs w:val="20"/>
          <w:color w:val="auto"/>
        </w:rPr>
      </w:pPr>
    </w:p>
    <w:p>
      <w:pPr>
        <w:ind w:right="140" w:firstLine="598"/>
        <w:spacing w:after="0" w:line="246" w:lineRule="auto"/>
        <w:rPr>
          <w:sz w:val="20"/>
          <w:szCs w:val="20"/>
          <w:color w:val="auto"/>
        </w:rPr>
      </w:pPr>
      <w:r>
        <w:rPr>
          <w:rFonts w:ascii="Arial" w:cs="Arial" w:eastAsia="Arial" w:hAnsi="Arial"/>
          <w:sz w:val="20"/>
          <w:szCs w:val="20"/>
          <w:color w:val="auto"/>
        </w:rPr>
        <w:t>Other income totaled $1.85 billion in 2017, compared with $1.83 billion in each of 2016 and 2015. Comparing 2017 with 2016, higher trust income and service charges on deposit accounts were partially offset by a decline in residential mortgage banking revenues and lower gains on investment securities. During 2016, higher gains recognized on sales of investment securities and increased trading account and foreign exchange gains as compared with 2015 were offset by a $45 million gain in 2015 on the sale of the Company’s trade processing business.</w:t>
      </w:r>
    </w:p>
    <w:p>
      <w:pPr>
        <w:spacing w:after="0" w:line="4" w:lineRule="exact"/>
        <w:rPr>
          <w:sz w:val="20"/>
          <w:szCs w:val="20"/>
          <w:color w:val="auto"/>
        </w:rPr>
      </w:pPr>
    </w:p>
    <w:p>
      <w:pPr>
        <w:ind w:firstLine="598"/>
        <w:spacing w:after="0" w:line="274" w:lineRule="auto"/>
        <w:rPr>
          <w:sz w:val="20"/>
          <w:szCs w:val="20"/>
          <w:color w:val="auto"/>
        </w:rPr>
      </w:pPr>
      <w:r>
        <w:rPr>
          <w:rFonts w:ascii="Arial" w:cs="Arial" w:eastAsia="Arial" w:hAnsi="Arial"/>
          <w:sz w:val="18"/>
          <w:szCs w:val="18"/>
          <w:color w:val="auto"/>
        </w:rPr>
        <w:t>Other expense increased 3% to $3.14 billion in 2017 from $3.05 billion in 2016. Other expense in 2015 totaled $2.82 billion. Included in those amounts are expenses considered by M&amp;T to be “nonoperating” in nature, consisting of amortization of core deposit and other intangible assets of $31 million, $43 million and $26 million in 2017, 2016 and 2015, respectively, and merger-related expenses of $36 million and $76 million in 2016 and 2015, respectively. Exclusive of those nonoperating expenses, noninterest operating expenses aggregated $3.11 billion in 2017, compared with $2.97 billion in 2016 and $2.72 billion in 2015. The increase in such expenses in 2017 as compared with 2016 was largely due to higher costs for salaries and employee benefits, professional services and charitable contributions, and increases to the reserve for legal matters. The increase in noninterest operating expenses in 2016 as compared with 2015 reflects the full-year impact of the Hudson City acquisition and higher costs for salaries and employee benefits and FDIC assessments.</w:t>
      </w:r>
    </w:p>
    <w:p>
      <w:pPr>
        <w:spacing w:after="0" w:line="2" w:lineRule="exact"/>
        <w:rPr>
          <w:sz w:val="20"/>
          <w:szCs w:val="20"/>
          <w:color w:val="auto"/>
        </w:rPr>
      </w:pPr>
    </w:p>
    <w:p>
      <w:pPr>
        <w:ind w:right="20" w:firstLine="598"/>
        <w:spacing w:after="0" w:line="246" w:lineRule="auto"/>
        <w:rPr>
          <w:sz w:val="20"/>
          <w:szCs w:val="20"/>
          <w:color w:val="auto"/>
        </w:rPr>
      </w:pPr>
      <w:r>
        <w:rPr>
          <w:rFonts w:ascii="Arial" w:cs="Arial" w:eastAsia="Arial" w:hAnsi="Arial"/>
          <w:sz w:val="20"/>
          <w:szCs w:val="20"/>
          <w:color w:val="auto"/>
        </w:rPr>
        <w:t>The efficiency ratio measures the relationship of operating expenses to revenues. The Company’s efficiency ratio, or noninterest operating expenses (as previously defined) divided by the sum of taxable-equivalent net interest income and noninterest income (exclusive of gains and losses from bank investment securities), was 55.1% in 2017, compared with 56.1% and 58.0% in 2016 and 2015, respectively. The calculations of the efficiency ratio are presented in table 2.</w:t>
      </w:r>
    </w:p>
    <w:p>
      <w:pPr>
        <w:spacing w:after="0" w:line="3" w:lineRule="exact"/>
        <w:rPr>
          <w:sz w:val="20"/>
          <w:szCs w:val="20"/>
          <w:color w:val="auto"/>
        </w:rPr>
      </w:pPr>
    </w:p>
    <w:p>
      <w:pPr>
        <w:ind w:left="600"/>
        <w:spacing w:after="0"/>
        <w:rPr>
          <w:sz w:val="20"/>
          <w:szCs w:val="20"/>
          <w:color w:val="auto"/>
        </w:rPr>
      </w:pPr>
      <w:r>
        <w:rPr>
          <w:rFonts w:ascii="Arial" w:cs="Arial" w:eastAsia="Arial" w:hAnsi="Arial"/>
          <w:sz w:val="20"/>
          <w:szCs w:val="20"/>
          <w:color w:val="auto"/>
        </w:rPr>
        <w:t>In 2017, in addition to the impact of the Tax Act already noted, M&amp;T adopted new accounting guidance for share-based</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transactions. That guidance requires that all excess tax benefits and tax deficiencies associated with share-based compensation be recognized</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in income tax expense in the income statement. Previously, tax effects resulting from changes in M&amp;T’s share price subsequent to the grant</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date were recorded through shareholders’ equity at the time of vesting or exercise. The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49" w:name="page50"/>
    <w:bookmarkEnd w:id="49"/>
    <w:p>
      <w:pPr>
        <w:ind w:right="100"/>
        <w:spacing w:after="0" w:line="256" w:lineRule="auto"/>
        <w:rPr>
          <w:sz w:val="20"/>
          <w:szCs w:val="20"/>
          <w:color w:val="auto"/>
        </w:rPr>
      </w:pPr>
      <w:r>
        <w:rPr>
          <w:rFonts w:ascii="Arial" w:cs="Arial" w:eastAsia="Arial" w:hAnsi="Arial"/>
          <w:sz w:val="20"/>
          <w:szCs w:val="20"/>
          <w:color w:val="auto"/>
        </w:rPr>
        <w:t>adoption of the amended accounting guidance resulted in a $22 million reduction of income tax expense in 2017, or $.15 of diluted earnings per common share.</w:t>
      </w:r>
    </w:p>
    <w:p>
      <w:pPr>
        <w:ind w:right="60" w:firstLine="598"/>
        <w:spacing w:after="0" w:line="259" w:lineRule="auto"/>
        <w:rPr>
          <w:sz w:val="20"/>
          <w:szCs w:val="20"/>
          <w:color w:val="auto"/>
        </w:rPr>
      </w:pPr>
      <w:r>
        <w:rPr>
          <w:rFonts w:ascii="Arial" w:cs="Arial" w:eastAsia="Arial" w:hAnsi="Arial"/>
          <w:sz w:val="19"/>
          <w:szCs w:val="19"/>
          <w:color w:val="auto"/>
        </w:rPr>
        <w:t>On June 28, 2017, M&amp;T announced that the Federal Reserve did not object to M&amp;T’s proposed 2017 Capital Plan. That capital plan includes provisions for the repurchase of up to $900 million of common shares during the four-quarter period starting on July 1, 2017, an increase in the quarterly common stock dividend in the second quarter of 2018 of up to $.05 per share to $.80 per share, and the issuance of subordinated capital notes in the third quarter of 2017 of $500 million. M&amp;T may continue to pay dividends and interest on equity and debt instruments included in regulatory capital, including preferred stock, trust preferred securities and subordinated debt, consistent with the contractual terms of those instruments. Dividends are subject to declaration by M&amp;T’s Board of Directors. In July 2017, M&amp;T’s Board of Directors authorized a new stock repurchase program to repurchase up to $900 million of shares of M&amp;T’s common stock subject to all applicable regulatory limitations, including those set forth in M&amp;T’s 2017 Capital Plan. In accordance with M&amp;T’s 2017 Capital Plan, M&amp;T repurchased 2,726,102 shares of its common stock during the last six months of 2017 at a cost of $449 million and issued $500 million of subordinated capital notes during 2017’s third quarter. In accordance with M&amp;T’s revised 2016 Capital Plan, during the first half of 2017, M&amp;T repurchased 4,643,003 shares of its common stock at a total cost of $757 million, and during the first quarter of 2017 M&amp;T increased the quarterly common stock dividend from $.70 to $.75 per share. In the aggregate, M&amp;T repurchased 7,369,105 shares of its common stock during 2017 at a cost of $1.21 billion.</w:t>
      </w:r>
    </w:p>
    <w:p>
      <w:pPr>
        <w:spacing w:after="0" w:line="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On February 5, 2018, M&amp;T received notice of non-objection from the Federal Reserve to repurchase an additional $745 million of</w:t>
      </w:r>
    </w:p>
    <w:p>
      <w:pPr>
        <w:spacing w:after="0" w:line="30" w:lineRule="exact"/>
        <w:rPr>
          <w:sz w:val="20"/>
          <w:szCs w:val="20"/>
          <w:color w:val="auto"/>
        </w:rPr>
      </w:pPr>
    </w:p>
    <w:p>
      <w:pPr>
        <w:spacing w:after="0"/>
        <w:rPr>
          <w:sz w:val="20"/>
          <w:szCs w:val="20"/>
          <w:color w:val="auto"/>
        </w:rPr>
      </w:pPr>
      <w:r>
        <w:rPr>
          <w:rFonts w:ascii="Arial" w:cs="Arial" w:eastAsia="Arial" w:hAnsi="Arial"/>
          <w:sz w:val="19"/>
          <w:szCs w:val="19"/>
          <w:color w:val="auto"/>
        </w:rPr>
        <w:t>shares of its common stock by June 30, 2018. This amount is in addition to the previously announced $900 million of common stock</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authorized for repurchase under M&amp;T’s 2017 Capital Plan and its current stock repurchase program. The additional repurchases of up to</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$745 million will be made under the terms of a new stock repurchase program approved by M&amp;T’s Board of Directors on February 21, 2018.</w:t>
      </w:r>
    </w:p>
    <w:p>
      <w:pPr>
        <w:spacing w:after="0" w:line="30" w:lineRule="exact"/>
        <w:rPr>
          <w:sz w:val="20"/>
          <w:szCs w:val="20"/>
          <w:color w:val="auto"/>
        </w:rPr>
      </w:pPr>
    </w:p>
    <w:p>
      <w:pPr>
        <w:ind w:right="100" w:firstLine="598"/>
        <w:spacing w:after="0" w:line="250" w:lineRule="auto"/>
        <w:rPr>
          <w:sz w:val="20"/>
          <w:szCs w:val="20"/>
          <w:color w:val="auto"/>
        </w:rPr>
      </w:pPr>
      <w:r>
        <w:rPr>
          <w:rFonts w:ascii="Arial" w:cs="Arial" w:eastAsia="Arial" w:hAnsi="Arial"/>
          <w:sz w:val="20"/>
          <w:szCs w:val="20"/>
          <w:color w:val="auto"/>
        </w:rPr>
        <w:t>On July 25, 2017, the Federal Reserve Bank of New York terminated its written agreement with M&amp;T and its principal bank subsidiary, M&amp;T Bank, that had been entered into in June 2013. Under the terms of that agreement, M&amp;T and M&amp;T Bank implemented an enhanced compliance risk management program designed to ensure compliance with the Bank Secrecy Act and anti-money-laundering laws and regulations (“BSA/AML”) and took other steps to enhance their compliance practices.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00"/>
          </w:cols>
          <w:pgMar w:left="240" w:top="126" w:right="259" w:bottom="1440" w:gutter="0" w:footer="0" w:header="0"/>
        </w:sectPr>
      </w:pPr>
    </w:p>
    <w:bookmarkStart w:id="50" w:name="page51"/>
    <w:bookmarkEnd w:id="50"/>
    <w:p>
      <w:pPr>
        <w:spacing w:after="0"/>
        <w:rPr>
          <w:sz w:val="20"/>
          <w:szCs w:val="20"/>
          <w:color w:val="auto"/>
        </w:rPr>
      </w:pPr>
      <w:r>
        <w:rPr>
          <w:rFonts w:ascii="Arial" w:cs="Arial" w:eastAsia="Arial" w:hAnsi="Arial"/>
          <w:sz w:val="20"/>
          <w:szCs w:val="20"/>
          <w:b w:val="1"/>
          <w:bCs w:val="1"/>
          <w:color w:val="auto"/>
        </w:rPr>
        <w:t>Table 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EARNINGS SUMMARY</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Dollars in millions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2100" w:type="dxa"/>
            <w:vAlign w:val="bottom"/>
            <w:gridSpan w:val="8"/>
            <w:vMerge w:val="restart"/>
          </w:tcPr>
          <w:p>
            <w:pPr>
              <w:jc w:val="right"/>
              <w:ind w:right="520"/>
              <w:spacing w:after="0"/>
              <w:rPr>
                <w:sz w:val="20"/>
                <w:szCs w:val="20"/>
                <w:color w:val="auto"/>
              </w:rPr>
            </w:pPr>
            <w:r>
              <w:rPr>
                <w:rFonts w:ascii="Arial" w:cs="Arial" w:eastAsia="Arial" w:hAnsi="Arial"/>
                <w:sz w:val="14"/>
                <w:szCs w:val="14"/>
                <w:b w:val="1"/>
                <w:bCs w:val="1"/>
                <w:color w:val="auto"/>
              </w:rPr>
              <w:t>Increase (Decrease)(a)</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Compound</w:t>
            </w:r>
          </w:p>
        </w:tc>
        <w:tc>
          <w:tcPr>
            <w:tcW w:w="0" w:type="dxa"/>
            <w:vAlign w:val="bottom"/>
          </w:tcPr>
          <w:p>
            <w:pPr>
              <w:spacing w:after="0"/>
              <w:rPr>
                <w:sz w:val="1"/>
                <w:szCs w:val="1"/>
                <w:color w:val="auto"/>
              </w:rPr>
            </w:pPr>
          </w:p>
        </w:tc>
      </w:tr>
      <w:tr>
        <w:trPr>
          <w:trHeight w:val="167"/>
        </w:trPr>
        <w:tc>
          <w:tcPr>
            <w:tcW w:w="8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8"/>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Growth Rate</w:t>
            </w:r>
          </w:p>
        </w:tc>
        <w:tc>
          <w:tcPr>
            <w:tcW w:w="0" w:type="dxa"/>
            <w:vAlign w:val="bottom"/>
          </w:tcPr>
          <w:p>
            <w:pPr>
              <w:spacing w:after="0"/>
              <w:rPr>
                <w:sz w:val="1"/>
                <w:szCs w:val="1"/>
                <w:color w:val="auto"/>
              </w:rPr>
            </w:pPr>
          </w:p>
        </w:tc>
      </w:tr>
      <w:tr>
        <w:trPr>
          <w:trHeight w:val="151"/>
        </w:trPr>
        <w:tc>
          <w:tcPr>
            <w:tcW w:w="80" w:type="dxa"/>
            <w:vAlign w:val="bottom"/>
          </w:tcPr>
          <w:p>
            <w:pPr>
              <w:spacing w:after="0"/>
              <w:rPr>
                <w:sz w:val="13"/>
                <w:szCs w:val="13"/>
                <w:color w:val="auto"/>
              </w:rPr>
            </w:pPr>
          </w:p>
        </w:tc>
        <w:tc>
          <w:tcPr>
            <w:tcW w:w="1200" w:type="dxa"/>
            <w:vAlign w:val="bottom"/>
            <w:gridSpan w:val="4"/>
          </w:tcPr>
          <w:p>
            <w:pPr>
              <w:jc w:val="right"/>
              <w:ind w:right="320"/>
              <w:spacing w:after="0" w:line="151" w:lineRule="exact"/>
              <w:rPr>
                <w:sz w:val="20"/>
                <w:szCs w:val="20"/>
                <w:color w:val="auto"/>
              </w:rPr>
            </w:pPr>
            <w:r>
              <w:rPr>
                <w:rFonts w:ascii="Arial" w:cs="Arial" w:eastAsia="Arial" w:hAnsi="Arial"/>
                <w:sz w:val="14"/>
                <w:szCs w:val="14"/>
                <w:b w:val="1"/>
                <w:bCs w:val="1"/>
                <w:color w:val="auto"/>
              </w:rPr>
              <w:t>2016 to 2017</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3"/>
          </w:tcPr>
          <w:p>
            <w:pPr>
              <w:jc w:val="right"/>
              <w:ind w:right="90"/>
              <w:spacing w:after="0" w:line="151" w:lineRule="exact"/>
              <w:rPr>
                <w:sz w:val="20"/>
                <w:szCs w:val="20"/>
                <w:color w:val="auto"/>
              </w:rPr>
            </w:pPr>
            <w:r>
              <w:rPr>
                <w:rFonts w:ascii="Arial" w:cs="Arial" w:eastAsia="Arial" w:hAnsi="Arial"/>
                <w:sz w:val="14"/>
                <w:szCs w:val="14"/>
                <w:b w:val="1"/>
                <w:bCs w:val="1"/>
                <w:color w:val="auto"/>
                <w:w w:val="93"/>
              </w:rPr>
              <w:t>2015 to 2016</w:t>
            </w:r>
          </w:p>
        </w:tc>
        <w:tc>
          <w:tcPr>
            <w:tcW w:w="14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2"/>
          </w:tcPr>
          <w:p>
            <w:pPr>
              <w:jc w:val="center"/>
              <w:ind w:right="60"/>
              <w:spacing w:after="0" w:line="151" w:lineRule="exact"/>
              <w:rPr>
                <w:sz w:val="20"/>
                <w:szCs w:val="20"/>
                <w:color w:val="auto"/>
              </w:rPr>
            </w:pPr>
            <w:r>
              <w:rPr>
                <w:rFonts w:ascii="Arial" w:cs="Arial" w:eastAsia="Arial" w:hAnsi="Arial"/>
                <w:sz w:val="14"/>
                <w:szCs w:val="14"/>
                <w:b w:val="1"/>
                <w:bCs w:val="1"/>
                <w:color w:val="auto"/>
                <w:w w:val="88"/>
              </w:rPr>
              <w:t>5 Years</w:t>
            </w:r>
          </w:p>
        </w:tc>
        <w:tc>
          <w:tcPr>
            <w:tcW w:w="0" w:type="dxa"/>
            <w:vAlign w:val="bottom"/>
          </w:tcPr>
          <w:p>
            <w:pPr>
              <w:spacing w:after="0"/>
              <w:rPr>
                <w:sz w:val="1"/>
                <w:szCs w:val="1"/>
                <w:color w:val="auto"/>
              </w:rPr>
            </w:pPr>
          </w:p>
        </w:tc>
      </w:tr>
      <w:tr>
        <w:trPr>
          <w:trHeight w:val="151"/>
        </w:trPr>
        <w:tc>
          <w:tcPr>
            <w:tcW w:w="8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10"/>
              <w:spacing w:after="0" w:line="151" w:lineRule="exact"/>
              <w:rPr>
                <w:sz w:val="20"/>
                <w:szCs w:val="20"/>
                <w:color w:val="auto"/>
              </w:rPr>
            </w:pPr>
            <w:r>
              <w:rPr>
                <w:rFonts w:ascii="Arial" w:cs="Arial" w:eastAsia="Arial" w:hAnsi="Arial"/>
                <w:sz w:val="14"/>
                <w:szCs w:val="14"/>
                <w:b w:val="1"/>
                <w:bCs w:val="1"/>
                <w:color w:val="auto"/>
                <w:w w:val="86"/>
              </w:rPr>
              <w:t>Amount</w:t>
            </w:r>
          </w:p>
        </w:tc>
        <w:tc>
          <w:tcPr>
            <w:tcW w:w="200" w:type="dxa"/>
            <w:vAlign w:val="bottom"/>
            <w:tcBorders>
              <w:top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jc w:val="right"/>
              <w:ind w:right="30"/>
              <w:spacing w:after="0" w:line="151"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top w:val="single" w:sz="8" w:color="auto"/>
              <w:bottom w:val="single" w:sz="8" w:color="auto"/>
            </w:tcBorders>
            <w:gridSpan w:val="2"/>
          </w:tcPr>
          <w:p>
            <w:pPr>
              <w:jc w:val="right"/>
              <w:spacing w:after="0" w:line="151" w:lineRule="exact"/>
              <w:rPr>
                <w:sz w:val="20"/>
                <w:szCs w:val="20"/>
                <w:color w:val="auto"/>
              </w:rPr>
            </w:pPr>
            <w:r>
              <w:rPr>
                <w:rFonts w:ascii="Arial" w:cs="Arial" w:eastAsia="Arial" w:hAnsi="Arial"/>
                <w:sz w:val="14"/>
                <w:szCs w:val="14"/>
                <w:b w:val="1"/>
                <w:bCs w:val="1"/>
                <w:color w:val="auto"/>
              </w:rPr>
              <w:t>Amount</w:t>
            </w:r>
          </w:p>
        </w:tc>
        <w:tc>
          <w:tcPr>
            <w:tcW w:w="200" w:type="dxa"/>
            <w:vAlign w:val="bottom"/>
            <w:tcBorders>
              <w:top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110"/>
              <w:spacing w:after="0" w:line="151" w:lineRule="exact"/>
              <w:rPr>
                <w:sz w:val="20"/>
                <w:szCs w:val="20"/>
                <w:color w:val="auto"/>
              </w:rPr>
            </w:pPr>
            <w:r>
              <w:rPr>
                <w:rFonts w:ascii="Arial" w:cs="Arial" w:eastAsia="Arial" w:hAnsi="Arial"/>
                <w:sz w:val="14"/>
                <w:szCs w:val="14"/>
                <w:b w:val="1"/>
                <w:bCs w:val="1"/>
                <w:color w:val="auto"/>
                <w:w w:val="96"/>
              </w:rPr>
              <w:t>2017</w:t>
            </w: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110"/>
              <w:spacing w:after="0" w:line="151" w:lineRule="exact"/>
              <w:rPr>
                <w:sz w:val="20"/>
                <w:szCs w:val="20"/>
                <w:color w:val="auto"/>
              </w:rPr>
            </w:pPr>
            <w:r>
              <w:rPr>
                <w:rFonts w:ascii="Arial" w:cs="Arial" w:eastAsia="Arial" w:hAnsi="Arial"/>
                <w:sz w:val="14"/>
                <w:szCs w:val="14"/>
                <w:b w:val="1"/>
                <w:bCs w:val="1"/>
                <w:color w:val="auto"/>
                <w:w w:val="96"/>
              </w:rPr>
              <w:t>2016</w:t>
            </w: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10"/>
              <w:spacing w:after="0" w:line="151" w:lineRule="exact"/>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30"/>
              <w:spacing w:after="0" w:line="151" w:lineRule="exact"/>
              <w:rPr>
                <w:sz w:val="20"/>
                <w:szCs w:val="20"/>
                <w:color w:val="auto"/>
              </w:rPr>
            </w:pPr>
            <w:r>
              <w:rPr>
                <w:rFonts w:ascii="Arial" w:cs="Arial" w:eastAsia="Arial" w:hAnsi="Arial"/>
                <w:sz w:val="14"/>
                <w:szCs w:val="14"/>
                <w:b w:val="1"/>
                <w:bCs w:val="1"/>
                <w:color w:val="auto"/>
                <w:w w:val="96"/>
              </w:rPr>
              <w:t>2014</w:t>
            </w: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10"/>
              <w:spacing w:after="0" w:line="151" w:lineRule="exact"/>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3"/>
                <w:szCs w:val="13"/>
                <w:color w:val="auto"/>
              </w:rPr>
            </w:pPr>
          </w:p>
        </w:tc>
        <w:tc>
          <w:tcPr>
            <w:tcW w:w="820" w:type="dxa"/>
            <w:vAlign w:val="bottom"/>
            <w:tcBorders>
              <w:bottom w:val="single" w:sz="8" w:color="auto"/>
            </w:tcBorders>
          </w:tcPr>
          <w:p>
            <w:pPr>
              <w:jc w:val="center"/>
              <w:spacing w:after="0" w:line="151" w:lineRule="exact"/>
              <w:rPr>
                <w:sz w:val="20"/>
                <w:szCs w:val="20"/>
                <w:color w:val="auto"/>
              </w:rPr>
            </w:pPr>
            <w:r>
              <w:rPr>
                <w:rFonts w:ascii="Arial" w:cs="Arial" w:eastAsia="Arial" w:hAnsi="Arial"/>
                <w:sz w:val="14"/>
                <w:szCs w:val="14"/>
                <w:b w:val="1"/>
                <w:bCs w:val="1"/>
                <w:color w:val="auto"/>
                <w:w w:val="88"/>
              </w:rPr>
              <w:t>2012 to 2017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8"/>
        </w:trPr>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279.6</w:t>
            </w:r>
          </w:p>
        </w:tc>
        <w:tc>
          <w:tcPr>
            <w:tcW w:w="20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727.5</w:t>
            </w:r>
          </w:p>
        </w:tc>
        <w:tc>
          <w:tcPr>
            <w:tcW w:w="20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23</w:t>
            </w:r>
          </w:p>
        </w:tc>
        <w:tc>
          <w:tcPr>
            <w:tcW w:w="140" w:type="dxa"/>
            <w:vAlign w:val="bottom"/>
          </w:tcPr>
          <w:p>
            <w:pPr>
              <w:spacing w:after="0"/>
              <w:rPr>
                <w:sz w:val="24"/>
                <w:szCs w:val="24"/>
                <w:color w:val="auto"/>
              </w:rPr>
            </w:pPr>
          </w:p>
        </w:tc>
        <w:tc>
          <w:tcPr>
            <w:tcW w:w="3000" w:type="dxa"/>
            <w:vAlign w:val="bottom"/>
          </w:tcPr>
          <w:p>
            <w:pPr>
              <w:ind w:left="60"/>
              <w:spacing w:after="0"/>
              <w:rPr>
                <w:sz w:val="20"/>
                <w:szCs w:val="20"/>
                <w:color w:val="auto"/>
              </w:rPr>
            </w:pPr>
            <w:r>
              <w:rPr>
                <w:rFonts w:ascii="Arial" w:cs="Arial" w:eastAsia="Arial" w:hAnsi="Arial"/>
                <w:sz w:val="14"/>
                <w:szCs w:val="14"/>
                <w:color w:val="auto"/>
              </w:rPr>
              <w:t>Interest income(b)</w:t>
            </w:r>
          </w:p>
        </w:tc>
        <w:tc>
          <w:tcPr>
            <w:tcW w:w="940" w:type="dxa"/>
            <w:vAlign w:val="bottom"/>
            <w:gridSpan w:val="2"/>
          </w:tcPr>
          <w:p>
            <w:pPr>
              <w:jc w:val="right"/>
              <w:ind w:right="10"/>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w w:val="98"/>
              </w:rPr>
              <w:t>4,202.4</w:t>
            </w:r>
          </w:p>
        </w:tc>
        <w:tc>
          <w:tcPr>
            <w:tcW w:w="320" w:type="dxa"/>
            <w:vAlign w:val="bottom"/>
            <w:gridSpan w:val="2"/>
          </w:tcPr>
          <w:p>
            <w:pPr>
              <w:jc w:val="right"/>
              <w:ind w:right="10"/>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3,922.8</w:t>
            </w:r>
          </w:p>
        </w:tc>
        <w:tc>
          <w:tcPr>
            <w:tcW w:w="2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3,195.3</w:t>
            </w:r>
          </w:p>
        </w:tc>
        <w:tc>
          <w:tcPr>
            <w:tcW w:w="200" w:type="dxa"/>
            <w:vAlign w:val="bottom"/>
          </w:tcPr>
          <w:p>
            <w:pPr>
              <w:spacing w:after="0"/>
              <w:rPr>
                <w:sz w:val="24"/>
                <w:szCs w:val="24"/>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2,980.5</w:t>
            </w:r>
          </w:p>
        </w:tc>
        <w:tc>
          <w:tcPr>
            <w:tcW w:w="320" w:type="dxa"/>
            <w:vAlign w:val="bottom"/>
            <w:gridSpan w:val="2"/>
          </w:tcPr>
          <w:p>
            <w:pPr>
              <w:jc w:val="right"/>
              <w:ind w:right="1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2,982.3</w:t>
            </w:r>
          </w:p>
        </w:tc>
        <w:tc>
          <w:tcPr>
            <w:tcW w:w="1020" w:type="dxa"/>
            <w:vAlign w:val="bottom"/>
            <w:gridSpan w:val="2"/>
          </w:tcPr>
          <w:p>
            <w:pPr>
              <w:jc w:val="right"/>
              <w:ind w:right="210"/>
              <w:spacing w:after="0"/>
              <w:rPr>
                <w:sz w:val="20"/>
                <w:szCs w:val="20"/>
                <w:color w:val="auto"/>
              </w:rPr>
            </w:pPr>
            <w:r>
              <w:rPr>
                <w:rFonts w:ascii="Arial" w:cs="Arial" w:eastAsia="Arial" w:hAnsi="Arial"/>
                <w:sz w:val="14"/>
                <w:szCs w:val="14"/>
                <w:color w:val="auto"/>
              </w:rPr>
              <w:t>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8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140"/>
              <w:spacing w:after="0" w:line="158" w:lineRule="exact"/>
              <w:rPr>
                <w:sz w:val="20"/>
                <w:szCs w:val="20"/>
                <w:color w:val="auto"/>
              </w:rPr>
            </w:pPr>
            <w:r>
              <w:rPr>
                <w:rFonts w:ascii="Arial" w:cs="Arial" w:eastAsia="Arial" w:hAnsi="Arial"/>
                <w:sz w:val="14"/>
                <w:szCs w:val="14"/>
                <w:color w:val="auto"/>
              </w:rPr>
              <w:t>(39.2)</w:t>
            </w:r>
          </w:p>
        </w:tc>
        <w:tc>
          <w:tcPr>
            <w:tcW w:w="440" w:type="dxa"/>
            <w:vAlign w:val="bottom"/>
            <w:gridSpan w:val="2"/>
            <w:shd w:val="clear" w:color="auto" w:fill="CFF0FC"/>
          </w:tcPr>
          <w:p>
            <w:pPr>
              <w:jc w:val="right"/>
              <w:ind w:right="80"/>
              <w:spacing w:after="0" w:line="158" w:lineRule="exact"/>
              <w:rPr>
                <w:sz w:val="20"/>
                <w:szCs w:val="20"/>
                <w:color w:val="auto"/>
              </w:rPr>
            </w:pPr>
            <w:r>
              <w:rPr>
                <w:rFonts w:ascii="Arial" w:cs="Arial" w:eastAsia="Arial" w:hAnsi="Arial"/>
                <w:sz w:val="14"/>
                <w:szCs w:val="14"/>
                <w:color w:val="auto"/>
              </w:rPr>
              <w:t>(9)</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97.7</w:t>
            </w:r>
          </w:p>
        </w:tc>
        <w:tc>
          <w:tcPr>
            <w:tcW w:w="200" w:type="dxa"/>
            <w:vAlign w:val="bottom"/>
            <w:shd w:val="clear" w:color="auto" w:fill="CFF0FC"/>
          </w:tcPr>
          <w:p>
            <w:pPr>
              <w:spacing w:after="0"/>
              <w:rPr>
                <w:sz w:val="13"/>
                <w:szCs w:val="13"/>
                <w:color w:val="auto"/>
              </w:rPr>
            </w:pPr>
          </w:p>
        </w:tc>
        <w:tc>
          <w:tcPr>
            <w:tcW w:w="26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30</w:t>
            </w:r>
          </w:p>
        </w:tc>
        <w:tc>
          <w:tcPr>
            <w:tcW w:w="140" w:type="dxa"/>
            <w:vAlign w:val="bottom"/>
            <w:shd w:val="clear" w:color="auto" w:fill="CFF0FC"/>
          </w:tcPr>
          <w:p>
            <w:pPr>
              <w:spacing w:after="0"/>
              <w:rPr>
                <w:sz w:val="13"/>
                <w:szCs w:val="13"/>
                <w:color w:val="auto"/>
              </w:rPr>
            </w:pPr>
          </w:p>
        </w:tc>
        <w:tc>
          <w:tcPr>
            <w:tcW w:w="3000" w:type="dxa"/>
            <w:vAlign w:val="bottom"/>
            <w:shd w:val="clear" w:color="auto" w:fill="CFF0FC"/>
          </w:tcPr>
          <w:p>
            <w:pPr>
              <w:ind w:left="60"/>
              <w:spacing w:after="0" w:line="158" w:lineRule="exact"/>
              <w:rPr>
                <w:sz w:val="20"/>
                <w:szCs w:val="20"/>
                <w:color w:val="auto"/>
              </w:rPr>
            </w:pPr>
            <w:r>
              <w:rPr>
                <w:rFonts w:ascii="Arial" w:cs="Arial" w:eastAsia="Arial" w:hAnsi="Arial"/>
                <w:sz w:val="14"/>
                <w:szCs w:val="14"/>
                <w:color w:val="auto"/>
              </w:rPr>
              <w:t>Interest expense</w:t>
            </w:r>
          </w:p>
        </w:tc>
        <w:tc>
          <w:tcPr>
            <w:tcW w:w="8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386.8</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426.0</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328.3</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280.4</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284.1</w:t>
            </w:r>
          </w:p>
        </w:tc>
        <w:tc>
          <w:tcPr>
            <w:tcW w:w="1020" w:type="dxa"/>
            <w:vAlign w:val="bottom"/>
            <w:gridSpan w:val="2"/>
            <w:shd w:val="clear" w:color="auto" w:fill="CFF0FC"/>
          </w:tcPr>
          <w:p>
            <w:pPr>
              <w:jc w:val="right"/>
              <w:ind w:right="330"/>
              <w:spacing w:after="0" w:line="158" w:lineRule="exact"/>
              <w:rPr>
                <w:sz w:val="20"/>
                <w:szCs w:val="20"/>
                <w:color w:val="auto"/>
              </w:rPr>
            </w:pPr>
            <w:r>
              <w:rPr>
                <w:rFonts w:ascii="Arial" w:cs="Arial" w:eastAsia="Arial" w:hAnsi="Arial"/>
                <w:sz w:val="14"/>
                <w:szCs w:val="14"/>
                <w:color w:val="auto"/>
              </w:rPr>
              <w:t>2</w:t>
            </w:r>
          </w:p>
        </w:tc>
        <w:tc>
          <w:tcPr>
            <w:tcW w:w="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color w:val="auto"/>
              </w:rPr>
              <w:t>318.8</w:t>
            </w:r>
          </w:p>
        </w:tc>
        <w:tc>
          <w:tcPr>
            <w:tcW w:w="200" w:type="dxa"/>
            <w:vAlign w:val="bottom"/>
          </w:tcPr>
          <w:p>
            <w:pPr>
              <w:spacing w:after="0"/>
              <w:rPr>
                <w:sz w:val="13"/>
                <w:szCs w:val="13"/>
                <w:color w:val="auto"/>
              </w:rPr>
            </w:pPr>
          </w:p>
        </w:tc>
        <w:tc>
          <w:tcPr>
            <w:tcW w:w="320" w:type="dxa"/>
            <w:vAlign w:val="bottom"/>
          </w:tcPr>
          <w:p>
            <w:pPr>
              <w:jc w:val="right"/>
              <w:spacing w:after="0" w:line="151" w:lineRule="exact"/>
              <w:rPr>
                <w:sz w:val="20"/>
                <w:szCs w:val="20"/>
                <w:color w:val="auto"/>
              </w:rPr>
            </w:pPr>
            <w:r>
              <w:rPr>
                <w:rFonts w:ascii="Arial" w:cs="Arial" w:eastAsia="Arial" w:hAnsi="Arial"/>
                <w:sz w:val="14"/>
                <w:szCs w:val="14"/>
                <w:color w:val="auto"/>
              </w:rPr>
              <w:t>9</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color w:val="auto"/>
              </w:rPr>
              <w:t>629.8</w:t>
            </w:r>
          </w:p>
        </w:tc>
        <w:tc>
          <w:tcPr>
            <w:tcW w:w="200" w:type="dxa"/>
            <w:vAlign w:val="bottom"/>
          </w:tcPr>
          <w:p>
            <w:pPr>
              <w:spacing w:after="0"/>
              <w:rPr>
                <w:sz w:val="13"/>
                <w:szCs w:val="13"/>
                <w:color w:val="auto"/>
              </w:rPr>
            </w:pPr>
          </w:p>
        </w:tc>
        <w:tc>
          <w:tcPr>
            <w:tcW w:w="260" w:type="dxa"/>
            <w:vAlign w:val="bottom"/>
          </w:tcPr>
          <w:p>
            <w:pPr>
              <w:jc w:val="right"/>
              <w:spacing w:after="0" w:line="151" w:lineRule="exact"/>
              <w:rPr>
                <w:sz w:val="20"/>
                <w:szCs w:val="20"/>
                <w:color w:val="auto"/>
              </w:rPr>
            </w:pPr>
            <w:r>
              <w:rPr>
                <w:rFonts w:ascii="Arial" w:cs="Arial" w:eastAsia="Arial" w:hAnsi="Arial"/>
                <w:sz w:val="14"/>
                <w:szCs w:val="14"/>
                <w:color w:val="auto"/>
              </w:rPr>
              <w:t>22</w:t>
            </w:r>
          </w:p>
        </w:tc>
        <w:tc>
          <w:tcPr>
            <w:tcW w:w="140" w:type="dxa"/>
            <w:vAlign w:val="bottom"/>
          </w:tcPr>
          <w:p>
            <w:pPr>
              <w:spacing w:after="0"/>
              <w:rPr>
                <w:sz w:val="13"/>
                <w:szCs w:val="13"/>
                <w:color w:val="auto"/>
              </w:rPr>
            </w:pPr>
          </w:p>
        </w:tc>
        <w:tc>
          <w:tcPr>
            <w:tcW w:w="3000" w:type="dxa"/>
            <w:vAlign w:val="bottom"/>
          </w:tcPr>
          <w:p>
            <w:pPr>
              <w:ind w:left="60"/>
              <w:spacing w:after="0" w:line="151" w:lineRule="exact"/>
              <w:rPr>
                <w:sz w:val="20"/>
                <w:szCs w:val="20"/>
                <w:color w:val="auto"/>
              </w:rPr>
            </w:pPr>
            <w:r>
              <w:rPr>
                <w:rFonts w:ascii="Arial" w:cs="Arial" w:eastAsia="Arial" w:hAnsi="Arial"/>
                <w:sz w:val="14"/>
                <w:szCs w:val="14"/>
                <w:color w:val="auto"/>
              </w:rPr>
              <w:t>Net interest income(b)</w:t>
            </w:r>
          </w:p>
        </w:tc>
        <w:tc>
          <w:tcPr>
            <w:tcW w:w="8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color w:val="auto"/>
                <w:w w:val="98"/>
              </w:rPr>
              <w:t>3,815.6</w:t>
            </w:r>
          </w:p>
        </w:tc>
        <w:tc>
          <w:tcPr>
            <w:tcW w:w="2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color w:val="auto"/>
              </w:rPr>
              <w:t>3,496.8</w:t>
            </w:r>
          </w:p>
        </w:tc>
        <w:tc>
          <w:tcPr>
            <w:tcW w:w="2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color w:val="auto"/>
              </w:rPr>
              <w:t>2,867.0</w:t>
            </w:r>
          </w:p>
        </w:tc>
        <w:tc>
          <w:tcPr>
            <w:tcW w:w="2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color w:val="auto"/>
              </w:rPr>
              <w:t>2,700.1</w:t>
            </w:r>
          </w:p>
        </w:tc>
        <w:tc>
          <w:tcPr>
            <w:tcW w:w="2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color w:val="auto"/>
              </w:rPr>
              <w:t>2,698.2</w:t>
            </w:r>
          </w:p>
        </w:tc>
        <w:tc>
          <w:tcPr>
            <w:tcW w:w="1020" w:type="dxa"/>
            <w:vAlign w:val="bottom"/>
            <w:gridSpan w:val="2"/>
          </w:tcPr>
          <w:p>
            <w:pPr>
              <w:jc w:val="right"/>
              <w:ind w:right="330"/>
              <w:spacing w:after="0" w:line="151" w:lineRule="exact"/>
              <w:rPr>
                <w:sz w:val="20"/>
                <w:szCs w:val="20"/>
                <w:color w:val="auto"/>
              </w:rPr>
            </w:pPr>
            <w:r>
              <w:rPr>
                <w:rFonts w:ascii="Arial" w:cs="Arial" w:eastAsia="Arial" w:hAnsi="Arial"/>
                <w:sz w:val="14"/>
                <w:szCs w:val="14"/>
                <w:color w:val="auto"/>
              </w:rPr>
              <w:t>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140"/>
              <w:spacing w:after="0" w:line="158" w:lineRule="exact"/>
              <w:rPr>
                <w:sz w:val="20"/>
                <w:szCs w:val="20"/>
                <w:color w:val="auto"/>
              </w:rPr>
            </w:pPr>
            <w:r>
              <w:rPr>
                <w:rFonts w:ascii="Arial" w:cs="Arial" w:eastAsia="Arial" w:hAnsi="Arial"/>
                <w:sz w:val="14"/>
                <w:szCs w:val="14"/>
                <w:color w:val="auto"/>
              </w:rPr>
              <w:t>(22.0)</w:t>
            </w:r>
          </w:p>
        </w:tc>
        <w:tc>
          <w:tcPr>
            <w:tcW w:w="440" w:type="dxa"/>
            <w:vAlign w:val="bottom"/>
            <w:gridSpan w:val="2"/>
            <w:shd w:val="clear" w:color="auto" w:fill="CFF0FC"/>
          </w:tcPr>
          <w:p>
            <w:pPr>
              <w:jc w:val="right"/>
              <w:ind w:right="80"/>
              <w:spacing w:after="0" w:line="158" w:lineRule="exact"/>
              <w:rPr>
                <w:sz w:val="20"/>
                <w:szCs w:val="20"/>
                <w:color w:val="auto"/>
              </w:rPr>
            </w:pPr>
            <w:r>
              <w:rPr>
                <w:rFonts w:ascii="Arial" w:cs="Arial" w:eastAsia="Arial" w:hAnsi="Arial"/>
                <w:sz w:val="14"/>
                <w:szCs w:val="14"/>
                <w:color w:val="auto"/>
              </w:rPr>
              <w:t>(12)</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20.0</w:t>
            </w:r>
          </w:p>
        </w:tc>
        <w:tc>
          <w:tcPr>
            <w:tcW w:w="200" w:type="dxa"/>
            <w:vAlign w:val="bottom"/>
            <w:shd w:val="clear" w:color="auto" w:fill="CFF0FC"/>
          </w:tcPr>
          <w:p>
            <w:pPr>
              <w:spacing w:after="0"/>
              <w:rPr>
                <w:sz w:val="13"/>
                <w:szCs w:val="13"/>
                <w:color w:val="auto"/>
              </w:rPr>
            </w:pPr>
          </w:p>
        </w:tc>
        <w:tc>
          <w:tcPr>
            <w:tcW w:w="26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12</w:t>
            </w:r>
          </w:p>
        </w:tc>
        <w:tc>
          <w:tcPr>
            <w:tcW w:w="140" w:type="dxa"/>
            <w:vAlign w:val="bottom"/>
            <w:shd w:val="clear" w:color="auto" w:fill="CFF0FC"/>
          </w:tcPr>
          <w:p>
            <w:pPr>
              <w:spacing w:after="0"/>
              <w:rPr>
                <w:sz w:val="13"/>
                <w:szCs w:val="13"/>
                <w:color w:val="auto"/>
              </w:rPr>
            </w:pPr>
          </w:p>
        </w:tc>
        <w:tc>
          <w:tcPr>
            <w:tcW w:w="3000" w:type="dxa"/>
            <w:vAlign w:val="bottom"/>
            <w:shd w:val="clear" w:color="auto" w:fill="CFF0FC"/>
          </w:tcPr>
          <w:p>
            <w:pPr>
              <w:ind w:left="60"/>
              <w:spacing w:after="0" w:line="158" w:lineRule="exact"/>
              <w:rPr>
                <w:sz w:val="20"/>
                <w:szCs w:val="20"/>
                <w:color w:val="auto"/>
              </w:rPr>
            </w:pPr>
            <w:r>
              <w:rPr>
                <w:rFonts w:ascii="Arial" w:cs="Arial" w:eastAsia="Arial" w:hAnsi="Arial"/>
                <w:sz w:val="14"/>
                <w:szCs w:val="14"/>
                <w:color w:val="auto"/>
              </w:rPr>
              <w:t>Less: provision for credit losses</w:t>
            </w:r>
          </w:p>
        </w:tc>
        <w:tc>
          <w:tcPr>
            <w:tcW w:w="8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168.0</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190.0</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170.0</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124.0</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185.0</w:t>
            </w:r>
          </w:p>
        </w:tc>
        <w:tc>
          <w:tcPr>
            <w:tcW w:w="1020" w:type="dxa"/>
            <w:vAlign w:val="bottom"/>
            <w:gridSpan w:val="2"/>
            <w:shd w:val="clear" w:color="auto" w:fill="CFF0FC"/>
          </w:tcPr>
          <w:p>
            <w:pPr>
              <w:jc w:val="right"/>
              <w:ind w:right="270"/>
              <w:spacing w:after="0" w:line="158" w:lineRule="exact"/>
              <w:rPr>
                <w:sz w:val="20"/>
                <w:szCs w:val="20"/>
                <w:color w:val="auto"/>
              </w:rPr>
            </w:pPr>
            <w:r>
              <w:rPr>
                <w:rFonts w:ascii="Arial" w:cs="Arial" w:eastAsia="Arial" w:hAnsi="Arial"/>
                <w:sz w:val="14"/>
                <w:szCs w:val="14"/>
                <w:color w:val="auto"/>
              </w:rPr>
              <w:t>(4)</w:t>
            </w:r>
          </w:p>
        </w:tc>
        <w:tc>
          <w:tcPr>
            <w:tcW w:w="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0" w:type="dxa"/>
            <w:vAlign w:val="bottom"/>
          </w:tcPr>
          <w:p>
            <w:pPr>
              <w:spacing w:after="0"/>
              <w:rPr>
                <w:sz w:val="13"/>
                <w:szCs w:val="13"/>
                <w:color w:val="auto"/>
              </w:rPr>
            </w:pPr>
          </w:p>
        </w:tc>
        <w:tc>
          <w:tcPr>
            <w:tcW w:w="76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(9.0)</w:t>
            </w:r>
          </w:p>
        </w:tc>
        <w:tc>
          <w:tcPr>
            <w:tcW w:w="44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(30)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30.3</w:t>
            </w:r>
          </w:p>
        </w:tc>
        <w:tc>
          <w:tcPr>
            <w:tcW w:w="200" w:type="dxa"/>
            <w:vAlign w:val="bottom"/>
          </w:tcPr>
          <w:p>
            <w:pPr>
              <w:spacing w:after="0"/>
              <w:rPr>
                <w:sz w:val="13"/>
                <w:szCs w:val="13"/>
                <w:color w:val="auto"/>
              </w:rPr>
            </w:pPr>
          </w:p>
        </w:tc>
        <w:tc>
          <w:tcPr>
            <w:tcW w:w="40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w:t>
            </w:r>
          </w:p>
        </w:tc>
        <w:tc>
          <w:tcPr>
            <w:tcW w:w="3000" w:type="dxa"/>
            <w:vAlign w:val="bottom"/>
          </w:tcPr>
          <w:p>
            <w:pPr>
              <w:ind w:left="60"/>
              <w:spacing w:after="0" w:line="158" w:lineRule="exact"/>
              <w:rPr>
                <w:sz w:val="20"/>
                <w:szCs w:val="20"/>
                <w:color w:val="auto"/>
              </w:rPr>
            </w:pPr>
            <w:r>
              <w:rPr>
                <w:rFonts w:ascii="Arial" w:cs="Arial" w:eastAsia="Arial" w:hAnsi="Arial"/>
                <w:sz w:val="14"/>
                <w:szCs w:val="14"/>
                <w:color w:val="auto"/>
              </w:rPr>
              <w:t>Gain on bank investment securities(c)</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21.3</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30.3</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520" w:type="dxa"/>
            <w:vAlign w:val="bottom"/>
          </w:tcPr>
          <w:p>
            <w:pPr>
              <w:jc w:val="right"/>
              <w:spacing w:after="0" w:line="158"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spacing w:after="0" w:line="158" w:lineRule="exact"/>
              <w:rPr>
                <w:sz w:val="20"/>
                <w:szCs w:val="20"/>
                <w:color w:val="auto"/>
              </w:rPr>
            </w:pPr>
            <w:r>
              <w:rPr>
                <w:rFonts w:ascii="Arial" w:cs="Arial" w:eastAsia="Arial" w:hAnsi="Arial"/>
                <w:sz w:val="14"/>
                <w:szCs w:val="14"/>
                <w:color w:val="auto"/>
              </w:rPr>
              <w:t>46.7</w:t>
            </w:r>
          </w:p>
        </w:tc>
        <w:tc>
          <w:tcPr>
            <w:tcW w:w="200" w:type="dxa"/>
            <w:vAlign w:val="bottom"/>
          </w:tcPr>
          <w:p>
            <w:pPr>
              <w:spacing w:after="0"/>
              <w:rPr>
                <w:sz w:val="13"/>
                <w:szCs w:val="13"/>
                <w:color w:val="auto"/>
              </w:rPr>
            </w:pPr>
          </w:p>
        </w:tc>
        <w:tc>
          <w:tcPr>
            <w:tcW w:w="860" w:type="dxa"/>
            <w:vAlign w:val="bottom"/>
            <w:gridSpan w:val="2"/>
          </w:tcPr>
          <w:p>
            <w:pPr>
              <w:jc w:val="right"/>
              <w:ind w:right="440"/>
              <w:spacing w:after="0" w:line="15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8"/>
        </w:trPr>
        <w:tc>
          <w:tcPr>
            <w:tcW w:w="8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34.2</w:t>
            </w:r>
          </w:p>
        </w:tc>
        <w:tc>
          <w:tcPr>
            <w:tcW w:w="200" w:type="dxa"/>
            <w:vAlign w:val="bottom"/>
            <w:shd w:val="clear" w:color="auto" w:fill="CFF0FC"/>
          </w:tcPr>
          <w:p>
            <w:pPr>
              <w:spacing w:after="0"/>
              <w:rPr>
                <w:sz w:val="13"/>
                <w:szCs w:val="13"/>
                <w:color w:val="auto"/>
              </w:rPr>
            </w:pPr>
          </w:p>
        </w:tc>
        <w:tc>
          <w:tcPr>
            <w:tcW w:w="3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140"/>
              <w:spacing w:after="0" w:line="158" w:lineRule="exact"/>
              <w:rPr>
                <w:sz w:val="20"/>
                <w:szCs w:val="20"/>
                <w:color w:val="auto"/>
              </w:rPr>
            </w:pPr>
            <w:r>
              <w:rPr>
                <w:rFonts w:ascii="Arial" w:cs="Arial" w:eastAsia="Arial" w:hAnsi="Arial"/>
                <w:sz w:val="14"/>
                <w:szCs w:val="14"/>
                <w:color w:val="auto"/>
              </w:rPr>
              <w:t>(29.4)</w:t>
            </w:r>
          </w:p>
        </w:tc>
        <w:tc>
          <w:tcPr>
            <w:tcW w:w="400" w:type="dxa"/>
            <w:vAlign w:val="bottom"/>
            <w:gridSpan w:val="2"/>
            <w:shd w:val="clear" w:color="auto" w:fill="CFF0FC"/>
          </w:tcPr>
          <w:p>
            <w:pPr>
              <w:jc w:val="right"/>
              <w:ind w:right="80"/>
              <w:spacing w:after="0" w:line="158" w:lineRule="exact"/>
              <w:rPr>
                <w:sz w:val="20"/>
                <w:szCs w:val="20"/>
                <w:color w:val="auto"/>
              </w:rPr>
            </w:pPr>
            <w:r>
              <w:rPr>
                <w:rFonts w:ascii="Arial" w:cs="Arial" w:eastAsia="Arial" w:hAnsi="Arial"/>
                <w:sz w:val="14"/>
                <w:szCs w:val="14"/>
                <w:color w:val="auto"/>
              </w:rPr>
              <w:t>(2)</w:t>
            </w:r>
          </w:p>
        </w:tc>
        <w:tc>
          <w:tcPr>
            <w:tcW w:w="3000" w:type="dxa"/>
            <w:vAlign w:val="bottom"/>
            <w:shd w:val="clear" w:color="auto" w:fill="CFF0FC"/>
          </w:tcPr>
          <w:p>
            <w:pPr>
              <w:ind w:left="60"/>
              <w:spacing w:after="0" w:line="158" w:lineRule="exact"/>
              <w:rPr>
                <w:sz w:val="20"/>
                <w:szCs w:val="20"/>
                <w:color w:val="auto"/>
              </w:rPr>
            </w:pPr>
            <w:r>
              <w:rPr>
                <w:rFonts w:ascii="Arial" w:cs="Arial" w:eastAsia="Arial" w:hAnsi="Arial"/>
                <w:sz w:val="14"/>
                <w:szCs w:val="14"/>
                <w:color w:val="auto"/>
              </w:rPr>
              <w:t>Other income</w:t>
            </w:r>
          </w:p>
        </w:tc>
        <w:tc>
          <w:tcPr>
            <w:tcW w:w="8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w w:val="98"/>
              </w:rPr>
              <w:t>1,829.9</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1,795.7</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1,825.1</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1,779.3</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1,818.5</w:t>
            </w:r>
          </w:p>
        </w:tc>
        <w:tc>
          <w:tcPr>
            <w:tcW w:w="1020" w:type="dxa"/>
            <w:vAlign w:val="bottom"/>
            <w:gridSpan w:val="2"/>
            <w:shd w:val="clear" w:color="auto" w:fill="CFF0FC"/>
          </w:tcPr>
          <w:p>
            <w:pPr>
              <w:jc w:val="right"/>
              <w:ind w:right="330"/>
              <w:spacing w:after="0" w:line="158" w:lineRule="exact"/>
              <w:rPr>
                <w:sz w:val="20"/>
                <w:szCs w:val="20"/>
                <w:color w:val="auto"/>
              </w:rPr>
            </w:pPr>
            <w:r>
              <w:rPr>
                <w:rFonts w:ascii="Arial" w:cs="Arial" w:eastAsia="Arial" w:hAnsi="Arial"/>
                <w:sz w:val="14"/>
                <w:szCs w:val="14"/>
                <w:color w:val="auto"/>
              </w:rPr>
              <w:t>1</w:t>
            </w:r>
          </w:p>
        </w:tc>
        <w:tc>
          <w:tcPr>
            <w:tcW w:w="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0" w:type="dxa"/>
            <w:vAlign w:val="bottom"/>
          </w:tcPr>
          <w:p>
            <w:pPr>
              <w:ind w:left="60"/>
              <w:spacing w:after="0" w:line="158" w:lineRule="exact"/>
              <w:rPr>
                <w:sz w:val="20"/>
                <w:szCs w:val="20"/>
                <w:color w:val="auto"/>
              </w:rPr>
            </w:pPr>
            <w:r>
              <w:rPr>
                <w:rFonts w:ascii="Arial" w:cs="Arial" w:eastAsia="Arial" w:hAnsi="Arial"/>
                <w:sz w:val="14"/>
                <w:szCs w:val="14"/>
                <w:color w:val="auto"/>
              </w:rPr>
              <w:t>Less:</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27.1</w:t>
            </w:r>
          </w:p>
        </w:tc>
        <w:tc>
          <w:tcPr>
            <w:tcW w:w="200" w:type="dxa"/>
            <w:vAlign w:val="bottom"/>
            <w:shd w:val="clear" w:color="auto" w:fill="CFF0FC"/>
          </w:tcPr>
          <w:p>
            <w:pPr>
              <w:spacing w:after="0"/>
              <w:rPr>
                <w:sz w:val="13"/>
                <w:szCs w:val="13"/>
                <w:color w:val="auto"/>
              </w:rPr>
            </w:pPr>
          </w:p>
        </w:tc>
        <w:tc>
          <w:tcPr>
            <w:tcW w:w="3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74.1</w:t>
            </w:r>
          </w:p>
        </w:tc>
        <w:tc>
          <w:tcPr>
            <w:tcW w:w="200" w:type="dxa"/>
            <w:vAlign w:val="bottom"/>
            <w:shd w:val="clear" w:color="auto" w:fill="CFF0FC"/>
          </w:tcPr>
          <w:p>
            <w:pPr>
              <w:spacing w:after="0"/>
              <w:rPr>
                <w:sz w:val="13"/>
                <w:szCs w:val="13"/>
                <w:color w:val="auto"/>
              </w:rPr>
            </w:pPr>
          </w:p>
        </w:tc>
        <w:tc>
          <w:tcPr>
            <w:tcW w:w="26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5</w:t>
            </w:r>
          </w:p>
        </w:tc>
        <w:tc>
          <w:tcPr>
            <w:tcW w:w="140" w:type="dxa"/>
            <w:vAlign w:val="bottom"/>
            <w:shd w:val="clear" w:color="auto" w:fill="CFF0FC"/>
          </w:tcPr>
          <w:p>
            <w:pPr>
              <w:spacing w:after="0"/>
              <w:rPr>
                <w:sz w:val="13"/>
                <w:szCs w:val="13"/>
                <w:color w:val="auto"/>
              </w:rPr>
            </w:pPr>
          </w:p>
        </w:tc>
        <w:tc>
          <w:tcPr>
            <w:tcW w:w="3000" w:type="dxa"/>
            <w:vAlign w:val="bottom"/>
            <w:shd w:val="clear" w:color="auto" w:fill="CFF0FC"/>
          </w:tcPr>
          <w:p>
            <w:pPr>
              <w:ind w:left="300"/>
              <w:spacing w:after="0" w:line="158" w:lineRule="exact"/>
              <w:rPr>
                <w:sz w:val="20"/>
                <w:szCs w:val="20"/>
                <w:color w:val="auto"/>
              </w:rPr>
            </w:pPr>
            <w:r>
              <w:rPr>
                <w:rFonts w:ascii="Arial" w:cs="Arial" w:eastAsia="Arial" w:hAnsi="Arial"/>
                <w:sz w:val="14"/>
                <w:szCs w:val="14"/>
                <w:color w:val="auto"/>
              </w:rPr>
              <w:t>Salaries and employee benefits</w:t>
            </w:r>
          </w:p>
        </w:tc>
        <w:tc>
          <w:tcPr>
            <w:tcW w:w="8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w w:val="98"/>
              </w:rPr>
              <w:t>1,650.7</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1,623.6</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1,549.5</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1,405.0</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1,355.2</w:t>
            </w:r>
          </w:p>
        </w:tc>
        <w:tc>
          <w:tcPr>
            <w:tcW w:w="1020" w:type="dxa"/>
            <w:vAlign w:val="bottom"/>
            <w:gridSpan w:val="2"/>
            <w:shd w:val="clear" w:color="auto" w:fill="CFF0FC"/>
          </w:tcPr>
          <w:p>
            <w:pPr>
              <w:jc w:val="right"/>
              <w:ind w:right="330"/>
              <w:spacing w:after="0" w:line="158" w:lineRule="exact"/>
              <w:rPr>
                <w:sz w:val="20"/>
                <w:szCs w:val="20"/>
                <w:color w:val="auto"/>
              </w:rPr>
            </w:pPr>
            <w:r>
              <w:rPr>
                <w:rFonts w:ascii="Arial" w:cs="Arial" w:eastAsia="Arial" w:hAnsi="Arial"/>
                <w:sz w:val="14"/>
                <w:szCs w:val="14"/>
                <w:color w:val="auto"/>
              </w:rPr>
              <w:t>5</w:t>
            </w:r>
          </w:p>
        </w:tc>
        <w:tc>
          <w:tcPr>
            <w:tcW w:w="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65.8</w:t>
            </w:r>
          </w:p>
        </w:tc>
        <w:tc>
          <w:tcPr>
            <w:tcW w:w="200" w:type="dxa"/>
            <w:vAlign w:val="bottom"/>
            <w:tcBorders>
              <w:bottom w:val="single" w:sz="8" w:color="CFF0FC"/>
            </w:tcBorders>
          </w:tcPr>
          <w:p>
            <w:pPr>
              <w:spacing w:after="0"/>
              <w:rPr>
                <w:sz w:val="13"/>
                <w:szCs w:val="13"/>
                <w:color w:val="auto"/>
              </w:rPr>
            </w:pPr>
          </w:p>
        </w:tc>
        <w:tc>
          <w:tcPr>
            <w:tcW w:w="320" w:type="dxa"/>
            <w:vAlign w:val="bottom"/>
            <w:tcBorders>
              <w:bottom w:val="single" w:sz="8" w:color="CFF0FC"/>
            </w:tcBorders>
          </w:tcPr>
          <w:p>
            <w:pPr>
              <w:jc w:val="right"/>
              <w:spacing w:after="0" w:line="158" w:lineRule="exact"/>
              <w:rPr>
                <w:sz w:val="20"/>
                <w:szCs w:val="20"/>
                <w:color w:val="auto"/>
              </w:rPr>
            </w:pPr>
            <w:r>
              <w:rPr>
                <w:rFonts w:ascii="Arial" w:cs="Arial" w:eastAsia="Arial" w:hAnsi="Arial"/>
                <w:sz w:val="14"/>
                <w:szCs w:val="14"/>
                <w:color w:val="auto"/>
              </w:rPr>
              <w:t>5</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150.4</w:t>
            </w:r>
          </w:p>
        </w:tc>
        <w:tc>
          <w:tcPr>
            <w:tcW w:w="200" w:type="dxa"/>
            <w:vAlign w:val="bottom"/>
            <w:tcBorders>
              <w:bottom w:val="single" w:sz="8" w:color="CFF0FC"/>
            </w:tcBorders>
          </w:tcPr>
          <w:p>
            <w:pPr>
              <w:spacing w:after="0"/>
              <w:rPr>
                <w:sz w:val="13"/>
                <w:szCs w:val="13"/>
                <w:color w:val="auto"/>
              </w:rPr>
            </w:pPr>
          </w:p>
        </w:tc>
        <w:tc>
          <w:tcPr>
            <w:tcW w:w="260" w:type="dxa"/>
            <w:vAlign w:val="bottom"/>
            <w:tcBorders>
              <w:bottom w:val="single" w:sz="8" w:color="CFF0FC"/>
            </w:tcBorders>
          </w:tcPr>
          <w:p>
            <w:pPr>
              <w:jc w:val="right"/>
              <w:spacing w:after="0" w:line="158" w:lineRule="exact"/>
              <w:rPr>
                <w:sz w:val="20"/>
                <w:szCs w:val="20"/>
                <w:color w:val="auto"/>
              </w:rPr>
            </w:pPr>
            <w:r>
              <w:rPr>
                <w:rFonts w:ascii="Arial" w:cs="Arial" w:eastAsia="Arial" w:hAnsi="Arial"/>
                <w:sz w:val="14"/>
                <w:szCs w:val="14"/>
                <w:color w:val="auto"/>
              </w:rPr>
              <w:t>12</w:t>
            </w:r>
          </w:p>
        </w:tc>
        <w:tc>
          <w:tcPr>
            <w:tcW w:w="140" w:type="dxa"/>
            <w:vAlign w:val="bottom"/>
            <w:tcBorders>
              <w:bottom w:val="single" w:sz="8" w:color="CFF0FC"/>
            </w:tcBorders>
          </w:tcPr>
          <w:p>
            <w:pPr>
              <w:spacing w:after="0"/>
              <w:rPr>
                <w:sz w:val="13"/>
                <w:szCs w:val="13"/>
                <w:color w:val="auto"/>
              </w:rPr>
            </w:pPr>
          </w:p>
        </w:tc>
        <w:tc>
          <w:tcPr>
            <w:tcW w:w="3000" w:type="dxa"/>
            <w:vAlign w:val="bottom"/>
            <w:tcBorders>
              <w:bottom w:val="single" w:sz="8" w:color="CFF0FC"/>
            </w:tcBorders>
          </w:tcPr>
          <w:p>
            <w:pPr>
              <w:ind w:left="300"/>
              <w:spacing w:after="0" w:line="158" w:lineRule="exact"/>
              <w:rPr>
                <w:sz w:val="20"/>
                <w:szCs w:val="20"/>
                <w:color w:val="auto"/>
              </w:rPr>
            </w:pPr>
            <w:r>
              <w:rPr>
                <w:rFonts w:ascii="Arial" w:cs="Arial" w:eastAsia="Arial" w:hAnsi="Arial"/>
                <w:sz w:val="14"/>
                <w:szCs w:val="14"/>
                <w:color w:val="auto"/>
              </w:rPr>
              <w:t>Other expense</w:t>
            </w:r>
          </w:p>
        </w:tc>
        <w:tc>
          <w:tcPr>
            <w:tcW w:w="82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w w:val="98"/>
              </w:rPr>
              <w:t>1,489.6</w:t>
            </w:r>
          </w:p>
        </w:tc>
        <w:tc>
          <w:tcPr>
            <w:tcW w:w="20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1,423.8</w:t>
            </w:r>
          </w:p>
        </w:tc>
        <w:tc>
          <w:tcPr>
            <w:tcW w:w="20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1,273.4</w:t>
            </w:r>
          </w:p>
        </w:tc>
        <w:tc>
          <w:tcPr>
            <w:tcW w:w="20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1,284.5</w:t>
            </w:r>
          </w:p>
        </w:tc>
        <w:tc>
          <w:tcPr>
            <w:tcW w:w="20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1,232.7</w:t>
            </w:r>
          </w:p>
        </w:tc>
        <w:tc>
          <w:tcPr>
            <w:tcW w:w="1020" w:type="dxa"/>
            <w:vAlign w:val="bottom"/>
            <w:tcBorders>
              <w:bottom w:val="single" w:sz="8" w:color="CFF0FC"/>
            </w:tcBorders>
            <w:gridSpan w:val="2"/>
          </w:tcPr>
          <w:p>
            <w:pPr>
              <w:jc w:val="right"/>
              <w:ind w:right="330"/>
              <w:spacing w:after="0" w:line="158" w:lineRule="exact"/>
              <w:rPr>
                <w:sz w:val="20"/>
                <w:szCs w:val="20"/>
                <w:color w:val="auto"/>
              </w:rPr>
            </w:pPr>
            <w:r>
              <w:rPr>
                <w:rFonts w:ascii="Arial" w:cs="Arial" w:eastAsia="Arial" w:hAnsi="Arial"/>
                <w:sz w:val="14"/>
                <w:szCs w:val="14"/>
                <w:color w:val="auto"/>
              </w:rPr>
              <w:t>5</w:t>
            </w:r>
          </w:p>
        </w:tc>
        <w:tc>
          <w:tcPr>
            <w:tcW w:w="4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8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rPr>
              <w:t>273.1</w:t>
            </w:r>
          </w:p>
        </w:tc>
        <w:tc>
          <w:tcPr>
            <w:tcW w:w="200" w:type="dxa"/>
            <w:vAlign w:val="bottom"/>
            <w:shd w:val="clear" w:color="auto" w:fill="CFF0FC"/>
          </w:tcPr>
          <w:p>
            <w:pPr>
              <w:spacing w:after="0"/>
              <w:rPr>
                <w:sz w:val="13"/>
                <w:szCs w:val="13"/>
                <w:color w:val="auto"/>
              </w:rPr>
            </w:pPr>
          </w:p>
        </w:tc>
        <w:tc>
          <w:tcPr>
            <w:tcW w:w="32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rPr>
              <w:t>13</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rPr>
              <w:t>386.2</w:t>
            </w:r>
          </w:p>
        </w:tc>
        <w:tc>
          <w:tcPr>
            <w:tcW w:w="200" w:type="dxa"/>
            <w:vAlign w:val="bottom"/>
            <w:shd w:val="clear" w:color="auto" w:fill="CFF0FC"/>
          </w:tcPr>
          <w:p>
            <w:pPr>
              <w:spacing w:after="0"/>
              <w:rPr>
                <w:sz w:val="13"/>
                <w:szCs w:val="13"/>
                <w:color w:val="auto"/>
              </w:rPr>
            </w:pPr>
          </w:p>
        </w:tc>
        <w:tc>
          <w:tcPr>
            <w:tcW w:w="26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rPr>
              <w:t>23</w:t>
            </w:r>
          </w:p>
        </w:tc>
        <w:tc>
          <w:tcPr>
            <w:tcW w:w="140" w:type="dxa"/>
            <w:vAlign w:val="bottom"/>
            <w:shd w:val="clear" w:color="auto" w:fill="CFF0FC"/>
          </w:tcPr>
          <w:p>
            <w:pPr>
              <w:spacing w:after="0"/>
              <w:rPr>
                <w:sz w:val="13"/>
                <w:szCs w:val="13"/>
                <w:color w:val="auto"/>
              </w:rPr>
            </w:pPr>
          </w:p>
        </w:tc>
        <w:tc>
          <w:tcPr>
            <w:tcW w:w="3000" w:type="dxa"/>
            <w:vAlign w:val="bottom"/>
            <w:shd w:val="clear" w:color="auto" w:fill="CFF0FC"/>
          </w:tcPr>
          <w:p>
            <w:pPr>
              <w:ind w:left="60"/>
              <w:spacing w:after="0" w:line="151" w:lineRule="exact"/>
              <w:rPr>
                <w:sz w:val="20"/>
                <w:szCs w:val="20"/>
                <w:color w:val="auto"/>
              </w:rPr>
            </w:pPr>
            <w:r>
              <w:rPr>
                <w:rFonts w:ascii="Arial" w:cs="Arial" w:eastAsia="Arial" w:hAnsi="Arial"/>
                <w:sz w:val="14"/>
                <w:szCs w:val="14"/>
                <w:color w:val="auto"/>
              </w:rPr>
              <w:t>Income before income taxes</w:t>
            </w:r>
          </w:p>
        </w:tc>
        <w:tc>
          <w:tcPr>
            <w:tcW w:w="8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w w:val="98"/>
              </w:rPr>
              <w:t>2,358.5</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rPr>
              <w:t>2,085.4</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rPr>
              <w:t>1,699.2</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rPr>
              <w:t>1,665.9</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rPr>
              <w:t>1,790.5</w:t>
            </w:r>
          </w:p>
        </w:tc>
        <w:tc>
          <w:tcPr>
            <w:tcW w:w="1020" w:type="dxa"/>
            <w:vAlign w:val="bottom"/>
            <w:gridSpan w:val="2"/>
            <w:shd w:val="clear" w:color="auto" w:fill="CFF0FC"/>
          </w:tcPr>
          <w:p>
            <w:pPr>
              <w:jc w:val="right"/>
              <w:ind w:right="330"/>
              <w:spacing w:after="0" w:line="151" w:lineRule="exact"/>
              <w:rPr>
                <w:sz w:val="20"/>
                <w:szCs w:val="20"/>
                <w:color w:val="auto"/>
              </w:rPr>
            </w:pPr>
            <w:r>
              <w:rPr>
                <w:rFonts w:ascii="Arial" w:cs="Arial" w:eastAsia="Arial" w:hAnsi="Arial"/>
                <w:sz w:val="14"/>
                <w:szCs w:val="14"/>
                <w:color w:val="auto"/>
              </w:rPr>
              <w:t>8</w:t>
            </w:r>
          </w:p>
        </w:tc>
        <w:tc>
          <w:tcPr>
            <w:tcW w:w="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0" w:type="dxa"/>
            <w:vAlign w:val="bottom"/>
          </w:tcPr>
          <w:p>
            <w:pPr>
              <w:ind w:left="60"/>
              <w:spacing w:after="0" w:line="158" w:lineRule="exact"/>
              <w:rPr>
                <w:sz w:val="20"/>
                <w:szCs w:val="20"/>
                <w:color w:val="auto"/>
              </w:rPr>
            </w:pPr>
            <w:r>
              <w:rPr>
                <w:rFonts w:ascii="Arial" w:cs="Arial" w:eastAsia="Arial" w:hAnsi="Arial"/>
                <w:sz w:val="14"/>
                <w:szCs w:val="14"/>
                <w:color w:val="auto"/>
              </w:rPr>
              <w:t>Less:</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7.6</w:t>
            </w:r>
          </w:p>
        </w:tc>
        <w:tc>
          <w:tcPr>
            <w:tcW w:w="200" w:type="dxa"/>
            <w:vAlign w:val="bottom"/>
            <w:shd w:val="clear" w:color="auto" w:fill="CFF0FC"/>
          </w:tcPr>
          <w:p>
            <w:pPr>
              <w:spacing w:after="0"/>
              <w:rPr>
                <w:sz w:val="13"/>
                <w:szCs w:val="13"/>
                <w:color w:val="auto"/>
              </w:rPr>
            </w:pPr>
          </w:p>
        </w:tc>
        <w:tc>
          <w:tcPr>
            <w:tcW w:w="3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28</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2.5</w:t>
            </w:r>
          </w:p>
        </w:tc>
        <w:tc>
          <w:tcPr>
            <w:tcW w:w="200" w:type="dxa"/>
            <w:vAlign w:val="bottom"/>
            <w:shd w:val="clear" w:color="auto" w:fill="CFF0FC"/>
          </w:tcPr>
          <w:p>
            <w:pPr>
              <w:spacing w:after="0"/>
              <w:rPr>
                <w:sz w:val="13"/>
                <w:szCs w:val="13"/>
                <w:color w:val="auto"/>
              </w:rPr>
            </w:pPr>
          </w:p>
        </w:tc>
        <w:tc>
          <w:tcPr>
            <w:tcW w:w="26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10</w:t>
            </w:r>
          </w:p>
        </w:tc>
        <w:tc>
          <w:tcPr>
            <w:tcW w:w="140" w:type="dxa"/>
            <w:vAlign w:val="bottom"/>
            <w:shd w:val="clear" w:color="auto" w:fill="CFF0FC"/>
          </w:tcPr>
          <w:p>
            <w:pPr>
              <w:spacing w:after="0"/>
              <w:rPr>
                <w:sz w:val="13"/>
                <w:szCs w:val="13"/>
                <w:color w:val="auto"/>
              </w:rPr>
            </w:pPr>
          </w:p>
        </w:tc>
        <w:tc>
          <w:tcPr>
            <w:tcW w:w="3000" w:type="dxa"/>
            <w:vAlign w:val="bottom"/>
            <w:shd w:val="clear" w:color="auto" w:fill="CFF0FC"/>
          </w:tcPr>
          <w:p>
            <w:pPr>
              <w:ind w:left="300"/>
              <w:spacing w:after="0" w:line="158" w:lineRule="exact"/>
              <w:rPr>
                <w:sz w:val="20"/>
                <w:szCs w:val="20"/>
                <w:color w:val="auto"/>
              </w:rPr>
            </w:pPr>
            <w:r>
              <w:rPr>
                <w:rFonts w:ascii="Arial" w:cs="Arial" w:eastAsia="Arial" w:hAnsi="Arial"/>
                <w:sz w:val="14"/>
                <w:szCs w:val="14"/>
                <w:color w:val="auto"/>
              </w:rPr>
              <w:t>Taxable-equivalent adjustment(b)</w:t>
            </w:r>
          </w:p>
        </w:tc>
        <w:tc>
          <w:tcPr>
            <w:tcW w:w="8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34.6</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27.0</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24.5</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23.7</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25.0</w:t>
            </w:r>
          </w:p>
        </w:tc>
        <w:tc>
          <w:tcPr>
            <w:tcW w:w="1020" w:type="dxa"/>
            <w:vAlign w:val="bottom"/>
            <w:gridSpan w:val="2"/>
            <w:shd w:val="clear" w:color="auto" w:fill="CFF0FC"/>
          </w:tcPr>
          <w:p>
            <w:pPr>
              <w:jc w:val="right"/>
              <w:ind w:right="330"/>
              <w:spacing w:after="0" w:line="158" w:lineRule="exact"/>
              <w:rPr>
                <w:sz w:val="20"/>
                <w:szCs w:val="20"/>
                <w:color w:val="auto"/>
              </w:rPr>
            </w:pPr>
            <w:r>
              <w:rPr>
                <w:rFonts w:ascii="Arial" w:cs="Arial" w:eastAsia="Arial" w:hAnsi="Arial"/>
                <w:sz w:val="14"/>
                <w:szCs w:val="14"/>
                <w:color w:val="auto"/>
              </w:rPr>
              <w:t>6</w:t>
            </w:r>
          </w:p>
        </w:tc>
        <w:tc>
          <w:tcPr>
            <w:tcW w:w="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172.3</w:t>
            </w:r>
          </w:p>
        </w:tc>
        <w:tc>
          <w:tcPr>
            <w:tcW w:w="200" w:type="dxa"/>
            <w:vAlign w:val="bottom"/>
            <w:tcBorders>
              <w:bottom w:val="single" w:sz="8" w:color="CFF0FC"/>
            </w:tcBorders>
          </w:tcPr>
          <w:p>
            <w:pPr>
              <w:spacing w:after="0"/>
              <w:rPr>
                <w:sz w:val="13"/>
                <w:szCs w:val="13"/>
                <w:color w:val="auto"/>
              </w:rPr>
            </w:pPr>
          </w:p>
        </w:tc>
        <w:tc>
          <w:tcPr>
            <w:tcW w:w="320" w:type="dxa"/>
            <w:vAlign w:val="bottom"/>
            <w:tcBorders>
              <w:bottom w:val="single" w:sz="8" w:color="CFF0FC"/>
            </w:tcBorders>
          </w:tcPr>
          <w:p>
            <w:pPr>
              <w:jc w:val="right"/>
              <w:spacing w:after="0" w:line="158" w:lineRule="exact"/>
              <w:rPr>
                <w:sz w:val="20"/>
                <w:szCs w:val="20"/>
                <w:color w:val="auto"/>
              </w:rPr>
            </w:pPr>
            <w:r>
              <w:rPr>
                <w:rFonts w:ascii="Arial" w:cs="Arial" w:eastAsia="Arial" w:hAnsi="Arial"/>
                <w:sz w:val="14"/>
                <w:szCs w:val="14"/>
                <w:color w:val="auto"/>
              </w:rPr>
              <w:t>23</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148.3</w:t>
            </w:r>
          </w:p>
        </w:tc>
        <w:tc>
          <w:tcPr>
            <w:tcW w:w="200" w:type="dxa"/>
            <w:vAlign w:val="bottom"/>
            <w:tcBorders>
              <w:bottom w:val="single" w:sz="8" w:color="CFF0FC"/>
            </w:tcBorders>
          </w:tcPr>
          <w:p>
            <w:pPr>
              <w:spacing w:after="0"/>
              <w:rPr>
                <w:sz w:val="13"/>
                <w:szCs w:val="13"/>
                <w:color w:val="auto"/>
              </w:rPr>
            </w:pPr>
          </w:p>
        </w:tc>
        <w:tc>
          <w:tcPr>
            <w:tcW w:w="260" w:type="dxa"/>
            <w:vAlign w:val="bottom"/>
            <w:tcBorders>
              <w:bottom w:val="single" w:sz="8" w:color="CFF0FC"/>
            </w:tcBorders>
          </w:tcPr>
          <w:p>
            <w:pPr>
              <w:jc w:val="right"/>
              <w:spacing w:after="0" w:line="158" w:lineRule="exact"/>
              <w:rPr>
                <w:sz w:val="20"/>
                <w:szCs w:val="20"/>
                <w:color w:val="auto"/>
              </w:rPr>
            </w:pPr>
            <w:r>
              <w:rPr>
                <w:rFonts w:ascii="Arial" w:cs="Arial" w:eastAsia="Arial" w:hAnsi="Arial"/>
                <w:sz w:val="14"/>
                <w:szCs w:val="14"/>
                <w:color w:val="auto"/>
              </w:rPr>
              <w:t>25</w:t>
            </w:r>
          </w:p>
        </w:tc>
        <w:tc>
          <w:tcPr>
            <w:tcW w:w="140" w:type="dxa"/>
            <w:vAlign w:val="bottom"/>
            <w:tcBorders>
              <w:bottom w:val="single" w:sz="8" w:color="CFF0FC"/>
            </w:tcBorders>
          </w:tcPr>
          <w:p>
            <w:pPr>
              <w:spacing w:after="0"/>
              <w:rPr>
                <w:sz w:val="13"/>
                <w:szCs w:val="13"/>
                <w:color w:val="auto"/>
              </w:rPr>
            </w:pPr>
          </w:p>
        </w:tc>
        <w:tc>
          <w:tcPr>
            <w:tcW w:w="3000" w:type="dxa"/>
            <w:vAlign w:val="bottom"/>
            <w:tcBorders>
              <w:bottom w:val="single" w:sz="8" w:color="CFF0FC"/>
            </w:tcBorders>
          </w:tcPr>
          <w:p>
            <w:pPr>
              <w:ind w:left="300"/>
              <w:spacing w:after="0" w:line="158" w:lineRule="exact"/>
              <w:rPr>
                <w:sz w:val="20"/>
                <w:szCs w:val="20"/>
                <w:color w:val="auto"/>
              </w:rPr>
            </w:pPr>
            <w:r>
              <w:rPr>
                <w:rFonts w:ascii="Arial" w:cs="Arial" w:eastAsia="Arial" w:hAnsi="Arial"/>
                <w:sz w:val="14"/>
                <w:szCs w:val="14"/>
                <w:color w:val="auto"/>
              </w:rPr>
              <w:t>Income taxes</w:t>
            </w:r>
          </w:p>
        </w:tc>
        <w:tc>
          <w:tcPr>
            <w:tcW w:w="82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915.6</w:t>
            </w:r>
          </w:p>
        </w:tc>
        <w:tc>
          <w:tcPr>
            <w:tcW w:w="20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743.3</w:t>
            </w:r>
          </w:p>
        </w:tc>
        <w:tc>
          <w:tcPr>
            <w:tcW w:w="20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595.0</w:t>
            </w:r>
          </w:p>
        </w:tc>
        <w:tc>
          <w:tcPr>
            <w:tcW w:w="20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576.0</w:t>
            </w:r>
          </w:p>
        </w:tc>
        <w:tc>
          <w:tcPr>
            <w:tcW w:w="20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627.0</w:t>
            </w:r>
          </w:p>
        </w:tc>
        <w:tc>
          <w:tcPr>
            <w:tcW w:w="1020" w:type="dxa"/>
            <w:vAlign w:val="bottom"/>
            <w:tcBorders>
              <w:bottom w:val="single" w:sz="8" w:color="CFF0FC"/>
            </w:tcBorders>
            <w:gridSpan w:val="2"/>
          </w:tcPr>
          <w:p>
            <w:pPr>
              <w:jc w:val="right"/>
              <w:ind w:right="330"/>
              <w:spacing w:after="0" w:line="158" w:lineRule="exact"/>
              <w:rPr>
                <w:sz w:val="20"/>
                <w:szCs w:val="20"/>
                <w:color w:val="auto"/>
              </w:rPr>
            </w:pPr>
            <w:r>
              <w:rPr>
                <w:rFonts w:ascii="Arial" w:cs="Arial" w:eastAsia="Arial" w:hAnsi="Arial"/>
                <w:sz w:val="14"/>
                <w:szCs w:val="14"/>
                <w:color w:val="auto"/>
              </w:rPr>
              <w:t>10</w:t>
            </w:r>
          </w:p>
        </w:tc>
        <w:tc>
          <w:tcPr>
            <w:tcW w:w="4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80" w:type="dxa"/>
            <w:vAlign w:val="bottom"/>
            <w:tcBorders>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93.2</w:t>
            </w:r>
          </w:p>
        </w:tc>
        <w:tc>
          <w:tcPr>
            <w:tcW w:w="200" w:type="dxa"/>
            <w:vAlign w:val="bottom"/>
            <w:tcBorders>
              <w:bottom w:val="single" w:sz="8" w:color="CFF0FC"/>
            </w:tcBorders>
            <w:shd w:val="clear" w:color="auto" w:fill="CFF0FC"/>
          </w:tcPr>
          <w:p>
            <w:pPr>
              <w:spacing w:after="0"/>
              <w:rPr>
                <w:sz w:val="13"/>
                <w:szCs w:val="13"/>
                <w:color w:val="auto"/>
              </w:rPr>
            </w:pPr>
          </w:p>
        </w:tc>
        <w:tc>
          <w:tcPr>
            <w:tcW w:w="320" w:type="dxa"/>
            <w:vAlign w:val="bottom"/>
            <w:tcBorders>
              <w:bottom w:val="single" w:sz="8" w:color="CFF0FC"/>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7</w:t>
            </w:r>
          </w:p>
        </w:tc>
        <w:tc>
          <w:tcPr>
            <w:tcW w:w="12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235.4</w:t>
            </w:r>
          </w:p>
        </w:tc>
        <w:tc>
          <w:tcPr>
            <w:tcW w:w="200" w:type="dxa"/>
            <w:vAlign w:val="bottom"/>
            <w:tcBorders>
              <w:bottom w:val="single" w:sz="8" w:color="CFF0FC"/>
            </w:tcBorders>
            <w:shd w:val="clear" w:color="auto" w:fill="CFF0FC"/>
          </w:tcPr>
          <w:p>
            <w:pPr>
              <w:spacing w:after="0"/>
              <w:rPr>
                <w:sz w:val="13"/>
                <w:szCs w:val="13"/>
                <w:color w:val="auto"/>
              </w:rPr>
            </w:pPr>
          </w:p>
        </w:tc>
        <w:tc>
          <w:tcPr>
            <w:tcW w:w="260" w:type="dxa"/>
            <w:vAlign w:val="bottom"/>
            <w:tcBorders>
              <w:bottom w:val="single" w:sz="8" w:color="CFF0FC"/>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22</w:t>
            </w:r>
          </w:p>
        </w:tc>
        <w:tc>
          <w:tcPr>
            <w:tcW w:w="140" w:type="dxa"/>
            <w:vAlign w:val="bottom"/>
            <w:tcBorders>
              <w:bottom w:val="single" w:sz="8" w:color="CFF0FC"/>
            </w:tcBorders>
            <w:shd w:val="clear" w:color="auto" w:fill="CFF0FC"/>
          </w:tcPr>
          <w:p>
            <w:pPr>
              <w:spacing w:after="0"/>
              <w:rPr>
                <w:sz w:val="13"/>
                <w:szCs w:val="13"/>
                <w:color w:val="auto"/>
              </w:rPr>
            </w:pPr>
          </w:p>
        </w:tc>
        <w:tc>
          <w:tcPr>
            <w:tcW w:w="3000" w:type="dxa"/>
            <w:vAlign w:val="bottom"/>
            <w:tcBorders>
              <w:bottom w:val="single" w:sz="8" w:color="CFF0FC"/>
            </w:tcBorders>
            <w:shd w:val="clear" w:color="auto" w:fill="CFF0FC"/>
          </w:tcPr>
          <w:p>
            <w:pPr>
              <w:ind w:left="60"/>
              <w:spacing w:after="0" w:line="151" w:lineRule="exact"/>
              <w:rPr>
                <w:sz w:val="20"/>
                <w:szCs w:val="20"/>
                <w:color w:val="auto"/>
              </w:rPr>
            </w:pPr>
            <w:r>
              <w:rPr>
                <w:rFonts w:ascii="Arial" w:cs="Arial" w:eastAsia="Arial" w:hAnsi="Arial"/>
                <w:sz w:val="14"/>
                <w:szCs w:val="14"/>
                <w:color w:val="auto"/>
              </w:rPr>
              <w:t>Net income</w:t>
            </w:r>
          </w:p>
        </w:tc>
        <w:tc>
          <w:tcPr>
            <w:tcW w:w="82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w w:val="98"/>
              </w:rPr>
              <w:t>1,408.3</w:t>
            </w:r>
          </w:p>
        </w:tc>
        <w:tc>
          <w:tcPr>
            <w:tcW w:w="20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1,315.1</w:t>
            </w:r>
          </w:p>
        </w:tc>
        <w:tc>
          <w:tcPr>
            <w:tcW w:w="20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1,079.7</w:t>
            </w:r>
          </w:p>
        </w:tc>
        <w:tc>
          <w:tcPr>
            <w:tcW w:w="20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1,066.2</w:t>
            </w:r>
          </w:p>
        </w:tc>
        <w:tc>
          <w:tcPr>
            <w:tcW w:w="20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1,138.5</w:t>
            </w:r>
          </w:p>
        </w:tc>
        <w:tc>
          <w:tcPr>
            <w:tcW w:w="1020" w:type="dxa"/>
            <w:vAlign w:val="bottom"/>
            <w:tcBorders>
              <w:bottom w:val="single" w:sz="8" w:color="CFF0FC"/>
            </w:tcBorders>
            <w:gridSpan w:val="2"/>
            <w:shd w:val="clear" w:color="auto" w:fill="CFF0FC"/>
          </w:tcPr>
          <w:p>
            <w:pPr>
              <w:jc w:val="right"/>
              <w:ind w:right="210"/>
              <w:spacing w:after="0" w:line="151" w:lineRule="exact"/>
              <w:rPr>
                <w:sz w:val="20"/>
                <w:szCs w:val="20"/>
                <w:color w:val="auto"/>
              </w:rPr>
            </w:pPr>
            <w:r>
              <w:rPr>
                <w:rFonts w:ascii="Arial" w:cs="Arial" w:eastAsia="Arial" w:hAnsi="Arial"/>
                <w:sz w:val="14"/>
                <w:szCs w:val="14"/>
                <w:color w:val="auto"/>
              </w:rPr>
              <w:t>6%</w:t>
            </w:r>
          </w:p>
        </w:tc>
        <w:tc>
          <w:tcPr>
            <w:tcW w:w="4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13601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325" w:lineRule="exact"/>
        <w:rPr>
          <w:sz w:val="20"/>
          <w:szCs w:val="20"/>
          <w:color w:val="auto"/>
        </w:rPr>
      </w:pPr>
    </w:p>
    <w:p>
      <w:pPr>
        <w:ind w:left="600" w:hanging="595"/>
        <w:spacing w:after="0"/>
        <w:tabs>
          <w:tab w:leader="none" w:pos="600" w:val="left"/>
        </w:tabs>
        <w:numPr>
          <w:ilvl w:val="0"/>
          <w:numId w:val="22"/>
        </w:numPr>
        <w:rPr>
          <w:rFonts w:ascii="Arial" w:cs="Arial" w:eastAsia="Arial" w:hAnsi="Arial"/>
          <w:sz w:val="16"/>
          <w:szCs w:val="16"/>
          <w:i w:val="1"/>
          <w:iCs w:val="1"/>
          <w:color w:val="auto"/>
        </w:rPr>
      </w:pPr>
      <w:r>
        <w:rPr>
          <w:rFonts w:ascii="Arial" w:cs="Arial" w:eastAsia="Arial" w:hAnsi="Arial"/>
          <w:sz w:val="16"/>
          <w:szCs w:val="16"/>
          <w:i w:val="1"/>
          <w:iCs w:val="1"/>
          <w:color w:val="auto"/>
        </w:rPr>
        <w:t>Changes were calculated from unrounded amounts.</w:t>
      </w:r>
    </w:p>
    <w:p>
      <w:pPr>
        <w:spacing w:after="0" w:line="16" w:lineRule="exact"/>
        <w:rPr>
          <w:rFonts w:ascii="Arial" w:cs="Arial" w:eastAsia="Arial" w:hAnsi="Arial"/>
          <w:sz w:val="16"/>
          <w:szCs w:val="16"/>
          <w:i w:val="1"/>
          <w:iCs w:val="1"/>
          <w:color w:val="auto"/>
        </w:rPr>
      </w:pPr>
    </w:p>
    <w:p>
      <w:pPr>
        <w:ind w:left="600" w:right="60" w:hanging="595"/>
        <w:spacing w:after="0" w:line="257" w:lineRule="auto"/>
        <w:tabs>
          <w:tab w:leader="none" w:pos="600" w:val="left"/>
        </w:tabs>
        <w:numPr>
          <w:ilvl w:val="0"/>
          <w:numId w:val="22"/>
        </w:numPr>
        <w:rPr>
          <w:rFonts w:ascii="Arial" w:cs="Arial" w:eastAsia="Arial" w:hAnsi="Arial"/>
          <w:sz w:val="16"/>
          <w:szCs w:val="16"/>
          <w:i w:val="1"/>
          <w:iCs w:val="1"/>
          <w:color w:val="auto"/>
        </w:rPr>
      </w:pPr>
      <w:r>
        <w:rPr>
          <w:rFonts w:ascii="Arial" w:cs="Arial" w:eastAsia="Arial" w:hAnsi="Arial"/>
          <w:sz w:val="16"/>
          <w:szCs w:val="16"/>
          <w:i w:val="1"/>
          <w:iCs w:val="1"/>
          <w:color w:val="auto"/>
        </w:rPr>
        <w:t>Interest income data are on a taxable-equivalent basis. The taxable-equivalent adjustment represents additional income taxes that would be due if all interest income were subject to income taxes. This adjustment, which is related to interest received on qualified municipal securities, industrial revenue financings and preferred equity securities, is based on a composite income tax rate of approximately 39%.</w:t>
      </w:r>
    </w:p>
    <w:p>
      <w:pPr>
        <w:ind w:left="600" w:hanging="595"/>
        <w:spacing w:after="0"/>
        <w:tabs>
          <w:tab w:leader="none" w:pos="600" w:val="left"/>
        </w:tabs>
        <w:numPr>
          <w:ilvl w:val="0"/>
          <w:numId w:val="22"/>
        </w:numPr>
        <w:rPr>
          <w:rFonts w:ascii="Arial" w:cs="Arial" w:eastAsia="Arial" w:hAnsi="Arial"/>
          <w:sz w:val="16"/>
          <w:szCs w:val="16"/>
          <w:i w:val="1"/>
          <w:iCs w:val="1"/>
          <w:color w:val="auto"/>
        </w:rPr>
      </w:pPr>
      <w:r>
        <w:rPr>
          <w:rFonts w:ascii="Arial" w:cs="Arial" w:eastAsia="Arial" w:hAnsi="Arial"/>
          <w:sz w:val="16"/>
          <w:szCs w:val="16"/>
          <w:i w:val="1"/>
          <w:iCs w:val="1"/>
          <w:color w:val="auto"/>
        </w:rPr>
        <w:t>Includes other-than-temporary impairment losses, if any.</w:t>
      </w:r>
    </w:p>
    <w:p>
      <w:pPr>
        <w:spacing w:after="0" w:line="3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Supplemental Reporting of Non-GAAP Results of Operations</w:t>
      </w:r>
    </w:p>
    <w:p>
      <w:pPr>
        <w:spacing w:after="0" w:line="29" w:lineRule="exact"/>
        <w:rPr>
          <w:sz w:val="20"/>
          <w:szCs w:val="20"/>
          <w:color w:val="auto"/>
        </w:rPr>
      </w:pPr>
    </w:p>
    <w:p>
      <w:pPr>
        <w:ind w:right="60"/>
        <w:spacing w:after="0" w:line="246" w:lineRule="auto"/>
        <w:rPr>
          <w:sz w:val="20"/>
          <w:szCs w:val="20"/>
          <w:color w:val="auto"/>
        </w:rPr>
      </w:pPr>
      <w:r>
        <w:rPr>
          <w:rFonts w:ascii="Arial" w:cs="Arial" w:eastAsia="Arial" w:hAnsi="Arial"/>
          <w:sz w:val="20"/>
          <w:szCs w:val="20"/>
          <w:color w:val="auto"/>
        </w:rPr>
        <w:t>As a result of business combinations and other acquisitions, the Company had intangible assets consisting of goodwill and core deposit and other intangible assets totaling $4.7 billion at each of December 31, 2017, 2016 and 2015. Included in such intangible assets was goodwill of $4.6 billion at each of those dates. Amortization of core deposit and other intangible assets, after-tax effect, totaled $19 million, $26 million and $16 million during 2017, 2016 and 2015, respectively.</w:t>
      </w:r>
    </w:p>
    <w:p>
      <w:pPr>
        <w:spacing w:after="0" w:line="3" w:lineRule="exact"/>
        <w:rPr>
          <w:sz w:val="20"/>
          <w:szCs w:val="20"/>
          <w:color w:val="auto"/>
        </w:rPr>
      </w:pPr>
    </w:p>
    <w:p>
      <w:pPr>
        <w:ind w:right="60" w:firstLine="598"/>
        <w:spacing w:after="0" w:line="277" w:lineRule="auto"/>
        <w:rPr>
          <w:sz w:val="20"/>
          <w:szCs w:val="20"/>
          <w:color w:val="auto"/>
        </w:rPr>
      </w:pPr>
      <w:r>
        <w:rPr>
          <w:rFonts w:ascii="Arial" w:cs="Arial" w:eastAsia="Arial" w:hAnsi="Arial"/>
          <w:sz w:val="18"/>
          <w:szCs w:val="18"/>
          <w:color w:val="auto"/>
        </w:rPr>
        <w:t>M&amp;T consistently provides supplemental reporting of its results on a “net operating” or “tangible” basis, from which M&amp;T excludes the after-tax effect of amortization of core deposit and other intangible assets (and the related goodwill, core deposit intangible and other intangible asset balances, net of applicable deferred tax amounts) and gains and expenses associated with merging acquired operations into the Company, since such items are considered by management to be “nonoperating” in nature. Those merger-related expenses generally consist of professional services and other temporary help fees associated with the actual or planned conversion of systems and/or integration of operations; costs related to branch and office consolidations; costs related to termination of existing contractual arrangements to purchase various services; initial marketing and promotion expenses designed to introduce M&amp;T Bank to its new customers; severance; incentive compensation costs; travel costs; and printing, supplies and other costs of completing the transactions and commencing operations in new markets and offices. Those expenses totaled $36 million ($22 million after-tax) in 2016 and $76 million ($48 million after-tax) in 2015. Also considered as a merger-related expense in 2015 was a provision for credit losses of $21 million. GAAP provides that an allowance for credit losses associated with probable incurred losses on loans acquired at a</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989" w:right="239" w:bottom="1440" w:gutter="0" w:footer="0" w:header="0"/>
        </w:sectPr>
      </w:pPr>
    </w:p>
    <w:bookmarkStart w:id="51" w:name="page52"/>
    <w:bookmarkEnd w:id="51"/>
    <w:p>
      <w:pPr>
        <w:ind w:right="140"/>
        <w:spacing w:after="0" w:line="251" w:lineRule="auto"/>
        <w:rPr>
          <w:sz w:val="20"/>
          <w:szCs w:val="20"/>
          <w:color w:val="auto"/>
        </w:rPr>
      </w:pPr>
      <w:r>
        <w:rPr>
          <w:rFonts w:ascii="Arial" w:cs="Arial" w:eastAsia="Arial" w:hAnsi="Arial"/>
          <w:sz w:val="20"/>
          <w:szCs w:val="20"/>
          <w:color w:val="auto"/>
        </w:rPr>
        <w:t>premium be recognized. Given the recognition of such losses above and beyond the impact of forecasted losses used in determining the fair value of acquired loans, the Company considered that provision to be a merger-related expense. There were no merger-related expenses in 2017. Although “net operating income” as defined by M&amp;T is not a GAAP measure, M&amp;T’s management believes that this information helps investors understand the effect of acquisition activity in reported results.</w:t>
      </w:r>
    </w:p>
    <w:p>
      <w:pPr>
        <w:spacing w:after="0" w:line="2" w:lineRule="exact"/>
        <w:rPr>
          <w:sz w:val="20"/>
          <w:szCs w:val="20"/>
          <w:color w:val="auto"/>
        </w:rPr>
      </w:pPr>
    </w:p>
    <w:p>
      <w:pPr>
        <w:ind w:firstLine="598"/>
        <w:spacing w:after="0" w:line="246" w:lineRule="auto"/>
        <w:rPr>
          <w:sz w:val="20"/>
          <w:szCs w:val="20"/>
          <w:color w:val="auto"/>
        </w:rPr>
      </w:pPr>
      <w:r>
        <w:rPr>
          <w:rFonts w:ascii="Arial" w:cs="Arial" w:eastAsia="Arial" w:hAnsi="Arial"/>
          <w:sz w:val="20"/>
          <w:szCs w:val="20"/>
          <w:color w:val="auto"/>
        </w:rPr>
        <w:t>Net operating income was $1.43 billion in 2017, compared with $1.36 billion in 2016 and $1.16 billion in 2015. Diluted net operating earnings per common share were $8.82 in 2017, $8.08 in 2016 and $7.74 in 2015.</w:t>
      </w:r>
    </w:p>
    <w:p>
      <w:pPr>
        <w:spacing w:after="0" w:line="2" w:lineRule="exact"/>
        <w:rPr>
          <w:sz w:val="20"/>
          <w:szCs w:val="20"/>
          <w:color w:val="auto"/>
        </w:rPr>
      </w:pPr>
    </w:p>
    <w:p>
      <w:pPr>
        <w:jc w:val="both"/>
        <w:ind w:right="120" w:firstLine="598"/>
        <w:spacing w:after="0" w:line="246" w:lineRule="auto"/>
        <w:rPr>
          <w:sz w:val="20"/>
          <w:szCs w:val="20"/>
          <w:color w:val="auto"/>
        </w:rPr>
      </w:pPr>
      <w:r>
        <w:rPr>
          <w:rFonts w:ascii="Arial" w:cs="Arial" w:eastAsia="Arial" w:hAnsi="Arial"/>
          <w:sz w:val="20"/>
          <w:szCs w:val="20"/>
          <w:color w:val="auto"/>
        </w:rPr>
        <w:t>Net operating income expressed as a rate of return on average tangible assets was 1.23% in 2017, compared with 1.14% in 2016 and 1.18% in 2015. Net operating income represented a return on average tangible common equity of 13.00% in 2017 and 2015, compared with 12.25% in 2016.</w:t>
      </w:r>
    </w:p>
    <w:p>
      <w:pPr>
        <w:spacing w:after="0" w:line="2" w:lineRule="exact"/>
        <w:rPr>
          <w:sz w:val="20"/>
          <w:szCs w:val="20"/>
          <w:color w:val="auto"/>
        </w:rPr>
      </w:pPr>
    </w:p>
    <w:p>
      <w:pPr>
        <w:ind w:left="600"/>
        <w:spacing w:after="0"/>
        <w:rPr>
          <w:sz w:val="20"/>
          <w:szCs w:val="20"/>
          <w:color w:val="auto"/>
        </w:rPr>
      </w:pPr>
      <w:r>
        <w:rPr>
          <w:rFonts w:ascii="Arial" w:cs="Arial" w:eastAsia="Arial" w:hAnsi="Arial"/>
          <w:sz w:val="20"/>
          <w:szCs w:val="20"/>
          <w:color w:val="auto"/>
        </w:rPr>
        <w:t>Reconciliations of GAAP amounts with corresponding non-GAAP amounts are presented in table 2.</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380"/>
          </w:cols>
          <w:pgMar w:left="240" w:top="126" w:right="279" w:bottom="1440" w:gutter="0" w:footer="0" w:header="0"/>
        </w:sectPr>
      </w:pPr>
    </w:p>
    <w:bookmarkStart w:id="52" w:name="page53"/>
    <w:bookmarkEnd w:id="52"/>
    <w:p>
      <w:pPr>
        <w:spacing w:after="0"/>
        <w:rPr>
          <w:sz w:val="20"/>
          <w:szCs w:val="20"/>
          <w:color w:val="auto"/>
        </w:rPr>
      </w:pPr>
      <w:r>
        <w:rPr>
          <w:rFonts w:ascii="Arial" w:cs="Arial" w:eastAsia="Arial" w:hAnsi="Arial"/>
          <w:sz w:val="20"/>
          <w:szCs w:val="20"/>
          <w:b w:val="1"/>
          <w:bCs w:val="1"/>
          <w:color w:val="auto"/>
        </w:rPr>
        <w:t>Table 2</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RECONCILIATION OF GAAP TO NON-GAAP MEASURES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800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03"/>
              <w:spacing w:after="0"/>
              <w:rPr>
                <w:sz w:val="20"/>
                <w:szCs w:val="20"/>
                <w:color w:val="auto"/>
              </w:rPr>
            </w:pPr>
            <w:r>
              <w:rPr>
                <w:rFonts w:ascii="Arial" w:cs="Arial" w:eastAsia="Arial" w:hAnsi="Arial"/>
                <w:sz w:val="11"/>
                <w:szCs w:val="11"/>
                <w:b w:val="1"/>
                <w:bCs w:val="1"/>
                <w:color w:val="auto"/>
              </w:rPr>
              <w:t>2017</w:t>
            </w:r>
          </w:p>
        </w:tc>
        <w:tc>
          <w:tcPr>
            <w:tcW w:w="120" w:type="dxa"/>
            <w:vAlign w:val="bottom"/>
            <w:tcBorders>
              <w:bottom w:val="single" w:sz="8" w:color="CFF0FC"/>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03"/>
              <w:spacing w:after="0"/>
              <w:rPr>
                <w:sz w:val="20"/>
                <w:szCs w:val="20"/>
                <w:color w:val="auto"/>
              </w:rPr>
            </w:pPr>
            <w:r>
              <w:rPr>
                <w:rFonts w:ascii="Arial" w:cs="Arial" w:eastAsia="Arial" w:hAnsi="Arial"/>
                <w:sz w:val="11"/>
                <w:szCs w:val="11"/>
                <w:b w:val="1"/>
                <w:bCs w:val="1"/>
                <w:color w:val="auto"/>
              </w:rPr>
              <w:t>2016</w:t>
            </w:r>
          </w:p>
        </w:tc>
        <w:tc>
          <w:tcPr>
            <w:tcW w:w="120" w:type="dxa"/>
            <w:vAlign w:val="bottom"/>
            <w:tcBorders>
              <w:bottom w:val="single" w:sz="8" w:color="CFF0FC"/>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03"/>
              <w:spacing w:after="0"/>
              <w:rPr>
                <w:sz w:val="20"/>
                <w:szCs w:val="20"/>
                <w:color w:val="auto"/>
              </w:rPr>
            </w:pPr>
            <w:r>
              <w:rPr>
                <w:rFonts w:ascii="Arial" w:cs="Arial" w:eastAsia="Arial" w:hAnsi="Arial"/>
                <w:sz w:val="11"/>
                <w:szCs w:val="11"/>
                <w:b w:val="1"/>
                <w:bCs w:val="1"/>
                <w:color w:val="auto"/>
              </w:rPr>
              <w:t>2015</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8000" w:type="dxa"/>
            <w:vAlign w:val="bottom"/>
            <w:shd w:val="clear" w:color="auto" w:fill="CFF0FC"/>
          </w:tcPr>
          <w:p>
            <w:pPr>
              <w:spacing w:after="0"/>
              <w:rPr>
                <w:sz w:val="20"/>
                <w:szCs w:val="20"/>
                <w:color w:val="auto"/>
              </w:rPr>
            </w:pPr>
            <w:r>
              <w:rPr>
                <w:rFonts w:ascii="Arial" w:cs="Arial" w:eastAsia="Arial" w:hAnsi="Arial"/>
                <w:sz w:val="11"/>
                <w:szCs w:val="11"/>
                <w:b w:val="1"/>
                <w:bCs w:val="1"/>
                <w:color w:val="auto"/>
              </w:rPr>
              <w:t>Income statement data</w:t>
            </w: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8000" w:type="dxa"/>
            <w:vAlign w:val="bottom"/>
          </w:tcPr>
          <w:p>
            <w:pPr>
              <w:spacing w:after="0"/>
              <w:rPr>
                <w:sz w:val="20"/>
                <w:szCs w:val="20"/>
                <w:color w:val="auto"/>
              </w:rPr>
            </w:pPr>
            <w:r>
              <w:rPr>
                <w:rFonts w:ascii="Arial" w:cs="Arial" w:eastAsia="Arial" w:hAnsi="Arial"/>
                <w:sz w:val="11"/>
                <w:szCs w:val="11"/>
                <w:i w:val="1"/>
                <w:iCs w:val="1"/>
                <w:color w:val="auto"/>
              </w:rPr>
              <w:t>Dollars in thousands, except per share</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000" w:type="dxa"/>
            <w:vAlign w:val="bottom"/>
            <w:shd w:val="clear" w:color="auto" w:fill="CFF0FC"/>
          </w:tcPr>
          <w:p>
            <w:pPr>
              <w:spacing w:after="0"/>
              <w:rPr>
                <w:sz w:val="20"/>
                <w:szCs w:val="20"/>
                <w:color w:val="auto"/>
              </w:rPr>
            </w:pPr>
            <w:r>
              <w:rPr>
                <w:rFonts w:ascii="Arial" w:cs="Arial" w:eastAsia="Arial" w:hAnsi="Arial"/>
                <w:sz w:val="11"/>
                <w:szCs w:val="11"/>
                <w:b w:val="1"/>
                <w:bCs w:val="1"/>
                <w:color w:val="auto"/>
              </w:rPr>
              <w:t>Net income</w:t>
            </w: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000" w:type="dxa"/>
            <w:vAlign w:val="bottom"/>
          </w:tcPr>
          <w:p>
            <w:pPr>
              <w:spacing w:after="0"/>
              <w:rPr>
                <w:sz w:val="20"/>
                <w:szCs w:val="20"/>
                <w:color w:val="auto"/>
              </w:rPr>
            </w:pPr>
            <w:r>
              <w:rPr>
                <w:rFonts w:ascii="Arial" w:cs="Arial" w:eastAsia="Arial" w:hAnsi="Arial"/>
                <w:sz w:val="11"/>
                <w:szCs w:val="11"/>
                <w:color w:val="auto"/>
              </w:rPr>
              <w:t>Net income</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1,408,306</w:t>
            </w:r>
          </w:p>
        </w:tc>
        <w:tc>
          <w:tcPr>
            <w:tcW w:w="120" w:type="dxa"/>
            <w:vAlign w:val="bottom"/>
          </w:tcPr>
          <w:p>
            <w:pPr>
              <w:spacing w:after="0"/>
              <w:rPr>
                <w:sz w:val="12"/>
                <w:szCs w:val="12"/>
                <w:color w:val="auto"/>
              </w:rPr>
            </w:pPr>
          </w:p>
        </w:tc>
        <w:tc>
          <w:tcPr>
            <w:tcW w:w="340" w:type="dxa"/>
            <w:vAlign w:val="bottom"/>
            <w:gridSpan w:val="2"/>
          </w:tcPr>
          <w:p>
            <w:pPr>
              <w:jc w:val="right"/>
              <w:ind w:right="89"/>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1,315,114</w:t>
            </w:r>
          </w:p>
        </w:tc>
        <w:tc>
          <w:tcPr>
            <w:tcW w:w="120" w:type="dxa"/>
            <w:vAlign w:val="bottom"/>
          </w:tcPr>
          <w:p>
            <w:pPr>
              <w:spacing w:after="0"/>
              <w:rPr>
                <w:sz w:val="12"/>
                <w:szCs w:val="12"/>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1,079,667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000" w:type="dxa"/>
            <w:vAlign w:val="bottom"/>
            <w:shd w:val="clear" w:color="auto" w:fill="CFF0FC"/>
          </w:tcPr>
          <w:p>
            <w:pPr>
              <w:spacing w:after="0"/>
              <w:rPr>
                <w:sz w:val="20"/>
                <w:szCs w:val="20"/>
                <w:color w:val="auto"/>
              </w:rPr>
            </w:pPr>
            <w:r>
              <w:rPr>
                <w:rFonts w:ascii="Arial" w:cs="Arial" w:eastAsia="Arial" w:hAnsi="Arial"/>
                <w:sz w:val="11"/>
                <w:szCs w:val="11"/>
                <w:color w:val="auto"/>
              </w:rPr>
              <w:t>Amortization of core deposit and other intangible assets(a)</w:t>
            </w: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19,025</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25,893</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16,150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000" w:type="dxa"/>
            <w:vAlign w:val="bottom"/>
            <w:tcBorders>
              <w:bottom w:val="single" w:sz="8" w:color="CFF0FC"/>
            </w:tcBorders>
          </w:tcPr>
          <w:p>
            <w:pPr>
              <w:spacing w:after="0"/>
              <w:rPr>
                <w:sz w:val="20"/>
                <w:szCs w:val="20"/>
                <w:color w:val="auto"/>
              </w:rPr>
            </w:pPr>
            <w:r>
              <w:rPr>
                <w:rFonts w:ascii="Arial" w:cs="Arial" w:eastAsia="Arial" w:hAnsi="Arial"/>
                <w:sz w:val="11"/>
                <w:szCs w:val="11"/>
                <w:color w:val="auto"/>
              </w:rPr>
              <w:t>Merger-related expenses(a)</w:t>
            </w: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21,685</w:t>
            </w:r>
          </w:p>
        </w:tc>
        <w:tc>
          <w:tcPr>
            <w:tcW w:w="120" w:type="dxa"/>
            <w:vAlign w:val="bottom"/>
            <w:tcBorders>
              <w:bottom w:val="single" w:sz="8" w:color="CFF0FC"/>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60,820</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8000" w:type="dxa"/>
            <w:vAlign w:val="bottom"/>
            <w:shd w:val="clear" w:color="auto" w:fill="CFF0FC"/>
          </w:tcPr>
          <w:p>
            <w:pPr>
              <w:ind w:left="240"/>
              <w:spacing w:after="0"/>
              <w:rPr>
                <w:sz w:val="20"/>
                <w:szCs w:val="20"/>
                <w:color w:val="auto"/>
              </w:rPr>
            </w:pPr>
            <w:r>
              <w:rPr>
                <w:rFonts w:ascii="Arial" w:cs="Arial" w:eastAsia="Arial" w:hAnsi="Arial"/>
                <w:sz w:val="11"/>
                <w:szCs w:val="11"/>
                <w:color w:val="auto"/>
              </w:rPr>
              <w:t>Net operating income</w:t>
            </w:r>
          </w:p>
        </w:tc>
        <w:tc>
          <w:tcPr>
            <w:tcW w:w="200" w:type="dxa"/>
            <w:vAlign w:val="bottom"/>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1,427,331</w:t>
            </w:r>
          </w:p>
        </w:tc>
        <w:tc>
          <w:tcPr>
            <w:tcW w:w="120" w:type="dxa"/>
            <w:vAlign w:val="bottom"/>
            <w:shd w:val="clear" w:color="auto" w:fill="CFF0FC"/>
          </w:tcPr>
          <w:p>
            <w:pPr>
              <w:spacing w:after="0"/>
              <w:rPr>
                <w:sz w:val="11"/>
                <w:szCs w:val="11"/>
                <w:color w:val="auto"/>
              </w:rPr>
            </w:pPr>
          </w:p>
        </w:tc>
        <w:tc>
          <w:tcPr>
            <w:tcW w:w="340" w:type="dxa"/>
            <w:vAlign w:val="bottom"/>
            <w:gridSpan w:val="2"/>
            <w:shd w:val="clear" w:color="auto" w:fill="CFF0FC"/>
          </w:tcPr>
          <w:p>
            <w:pPr>
              <w:jc w:val="right"/>
              <w:ind w:right="89"/>
              <w:spacing w:after="0"/>
              <w:rPr>
                <w:sz w:val="20"/>
                <w:szCs w:val="20"/>
                <w:color w:val="auto"/>
              </w:rPr>
            </w:pPr>
            <w:r>
              <w:rPr>
                <w:rFonts w:ascii="Arial" w:cs="Arial" w:eastAsia="Arial" w:hAnsi="Arial"/>
                <w:sz w:val="11"/>
                <w:szCs w:val="11"/>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1,362,692</w:t>
            </w:r>
          </w:p>
        </w:tc>
        <w:tc>
          <w:tcPr>
            <w:tcW w:w="120" w:type="dxa"/>
            <w:vAlign w:val="bottom"/>
            <w:shd w:val="clear" w:color="auto" w:fill="CFF0FC"/>
          </w:tcPr>
          <w:p>
            <w:pPr>
              <w:spacing w:after="0"/>
              <w:rPr>
                <w:sz w:val="11"/>
                <w:szCs w:val="11"/>
                <w:color w:val="auto"/>
              </w:rPr>
            </w:pPr>
          </w:p>
        </w:tc>
        <w:tc>
          <w:tcPr>
            <w:tcW w:w="36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1,156,637</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0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1"/>
                <w:szCs w:val="11"/>
                <w:b w:val="1"/>
                <w:bCs w:val="1"/>
                <w:color w:val="auto"/>
              </w:rPr>
              <w:t>Earnings per common share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80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8000" w:type="dxa"/>
            <w:vAlign w:val="bottom"/>
            <w:shd w:val="clear" w:color="auto" w:fill="CFF0FC"/>
          </w:tcPr>
          <w:p>
            <w:pPr>
              <w:spacing w:after="0"/>
              <w:rPr>
                <w:sz w:val="20"/>
                <w:szCs w:val="20"/>
                <w:color w:val="auto"/>
              </w:rPr>
            </w:pPr>
            <w:r>
              <w:rPr>
                <w:rFonts w:ascii="Arial" w:cs="Arial" w:eastAsia="Arial" w:hAnsi="Arial"/>
                <w:sz w:val="11"/>
                <w:szCs w:val="11"/>
                <w:color w:val="auto"/>
              </w:rPr>
              <w:t>Diluted earnings per common share</w:t>
            </w:r>
          </w:p>
        </w:tc>
        <w:tc>
          <w:tcPr>
            <w:tcW w:w="200" w:type="dxa"/>
            <w:vAlign w:val="bottom"/>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8.70</w:t>
            </w:r>
          </w:p>
        </w:tc>
        <w:tc>
          <w:tcPr>
            <w:tcW w:w="120" w:type="dxa"/>
            <w:vAlign w:val="bottom"/>
            <w:shd w:val="clear" w:color="auto" w:fill="CFF0FC"/>
          </w:tcPr>
          <w:p>
            <w:pPr>
              <w:spacing w:after="0"/>
              <w:rPr>
                <w:sz w:val="12"/>
                <w:szCs w:val="12"/>
                <w:color w:val="auto"/>
              </w:rPr>
            </w:pPr>
          </w:p>
        </w:tc>
        <w:tc>
          <w:tcPr>
            <w:tcW w:w="340" w:type="dxa"/>
            <w:vAlign w:val="bottom"/>
            <w:gridSpan w:val="2"/>
            <w:shd w:val="clear" w:color="auto" w:fill="CFF0FC"/>
          </w:tcPr>
          <w:p>
            <w:pPr>
              <w:jc w:val="right"/>
              <w:ind w:right="89"/>
              <w:spacing w:after="0"/>
              <w:rPr>
                <w:sz w:val="20"/>
                <w:szCs w:val="20"/>
                <w:color w:val="auto"/>
              </w:rPr>
            </w:pPr>
            <w:r>
              <w:rPr>
                <w:rFonts w:ascii="Arial" w:cs="Arial" w:eastAsia="Arial" w:hAnsi="Arial"/>
                <w:sz w:val="11"/>
                <w:szCs w:val="11"/>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7.78</w:t>
            </w:r>
          </w:p>
        </w:tc>
        <w:tc>
          <w:tcPr>
            <w:tcW w:w="120" w:type="dxa"/>
            <w:vAlign w:val="bottom"/>
            <w:shd w:val="clear" w:color="auto" w:fill="CFF0FC"/>
          </w:tcPr>
          <w:p>
            <w:pPr>
              <w:spacing w:after="0"/>
              <w:rPr>
                <w:sz w:val="12"/>
                <w:szCs w:val="12"/>
                <w:color w:val="auto"/>
              </w:rPr>
            </w:pPr>
          </w:p>
        </w:tc>
        <w:tc>
          <w:tcPr>
            <w:tcW w:w="36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7.18</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000" w:type="dxa"/>
            <w:vAlign w:val="bottom"/>
          </w:tcPr>
          <w:p>
            <w:pPr>
              <w:spacing w:after="0"/>
              <w:rPr>
                <w:sz w:val="20"/>
                <w:szCs w:val="20"/>
                <w:color w:val="auto"/>
              </w:rPr>
            </w:pPr>
            <w:r>
              <w:rPr>
                <w:rFonts w:ascii="Arial" w:cs="Arial" w:eastAsia="Arial" w:hAnsi="Arial"/>
                <w:sz w:val="11"/>
                <w:szCs w:val="11"/>
                <w:color w:val="auto"/>
              </w:rPr>
              <w:t>Amortization of core deposit and other intangible assets(a)</w:t>
            </w: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.12</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.16</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000" w:type="dxa"/>
            <w:vAlign w:val="bottom"/>
            <w:shd w:val="clear" w:color="auto" w:fill="CFF0FC"/>
          </w:tcPr>
          <w:p>
            <w:pPr>
              <w:spacing w:after="0"/>
              <w:rPr>
                <w:sz w:val="20"/>
                <w:szCs w:val="20"/>
                <w:color w:val="auto"/>
              </w:rPr>
            </w:pPr>
            <w:r>
              <w:rPr>
                <w:rFonts w:ascii="Arial" w:cs="Arial" w:eastAsia="Arial" w:hAnsi="Arial"/>
                <w:sz w:val="11"/>
                <w:szCs w:val="11"/>
                <w:color w:val="auto"/>
              </w:rPr>
              <w:t>Merger-related expenses(a)</w:t>
            </w:r>
          </w:p>
        </w:tc>
        <w:tc>
          <w:tcPr>
            <w:tcW w:w="20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.14</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.44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8000" w:type="dxa"/>
            <w:vAlign w:val="bottom"/>
          </w:tcPr>
          <w:p>
            <w:pPr>
              <w:ind w:left="240"/>
              <w:spacing w:after="0"/>
              <w:rPr>
                <w:sz w:val="20"/>
                <w:szCs w:val="20"/>
                <w:color w:val="auto"/>
              </w:rPr>
            </w:pPr>
            <w:r>
              <w:rPr>
                <w:rFonts w:ascii="Arial" w:cs="Arial" w:eastAsia="Arial" w:hAnsi="Arial"/>
                <w:sz w:val="11"/>
                <w:szCs w:val="11"/>
                <w:color w:val="auto"/>
              </w:rPr>
              <w:t>Diluted net operating earnings per common share</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8.82</w:t>
            </w:r>
          </w:p>
        </w:tc>
        <w:tc>
          <w:tcPr>
            <w:tcW w:w="120" w:type="dxa"/>
            <w:vAlign w:val="bottom"/>
          </w:tcPr>
          <w:p>
            <w:pPr>
              <w:spacing w:after="0"/>
              <w:rPr>
                <w:sz w:val="15"/>
                <w:szCs w:val="15"/>
                <w:color w:val="auto"/>
              </w:rPr>
            </w:pPr>
          </w:p>
        </w:tc>
        <w:tc>
          <w:tcPr>
            <w:tcW w:w="340" w:type="dxa"/>
            <w:vAlign w:val="bottom"/>
            <w:gridSpan w:val="2"/>
          </w:tcPr>
          <w:p>
            <w:pPr>
              <w:jc w:val="right"/>
              <w:ind w:right="89"/>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8.08</w:t>
            </w:r>
          </w:p>
        </w:tc>
        <w:tc>
          <w:tcPr>
            <w:tcW w:w="120" w:type="dxa"/>
            <w:vAlign w:val="bottom"/>
          </w:tcPr>
          <w:p>
            <w:pPr>
              <w:spacing w:after="0"/>
              <w:rPr>
                <w:sz w:val="15"/>
                <w:szCs w:val="15"/>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7.74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8000" w:type="dxa"/>
            <w:vAlign w:val="bottom"/>
            <w:tcBorders>
              <w:top w:val="single" w:sz="8" w:color="CFF0FC"/>
            </w:tcBorders>
            <w:shd w:val="clear" w:color="auto" w:fill="CFF0FC"/>
          </w:tcPr>
          <w:p>
            <w:pPr>
              <w:spacing w:after="0" w:line="124" w:lineRule="exact"/>
              <w:rPr>
                <w:sz w:val="20"/>
                <w:szCs w:val="20"/>
                <w:color w:val="auto"/>
              </w:rPr>
            </w:pPr>
            <w:r>
              <w:rPr>
                <w:rFonts w:ascii="Arial" w:cs="Arial" w:eastAsia="Arial" w:hAnsi="Arial"/>
                <w:sz w:val="11"/>
                <w:szCs w:val="11"/>
                <w:b w:val="1"/>
                <w:bCs w:val="1"/>
                <w:color w:val="auto"/>
              </w:rPr>
              <w:t>Other expense</w:t>
            </w:r>
          </w:p>
        </w:tc>
        <w:tc>
          <w:tcPr>
            <w:tcW w:w="200" w:type="dxa"/>
            <w:vAlign w:val="bottom"/>
            <w:tcBorders>
              <w:top w:val="single" w:sz="8" w:color="auto"/>
            </w:tcBorders>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140" w:type="dxa"/>
            <w:vAlign w:val="bottom"/>
            <w:tcBorders>
              <w:top w:val="single" w:sz="8" w:color="CFF0FC"/>
            </w:tcBorders>
            <w:shd w:val="clear" w:color="auto" w:fill="CFF0FC"/>
          </w:tcPr>
          <w:p>
            <w:pPr>
              <w:spacing w:after="0"/>
              <w:rPr>
                <w:sz w:val="10"/>
                <w:szCs w:val="10"/>
                <w:color w:val="auto"/>
              </w:rPr>
            </w:pPr>
          </w:p>
        </w:tc>
        <w:tc>
          <w:tcPr>
            <w:tcW w:w="200" w:type="dxa"/>
            <w:vAlign w:val="bottom"/>
            <w:tcBorders>
              <w:top w:val="single" w:sz="8" w:color="auto"/>
            </w:tcBorders>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160" w:type="dxa"/>
            <w:vAlign w:val="bottom"/>
            <w:tcBorders>
              <w:top w:val="single" w:sz="8" w:color="CFF0FC"/>
            </w:tcBorders>
            <w:shd w:val="clear" w:color="auto" w:fill="CFF0FC"/>
          </w:tcPr>
          <w:p>
            <w:pPr>
              <w:spacing w:after="0"/>
              <w:rPr>
                <w:sz w:val="10"/>
                <w:szCs w:val="10"/>
                <w:color w:val="auto"/>
              </w:rPr>
            </w:pPr>
          </w:p>
        </w:tc>
        <w:tc>
          <w:tcPr>
            <w:tcW w:w="200" w:type="dxa"/>
            <w:vAlign w:val="bottom"/>
            <w:tcBorders>
              <w:top w:val="single" w:sz="8" w:color="auto"/>
            </w:tcBorders>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8000" w:type="dxa"/>
            <w:vAlign w:val="bottom"/>
          </w:tcPr>
          <w:p>
            <w:pPr>
              <w:spacing w:after="0"/>
              <w:rPr>
                <w:sz w:val="20"/>
                <w:szCs w:val="20"/>
                <w:color w:val="auto"/>
              </w:rPr>
            </w:pPr>
            <w:r>
              <w:rPr>
                <w:rFonts w:ascii="Arial" w:cs="Arial" w:eastAsia="Arial" w:hAnsi="Arial"/>
                <w:sz w:val="11"/>
                <w:szCs w:val="11"/>
                <w:color w:val="auto"/>
              </w:rPr>
              <w:t>Other expense</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3,140,325</w:t>
            </w:r>
          </w:p>
        </w:tc>
        <w:tc>
          <w:tcPr>
            <w:tcW w:w="120" w:type="dxa"/>
            <w:vAlign w:val="bottom"/>
          </w:tcPr>
          <w:p>
            <w:pPr>
              <w:spacing w:after="0"/>
              <w:rPr>
                <w:sz w:val="12"/>
                <w:szCs w:val="12"/>
                <w:color w:val="auto"/>
              </w:rPr>
            </w:pPr>
          </w:p>
        </w:tc>
        <w:tc>
          <w:tcPr>
            <w:tcW w:w="340" w:type="dxa"/>
            <w:vAlign w:val="bottom"/>
            <w:gridSpan w:val="2"/>
          </w:tcPr>
          <w:p>
            <w:pPr>
              <w:jc w:val="right"/>
              <w:ind w:right="89"/>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3,047,485</w:t>
            </w:r>
          </w:p>
        </w:tc>
        <w:tc>
          <w:tcPr>
            <w:tcW w:w="120" w:type="dxa"/>
            <w:vAlign w:val="bottom"/>
          </w:tcPr>
          <w:p>
            <w:pPr>
              <w:spacing w:after="0"/>
              <w:rPr>
                <w:sz w:val="12"/>
                <w:szCs w:val="12"/>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2,822,932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000" w:type="dxa"/>
            <w:vAlign w:val="bottom"/>
            <w:shd w:val="clear" w:color="auto" w:fill="CFF0FC"/>
          </w:tcPr>
          <w:p>
            <w:pPr>
              <w:spacing w:after="0"/>
              <w:rPr>
                <w:sz w:val="20"/>
                <w:szCs w:val="20"/>
                <w:color w:val="auto"/>
              </w:rPr>
            </w:pPr>
            <w:r>
              <w:rPr>
                <w:rFonts w:ascii="Arial" w:cs="Arial" w:eastAsia="Arial" w:hAnsi="Arial"/>
                <w:sz w:val="11"/>
                <w:szCs w:val="11"/>
                <w:color w:val="auto"/>
              </w:rPr>
              <w:t>Amortization of core deposit and other intangible assets</w:t>
            </w:r>
          </w:p>
        </w:tc>
        <w:tc>
          <w:tcPr>
            <w:tcW w:w="2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(31,366)</w:t>
            </w: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(42,613)</w:t>
            </w: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(26,424)</w:t>
            </w:r>
          </w:p>
        </w:tc>
        <w:tc>
          <w:tcPr>
            <w:tcW w:w="0" w:type="dxa"/>
            <w:vAlign w:val="bottom"/>
          </w:tcPr>
          <w:p>
            <w:pPr>
              <w:spacing w:after="0"/>
              <w:rPr>
                <w:sz w:val="1"/>
                <w:szCs w:val="1"/>
                <w:color w:val="auto"/>
              </w:rPr>
            </w:pPr>
          </w:p>
        </w:tc>
      </w:tr>
      <w:tr>
        <w:trPr>
          <w:trHeight w:val="145"/>
        </w:trPr>
        <w:tc>
          <w:tcPr>
            <w:tcW w:w="8000" w:type="dxa"/>
            <w:vAlign w:val="bottom"/>
          </w:tcPr>
          <w:p>
            <w:pPr>
              <w:spacing w:after="0"/>
              <w:rPr>
                <w:sz w:val="20"/>
                <w:szCs w:val="20"/>
                <w:color w:val="auto"/>
              </w:rPr>
            </w:pPr>
            <w:r>
              <w:rPr>
                <w:rFonts w:ascii="Arial" w:cs="Arial" w:eastAsia="Arial" w:hAnsi="Arial"/>
                <w:sz w:val="11"/>
                <w:szCs w:val="11"/>
                <w:color w:val="auto"/>
              </w:rPr>
              <w:t>Merger-related expenses</w:t>
            </w: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1"/>
                <w:szCs w:val="11"/>
                <w:color w:val="auto"/>
              </w:rPr>
              <w:t>(35,755)</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1"/>
                <w:szCs w:val="11"/>
                <w:color w:val="auto"/>
              </w:rPr>
              <w:t>(75,976)</w:t>
            </w:r>
          </w:p>
        </w:tc>
        <w:tc>
          <w:tcPr>
            <w:tcW w:w="0" w:type="dxa"/>
            <w:vAlign w:val="bottom"/>
          </w:tcPr>
          <w:p>
            <w:pPr>
              <w:spacing w:after="0"/>
              <w:rPr>
                <w:sz w:val="1"/>
                <w:szCs w:val="1"/>
                <w:color w:val="auto"/>
              </w:rPr>
            </w:pPr>
          </w:p>
        </w:tc>
      </w:tr>
      <w:tr>
        <w:trPr>
          <w:trHeight w:val="20"/>
        </w:trPr>
        <w:tc>
          <w:tcPr>
            <w:tcW w:w="80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8000" w:type="dxa"/>
            <w:vAlign w:val="bottom"/>
            <w:shd w:val="clear" w:color="auto" w:fill="CFF0FC"/>
          </w:tcPr>
          <w:p>
            <w:pPr>
              <w:ind w:left="240"/>
              <w:spacing w:after="0"/>
              <w:rPr>
                <w:sz w:val="20"/>
                <w:szCs w:val="20"/>
                <w:color w:val="auto"/>
              </w:rPr>
            </w:pPr>
            <w:r>
              <w:rPr>
                <w:rFonts w:ascii="Arial" w:cs="Arial" w:eastAsia="Arial" w:hAnsi="Arial"/>
                <w:sz w:val="11"/>
                <w:szCs w:val="11"/>
                <w:color w:val="auto"/>
              </w:rPr>
              <w:t>Noninterest operating expense</w:t>
            </w:r>
          </w:p>
        </w:tc>
        <w:tc>
          <w:tcPr>
            <w:tcW w:w="200" w:type="dxa"/>
            <w:vAlign w:val="bottom"/>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3,108,959</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00" w:type="dxa"/>
            <w:vAlign w:val="bottom"/>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2,969,117</w:t>
            </w:r>
          </w:p>
        </w:tc>
        <w:tc>
          <w:tcPr>
            <w:tcW w:w="120" w:type="dxa"/>
            <w:vAlign w:val="bottom"/>
            <w:shd w:val="clear" w:color="auto" w:fill="CFF0FC"/>
          </w:tcPr>
          <w:p>
            <w:pPr>
              <w:spacing w:after="0"/>
              <w:rPr>
                <w:sz w:val="11"/>
                <w:szCs w:val="11"/>
                <w:color w:val="auto"/>
              </w:rPr>
            </w:pPr>
          </w:p>
        </w:tc>
        <w:tc>
          <w:tcPr>
            <w:tcW w:w="36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2,720,532</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0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1"/>
                <w:szCs w:val="11"/>
                <w:b w:val="1"/>
                <w:bCs w:val="1"/>
                <w:color w:val="auto"/>
              </w:rPr>
              <w:t>Merger-related expenses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80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8000" w:type="dxa"/>
            <w:vAlign w:val="bottom"/>
            <w:shd w:val="clear" w:color="auto" w:fill="CFF0FC"/>
          </w:tcPr>
          <w:p>
            <w:pPr>
              <w:spacing w:after="0"/>
              <w:rPr>
                <w:sz w:val="20"/>
                <w:szCs w:val="20"/>
                <w:color w:val="auto"/>
              </w:rPr>
            </w:pPr>
            <w:r>
              <w:rPr>
                <w:rFonts w:ascii="Arial" w:cs="Arial" w:eastAsia="Arial" w:hAnsi="Arial"/>
                <w:sz w:val="11"/>
                <w:szCs w:val="11"/>
                <w:color w:val="auto"/>
              </w:rPr>
              <w:t>Salaries and employee benefits</w:t>
            </w:r>
          </w:p>
        </w:tc>
        <w:tc>
          <w:tcPr>
            <w:tcW w:w="200" w:type="dxa"/>
            <w:vAlign w:val="bottom"/>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340" w:type="dxa"/>
            <w:vAlign w:val="bottom"/>
            <w:gridSpan w:val="2"/>
            <w:shd w:val="clear" w:color="auto" w:fill="CFF0FC"/>
          </w:tcPr>
          <w:p>
            <w:pPr>
              <w:jc w:val="right"/>
              <w:ind w:right="89"/>
              <w:spacing w:after="0"/>
              <w:rPr>
                <w:sz w:val="20"/>
                <w:szCs w:val="20"/>
                <w:color w:val="auto"/>
              </w:rPr>
            </w:pPr>
            <w:r>
              <w:rPr>
                <w:rFonts w:ascii="Arial" w:cs="Arial" w:eastAsia="Arial" w:hAnsi="Arial"/>
                <w:sz w:val="11"/>
                <w:szCs w:val="11"/>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5,334</w:t>
            </w:r>
          </w:p>
        </w:tc>
        <w:tc>
          <w:tcPr>
            <w:tcW w:w="120" w:type="dxa"/>
            <w:vAlign w:val="bottom"/>
            <w:shd w:val="clear" w:color="auto" w:fill="CFF0FC"/>
          </w:tcPr>
          <w:p>
            <w:pPr>
              <w:spacing w:after="0"/>
              <w:rPr>
                <w:sz w:val="12"/>
                <w:szCs w:val="12"/>
                <w:color w:val="auto"/>
              </w:rPr>
            </w:pPr>
          </w:p>
        </w:tc>
        <w:tc>
          <w:tcPr>
            <w:tcW w:w="36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51,287</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000" w:type="dxa"/>
            <w:vAlign w:val="bottom"/>
          </w:tcPr>
          <w:p>
            <w:pPr>
              <w:spacing w:after="0"/>
              <w:rPr>
                <w:sz w:val="20"/>
                <w:szCs w:val="20"/>
                <w:color w:val="auto"/>
              </w:rPr>
            </w:pPr>
            <w:r>
              <w:rPr>
                <w:rFonts w:ascii="Arial" w:cs="Arial" w:eastAsia="Arial" w:hAnsi="Arial"/>
                <w:sz w:val="11"/>
                <w:szCs w:val="11"/>
                <w:color w:val="auto"/>
              </w:rPr>
              <w:t>Equipment and net occupancy</w:t>
            </w:r>
          </w:p>
        </w:tc>
        <w:tc>
          <w:tcPr>
            <w:tcW w:w="20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1,278</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000" w:type="dxa"/>
            <w:vAlign w:val="bottom"/>
            <w:shd w:val="clear" w:color="auto" w:fill="CFF0FC"/>
          </w:tcPr>
          <w:p>
            <w:pPr>
              <w:spacing w:after="0"/>
              <w:rPr>
                <w:sz w:val="20"/>
                <w:szCs w:val="20"/>
                <w:color w:val="auto"/>
              </w:rPr>
            </w:pPr>
            <w:r>
              <w:rPr>
                <w:rFonts w:ascii="Arial" w:cs="Arial" w:eastAsia="Arial" w:hAnsi="Arial"/>
                <w:sz w:val="11"/>
                <w:szCs w:val="11"/>
                <w:color w:val="auto"/>
              </w:rPr>
              <w:t>Outside data processing and software</w:t>
            </w:r>
          </w:p>
        </w:tc>
        <w:tc>
          <w:tcPr>
            <w:tcW w:w="2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1,067</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785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000" w:type="dxa"/>
            <w:vAlign w:val="bottom"/>
          </w:tcPr>
          <w:p>
            <w:pPr>
              <w:spacing w:after="0"/>
              <w:rPr>
                <w:sz w:val="20"/>
                <w:szCs w:val="20"/>
                <w:color w:val="auto"/>
              </w:rPr>
            </w:pPr>
            <w:r>
              <w:rPr>
                <w:rFonts w:ascii="Arial" w:cs="Arial" w:eastAsia="Arial" w:hAnsi="Arial"/>
                <w:sz w:val="11"/>
                <w:szCs w:val="11"/>
                <w:color w:val="auto"/>
              </w:rPr>
              <w:t>Advertising and marketing</w:t>
            </w:r>
          </w:p>
        </w:tc>
        <w:tc>
          <w:tcPr>
            <w:tcW w:w="20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10,522</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79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000" w:type="dxa"/>
            <w:vAlign w:val="bottom"/>
            <w:shd w:val="clear" w:color="auto" w:fill="CFF0FC"/>
          </w:tcPr>
          <w:p>
            <w:pPr>
              <w:spacing w:after="0"/>
              <w:rPr>
                <w:sz w:val="20"/>
                <w:szCs w:val="20"/>
                <w:color w:val="auto"/>
              </w:rPr>
            </w:pPr>
            <w:r>
              <w:rPr>
                <w:rFonts w:ascii="Arial" w:cs="Arial" w:eastAsia="Arial" w:hAnsi="Arial"/>
                <w:sz w:val="11"/>
                <w:szCs w:val="11"/>
                <w:color w:val="auto"/>
              </w:rPr>
              <w:t>Printing, postage and supplies</w:t>
            </w:r>
          </w:p>
        </w:tc>
        <w:tc>
          <w:tcPr>
            <w:tcW w:w="2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1,482</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504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000" w:type="dxa"/>
            <w:vAlign w:val="bottom"/>
            <w:tcBorders>
              <w:bottom w:val="single" w:sz="8" w:color="CFF0FC"/>
            </w:tcBorders>
          </w:tcPr>
          <w:p>
            <w:pPr>
              <w:spacing w:after="0"/>
              <w:rPr>
                <w:sz w:val="20"/>
                <w:szCs w:val="20"/>
                <w:color w:val="auto"/>
              </w:rPr>
            </w:pPr>
            <w:r>
              <w:rPr>
                <w:rFonts w:ascii="Arial" w:cs="Arial" w:eastAsia="Arial" w:hAnsi="Arial"/>
                <w:sz w:val="11"/>
                <w:szCs w:val="11"/>
                <w:color w:val="auto"/>
              </w:rPr>
              <w:t>Other costs of operations</w:t>
            </w: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16,072</w:t>
            </w:r>
          </w:p>
        </w:tc>
        <w:tc>
          <w:tcPr>
            <w:tcW w:w="120" w:type="dxa"/>
            <w:vAlign w:val="bottom"/>
            <w:tcBorders>
              <w:bottom w:val="single" w:sz="8" w:color="CFF0FC"/>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23,318</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8000" w:type="dxa"/>
            <w:vAlign w:val="bottom"/>
            <w:shd w:val="clear" w:color="auto" w:fill="CFF0FC"/>
          </w:tcPr>
          <w:p>
            <w:pPr>
              <w:ind w:left="240"/>
              <w:spacing w:after="0"/>
              <w:rPr>
                <w:sz w:val="20"/>
                <w:szCs w:val="20"/>
                <w:color w:val="auto"/>
              </w:rPr>
            </w:pPr>
            <w:r>
              <w:rPr>
                <w:rFonts w:ascii="Arial" w:cs="Arial" w:eastAsia="Arial" w:hAnsi="Arial"/>
                <w:sz w:val="11"/>
                <w:szCs w:val="11"/>
                <w:color w:val="auto"/>
              </w:rPr>
              <w:t>Other expense</w:t>
            </w:r>
          </w:p>
        </w:tc>
        <w:tc>
          <w:tcPr>
            <w:tcW w:w="20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35,755</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75,976</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8000" w:type="dxa"/>
            <w:vAlign w:val="bottom"/>
            <w:tcBorders>
              <w:bottom w:val="single" w:sz="8" w:color="CFF0FC"/>
            </w:tcBorders>
          </w:tcPr>
          <w:p>
            <w:pPr>
              <w:spacing w:after="0"/>
              <w:rPr>
                <w:sz w:val="20"/>
                <w:szCs w:val="20"/>
                <w:color w:val="auto"/>
              </w:rPr>
            </w:pPr>
            <w:r>
              <w:rPr>
                <w:rFonts w:ascii="Arial" w:cs="Arial" w:eastAsia="Arial" w:hAnsi="Arial"/>
                <w:sz w:val="11"/>
                <w:szCs w:val="11"/>
                <w:color w:val="auto"/>
              </w:rPr>
              <w:t>Provision for credit losses</w:t>
            </w: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21,000</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8000" w:type="dxa"/>
            <w:vAlign w:val="bottom"/>
            <w:shd w:val="clear" w:color="auto" w:fill="CFF0FC"/>
          </w:tcPr>
          <w:p>
            <w:pPr>
              <w:ind w:left="240"/>
              <w:spacing w:after="0"/>
              <w:rPr>
                <w:sz w:val="20"/>
                <w:szCs w:val="20"/>
                <w:color w:val="auto"/>
              </w:rPr>
            </w:pPr>
            <w:r>
              <w:rPr>
                <w:rFonts w:ascii="Arial" w:cs="Arial" w:eastAsia="Arial" w:hAnsi="Arial"/>
                <w:sz w:val="11"/>
                <w:szCs w:val="11"/>
                <w:color w:val="auto"/>
              </w:rPr>
              <w:t>Total</w:t>
            </w:r>
          </w:p>
        </w:tc>
        <w:tc>
          <w:tcPr>
            <w:tcW w:w="200" w:type="dxa"/>
            <w:vAlign w:val="bottom"/>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340" w:type="dxa"/>
            <w:vAlign w:val="bottom"/>
            <w:gridSpan w:val="2"/>
            <w:shd w:val="clear" w:color="auto" w:fill="CFF0FC"/>
          </w:tcPr>
          <w:p>
            <w:pPr>
              <w:jc w:val="right"/>
              <w:ind w:right="89"/>
              <w:spacing w:after="0"/>
              <w:rPr>
                <w:sz w:val="20"/>
                <w:szCs w:val="20"/>
                <w:color w:val="auto"/>
              </w:rPr>
            </w:pPr>
            <w:r>
              <w:rPr>
                <w:rFonts w:ascii="Arial" w:cs="Arial" w:eastAsia="Arial" w:hAnsi="Arial"/>
                <w:sz w:val="11"/>
                <w:szCs w:val="11"/>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35,755</w:t>
            </w:r>
          </w:p>
        </w:tc>
        <w:tc>
          <w:tcPr>
            <w:tcW w:w="120" w:type="dxa"/>
            <w:vAlign w:val="bottom"/>
            <w:shd w:val="clear" w:color="auto" w:fill="CFF0FC"/>
          </w:tcPr>
          <w:p>
            <w:pPr>
              <w:spacing w:after="0"/>
              <w:rPr>
                <w:sz w:val="11"/>
                <w:szCs w:val="11"/>
                <w:color w:val="auto"/>
              </w:rPr>
            </w:pPr>
          </w:p>
        </w:tc>
        <w:tc>
          <w:tcPr>
            <w:tcW w:w="36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96,976</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0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1"/>
                <w:szCs w:val="11"/>
                <w:b w:val="1"/>
                <w:bCs w:val="1"/>
                <w:color w:val="auto"/>
              </w:rPr>
              <w:t>Efficiency ratio</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80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8000" w:type="dxa"/>
            <w:vAlign w:val="bottom"/>
            <w:shd w:val="clear" w:color="auto" w:fill="CFF0FC"/>
          </w:tcPr>
          <w:p>
            <w:pPr>
              <w:spacing w:after="0"/>
              <w:rPr>
                <w:sz w:val="20"/>
                <w:szCs w:val="20"/>
                <w:color w:val="auto"/>
              </w:rPr>
            </w:pPr>
            <w:r>
              <w:rPr>
                <w:rFonts w:ascii="Arial" w:cs="Arial" w:eastAsia="Arial" w:hAnsi="Arial"/>
                <w:sz w:val="11"/>
                <w:szCs w:val="11"/>
                <w:color w:val="auto"/>
              </w:rPr>
              <w:t>Noninterest operating expense (numerator)</w:t>
            </w:r>
          </w:p>
        </w:tc>
        <w:tc>
          <w:tcPr>
            <w:tcW w:w="200" w:type="dxa"/>
            <w:vAlign w:val="bottom"/>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3,108,959</w:t>
            </w:r>
          </w:p>
        </w:tc>
        <w:tc>
          <w:tcPr>
            <w:tcW w:w="120" w:type="dxa"/>
            <w:vAlign w:val="bottom"/>
            <w:shd w:val="clear" w:color="auto" w:fill="CFF0FC"/>
          </w:tcPr>
          <w:p>
            <w:pPr>
              <w:spacing w:after="0"/>
              <w:rPr>
                <w:sz w:val="12"/>
                <w:szCs w:val="12"/>
                <w:color w:val="auto"/>
              </w:rPr>
            </w:pPr>
          </w:p>
        </w:tc>
        <w:tc>
          <w:tcPr>
            <w:tcW w:w="340" w:type="dxa"/>
            <w:vAlign w:val="bottom"/>
            <w:gridSpan w:val="2"/>
            <w:shd w:val="clear" w:color="auto" w:fill="CFF0FC"/>
          </w:tcPr>
          <w:p>
            <w:pPr>
              <w:jc w:val="right"/>
              <w:ind w:right="89"/>
              <w:spacing w:after="0"/>
              <w:rPr>
                <w:sz w:val="20"/>
                <w:szCs w:val="20"/>
                <w:color w:val="auto"/>
              </w:rPr>
            </w:pPr>
            <w:r>
              <w:rPr>
                <w:rFonts w:ascii="Arial" w:cs="Arial" w:eastAsia="Arial" w:hAnsi="Arial"/>
                <w:sz w:val="11"/>
                <w:szCs w:val="11"/>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2,969,117</w:t>
            </w:r>
          </w:p>
        </w:tc>
        <w:tc>
          <w:tcPr>
            <w:tcW w:w="120" w:type="dxa"/>
            <w:vAlign w:val="bottom"/>
            <w:shd w:val="clear" w:color="auto" w:fill="CFF0FC"/>
          </w:tcPr>
          <w:p>
            <w:pPr>
              <w:spacing w:after="0"/>
              <w:rPr>
                <w:sz w:val="12"/>
                <w:szCs w:val="12"/>
                <w:color w:val="auto"/>
              </w:rPr>
            </w:pPr>
          </w:p>
        </w:tc>
        <w:tc>
          <w:tcPr>
            <w:tcW w:w="36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2,720,532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8000" w:type="dxa"/>
            <w:vAlign w:val="bottom"/>
          </w:tcPr>
          <w:p>
            <w:pPr>
              <w:spacing w:after="0" w:line="124" w:lineRule="exact"/>
              <w:rPr>
                <w:sz w:val="20"/>
                <w:szCs w:val="20"/>
                <w:color w:val="auto"/>
              </w:rPr>
            </w:pPr>
            <w:r>
              <w:rPr>
                <w:rFonts w:ascii="Arial" w:cs="Arial" w:eastAsia="Arial" w:hAnsi="Arial"/>
                <w:sz w:val="11"/>
                <w:szCs w:val="11"/>
                <w:color w:val="auto"/>
              </w:rPr>
              <w:t>Taxable-equivalent net interest income</w:t>
            </w:r>
          </w:p>
        </w:tc>
        <w:tc>
          <w:tcPr>
            <w:tcW w:w="200" w:type="dxa"/>
            <w:vAlign w:val="bottom"/>
          </w:tcPr>
          <w:p>
            <w:pPr>
              <w:spacing w:after="0"/>
              <w:rPr>
                <w:sz w:val="10"/>
                <w:szCs w:val="10"/>
                <w:color w:val="auto"/>
              </w:rPr>
            </w:pPr>
          </w:p>
        </w:tc>
        <w:tc>
          <w:tcPr>
            <w:tcW w:w="720" w:type="dxa"/>
            <w:vAlign w:val="bottom"/>
          </w:tcPr>
          <w:p>
            <w:pPr>
              <w:jc w:val="right"/>
              <w:spacing w:after="0" w:line="124" w:lineRule="exact"/>
              <w:rPr>
                <w:sz w:val="20"/>
                <w:szCs w:val="20"/>
                <w:color w:val="auto"/>
              </w:rPr>
            </w:pPr>
            <w:r>
              <w:rPr>
                <w:rFonts w:ascii="Arial" w:cs="Arial" w:eastAsia="Arial" w:hAnsi="Arial"/>
                <w:sz w:val="11"/>
                <w:szCs w:val="11"/>
                <w:color w:val="auto"/>
              </w:rPr>
              <w:t>3,815,614</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jc w:val="right"/>
              <w:spacing w:after="0" w:line="124" w:lineRule="exact"/>
              <w:rPr>
                <w:sz w:val="20"/>
                <w:szCs w:val="20"/>
                <w:color w:val="auto"/>
              </w:rPr>
            </w:pPr>
            <w:r>
              <w:rPr>
                <w:rFonts w:ascii="Arial" w:cs="Arial" w:eastAsia="Arial" w:hAnsi="Arial"/>
                <w:sz w:val="11"/>
                <w:szCs w:val="11"/>
                <w:color w:val="auto"/>
              </w:rPr>
              <w:t>3,496,849</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jc w:val="right"/>
              <w:spacing w:after="0" w:line="124" w:lineRule="exact"/>
              <w:rPr>
                <w:sz w:val="20"/>
                <w:szCs w:val="20"/>
                <w:color w:val="auto"/>
              </w:rPr>
            </w:pPr>
            <w:r>
              <w:rPr>
                <w:rFonts w:ascii="Arial" w:cs="Arial" w:eastAsia="Arial" w:hAnsi="Arial"/>
                <w:sz w:val="11"/>
                <w:szCs w:val="11"/>
                <w:color w:val="auto"/>
              </w:rPr>
              <w:t>2,867,050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8000" w:type="dxa"/>
            <w:vAlign w:val="bottom"/>
            <w:shd w:val="clear" w:color="auto" w:fill="CFF0FC"/>
          </w:tcPr>
          <w:p>
            <w:pPr>
              <w:spacing w:after="0"/>
              <w:rPr>
                <w:sz w:val="20"/>
                <w:szCs w:val="20"/>
                <w:color w:val="auto"/>
              </w:rPr>
            </w:pPr>
            <w:r>
              <w:rPr>
                <w:rFonts w:ascii="Arial" w:cs="Arial" w:eastAsia="Arial" w:hAnsi="Arial"/>
                <w:sz w:val="11"/>
                <w:szCs w:val="11"/>
                <w:color w:val="auto"/>
              </w:rPr>
              <w:t>Other income</w:t>
            </w: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1,851,143</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1,825,996</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1,825,037</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000" w:type="dxa"/>
            <w:vAlign w:val="bottom"/>
          </w:tcPr>
          <w:p>
            <w:pPr>
              <w:spacing w:after="0"/>
              <w:rPr>
                <w:sz w:val="20"/>
                <w:szCs w:val="20"/>
                <w:color w:val="auto"/>
              </w:rPr>
            </w:pPr>
            <w:r>
              <w:rPr>
                <w:rFonts w:ascii="Arial" w:cs="Arial" w:eastAsia="Arial" w:hAnsi="Arial"/>
                <w:sz w:val="11"/>
                <w:szCs w:val="11"/>
                <w:color w:val="auto"/>
              </w:rPr>
              <w:t>Less: Gain (loss) on bank investment securities</w:t>
            </w: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21,279</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30,314</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1"/>
                <w:szCs w:val="11"/>
                <w:color w:val="auto"/>
              </w:rPr>
              <w:t>(130)</w:t>
            </w:r>
          </w:p>
        </w:tc>
        <w:tc>
          <w:tcPr>
            <w:tcW w:w="0" w:type="dxa"/>
            <w:vAlign w:val="bottom"/>
          </w:tcPr>
          <w:p>
            <w:pPr>
              <w:spacing w:after="0"/>
              <w:rPr>
                <w:sz w:val="1"/>
                <w:szCs w:val="1"/>
                <w:color w:val="auto"/>
              </w:rPr>
            </w:pPr>
          </w:p>
        </w:tc>
      </w:tr>
      <w:tr>
        <w:trPr>
          <w:trHeight w:val="20"/>
        </w:trPr>
        <w:tc>
          <w:tcPr>
            <w:tcW w:w="8000" w:type="dxa"/>
            <w:vAlign w:val="bottom"/>
            <w:vMerge w:val="restart"/>
            <w:shd w:val="clear" w:color="auto" w:fill="CFF0FC"/>
          </w:tcPr>
          <w:p>
            <w:pPr>
              <w:spacing w:after="0"/>
              <w:rPr>
                <w:sz w:val="20"/>
                <w:szCs w:val="20"/>
                <w:color w:val="auto"/>
              </w:rPr>
            </w:pPr>
            <w:r>
              <w:rPr>
                <w:rFonts w:ascii="Arial" w:cs="Arial" w:eastAsia="Arial" w:hAnsi="Arial"/>
                <w:sz w:val="11"/>
                <w:szCs w:val="11"/>
                <w:color w:val="auto"/>
              </w:rPr>
              <w:t>Denominator</w:t>
            </w: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8000" w:type="dxa"/>
            <w:vAlign w:val="bottom"/>
            <w:vMerge w:val="continue"/>
            <w:shd w:val="clear" w:color="auto" w:fill="CFF0FC"/>
          </w:tcPr>
          <w:p>
            <w:pPr>
              <w:spacing w:after="0"/>
              <w:rPr>
                <w:sz w:val="11"/>
                <w:szCs w:val="11"/>
                <w:color w:val="auto"/>
              </w:rPr>
            </w:pPr>
          </w:p>
        </w:tc>
        <w:tc>
          <w:tcPr>
            <w:tcW w:w="200" w:type="dxa"/>
            <w:vAlign w:val="bottom"/>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5,645,478</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00" w:type="dxa"/>
            <w:vAlign w:val="bottom"/>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5,292,531</w:t>
            </w:r>
          </w:p>
        </w:tc>
        <w:tc>
          <w:tcPr>
            <w:tcW w:w="120" w:type="dxa"/>
            <w:vAlign w:val="bottom"/>
            <w:shd w:val="clear" w:color="auto" w:fill="CFF0FC"/>
          </w:tcPr>
          <w:p>
            <w:pPr>
              <w:spacing w:after="0"/>
              <w:rPr>
                <w:sz w:val="11"/>
                <w:szCs w:val="11"/>
                <w:color w:val="auto"/>
              </w:rPr>
            </w:pPr>
          </w:p>
        </w:tc>
        <w:tc>
          <w:tcPr>
            <w:tcW w:w="36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4,692,217</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0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8000" w:type="dxa"/>
            <w:vAlign w:val="bottom"/>
          </w:tcPr>
          <w:p>
            <w:pPr>
              <w:spacing w:after="0" w:line="124" w:lineRule="exact"/>
              <w:rPr>
                <w:sz w:val="20"/>
                <w:szCs w:val="20"/>
                <w:color w:val="auto"/>
              </w:rPr>
            </w:pPr>
            <w:r>
              <w:rPr>
                <w:rFonts w:ascii="Arial" w:cs="Arial" w:eastAsia="Arial" w:hAnsi="Arial"/>
                <w:sz w:val="11"/>
                <w:szCs w:val="11"/>
                <w:color w:val="auto"/>
              </w:rPr>
              <w:t>Efficiency ratio</w:t>
            </w:r>
          </w:p>
        </w:tc>
        <w:tc>
          <w:tcPr>
            <w:tcW w:w="200" w:type="dxa"/>
            <w:vAlign w:val="bottom"/>
          </w:tcPr>
          <w:p>
            <w:pPr>
              <w:spacing w:after="0"/>
              <w:rPr>
                <w:sz w:val="14"/>
                <w:szCs w:val="14"/>
                <w:color w:val="auto"/>
              </w:rPr>
            </w:pPr>
          </w:p>
        </w:tc>
        <w:tc>
          <w:tcPr>
            <w:tcW w:w="840" w:type="dxa"/>
            <w:vAlign w:val="bottom"/>
            <w:gridSpan w:val="2"/>
          </w:tcPr>
          <w:p>
            <w:pPr>
              <w:jc w:val="right"/>
              <w:ind w:right="40"/>
              <w:spacing w:after="0" w:line="124" w:lineRule="exact"/>
              <w:rPr>
                <w:sz w:val="20"/>
                <w:szCs w:val="20"/>
                <w:color w:val="auto"/>
              </w:rPr>
            </w:pPr>
            <w:r>
              <w:rPr>
                <w:rFonts w:ascii="Arial" w:cs="Arial" w:eastAsia="Arial" w:hAnsi="Arial"/>
                <w:sz w:val="11"/>
                <w:szCs w:val="11"/>
                <w:color w:val="auto"/>
              </w:rPr>
              <w:t>55.07%</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tcPr>
          <w:p>
            <w:pPr>
              <w:jc w:val="right"/>
              <w:ind w:right="20"/>
              <w:spacing w:after="0" w:line="124" w:lineRule="exact"/>
              <w:rPr>
                <w:sz w:val="20"/>
                <w:szCs w:val="20"/>
                <w:color w:val="auto"/>
              </w:rPr>
            </w:pPr>
            <w:r>
              <w:rPr>
                <w:rFonts w:ascii="Arial" w:cs="Arial" w:eastAsia="Arial" w:hAnsi="Arial"/>
                <w:sz w:val="11"/>
                <w:szCs w:val="11"/>
                <w:color w:val="auto"/>
              </w:rPr>
              <w:t>56.10%</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tcPr>
          <w:p>
            <w:pPr>
              <w:jc w:val="right"/>
              <w:ind w:right="40"/>
              <w:spacing w:after="0" w:line="124" w:lineRule="exact"/>
              <w:rPr>
                <w:sz w:val="20"/>
                <w:szCs w:val="20"/>
                <w:color w:val="auto"/>
              </w:rPr>
            </w:pPr>
            <w:r>
              <w:rPr>
                <w:rFonts w:ascii="Arial" w:cs="Arial" w:eastAsia="Arial" w:hAnsi="Arial"/>
                <w:sz w:val="11"/>
                <w:szCs w:val="11"/>
                <w:color w:val="auto"/>
              </w:rPr>
              <w:t>57.98%</w:t>
            </w:r>
          </w:p>
        </w:tc>
        <w:tc>
          <w:tcPr>
            <w:tcW w:w="0" w:type="dxa"/>
            <w:vAlign w:val="bottom"/>
          </w:tcPr>
          <w:p>
            <w:pPr>
              <w:spacing w:after="0"/>
              <w:rPr>
                <w:sz w:val="1"/>
                <w:szCs w:val="1"/>
                <w:color w:val="auto"/>
              </w:rPr>
            </w:pPr>
          </w:p>
        </w:tc>
      </w:tr>
      <w:tr>
        <w:trPr>
          <w:trHeight w:val="124"/>
        </w:trPr>
        <w:tc>
          <w:tcPr>
            <w:tcW w:w="8000" w:type="dxa"/>
            <w:vAlign w:val="bottom"/>
            <w:tcBorders>
              <w:top w:val="single" w:sz="8" w:color="CFF0FC"/>
            </w:tcBorders>
            <w:shd w:val="clear" w:color="auto" w:fill="CFF0FC"/>
          </w:tcPr>
          <w:p>
            <w:pPr>
              <w:spacing w:after="0" w:line="124" w:lineRule="exact"/>
              <w:rPr>
                <w:sz w:val="20"/>
                <w:szCs w:val="20"/>
                <w:color w:val="auto"/>
              </w:rPr>
            </w:pPr>
            <w:r>
              <w:rPr>
                <w:rFonts w:ascii="Arial" w:cs="Arial" w:eastAsia="Arial" w:hAnsi="Arial"/>
                <w:sz w:val="11"/>
                <w:szCs w:val="11"/>
                <w:b w:val="1"/>
                <w:bCs w:val="1"/>
                <w:color w:val="auto"/>
              </w:rPr>
              <w:t>Balance sheet data</w:t>
            </w:r>
          </w:p>
        </w:tc>
        <w:tc>
          <w:tcPr>
            <w:tcW w:w="200" w:type="dxa"/>
            <w:vAlign w:val="bottom"/>
            <w:tcBorders>
              <w:top w:val="single" w:sz="8" w:color="auto"/>
            </w:tcBorders>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140" w:type="dxa"/>
            <w:vAlign w:val="bottom"/>
            <w:tcBorders>
              <w:top w:val="single" w:sz="8" w:color="CFF0FC"/>
            </w:tcBorders>
            <w:shd w:val="clear" w:color="auto" w:fill="CFF0FC"/>
          </w:tcPr>
          <w:p>
            <w:pPr>
              <w:spacing w:after="0"/>
              <w:rPr>
                <w:sz w:val="10"/>
                <w:szCs w:val="10"/>
                <w:color w:val="auto"/>
              </w:rPr>
            </w:pPr>
          </w:p>
        </w:tc>
        <w:tc>
          <w:tcPr>
            <w:tcW w:w="200" w:type="dxa"/>
            <w:vAlign w:val="bottom"/>
            <w:tcBorders>
              <w:top w:val="single" w:sz="8" w:color="auto"/>
            </w:tcBorders>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160" w:type="dxa"/>
            <w:vAlign w:val="bottom"/>
            <w:tcBorders>
              <w:top w:val="single" w:sz="8" w:color="CFF0FC"/>
            </w:tcBorders>
            <w:shd w:val="clear" w:color="auto" w:fill="CFF0FC"/>
          </w:tcPr>
          <w:p>
            <w:pPr>
              <w:spacing w:after="0"/>
              <w:rPr>
                <w:sz w:val="10"/>
                <w:szCs w:val="10"/>
                <w:color w:val="auto"/>
              </w:rPr>
            </w:pPr>
          </w:p>
        </w:tc>
        <w:tc>
          <w:tcPr>
            <w:tcW w:w="200" w:type="dxa"/>
            <w:vAlign w:val="bottom"/>
            <w:tcBorders>
              <w:top w:val="single" w:sz="8" w:color="auto"/>
            </w:tcBorders>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8000" w:type="dxa"/>
            <w:vAlign w:val="bottom"/>
          </w:tcPr>
          <w:p>
            <w:pPr>
              <w:spacing w:after="0"/>
              <w:rPr>
                <w:sz w:val="20"/>
                <w:szCs w:val="20"/>
                <w:color w:val="auto"/>
              </w:rPr>
            </w:pPr>
            <w:r>
              <w:rPr>
                <w:rFonts w:ascii="Arial" w:cs="Arial" w:eastAsia="Arial" w:hAnsi="Arial"/>
                <w:sz w:val="11"/>
                <w:szCs w:val="11"/>
                <w:i w:val="1"/>
                <w:iCs w:val="1"/>
                <w:color w:val="auto"/>
              </w:rPr>
              <w:t>In millions</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000" w:type="dxa"/>
            <w:vAlign w:val="bottom"/>
            <w:shd w:val="clear" w:color="auto" w:fill="CFF0FC"/>
          </w:tcPr>
          <w:p>
            <w:pPr>
              <w:spacing w:after="0"/>
              <w:rPr>
                <w:sz w:val="20"/>
                <w:szCs w:val="20"/>
                <w:color w:val="auto"/>
              </w:rPr>
            </w:pPr>
            <w:r>
              <w:rPr>
                <w:rFonts w:ascii="Arial" w:cs="Arial" w:eastAsia="Arial" w:hAnsi="Arial"/>
                <w:sz w:val="11"/>
                <w:szCs w:val="11"/>
                <w:b w:val="1"/>
                <w:bCs w:val="1"/>
                <w:color w:val="auto"/>
              </w:rPr>
              <w:t>Average assets</w:t>
            </w: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000" w:type="dxa"/>
            <w:vAlign w:val="bottom"/>
          </w:tcPr>
          <w:p>
            <w:pPr>
              <w:spacing w:after="0"/>
              <w:rPr>
                <w:sz w:val="20"/>
                <w:szCs w:val="20"/>
                <w:color w:val="auto"/>
              </w:rPr>
            </w:pPr>
            <w:r>
              <w:rPr>
                <w:rFonts w:ascii="Arial" w:cs="Arial" w:eastAsia="Arial" w:hAnsi="Arial"/>
                <w:sz w:val="11"/>
                <w:szCs w:val="11"/>
                <w:color w:val="auto"/>
              </w:rPr>
              <w:t>Average assets</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120,860</w:t>
            </w:r>
          </w:p>
        </w:tc>
        <w:tc>
          <w:tcPr>
            <w:tcW w:w="120" w:type="dxa"/>
            <w:vAlign w:val="bottom"/>
          </w:tcPr>
          <w:p>
            <w:pPr>
              <w:spacing w:after="0"/>
              <w:rPr>
                <w:sz w:val="12"/>
                <w:szCs w:val="12"/>
                <w:color w:val="auto"/>
              </w:rPr>
            </w:pPr>
          </w:p>
        </w:tc>
        <w:tc>
          <w:tcPr>
            <w:tcW w:w="340" w:type="dxa"/>
            <w:vAlign w:val="bottom"/>
            <w:gridSpan w:val="2"/>
          </w:tcPr>
          <w:p>
            <w:pPr>
              <w:jc w:val="right"/>
              <w:ind w:right="89"/>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124,340</w:t>
            </w:r>
          </w:p>
        </w:tc>
        <w:tc>
          <w:tcPr>
            <w:tcW w:w="120" w:type="dxa"/>
            <w:vAlign w:val="bottom"/>
          </w:tcPr>
          <w:p>
            <w:pPr>
              <w:spacing w:after="0"/>
              <w:rPr>
                <w:sz w:val="12"/>
                <w:szCs w:val="12"/>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101,780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000" w:type="dxa"/>
            <w:vAlign w:val="bottom"/>
            <w:shd w:val="clear" w:color="auto" w:fill="CFF0FC"/>
          </w:tcPr>
          <w:p>
            <w:pPr>
              <w:spacing w:after="0"/>
              <w:rPr>
                <w:sz w:val="20"/>
                <w:szCs w:val="20"/>
                <w:color w:val="auto"/>
              </w:rPr>
            </w:pPr>
            <w:r>
              <w:rPr>
                <w:rFonts w:ascii="Arial" w:cs="Arial" w:eastAsia="Arial" w:hAnsi="Arial"/>
                <w:sz w:val="11"/>
                <w:szCs w:val="11"/>
                <w:color w:val="auto"/>
              </w:rPr>
              <w:t>Goodwill</w:t>
            </w:r>
          </w:p>
        </w:tc>
        <w:tc>
          <w:tcPr>
            <w:tcW w:w="2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(4,593)</w:t>
            </w: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(4,593)</w:t>
            </w: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(3,694)</w:t>
            </w:r>
          </w:p>
        </w:tc>
        <w:tc>
          <w:tcPr>
            <w:tcW w:w="0" w:type="dxa"/>
            <w:vAlign w:val="bottom"/>
          </w:tcPr>
          <w:p>
            <w:pPr>
              <w:spacing w:after="0"/>
              <w:rPr>
                <w:sz w:val="1"/>
                <w:szCs w:val="1"/>
                <w:color w:val="auto"/>
              </w:rPr>
            </w:pPr>
          </w:p>
        </w:tc>
      </w:tr>
      <w:tr>
        <w:trPr>
          <w:trHeight w:val="145"/>
        </w:trPr>
        <w:tc>
          <w:tcPr>
            <w:tcW w:w="8000" w:type="dxa"/>
            <w:vAlign w:val="bottom"/>
          </w:tcPr>
          <w:p>
            <w:pPr>
              <w:spacing w:after="0"/>
              <w:rPr>
                <w:sz w:val="20"/>
                <w:szCs w:val="20"/>
                <w:color w:val="auto"/>
              </w:rPr>
            </w:pPr>
            <w:r>
              <w:rPr>
                <w:rFonts w:ascii="Arial" w:cs="Arial" w:eastAsia="Arial" w:hAnsi="Arial"/>
                <w:sz w:val="11"/>
                <w:szCs w:val="11"/>
                <w:color w:val="auto"/>
              </w:rPr>
              <w:t>Core deposit and other intangible assets</w:t>
            </w:r>
          </w:p>
        </w:tc>
        <w:tc>
          <w:tcPr>
            <w:tcW w:w="20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1"/>
                <w:szCs w:val="11"/>
                <w:color w:val="auto"/>
              </w:rPr>
              <w:t>(86)</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1"/>
                <w:szCs w:val="11"/>
                <w:color w:val="auto"/>
              </w:rPr>
              <w:t>(117)</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1"/>
                <w:szCs w:val="11"/>
                <w:color w:val="auto"/>
              </w:rPr>
              <w:t>(45)</w:t>
            </w:r>
          </w:p>
        </w:tc>
        <w:tc>
          <w:tcPr>
            <w:tcW w:w="0" w:type="dxa"/>
            <w:vAlign w:val="bottom"/>
          </w:tcPr>
          <w:p>
            <w:pPr>
              <w:spacing w:after="0"/>
              <w:rPr>
                <w:sz w:val="1"/>
                <w:szCs w:val="1"/>
                <w:color w:val="auto"/>
              </w:rPr>
            </w:pPr>
          </w:p>
        </w:tc>
      </w:tr>
      <w:tr>
        <w:trPr>
          <w:trHeight w:val="145"/>
        </w:trPr>
        <w:tc>
          <w:tcPr>
            <w:tcW w:w="8000" w:type="dxa"/>
            <w:vAlign w:val="bottom"/>
            <w:shd w:val="clear" w:color="auto" w:fill="CFF0FC"/>
          </w:tcPr>
          <w:p>
            <w:pPr>
              <w:spacing w:after="0"/>
              <w:rPr>
                <w:sz w:val="20"/>
                <w:szCs w:val="20"/>
                <w:color w:val="auto"/>
              </w:rPr>
            </w:pPr>
            <w:r>
              <w:rPr>
                <w:rFonts w:ascii="Arial" w:cs="Arial" w:eastAsia="Arial" w:hAnsi="Arial"/>
                <w:sz w:val="11"/>
                <w:szCs w:val="11"/>
                <w:color w:val="auto"/>
              </w:rPr>
              <w:t>Deferred taxes</w:t>
            </w:r>
          </w:p>
        </w:tc>
        <w:tc>
          <w:tcPr>
            <w:tcW w:w="20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33</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46</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8000" w:type="dxa"/>
            <w:vAlign w:val="bottom"/>
          </w:tcPr>
          <w:p>
            <w:pPr>
              <w:ind w:left="240"/>
              <w:spacing w:after="0"/>
              <w:rPr>
                <w:sz w:val="20"/>
                <w:szCs w:val="20"/>
                <w:color w:val="auto"/>
              </w:rPr>
            </w:pPr>
            <w:r>
              <w:rPr>
                <w:rFonts w:ascii="Arial" w:cs="Arial" w:eastAsia="Arial" w:hAnsi="Arial"/>
                <w:sz w:val="11"/>
                <w:szCs w:val="11"/>
                <w:color w:val="auto"/>
              </w:rPr>
              <w:t>Average tangible assets</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116,214</w:t>
            </w:r>
          </w:p>
        </w:tc>
        <w:tc>
          <w:tcPr>
            <w:tcW w:w="120" w:type="dxa"/>
            <w:vAlign w:val="bottom"/>
          </w:tcPr>
          <w:p>
            <w:pPr>
              <w:spacing w:after="0"/>
              <w:rPr>
                <w:sz w:val="15"/>
                <w:szCs w:val="15"/>
                <w:color w:val="auto"/>
              </w:rPr>
            </w:pPr>
          </w:p>
        </w:tc>
        <w:tc>
          <w:tcPr>
            <w:tcW w:w="340" w:type="dxa"/>
            <w:vAlign w:val="bottom"/>
            <w:gridSpan w:val="2"/>
          </w:tcPr>
          <w:p>
            <w:pPr>
              <w:jc w:val="right"/>
              <w:ind w:right="89"/>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119,676</w:t>
            </w:r>
          </w:p>
        </w:tc>
        <w:tc>
          <w:tcPr>
            <w:tcW w:w="120" w:type="dxa"/>
            <w:vAlign w:val="bottom"/>
          </w:tcPr>
          <w:p>
            <w:pPr>
              <w:spacing w:after="0"/>
              <w:rPr>
                <w:sz w:val="15"/>
                <w:szCs w:val="15"/>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98,057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8000" w:type="dxa"/>
            <w:vAlign w:val="bottom"/>
            <w:tcBorders>
              <w:top w:val="single" w:sz="8" w:color="CFF0FC"/>
            </w:tcBorders>
            <w:shd w:val="clear" w:color="auto" w:fill="CFF0FC"/>
          </w:tcPr>
          <w:p>
            <w:pPr>
              <w:spacing w:after="0" w:line="124" w:lineRule="exact"/>
              <w:rPr>
                <w:sz w:val="20"/>
                <w:szCs w:val="20"/>
                <w:color w:val="auto"/>
              </w:rPr>
            </w:pPr>
            <w:r>
              <w:rPr>
                <w:rFonts w:ascii="Arial" w:cs="Arial" w:eastAsia="Arial" w:hAnsi="Arial"/>
                <w:sz w:val="11"/>
                <w:szCs w:val="11"/>
                <w:b w:val="1"/>
                <w:bCs w:val="1"/>
                <w:color w:val="auto"/>
              </w:rPr>
              <w:t>Average common equity</w:t>
            </w:r>
          </w:p>
        </w:tc>
        <w:tc>
          <w:tcPr>
            <w:tcW w:w="200" w:type="dxa"/>
            <w:vAlign w:val="bottom"/>
            <w:tcBorders>
              <w:top w:val="single" w:sz="8" w:color="auto"/>
            </w:tcBorders>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140" w:type="dxa"/>
            <w:vAlign w:val="bottom"/>
            <w:tcBorders>
              <w:top w:val="single" w:sz="8" w:color="CFF0FC"/>
            </w:tcBorders>
            <w:shd w:val="clear" w:color="auto" w:fill="CFF0FC"/>
          </w:tcPr>
          <w:p>
            <w:pPr>
              <w:spacing w:after="0"/>
              <w:rPr>
                <w:sz w:val="10"/>
                <w:szCs w:val="10"/>
                <w:color w:val="auto"/>
              </w:rPr>
            </w:pPr>
          </w:p>
        </w:tc>
        <w:tc>
          <w:tcPr>
            <w:tcW w:w="200" w:type="dxa"/>
            <w:vAlign w:val="bottom"/>
            <w:tcBorders>
              <w:top w:val="single" w:sz="8" w:color="auto"/>
            </w:tcBorders>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160" w:type="dxa"/>
            <w:vAlign w:val="bottom"/>
            <w:tcBorders>
              <w:top w:val="single" w:sz="8" w:color="CFF0FC"/>
            </w:tcBorders>
            <w:shd w:val="clear" w:color="auto" w:fill="CFF0FC"/>
          </w:tcPr>
          <w:p>
            <w:pPr>
              <w:spacing w:after="0"/>
              <w:rPr>
                <w:sz w:val="10"/>
                <w:szCs w:val="10"/>
                <w:color w:val="auto"/>
              </w:rPr>
            </w:pPr>
          </w:p>
        </w:tc>
        <w:tc>
          <w:tcPr>
            <w:tcW w:w="200" w:type="dxa"/>
            <w:vAlign w:val="bottom"/>
            <w:tcBorders>
              <w:top w:val="single" w:sz="8" w:color="auto"/>
            </w:tcBorders>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8000" w:type="dxa"/>
            <w:vAlign w:val="bottom"/>
          </w:tcPr>
          <w:p>
            <w:pPr>
              <w:spacing w:after="0"/>
              <w:rPr>
                <w:sz w:val="20"/>
                <w:szCs w:val="20"/>
                <w:color w:val="auto"/>
              </w:rPr>
            </w:pPr>
            <w:r>
              <w:rPr>
                <w:rFonts w:ascii="Arial" w:cs="Arial" w:eastAsia="Arial" w:hAnsi="Arial"/>
                <w:sz w:val="11"/>
                <w:szCs w:val="11"/>
                <w:color w:val="auto"/>
              </w:rPr>
              <w:t>Average total equity</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16,295</w:t>
            </w:r>
          </w:p>
        </w:tc>
        <w:tc>
          <w:tcPr>
            <w:tcW w:w="120" w:type="dxa"/>
            <w:vAlign w:val="bottom"/>
          </w:tcPr>
          <w:p>
            <w:pPr>
              <w:spacing w:after="0"/>
              <w:rPr>
                <w:sz w:val="12"/>
                <w:szCs w:val="12"/>
                <w:color w:val="auto"/>
              </w:rPr>
            </w:pPr>
          </w:p>
        </w:tc>
        <w:tc>
          <w:tcPr>
            <w:tcW w:w="340" w:type="dxa"/>
            <w:vAlign w:val="bottom"/>
            <w:gridSpan w:val="2"/>
          </w:tcPr>
          <w:p>
            <w:pPr>
              <w:jc w:val="right"/>
              <w:ind w:right="89"/>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16,419</w:t>
            </w:r>
          </w:p>
        </w:tc>
        <w:tc>
          <w:tcPr>
            <w:tcW w:w="120" w:type="dxa"/>
            <w:vAlign w:val="bottom"/>
          </w:tcPr>
          <w:p>
            <w:pPr>
              <w:spacing w:after="0"/>
              <w:rPr>
                <w:sz w:val="12"/>
                <w:szCs w:val="12"/>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13,228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000" w:type="dxa"/>
            <w:vAlign w:val="bottom"/>
            <w:shd w:val="clear" w:color="auto" w:fill="CFF0FC"/>
          </w:tcPr>
          <w:p>
            <w:pPr>
              <w:spacing w:after="0"/>
              <w:rPr>
                <w:sz w:val="20"/>
                <w:szCs w:val="20"/>
                <w:color w:val="auto"/>
              </w:rPr>
            </w:pPr>
            <w:r>
              <w:rPr>
                <w:rFonts w:ascii="Arial" w:cs="Arial" w:eastAsia="Arial" w:hAnsi="Arial"/>
                <w:sz w:val="11"/>
                <w:szCs w:val="11"/>
                <w:color w:val="auto"/>
              </w:rPr>
              <w:t>Preferred stock</w:t>
            </w:r>
          </w:p>
        </w:tc>
        <w:tc>
          <w:tcPr>
            <w:tcW w:w="2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(1,232)</w:t>
            </w: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(1,297)</w:t>
            </w: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(1,232)</w:t>
            </w:r>
          </w:p>
        </w:tc>
        <w:tc>
          <w:tcPr>
            <w:tcW w:w="0" w:type="dxa"/>
            <w:vAlign w:val="bottom"/>
          </w:tcPr>
          <w:p>
            <w:pPr>
              <w:spacing w:after="0"/>
              <w:rPr>
                <w:sz w:val="1"/>
                <w:szCs w:val="1"/>
                <w:color w:val="auto"/>
              </w:rPr>
            </w:pPr>
          </w:p>
        </w:tc>
      </w:tr>
      <w:tr>
        <w:trPr>
          <w:trHeight w:val="138"/>
        </w:trPr>
        <w:tc>
          <w:tcPr>
            <w:tcW w:w="8000" w:type="dxa"/>
            <w:vAlign w:val="bottom"/>
          </w:tcPr>
          <w:p>
            <w:pPr>
              <w:ind w:left="240"/>
              <w:spacing w:after="0"/>
              <w:rPr>
                <w:sz w:val="20"/>
                <w:szCs w:val="20"/>
                <w:color w:val="auto"/>
              </w:rPr>
            </w:pPr>
            <w:r>
              <w:rPr>
                <w:rFonts w:ascii="Arial" w:cs="Arial" w:eastAsia="Arial" w:hAnsi="Arial"/>
                <w:sz w:val="11"/>
                <w:szCs w:val="11"/>
                <w:color w:val="auto"/>
              </w:rPr>
              <w:t>Average common equity</w:t>
            </w:r>
          </w:p>
        </w:tc>
        <w:tc>
          <w:tcPr>
            <w:tcW w:w="2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15,063</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15,122</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11,996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8000" w:type="dxa"/>
            <w:vAlign w:val="bottom"/>
            <w:shd w:val="clear" w:color="auto" w:fill="CFF0FC"/>
          </w:tcPr>
          <w:p>
            <w:pPr>
              <w:spacing w:after="0"/>
              <w:rPr>
                <w:sz w:val="20"/>
                <w:szCs w:val="20"/>
                <w:color w:val="auto"/>
              </w:rPr>
            </w:pPr>
            <w:r>
              <w:rPr>
                <w:rFonts w:ascii="Arial" w:cs="Arial" w:eastAsia="Arial" w:hAnsi="Arial"/>
                <w:sz w:val="11"/>
                <w:szCs w:val="11"/>
                <w:color w:val="auto"/>
              </w:rPr>
              <w:t>Goodwill</w:t>
            </w:r>
          </w:p>
        </w:tc>
        <w:tc>
          <w:tcPr>
            <w:tcW w:w="2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(4,593)</w:t>
            </w: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(4,593)</w:t>
            </w: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(3,694)</w:t>
            </w:r>
          </w:p>
        </w:tc>
        <w:tc>
          <w:tcPr>
            <w:tcW w:w="0" w:type="dxa"/>
            <w:vAlign w:val="bottom"/>
          </w:tcPr>
          <w:p>
            <w:pPr>
              <w:spacing w:after="0"/>
              <w:rPr>
                <w:sz w:val="1"/>
                <w:szCs w:val="1"/>
                <w:color w:val="auto"/>
              </w:rPr>
            </w:pPr>
          </w:p>
        </w:tc>
      </w:tr>
      <w:tr>
        <w:trPr>
          <w:trHeight w:val="145"/>
        </w:trPr>
        <w:tc>
          <w:tcPr>
            <w:tcW w:w="8000" w:type="dxa"/>
            <w:vAlign w:val="bottom"/>
          </w:tcPr>
          <w:p>
            <w:pPr>
              <w:spacing w:after="0"/>
              <w:rPr>
                <w:sz w:val="20"/>
                <w:szCs w:val="20"/>
                <w:color w:val="auto"/>
              </w:rPr>
            </w:pPr>
            <w:r>
              <w:rPr>
                <w:rFonts w:ascii="Arial" w:cs="Arial" w:eastAsia="Arial" w:hAnsi="Arial"/>
                <w:sz w:val="11"/>
                <w:szCs w:val="11"/>
                <w:color w:val="auto"/>
              </w:rPr>
              <w:t>Core deposit and other intangible assets</w:t>
            </w:r>
          </w:p>
        </w:tc>
        <w:tc>
          <w:tcPr>
            <w:tcW w:w="20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1"/>
                <w:szCs w:val="11"/>
                <w:color w:val="auto"/>
              </w:rPr>
              <w:t>(86)</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1"/>
                <w:szCs w:val="11"/>
                <w:color w:val="auto"/>
              </w:rPr>
              <w:t>(117)</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1"/>
                <w:szCs w:val="11"/>
                <w:color w:val="auto"/>
              </w:rPr>
              <w:t>(45)</w:t>
            </w:r>
          </w:p>
        </w:tc>
        <w:tc>
          <w:tcPr>
            <w:tcW w:w="0" w:type="dxa"/>
            <w:vAlign w:val="bottom"/>
          </w:tcPr>
          <w:p>
            <w:pPr>
              <w:spacing w:after="0"/>
              <w:rPr>
                <w:sz w:val="1"/>
                <w:szCs w:val="1"/>
                <w:color w:val="auto"/>
              </w:rPr>
            </w:pPr>
          </w:p>
        </w:tc>
      </w:tr>
      <w:tr>
        <w:trPr>
          <w:trHeight w:val="145"/>
        </w:trPr>
        <w:tc>
          <w:tcPr>
            <w:tcW w:w="8000" w:type="dxa"/>
            <w:vAlign w:val="bottom"/>
            <w:shd w:val="clear" w:color="auto" w:fill="CFF0FC"/>
          </w:tcPr>
          <w:p>
            <w:pPr>
              <w:spacing w:after="0"/>
              <w:rPr>
                <w:sz w:val="20"/>
                <w:szCs w:val="20"/>
                <w:color w:val="auto"/>
              </w:rPr>
            </w:pPr>
            <w:r>
              <w:rPr>
                <w:rFonts w:ascii="Arial" w:cs="Arial" w:eastAsia="Arial" w:hAnsi="Arial"/>
                <w:sz w:val="11"/>
                <w:szCs w:val="11"/>
                <w:color w:val="auto"/>
              </w:rPr>
              <w:t>Deferred taxes</w:t>
            </w:r>
          </w:p>
        </w:tc>
        <w:tc>
          <w:tcPr>
            <w:tcW w:w="20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33</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46</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8000" w:type="dxa"/>
            <w:vAlign w:val="bottom"/>
          </w:tcPr>
          <w:p>
            <w:pPr>
              <w:ind w:left="240"/>
              <w:spacing w:after="0"/>
              <w:rPr>
                <w:sz w:val="20"/>
                <w:szCs w:val="20"/>
                <w:color w:val="auto"/>
              </w:rPr>
            </w:pPr>
            <w:r>
              <w:rPr>
                <w:rFonts w:ascii="Arial" w:cs="Arial" w:eastAsia="Arial" w:hAnsi="Arial"/>
                <w:sz w:val="11"/>
                <w:szCs w:val="11"/>
                <w:color w:val="auto"/>
              </w:rPr>
              <w:t>Average tangible common equity</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10,417</w:t>
            </w:r>
          </w:p>
        </w:tc>
        <w:tc>
          <w:tcPr>
            <w:tcW w:w="120" w:type="dxa"/>
            <w:vAlign w:val="bottom"/>
          </w:tcPr>
          <w:p>
            <w:pPr>
              <w:spacing w:after="0"/>
              <w:rPr>
                <w:sz w:val="15"/>
                <w:szCs w:val="15"/>
                <w:color w:val="auto"/>
              </w:rPr>
            </w:pPr>
          </w:p>
        </w:tc>
        <w:tc>
          <w:tcPr>
            <w:tcW w:w="340" w:type="dxa"/>
            <w:vAlign w:val="bottom"/>
            <w:gridSpan w:val="2"/>
          </w:tcPr>
          <w:p>
            <w:pPr>
              <w:jc w:val="right"/>
              <w:ind w:right="89"/>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10,458</w:t>
            </w:r>
          </w:p>
        </w:tc>
        <w:tc>
          <w:tcPr>
            <w:tcW w:w="120" w:type="dxa"/>
            <w:vAlign w:val="bottom"/>
          </w:tcPr>
          <w:p>
            <w:pPr>
              <w:spacing w:after="0"/>
              <w:rPr>
                <w:sz w:val="15"/>
                <w:szCs w:val="15"/>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8,273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8000" w:type="dxa"/>
            <w:vAlign w:val="bottom"/>
            <w:tcBorders>
              <w:top w:val="single" w:sz="8" w:color="CFF0FC"/>
            </w:tcBorders>
            <w:shd w:val="clear" w:color="auto" w:fill="CFF0FC"/>
          </w:tcPr>
          <w:p>
            <w:pPr>
              <w:spacing w:after="0" w:line="124" w:lineRule="exact"/>
              <w:rPr>
                <w:sz w:val="20"/>
                <w:szCs w:val="20"/>
                <w:color w:val="auto"/>
              </w:rPr>
            </w:pPr>
            <w:r>
              <w:rPr>
                <w:rFonts w:ascii="Arial" w:cs="Arial" w:eastAsia="Arial" w:hAnsi="Arial"/>
                <w:sz w:val="11"/>
                <w:szCs w:val="11"/>
                <w:b w:val="1"/>
                <w:bCs w:val="1"/>
                <w:color w:val="auto"/>
              </w:rPr>
              <w:t>At end of year</w:t>
            </w:r>
          </w:p>
        </w:tc>
        <w:tc>
          <w:tcPr>
            <w:tcW w:w="200" w:type="dxa"/>
            <w:vAlign w:val="bottom"/>
            <w:tcBorders>
              <w:top w:val="single" w:sz="8" w:color="auto"/>
            </w:tcBorders>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140" w:type="dxa"/>
            <w:vAlign w:val="bottom"/>
            <w:tcBorders>
              <w:top w:val="single" w:sz="8" w:color="CFF0FC"/>
            </w:tcBorders>
            <w:shd w:val="clear" w:color="auto" w:fill="CFF0FC"/>
          </w:tcPr>
          <w:p>
            <w:pPr>
              <w:spacing w:after="0"/>
              <w:rPr>
                <w:sz w:val="10"/>
                <w:szCs w:val="10"/>
                <w:color w:val="auto"/>
              </w:rPr>
            </w:pPr>
          </w:p>
        </w:tc>
        <w:tc>
          <w:tcPr>
            <w:tcW w:w="200" w:type="dxa"/>
            <w:vAlign w:val="bottom"/>
            <w:tcBorders>
              <w:top w:val="single" w:sz="8" w:color="auto"/>
            </w:tcBorders>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160" w:type="dxa"/>
            <w:vAlign w:val="bottom"/>
            <w:tcBorders>
              <w:top w:val="single" w:sz="8" w:color="CFF0FC"/>
            </w:tcBorders>
            <w:shd w:val="clear" w:color="auto" w:fill="CFF0FC"/>
          </w:tcPr>
          <w:p>
            <w:pPr>
              <w:spacing w:after="0"/>
              <w:rPr>
                <w:sz w:val="10"/>
                <w:szCs w:val="10"/>
                <w:color w:val="auto"/>
              </w:rPr>
            </w:pPr>
          </w:p>
        </w:tc>
        <w:tc>
          <w:tcPr>
            <w:tcW w:w="200" w:type="dxa"/>
            <w:vAlign w:val="bottom"/>
            <w:tcBorders>
              <w:top w:val="single" w:sz="8" w:color="auto"/>
            </w:tcBorders>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8000" w:type="dxa"/>
            <w:vAlign w:val="bottom"/>
          </w:tcPr>
          <w:p>
            <w:pPr>
              <w:spacing w:after="0"/>
              <w:rPr>
                <w:sz w:val="20"/>
                <w:szCs w:val="20"/>
                <w:color w:val="auto"/>
              </w:rPr>
            </w:pPr>
            <w:r>
              <w:rPr>
                <w:rFonts w:ascii="Arial" w:cs="Arial" w:eastAsia="Arial" w:hAnsi="Arial"/>
                <w:sz w:val="11"/>
                <w:szCs w:val="11"/>
                <w:b w:val="1"/>
                <w:bCs w:val="1"/>
                <w:color w:val="auto"/>
              </w:rPr>
              <w:t>Total assets</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000" w:type="dxa"/>
            <w:vAlign w:val="bottom"/>
            <w:shd w:val="clear" w:color="auto" w:fill="CFF0FC"/>
          </w:tcPr>
          <w:p>
            <w:pPr>
              <w:spacing w:after="0"/>
              <w:rPr>
                <w:sz w:val="20"/>
                <w:szCs w:val="20"/>
                <w:color w:val="auto"/>
              </w:rPr>
            </w:pPr>
            <w:r>
              <w:rPr>
                <w:rFonts w:ascii="Arial" w:cs="Arial" w:eastAsia="Arial" w:hAnsi="Arial"/>
                <w:sz w:val="11"/>
                <w:szCs w:val="11"/>
                <w:color w:val="auto"/>
              </w:rPr>
              <w:t>Total assets</w:t>
            </w:r>
          </w:p>
        </w:tc>
        <w:tc>
          <w:tcPr>
            <w:tcW w:w="200" w:type="dxa"/>
            <w:vAlign w:val="bottom"/>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118,593</w:t>
            </w:r>
          </w:p>
        </w:tc>
        <w:tc>
          <w:tcPr>
            <w:tcW w:w="120" w:type="dxa"/>
            <w:vAlign w:val="bottom"/>
            <w:shd w:val="clear" w:color="auto" w:fill="CFF0FC"/>
          </w:tcPr>
          <w:p>
            <w:pPr>
              <w:spacing w:after="0"/>
              <w:rPr>
                <w:sz w:val="12"/>
                <w:szCs w:val="12"/>
                <w:color w:val="auto"/>
              </w:rPr>
            </w:pPr>
          </w:p>
        </w:tc>
        <w:tc>
          <w:tcPr>
            <w:tcW w:w="340" w:type="dxa"/>
            <w:vAlign w:val="bottom"/>
            <w:gridSpan w:val="2"/>
            <w:shd w:val="clear" w:color="auto" w:fill="CFF0FC"/>
          </w:tcPr>
          <w:p>
            <w:pPr>
              <w:jc w:val="right"/>
              <w:ind w:right="89"/>
              <w:spacing w:after="0"/>
              <w:rPr>
                <w:sz w:val="20"/>
                <w:szCs w:val="20"/>
                <w:color w:val="auto"/>
              </w:rPr>
            </w:pPr>
            <w:r>
              <w:rPr>
                <w:rFonts w:ascii="Arial" w:cs="Arial" w:eastAsia="Arial" w:hAnsi="Arial"/>
                <w:sz w:val="11"/>
                <w:szCs w:val="11"/>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123,449</w:t>
            </w:r>
          </w:p>
        </w:tc>
        <w:tc>
          <w:tcPr>
            <w:tcW w:w="120" w:type="dxa"/>
            <w:vAlign w:val="bottom"/>
            <w:shd w:val="clear" w:color="auto" w:fill="CFF0FC"/>
          </w:tcPr>
          <w:p>
            <w:pPr>
              <w:spacing w:after="0"/>
              <w:rPr>
                <w:sz w:val="12"/>
                <w:szCs w:val="12"/>
                <w:color w:val="auto"/>
              </w:rPr>
            </w:pPr>
          </w:p>
        </w:tc>
        <w:tc>
          <w:tcPr>
            <w:tcW w:w="36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122,788</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000" w:type="dxa"/>
            <w:vAlign w:val="bottom"/>
          </w:tcPr>
          <w:p>
            <w:pPr>
              <w:spacing w:after="0"/>
              <w:rPr>
                <w:sz w:val="20"/>
                <w:szCs w:val="20"/>
                <w:color w:val="auto"/>
              </w:rPr>
            </w:pPr>
            <w:r>
              <w:rPr>
                <w:rFonts w:ascii="Arial" w:cs="Arial" w:eastAsia="Arial" w:hAnsi="Arial"/>
                <w:sz w:val="11"/>
                <w:szCs w:val="11"/>
                <w:color w:val="auto"/>
              </w:rPr>
              <w:t>Goodwill</w:t>
            </w:r>
          </w:p>
        </w:tc>
        <w:tc>
          <w:tcPr>
            <w:tcW w:w="20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1"/>
                <w:szCs w:val="11"/>
                <w:color w:val="auto"/>
              </w:rPr>
              <w:t>(4,593)</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1"/>
                <w:szCs w:val="11"/>
                <w:color w:val="auto"/>
              </w:rPr>
              <w:t>(4,593)</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1"/>
                <w:szCs w:val="11"/>
                <w:color w:val="auto"/>
              </w:rPr>
              <w:t>(4,593)</w:t>
            </w:r>
          </w:p>
        </w:tc>
        <w:tc>
          <w:tcPr>
            <w:tcW w:w="0" w:type="dxa"/>
            <w:vAlign w:val="bottom"/>
          </w:tcPr>
          <w:p>
            <w:pPr>
              <w:spacing w:after="0"/>
              <w:rPr>
                <w:sz w:val="1"/>
                <w:szCs w:val="1"/>
                <w:color w:val="auto"/>
              </w:rPr>
            </w:pPr>
          </w:p>
        </w:tc>
      </w:tr>
      <w:tr>
        <w:trPr>
          <w:trHeight w:val="145"/>
        </w:trPr>
        <w:tc>
          <w:tcPr>
            <w:tcW w:w="8000" w:type="dxa"/>
            <w:vAlign w:val="bottom"/>
            <w:shd w:val="clear" w:color="auto" w:fill="CFF0FC"/>
          </w:tcPr>
          <w:p>
            <w:pPr>
              <w:spacing w:after="0"/>
              <w:rPr>
                <w:sz w:val="20"/>
                <w:szCs w:val="20"/>
                <w:color w:val="auto"/>
              </w:rPr>
            </w:pPr>
            <w:r>
              <w:rPr>
                <w:rFonts w:ascii="Arial" w:cs="Arial" w:eastAsia="Arial" w:hAnsi="Arial"/>
                <w:sz w:val="11"/>
                <w:szCs w:val="11"/>
                <w:color w:val="auto"/>
              </w:rPr>
              <w:t>Core deposit and other intangible assets</w:t>
            </w:r>
          </w:p>
        </w:tc>
        <w:tc>
          <w:tcPr>
            <w:tcW w:w="2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(72)</w:t>
            </w: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(98)</w:t>
            </w: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(140)</w:t>
            </w:r>
          </w:p>
        </w:tc>
        <w:tc>
          <w:tcPr>
            <w:tcW w:w="0" w:type="dxa"/>
            <w:vAlign w:val="bottom"/>
          </w:tcPr>
          <w:p>
            <w:pPr>
              <w:spacing w:after="0"/>
              <w:rPr>
                <w:sz w:val="1"/>
                <w:szCs w:val="1"/>
                <w:color w:val="auto"/>
              </w:rPr>
            </w:pPr>
          </w:p>
        </w:tc>
      </w:tr>
      <w:tr>
        <w:trPr>
          <w:trHeight w:val="145"/>
        </w:trPr>
        <w:tc>
          <w:tcPr>
            <w:tcW w:w="8000" w:type="dxa"/>
            <w:vAlign w:val="bottom"/>
            <w:tcBorders>
              <w:bottom w:val="single" w:sz="8" w:color="CFF0FC"/>
            </w:tcBorders>
          </w:tcPr>
          <w:p>
            <w:pPr>
              <w:spacing w:after="0"/>
              <w:rPr>
                <w:sz w:val="20"/>
                <w:szCs w:val="20"/>
                <w:color w:val="auto"/>
              </w:rPr>
            </w:pPr>
            <w:r>
              <w:rPr>
                <w:rFonts w:ascii="Arial" w:cs="Arial" w:eastAsia="Arial" w:hAnsi="Arial"/>
                <w:sz w:val="11"/>
                <w:szCs w:val="11"/>
                <w:color w:val="auto"/>
              </w:rPr>
              <w:t>Deferred taxes</w:t>
            </w: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w:t>
            </w:r>
          </w:p>
        </w:tc>
        <w:tc>
          <w:tcPr>
            <w:tcW w:w="120" w:type="dxa"/>
            <w:vAlign w:val="bottom"/>
            <w:tcBorders>
              <w:bottom w:val="single" w:sz="8" w:color="CFF0FC"/>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39</w:t>
            </w:r>
          </w:p>
        </w:tc>
        <w:tc>
          <w:tcPr>
            <w:tcW w:w="120" w:type="dxa"/>
            <w:vAlign w:val="bottom"/>
            <w:tcBorders>
              <w:bottom w:val="single" w:sz="8" w:color="CFF0FC"/>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54</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8000" w:type="dxa"/>
            <w:vAlign w:val="bottom"/>
            <w:shd w:val="clear" w:color="auto" w:fill="CFF0FC"/>
          </w:tcPr>
          <w:p>
            <w:pPr>
              <w:ind w:left="240"/>
              <w:spacing w:after="0"/>
              <w:rPr>
                <w:sz w:val="20"/>
                <w:szCs w:val="20"/>
                <w:color w:val="auto"/>
              </w:rPr>
            </w:pPr>
            <w:r>
              <w:rPr>
                <w:rFonts w:ascii="Arial" w:cs="Arial" w:eastAsia="Arial" w:hAnsi="Arial"/>
                <w:sz w:val="11"/>
                <w:szCs w:val="11"/>
                <w:color w:val="auto"/>
              </w:rPr>
              <w:t>Total tangible assets</w:t>
            </w:r>
          </w:p>
        </w:tc>
        <w:tc>
          <w:tcPr>
            <w:tcW w:w="200" w:type="dxa"/>
            <w:vAlign w:val="bottom"/>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113,947</w:t>
            </w:r>
          </w:p>
        </w:tc>
        <w:tc>
          <w:tcPr>
            <w:tcW w:w="120" w:type="dxa"/>
            <w:vAlign w:val="bottom"/>
            <w:shd w:val="clear" w:color="auto" w:fill="CFF0FC"/>
          </w:tcPr>
          <w:p>
            <w:pPr>
              <w:spacing w:after="0"/>
              <w:rPr>
                <w:sz w:val="11"/>
                <w:szCs w:val="11"/>
                <w:color w:val="auto"/>
              </w:rPr>
            </w:pPr>
          </w:p>
        </w:tc>
        <w:tc>
          <w:tcPr>
            <w:tcW w:w="340" w:type="dxa"/>
            <w:vAlign w:val="bottom"/>
            <w:gridSpan w:val="2"/>
            <w:shd w:val="clear" w:color="auto" w:fill="CFF0FC"/>
          </w:tcPr>
          <w:p>
            <w:pPr>
              <w:jc w:val="right"/>
              <w:ind w:right="89"/>
              <w:spacing w:after="0"/>
              <w:rPr>
                <w:sz w:val="20"/>
                <w:szCs w:val="20"/>
                <w:color w:val="auto"/>
              </w:rPr>
            </w:pPr>
            <w:r>
              <w:rPr>
                <w:rFonts w:ascii="Arial" w:cs="Arial" w:eastAsia="Arial" w:hAnsi="Arial"/>
                <w:sz w:val="11"/>
                <w:szCs w:val="11"/>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118,797</w:t>
            </w:r>
          </w:p>
        </w:tc>
        <w:tc>
          <w:tcPr>
            <w:tcW w:w="120" w:type="dxa"/>
            <w:vAlign w:val="bottom"/>
            <w:shd w:val="clear" w:color="auto" w:fill="CFF0FC"/>
          </w:tcPr>
          <w:p>
            <w:pPr>
              <w:spacing w:after="0"/>
              <w:rPr>
                <w:sz w:val="11"/>
                <w:szCs w:val="11"/>
                <w:color w:val="auto"/>
              </w:rPr>
            </w:pPr>
          </w:p>
        </w:tc>
        <w:tc>
          <w:tcPr>
            <w:tcW w:w="36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118,109</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0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1"/>
                <w:szCs w:val="11"/>
                <w:b w:val="1"/>
                <w:bCs w:val="1"/>
                <w:color w:val="auto"/>
              </w:rPr>
              <w:t>Total common equity</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80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8000" w:type="dxa"/>
            <w:vAlign w:val="bottom"/>
            <w:shd w:val="clear" w:color="auto" w:fill="CFF0FC"/>
          </w:tcPr>
          <w:p>
            <w:pPr>
              <w:spacing w:after="0"/>
              <w:rPr>
                <w:sz w:val="20"/>
                <w:szCs w:val="20"/>
                <w:color w:val="auto"/>
              </w:rPr>
            </w:pPr>
            <w:r>
              <w:rPr>
                <w:rFonts w:ascii="Arial" w:cs="Arial" w:eastAsia="Arial" w:hAnsi="Arial"/>
                <w:sz w:val="11"/>
                <w:szCs w:val="11"/>
                <w:color w:val="auto"/>
              </w:rPr>
              <w:t>Total equity</w:t>
            </w:r>
          </w:p>
        </w:tc>
        <w:tc>
          <w:tcPr>
            <w:tcW w:w="200" w:type="dxa"/>
            <w:vAlign w:val="bottom"/>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16,251</w:t>
            </w:r>
          </w:p>
        </w:tc>
        <w:tc>
          <w:tcPr>
            <w:tcW w:w="120" w:type="dxa"/>
            <w:vAlign w:val="bottom"/>
            <w:shd w:val="clear" w:color="auto" w:fill="CFF0FC"/>
          </w:tcPr>
          <w:p>
            <w:pPr>
              <w:spacing w:after="0"/>
              <w:rPr>
                <w:sz w:val="12"/>
                <w:szCs w:val="12"/>
                <w:color w:val="auto"/>
              </w:rPr>
            </w:pPr>
          </w:p>
        </w:tc>
        <w:tc>
          <w:tcPr>
            <w:tcW w:w="340" w:type="dxa"/>
            <w:vAlign w:val="bottom"/>
            <w:gridSpan w:val="2"/>
            <w:shd w:val="clear" w:color="auto" w:fill="CFF0FC"/>
          </w:tcPr>
          <w:p>
            <w:pPr>
              <w:jc w:val="right"/>
              <w:ind w:right="89"/>
              <w:spacing w:after="0"/>
              <w:rPr>
                <w:sz w:val="20"/>
                <w:szCs w:val="20"/>
                <w:color w:val="auto"/>
              </w:rPr>
            </w:pPr>
            <w:r>
              <w:rPr>
                <w:rFonts w:ascii="Arial" w:cs="Arial" w:eastAsia="Arial" w:hAnsi="Arial"/>
                <w:sz w:val="11"/>
                <w:szCs w:val="11"/>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16,487</w:t>
            </w:r>
          </w:p>
        </w:tc>
        <w:tc>
          <w:tcPr>
            <w:tcW w:w="120" w:type="dxa"/>
            <w:vAlign w:val="bottom"/>
            <w:shd w:val="clear" w:color="auto" w:fill="CFF0FC"/>
          </w:tcPr>
          <w:p>
            <w:pPr>
              <w:spacing w:after="0"/>
              <w:rPr>
                <w:sz w:val="12"/>
                <w:szCs w:val="12"/>
                <w:color w:val="auto"/>
              </w:rPr>
            </w:pPr>
          </w:p>
        </w:tc>
        <w:tc>
          <w:tcPr>
            <w:tcW w:w="36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16,173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000" w:type="dxa"/>
            <w:vAlign w:val="bottom"/>
          </w:tcPr>
          <w:p>
            <w:pPr>
              <w:spacing w:after="0"/>
              <w:rPr>
                <w:sz w:val="20"/>
                <w:szCs w:val="20"/>
                <w:color w:val="auto"/>
              </w:rPr>
            </w:pPr>
            <w:r>
              <w:rPr>
                <w:rFonts w:ascii="Arial" w:cs="Arial" w:eastAsia="Arial" w:hAnsi="Arial"/>
                <w:sz w:val="11"/>
                <w:szCs w:val="11"/>
                <w:color w:val="auto"/>
              </w:rPr>
              <w:t>Preferred stock</w:t>
            </w:r>
          </w:p>
        </w:tc>
        <w:tc>
          <w:tcPr>
            <w:tcW w:w="20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1"/>
                <w:szCs w:val="11"/>
                <w:color w:val="auto"/>
              </w:rPr>
              <w:t>(1,232)</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1"/>
                <w:szCs w:val="11"/>
                <w:color w:val="auto"/>
              </w:rPr>
              <w:t>(1,232)</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1"/>
                <w:szCs w:val="11"/>
                <w:color w:val="auto"/>
              </w:rPr>
              <w:t>(1,232)</w:t>
            </w:r>
          </w:p>
        </w:tc>
        <w:tc>
          <w:tcPr>
            <w:tcW w:w="0" w:type="dxa"/>
            <w:vAlign w:val="bottom"/>
          </w:tcPr>
          <w:p>
            <w:pPr>
              <w:spacing w:after="0"/>
              <w:rPr>
                <w:sz w:val="1"/>
                <w:szCs w:val="1"/>
                <w:color w:val="auto"/>
              </w:rPr>
            </w:pPr>
          </w:p>
        </w:tc>
      </w:tr>
      <w:tr>
        <w:trPr>
          <w:trHeight w:val="145"/>
        </w:trPr>
        <w:tc>
          <w:tcPr>
            <w:tcW w:w="8000" w:type="dxa"/>
            <w:vAlign w:val="bottom"/>
            <w:shd w:val="clear" w:color="auto" w:fill="CFF0FC"/>
          </w:tcPr>
          <w:p>
            <w:pPr>
              <w:spacing w:after="0"/>
              <w:rPr>
                <w:sz w:val="20"/>
                <w:szCs w:val="20"/>
                <w:color w:val="auto"/>
              </w:rPr>
            </w:pPr>
            <w:r>
              <w:rPr>
                <w:rFonts w:ascii="Arial" w:cs="Arial" w:eastAsia="Arial" w:hAnsi="Arial"/>
                <w:sz w:val="11"/>
                <w:szCs w:val="11"/>
                <w:color w:val="auto"/>
              </w:rPr>
              <w:t>Undeclared dividends — cumulative preferred stock</w:t>
            </w:r>
          </w:p>
        </w:tc>
        <w:tc>
          <w:tcPr>
            <w:tcW w:w="2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(3)</w:t>
            </w: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(3)</w:t>
            </w: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38"/>
        </w:trPr>
        <w:tc>
          <w:tcPr>
            <w:tcW w:w="8000" w:type="dxa"/>
            <w:vAlign w:val="bottom"/>
          </w:tcPr>
          <w:p>
            <w:pPr>
              <w:ind w:left="240"/>
              <w:spacing w:after="0"/>
              <w:rPr>
                <w:sz w:val="20"/>
                <w:szCs w:val="20"/>
                <w:color w:val="auto"/>
              </w:rPr>
            </w:pPr>
            <w:r>
              <w:rPr>
                <w:rFonts w:ascii="Arial" w:cs="Arial" w:eastAsia="Arial" w:hAnsi="Arial"/>
                <w:sz w:val="11"/>
                <w:szCs w:val="11"/>
                <w:color w:val="auto"/>
              </w:rPr>
              <w:t>Common equity, net of undeclared cumulative preferred dividends</w:t>
            </w:r>
          </w:p>
        </w:tc>
        <w:tc>
          <w:tcPr>
            <w:tcW w:w="2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15,016</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15,252</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14,939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8000" w:type="dxa"/>
            <w:vAlign w:val="bottom"/>
            <w:shd w:val="clear" w:color="auto" w:fill="CFF0FC"/>
          </w:tcPr>
          <w:p>
            <w:pPr>
              <w:spacing w:after="0"/>
              <w:rPr>
                <w:sz w:val="20"/>
                <w:szCs w:val="20"/>
                <w:color w:val="auto"/>
              </w:rPr>
            </w:pPr>
            <w:r>
              <w:rPr>
                <w:rFonts w:ascii="Arial" w:cs="Arial" w:eastAsia="Arial" w:hAnsi="Arial"/>
                <w:sz w:val="11"/>
                <w:szCs w:val="11"/>
                <w:color w:val="auto"/>
              </w:rPr>
              <w:t>Goodwill</w:t>
            </w:r>
          </w:p>
        </w:tc>
        <w:tc>
          <w:tcPr>
            <w:tcW w:w="2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(4,593)</w:t>
            </w: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(4,593)</w:t>
            </w: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(4,593)</w:t>
            </w:r>
          </w:p>
        </w:tc>
        <w:tc>
          <w:tcPr>
            <w:tcW w:w="0" w:type="dxa"/>
            <w:vAlign w:val="bottom"/>
          </w:tcPr>
          <w:p>
            <w:pPr>
              <w:spacing w:after="0"/>
              <w:rPr>
                <w:sz w:val="1"/>
                <w:szCs w:val="1"/>
                <w:color w:val="auto"/>
              </w:rPr>
            </w:pPr>
          </w:p>
        </w:tc>
      </w:tr>
      <w:tr>
        <w:trPr>
          <w:trHeight w:val="145"/>
        </w:trPr>
        <w:tc>
          <w:tcPr>
            <w:tcW w:w="8000" w:type="dxa"/>
            <w:vAlign w:val="bottom"/>
          </w:tcPr>
          <w:p>
            <w:pPr>
              <w:spacing w:after="0"/>
              <w:rPr>
                <w:sz w:val="20"/>
                <w:szCs w:val="20"/>
                <w:color w:val="auto"/>
              </w:rPr>
            </w:pPr>
            <w:r>
              <w:rPr>
                <w:rFonts w:ascii="Arial" w:cs="Arial" w:eastAsia="Arial" w:hAnsi="Arial"/>
                <w:sz w:val="11"/>
                <w:szCs w:val="11"/>
                <w:color w:val="auto"/>
              </w:rPr>
              <w:t>Core deposit and other intangible assets</w:t>
            </w:r>
          </w:p>
        </w:tc>
        <w:tc>
          <w:tcPr>
            <w:tcW w:w="20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1"/>
                <w:szCs w:val="11"/>
                <w:color w:val="auto"/>
              </w:rPr>
              <w:t>(72)</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1"/>
                <w:szCs w:val="11"/>
                <w:color w:val="auto"/>
              </w:rPr>
              <w:t>(98)</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1"/>
                <w:szCs w:val="11"/>
                <w:color w:val="auto"/>
              </w:rPr>
              <w:t>(140)</w:t>
            </w:r>
          </w:p>
        </w:tc>
        <w:tc>
          <w:tcPr>
            <w:tcW w:w="0" w:type="dxa"/>
            <w:vAlign w:val="bottom"/>
          </w:tcPr>
          <w:p>
            <w:pPr>
              <w:spacing w:after="0"/>
              <w:rPr>
                <w:sz w:val="1"/>
                <w:szCs w:val="1"/>
                <w:color w:val="auto"/>
              </w:rPr>
            </w:pPr>
          </w:p>
        </w:tc>
      </w:tr>
      <w:tr>
        <w:trPr>
          <w:trHeight w:val="145"/>
        </w:trPr>
        <w:tc>
          <w:tcPr>
            <w:tcW w:w="8000" w:type="dxa"/>
            <w:vAlign w:val="bottom"/>
            <w:shd w:val="clear" w:color="auto" w:fill="CFF0FC"/>
          </w:tcPr>
          <w:p>
            <w:pPr>
              <w:spacing w:after="0"/>
              <w:rPr>
                <w:sz w:val="20"/>
                <w:szCs w:val="20"/>
                <w:color w:val="auto"/>
              </w:rPr>
            </w:pPr>
            <w:r>
              <w:rPr>
                <w:rFonts w:ascii="Arial" w:cs="Arial" w:eastAsia="Arial" w:hAnsi="Arial"/>
                <w:sz w:val="11"/>
                <w:szCs w:val="11"/>
                <w:color w:val="auto"/>
              </w:rPr>
              <w:t>Deferred taxes</w:t>
            </w:r>
          </w:p>
        </w:tc>
        <w:tc>
          <w:tcPr>
            <w:tcW w:w="20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19</w:t>
            </w:r>
          </w:p>
        </w:tc>
        <w:tc>
          <w:tcPr>
            <w:tcW w:w="120" w:type="dxa"/>
            <w:vAlign w:val="bottom"/>
            <w:shd w:val="clear" w:color="auto" w:fill="CFF0FC"/>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39</w:t>
            </w:r>
          </w:p>
        </w:tc>
        <w:tc>
          <w:tcPr>
            <w:tcW w:w="120" w:type="dxa"/>
            <w:vAlign w:val="bottom"/>
            <w:shd w:val="clear" w:color="auto" w:fill="CFF0FC"/>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54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8000" w:type="dxa"/>
            <w:vAlign w:val="bottom"/>
          </w:tcPr>
          <w:p>
            <w:pPr>
              <w:spacing w:after="0"/>
              <w:rPr>
                <w:sz w:val="20"/>
                <w:szCs w:val="20"/>
                <w:color w:val="auto"/>
              </w:rPr>
            </w:pPr>
            <w:r>
              <w:rPr>
                <w:rFonts w:ascii="Arial" w:cs="Arial" w:eastAsia="Arial" w:hAnsi="Arial"/>
                <w:sz w:val="11"/>
                <w:szCs w:val="11"/>
                <w:color w:val="auto"/>
              </w:rPr>
              <w:t>Total tangible common equity</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10,370</w:t>
            </w:r>
          </w:p>
        </w:tc>
        <w:tc>
          <w:tcPr>
            <w:tcW w:w="120" w:type="dxa"/>
            <w:vAlign w:val="bottom"/>
          </w:tcPr>
          <w:p>
            <w:pPr>
              <w:spacing w:after="0"/>
              <w:rPr>
                <w:sz w:val="11"/>
                <w:szCs w:val="11"/>
                <w:color w:val="auto"/>
              </w:rPr>
            </w:pPr>
          </w:p>
        </w:tc>
        <w:tc>
          <w:tcPr>
            <w:tcW w:w="340" w:type="dxa"/>
            <w:vAlign w:val="bottom"/>
            <w:gridSpan w:val="2"/>
          </w:tcPr>
          <w:p>
            <w:pPr>
              <w:jc w:val="right"/>
              <w:ind w:right="89"/>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10,600</w:t>
            </w:r>
          </w:p>
        </w:tc>
        <w:tc>
          <w:tcPr>
            <w:tcW w:w="120" w:type="dxa"/>
            <w:vAlign w:val="bottom"/>
          </w:tcPr>
          <w:p>
            <w:pPr>
              <w:spacing w:after="0"/>
              <w:rPr>
                <w:sz w:val="11"/>
                <w:szCs w:val="11"/>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10,260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100330</wp:posOffset>
            </wp:positionV>
            <wp:extent cx="136017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150" w:lineRule="exact"/>
        <w:rPr>
          <w:sz w:val="20"/>
          <w:szCs w:val="20"/>
          <w:color w:val="auto"/>
        </w:rPr>
      </w:pPr>
    </w:p>
    <w:p>
      <w:pPr>
        <w:ind w:left="600" w:hanging="595"/>
        <w:spacing w:after="0"/>
        <w:tabs>
          <w:tab w:leader="none" w:pos="600" w:val="left"/>
        </w:tabs>
        <w:numPr>
          <w:ilvl w:val="0"/>
          <w:numId w:val="23"/>
        </w:numPr>
        <w:rPr>
          <w:rFonts w:ascii="Arial" w:cs="Arial" w:eastAsia="Arial" w:hAnsi="Arial"/>
          <w:sz w:val="12"/>
          <w:szCs w:val="12"/>
          <w:i w:val="1"/>
          <w:iCs w:val="1"/>
          <w:color w:val="auto"/>
        </w:rPr>
      </w:pPr>
      <w:r>
        <w:rPr>
          <w:rFonts w:ascii="Arial" w:cs="Arial" w:eastAsia="Arial" w:hAnsi="Arial"/>
          <w:sz w:val="12"/>
          <w:szCs w:val="12"/>
          <w:i w:val="1"/>
          <w:iCs w:val="1"/>
          <w:color w:val="auto"/>
        </w:rPr>
        <w:t>After any related tax effect.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3" w:name="page54"/>
    <w:bookmarkEnd w:id="53"/>
    <w:p>
      <w:pPr>
        <w:spacing w:after="0"/>
        <w:rPr>
          <w:sz w:val="20"/>
          <w:szCs w:val="20"/>
          <w:color w:val="auto"/>
        </w:rPr>
      </w:pPr>
      <w:r>
        <w:rPr>
          <w:rFonts w:ascii="Arial" w:cs="Arial" w:eastAsia="Arial" w:hAnsi="Arial"/>
          <w:sz w:val="20"/>
          <w:szCs w:val="20"/>
          <w:b w:val="1"/>
          <w:bCs w:val="1"/>
          <w:color w:val="auto"/>
        </w:rPr>
        <w:t>Net Interest Income/Lending and Funding Activities</w:t>
      </w:r>
    </w:p>
    <w:p>
      <w:pPr>
        <w:spacing w:after="0" w:line="29" w:lineRule="exact"/>
        <w:rPr>
          <w:sz w:val="20"/>
          <w:szCs w:val="20"/>
          <w:color w:val="auto"/>
        </w:rPr>
      </w:pPr>
    </w:p>
    <w:p>
      <w:pPr>
        <w:spacing w:after="0" w:line="259" w:lineRule="auto"/>
        <w:rPr>
          <w:sz w:val="20"/>
          <w:szCs w:val="20"/>
          <w:color w:val="auto"/>
        </w:rPr>
      </w:pPr>
      <w:r>
        <w:rPr>
          <w:rFonts w:ascii="Arial" w:cs="Arial" w:eastAsia="Arial" w:hAnsi="Arial"/>
          <w:sz w:val="19"/>
          <w:szCs w:val="19"/>
          <w:color w:val="auto"/>
        </w:rPr>
        <w:t>Net interest income expressed on a taxable-equivalent basis aggregated $3.82 billion in 2017, up 9% from $3.50 billion in 2016. That growth resulted from a widening of the net interest margin to 3.47% in 2017 from 3.11% in 2016. The improvement in the net interest margin was predominantly the result of higher yields on loans due to the higher interest rate environment in 2017. The Federal Reserve raised its target Federal funds rate by .25% in December 2016 and by the same increment in each of March, June and December 2017. Partially offsetting the favorable impact of higher interest rates was a $2.6 billion, or 2%, decline in average earning assets to $110.0 billion in 2017 from $112.6 billion in 2016 that reflected lower interest-bearing deposits at banks.</w:t>
      </w:r>
    </w:p>
    <w:p>
      <w:pPr>
        <w:spacing w:after="0" w:line="4" w:lineRule="exact"/>
        <w:rPr>
          <w:sz w:val="20"/>
          <w:szCs w:val="20"/>
          <w:color w:val="auto"/>
        </w:rPr>
      </w:pPr>
    </w:p>
    <w:p>
      <w:pPr>
        <w:ind w:left="600"/>
        <w:spacing w:after="0"/>
        <w:rPr>
          <w:sz w:val="20"/>
          <w:szCs w:val="20"/>
          <w:color w:val="auto"/>
        </w:rPr>
      </w:pPr>
      <w:r>
        <w:rPr>
          <w:rFonts w:ascii="Arial" w:cs="Arial" w:eastAsia="Arial" w:hAnsi="Arial"/>
          <w:sz w:val="20"/>
          <w:szCs w:val="20"/>
          <w:color w:val="auto"/>
        </w:rPr>
        <w:t>Average loans and leases increased to $88.8 billion in 2017 from $88.6 billion in 2016.</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Average balances of commercial loans and leases increased $584 million or 3% to $22.0 billion in 2017 from $21.4 billion in 2016. Average</w:t>
      </w:r>
    </w:p>
    <w:p>
      <w:pPr>
        <w:spacing w:after="0" w:line="30" w:lineRule="exact"/>
        <w:rPr>
          <w:sz w:val="20"/>
          <w:szCs w:val="20"/>
          <w:color w:val="auto"/>
        </w:rPr>
      </w:pPr>
    </w:p>
    <w:p>
      <w:pPr>
        <w:spacing w:after="0"/>
        <w:rPr>
          <w:sz w:val="20"/>
          <w:szCs w:val="20"/>
          <w:color w:val="auto"/>
        </w:rPr>
      </w:pPr>
      <w:r>
        <w:rPr>
          <w:rFonts w:ascii="Arial" w:cs="Arial" w:eastAsia="Arial" w:hAnsi="Arial"/>
          <w:sz w:val="19"/>
          <w:szCs w:val="19"/>
          <w:color w:val="auto"/>
        </w:rPr>
        <w:t>commercial real estate loans increased $2.3 billion or 7% in 2017 to $33.2 billion from $30.9 billion in 2016. Consumer loans averaged</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$12.6 billion in 2017, up $784 million or 7% from $11.8 billion in 2016 due to growth in recreational vehicle and automobile loans. Average</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residential real estate loans declined $3.5 billion or 14% to $21.0 billion in 2017 from $24.5 billion in 2016, predominantly due to ongoing</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repayments of loans obtained in the acquisition of Hudson City.</w:t>
      </w:r>
    </w:p>
    <w:p>
      <w:pPr>
        <w:spacing w:after="0" w:line="7" w:lineRule="exact"/>
        <w:rPr>
          <w:sz w:val="20"/>
          <w:szCs w:val="20"/>
          <w:color w:val="auto"/>
        </w:rPr>
      </w:pPr>
    </w:p>
    <w:p>
      <w:pPr>
        <w:ind w:right="120" w:firstLine="598"/>
        <w:spacing w:after="0" w:line="246" w:lineRule="auto"/>
        <w:rPr>
          <w:sz w:val="20"/>
          <w:szCs w:val="20"/>
          <w:color w:val="auto"/>
        </w:rPr>
      </w:pPr>
      <w:r>
        <w:rPr>
          <w:rFonts w:ascii="Arial" w:cs="Arial" w:eastAsia="Arial" w:hAnsi="Arial"/>
          <w:sz w:val="20"/>
          <w:szCs w:val="20"/>
          <w:color w:val="auto"/>
        </w:rPr>
        <w:t>Taxable-equivalent net interest income in 2016 increased 22% from $2.87 billion in 2015. That growth was predominantly attributable to higher average earning assets in 2016, partially offset by a three basis point narrowing of the net interest margin in 2016 from 3.14% in 2015. Average earning assets rose $21.4 billion or 23% to $112.6 billion in 2016, reflecting higher average loans and leases. The higher level of average earning assets reflected the full-year impact of assets obtained in the acquisition of Hudson City on November 1, 2015. The narrowing of the margin reflected higher rates paid on interest-bearing deposits, including the impact of time deposits in the former Hudson City markets.</w:t>
      </w:r>
    </w:p>
    <w:p>
      <w:pPr>
        <w:spacing w:after="0" w:line="5" w:lineRule="exact"/>
        <w:rPr>
          <w:sz w:val="20"/>
          <w:szCs w:val="20"/>
          <w:color w:val="auto"/>
        </w:rPr>
      </w:pPr>
    </w:p>
    <w:p>
      <w:pPr>
        <w:ind w:right="120" w:firstLine="598"/>
        <w:spacing w:after="0" w:line="274" w:lineRule="auto"/>
        <w:rPr>
          <w:sz w:val="20"/>
          <w:szCs w:val="20"/>
          <w:color w:val="auto"/>
        </w:rPr>
      </w:pPr>
      <w:r>
        <w:rPr>
          <w:rFonts w:ascii="Arial" w:cs="Arial" w:eastAsia="Arial" w:hAnsi="Arial"/>
          <w:sz w:val="18"/>
          <w:szCs w:val="18"/>
          <w:color w:val="auto"/>
        </w:rPr>
        <w:t>Average loans and leases rose $17.8 billion or 25% in 2016 from $70.8 billion in 2015. The most significant factors contributing to that increase were the residential real estate loans obtained in the Hudson City acquisition and growth in the commercial real estate loan and commercial loan and lease portfolios. Reflecting average balances of loans obtained in the Hudson City transaction of $16.3 billion in 2016 and $3.1 billion in 2015, average residential real estate loans increased $13.0 billion to $24.5 billion in 2016 from $11.5 billion in the previous year. Average commercial loans and leases increased $1.5 billion or 8% to $21.4 billion in 2016 from $19.9 billion in</w:t>
      </w:r>
    </w:p>
    <w:p>
      <w:pPr>
        <w:spacing w:after="0" w:line="1" w:lineRule="exact"/>
        <w:rPr>
          <w:sz w:val="20"/>
          <w:szCs w:val="20"/>
          <w:color w:val="auto"/>
        </w:rPr>
      </w:pPr>
    </w:p>
    <w:p>
      <w:pPr>
        <w:ind w:right="20"/>
        <w:spacing w:after="0" w:line="311" w:lineRule="auto"/>
        <w:rPr>
          <w:sz w:val="20"/>
          <w:szCs w:val="20"/>
          <w:color w:val="auto"/>
        </w:rPr>
      </w:pPr>
      <w:r>
        <w:rPr>
          <w:rFonts w:ascii="Arial" w:cs="Arial" w:eastAsia="Arial" w:hAnsi="Arial"/>
          <w:sz w:val="18"/>
          <w:szCs w:val="18"/>
          <w:color w:val="auto"/>
        </w:rPr>
        <w:t>2015. Commercial real estate loan average balances in 2016 were up $2.6 billion or 9% from $28.3 billion in 2015. Average consumer loans rose $638 million or 6% in 2016 from $11.2 billion in the prior year, predominantly due to growth in average automobile loan balances.</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19" w:right="239" w:bottom="1440" w:gutter="0" w:footer="0" w:header="0"/>
        </w:sectPr>
      </w:pPr>
    </w:p>
    <w:bookmarkStart w:id="54" w:name="page55"/>
    <w:bookmarkEnd w:id="54"/>
    <w:p>
      <w:pPr>
        <w:jc w:val="center"/>
        <w:ind w:right="100"/>
        <w:spacing w:after="0"/>
        <w:rPr>
          <w:sz w:val="20"/>
          <w:szCs w:val="20"/>
          <w:color w:val="auto"/>
        </w:rPr>
      </w:pPr>
      <w:r>
        <w:rPr>
          <w:rFonts w:ascii="Arial" w:cs="Arial" w:eastAsia="Arial" w:hAnsi="Arial"/>
          <w:sz w:val="18"/>
          <w:szCs w:val="18"/>
          <w:color w:val="auto"/>
        </w:rPr>
        <w:t>55</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Table 3</w:t>
      </w:r>
    </w:p>
    <w:p>
      <w:pPr>
        <w:spacing w:after="0" w:line="29"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auto"/>
        </w:rPr>
        <w:t>AVERAGE BALANCE SHEETS AND TAXABLE-EQUIVALENT RATES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159"/>
              <w:spacing w:after="0"/>
              <w:rPr>
                <w:sz w:val="20"/>
                <w:szCs w:val="20"/>
                <w:color w:val="auto"/>
              </w:rPr>
            </w:pPr>
            <w:r>
              <w:rPr>
                <w:rFonts w:ascii="Arial" w:cs="Arial" w:eastAsia="Arial" w:hAnsi="Arial"/>
                <w:sz w:val="12"/>
                <w:szCs w:val="12"/>
                <w:b w:val="1"/>
                <w:bCs w:val="1"/>
                <w:color w:val="auto"/>
                <w:w w:val="97"/>
              </w:rPr>
              <w:t>2017</w:t>
            </w:r>
          </w:p>
        </w:tc>
        <w:tc>
          <w:tcPr>
            <w:tcW w:w="1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39"/>
              <w:spacing w:after="0"/>
              <w:rPr>
                <w:sz w:val="20"/>
                <w:szCs w:val="20"/>
                <w:color w:val="auto"/>
              </w:rPr>
            </w:pPr>
            <w:r>
              <w:rPr>
                <w:rFonts w:ascii="Arial" w:cs="Arial" w:eastAsia="Arial" w:hAnsi="Arial"/>
                <w:sz w:val="12"/>
                <w:szCs w:val="12"/>
                <w:b w:val="1"/>
                <w:bCs w:val="1"/>
                <w:color w:val="auto"/>
              </w:rPr>
              <w:t>2016</w:t>
            </w: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39"/>
              <w:spacing w:after="0"/>
              <w:rPr>
                <w:sz w:val="20"/>
                <w:szCs w:val="20"/>
                <w:color w:val="auto"/>
              </w:rPr>
            </w:pPr>
            <w:r>
              <w:rPr>
                <w:rFonts w:ascii="Arial" w:cs="Arial" w:eastAsia="Arial" w:hAnsi="Arial"/>
                <w:sz w:val="12"/>
                <w:szCs w:val="12"/>
                <w:b w:val="1"/>
                <w:bCs w:val="1"/>
                <w:color w:val="auto"/>
              </w:rPr>
              <w:t>2015</w:t>
            </w: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19"/>
              <w:spacing w:after="0"/>
              <w:rPr>
                <w:sz w:val="20"/>
                <w:szCs w:val="20"/>
                <w:color w:val="auto"/>
              </w:rPr>
            </w:pPr>
            <w:r>
              <w:rPr>
                <w:rFonts w:ascii="Arial" w:cs="Arial" w:eastAsia="Arial" w:hAnsi="Arial"/>
                <w:sz w:val="12"/>
                <w:szCs w:val="12"/>
                <w:b w:val="1"/>
                <w:bCs w:val="1"/>
                <w:color w:val="auto"/>
              </w:rPr>
              <w:t>2014</w:t>
            </w:r>
          </w:p>
        </w:tc>
        <w:tc>
          <w:tcPr>
            <w:tcW w:w="1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39"/>
              <w:spacing w:after="0"/>
              <w:rPr>
                <w:sz w:val="20"/>
                <w:szCs w:val="20"/>
                <w:color w:val="auto"/>
              </w:rPr>
            </w:pPr>
            <w:r>
              <w:rPr>
                <w:rFonts w:ascii="Arial" w:cs="Arial" w:eastAsia="Arial" w:hAnsi="Arial"/>
                <w:sz w:val="12"/>
                <w:szCs w:val="12"/>
                <w:b w:val="1"/>
                <w:bCs w:val="1"/>
                <w:color w:val="auto"/>
              </w:rPr>
              <w:t>2013</w:t>
            </w: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200" w:type="dxa"/>
            <w:vAlign w:val="bottom"/>
          </w:tcPr>
          <w:p>
            <w:pPr>
              <w:spacing w:after="0"/>
              <w:rPr>
                <w:sz w:val="10"/>
                <w:szCs w:val="10"/>
                <w:color w:val="auto"/>
              </w:rPr>
            </w:pPr>
          </w:p>
        </w:tc>
        <w:tc>
          <w:tcPr>
            <w:tcW w:w="580" w:type="dxa"/>
            <w:vAlign w:val="bottom"/>
            <w:gridSpan w:val="3"/>
          </w:tcPr>
          <w:p>
            <w:pPr>
              <w:ind w:left="20"/>
              <w:spacing w:after="0" w:line="120" w:lineRule="exact"/>
              <w:rPr>
                <w:sz w:val="20"/>
                <w:szCs w:val="20"/>
                <w:color w:val="auto"/>
              </w:rPr>
            </w:pPr>
            <w:r>
              <w:rPr>
                <w:rFonts w:ascii="Arial" w:cs="Arial" w:eastAsia="Arial" w:hAnsi="Arial"/>
                <w:sz w:val="12"/>
                <w:szCs w:val="12"/>
                <w:b w:val="1"/>
                <w:bCs w:val="1"/>
                <w:color w:val="auto"/>
              </w:rPr>
              <w:t>Average</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gridSpan w:val="2"/>
          </w:tcPr>
          <w:p>
            <w:pPr>
              <w:jc w:val="right"/>
              <w:spacing w:after="0" w:line="120" w:lineRule="exact"/>
              <w:rPr>
                <w:sz w:val="20"/>
                <w:szCs w:val="20"/>
                <w:color w:val="auto"/>
              </w:rPr>
            </w:pPr>
            <w:r>
              <w:rPr>
                <w:rFonts w:ascii="Arial" w:cs="Arial" w:eastAsia="Arial" w:hAnsi="Arial"/>
                <w:sz w:val="12"/>
                <w:szCs w:val="12"/>
                <w:b w:val="1"/>
                <w:bCs w:val="1"/>
                <w:color w:val="auto"/>
              </w:rPr>
              <w:t>Average</w:t>
            </w:r>
          </w:p>
        </w:tc>
        <w:tc>
          <w:tcPr>
            <w:tcW w:w="180" w:type="dxa"/>
            <w:vAlign w:val="bottom"/>
          </w:tcPr>
          <w:p>
            <w:pPr>
              <w:spacing w:after="0"/>
              <w:rPr>
                <w:sz w:val="10"/>
                <w:szCs w:val="10"/>
                <w:color w:val="auto"/>
              </w:rPr>
            </w:pPr>
          </w:p>
        </w:tc>
        <w:tc>
          <w:tcPr>
            <w:tcW w:w="580" w:type="dxa"/>
            <w:vAlign w:val="bottom"/>
            <w:gridSpan w:val="2"/>
          </w:tcPr>
          <w:p>
            <w:pPr>
              <w:ind w:left="20"/>
              <w:spacing w:after="0" w:line="120" w:lineRule="exact"/>
              <w:rPr>
                <w:sz w:val="20"/>
                <w:szCs w:val="20"/>
                <w:color w:val="auto"/>
              </w:rPr>
            </w:pPr>
            <w:r>
              <w:rPr>
                <w:rFonts w:ascii="Arial" w:cs="Arial" w:eastAsia="Arial" w:hAnsi="Arial"/>
                <w:sz w:val="12"/>
                <w:szCs w:val="12"/>
                <w:b w:val="1"/>
                <w:bCs w:val="1"/>
                <w:color w:val="auto"/>
              </w:rPr>
              <w:t>Average</w:t>
            </w: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jc w:val="right"/>
              <w:spacing w:after="0" w:line="120" w:lineRule="exact"/>
              <w:rPr>
                <w:sz w:val="20"/>
                <w:szCs w:val="20"/>
                <w:color w:val="auto"/>
              </w:rPr>
            </w:pPr>
            <w:r>
              <w:rPr>
                <w:rFonts w:ascii="Arial" w:cs="Arial" w:eastAsia="Arial" w:hAnsi="Arial"/>
                <w:sz w:val="12"/>
                <w:szCs w:val="12"/>
                <w:b w:val="1"/>
                <w:bCs w:val="1"/>
                <w:color w:val="auto"/>
                <w:w w:val="84"/>
              </w:rPr>
              <w:t>Average</w:t>
            </w:r>
          </w:p>
        </w:tc>
        <w:tc>
          <w:tcPr>
            <w:tcW w:w="160" w:type="dxa"/>
            <w:vAlign w:val="bottom"/>
          </w:tcPr>
          <w:p>
            <w:pPr>
              <w:spacing w:after="0"/>
              <w:rPr>
                <w:sz w:val="10"/>
                <w:szCs w:val="10"/>
                <w:color w:val="auto"/>
              </w:rPr>
            </w:pPr>
          </w:p>
        </w:tc>
        <w:tc>
          <w:tcPr>
            <w:tcW w:w="600" w:type="dxa"/>
            <w:vAlign w:val="bottom"/>
            <w:gridSpan w:val="2"/>
          </w:tcPr>
          <w:p>
            <w:pPr>
              <w:ind w:left="20"/>
              <w:spacing w:after="0" w:line="120" w:lineRule="exact"/>
              <w:rPr>
                <w:sz w:val="20"/>
                <w:szCs w:val="20"/>
                <w:color w:val="auto"/>
              </w:rPr>
            </w:pPr>
            <w:r>
              <w:rPr>
                <w:rFonts w:ascii="Arial" w:cs="Arial" w:eastAsia="Arial" w:hAnsi="Arial"/>
                <w:sz w:val="12"/>
                <w:szCs w:val="12"/>
                <w:b w:val="1"/>
                <w:bCs w:val="1"/>
                <w:color w:val="auto"/>
              </w:rPr>
              <w:t>Average</w:t>
            </w:r>
          </w:p>
        </w:tc>
        <w:tc>
          <w:tcPr>
            <w:tcW w:w="560" w:type="dxa"/>
            <w:vAlign w:val="bottom"/>
          </w:tcPr>
          <w:p>
            <w:pPr>
              <w:spacing w:after="0"/>
              <w:rPr>
                <w:sz w:val="10"/>
                <w:szCs w:val="10"/>
                <w:color w:val="auto"/>
              </w:rPr>
            </w:pPr>
          </w:p>
        </w:tc>
        <w:tc>
          <w:tcPr>
            <w:tcW w:w="540" w:type="dxa"/>
            <w:vAlign w:val="bottom"/>
            <w:gridSpan w:val="2"/>
          </w:tcPr>
          <w:p>
            <w:pPr>
              <w:jc w:val="right"/>
              <w:spacing w:after="0" w:line="120" w:lineRule="exact"/>
              <w:rPr>
                <w:sz w:val="20"/>
                <w:szCs w:val="20"/>
                <w:color w:val="auto"/>
              </w:rPr>
            </w:pPr>
            <w:r>
              <w:rPr>
                <w:rFonts w:ascii="Arial" w:cs="Arial" w:eastAsia="Arial" w:hAnsi="Arial"/>
                <w:sz w:val="12"/>
                <w:szCs w:val="12"/>
                <w:b w:val="1"/>
                <w:bCs w:val="1"/>
                <w:color w:val="auto"/>
              </w:rPr>
              <w:t>Average</w:t>
            </w:r>
          </w:p>
        </w:tc>
        <w:tc>
          <w:tcPr>
            <w:tcW w:w="160" w:type="dxa"/>
            <w:vAlign w:val="bottom"/>
          </w:tcPr>
          <w:p>
            <w:pPr>
              <w:spacing w:after="0"/>
              <w:rPr>
                <w:sz w:val="10"/>
                <w:szCs w:val="10"/>
                <w:color w:val="auto"/>
              </w:rPr>
            </w:pPr>
          </w:p>
        </w:tc>
        <w:tc>
          <w:tcPr>
            <w:tcW w:w="600" w:type="dxa"/>
            <w:vAlign w:val="bottom"/>
            <w:gridSpan w:val="2"/>
          </w:tcPr>
          <w:p>
            <w:pPr>
              <w:ind w:left="20"/>
              <w:spacing w:after="0" w:line="120" w:lineRule="exact"/>
              <w:rPr>
                <w:sz w:val="20"/>
                <w:szCs w:val="20"/>
                <w:color w:val="auto"/>
              </w:rPr>
            </w:pPr>
            <w:r>
              <w:rPr>
                <w:rFonts w:ascii="Arial" w:cs="Arial" w:eastAsia="Arial" w:hAnsi="Arial"/>
                <w:sz w:val="12"/>
                <w:szCs w:val="12"/>
                <w:b w:val="1"/>
                <w:bCs w:val="1"/>
                <w:color w:val="auto"/>
              </w:rPr>
              <w:t>Average</w:t>
            </w:r>
          </w:p>
        </w:tc>
        <w:tc>
          <w:tcPr>
            <w:tcW w:w="560" w:type="dxa"/>
            <w:vAlign w:val="bottom"/>
          </w:tcPr>
          <w:p>
            <w:pPr>
              <w:spacing w:after="0"/>
              <w:rPr>
                <w:sz w:val="10"/>
                <w:szCs w:val="10"/>
                <w:color w:val="auto"/>
              </w:rPr>
            </w:pPr>
          </w:p>
        </w:tc>
        <w:tc>
          <w:tcPr>
            <w:tcW w:w="540" w:type="dxa"/>
            <w:vAlign w:val="bottom"/>
            <w:gridSpan w:val="2"/>
          </w:tcPr>
          <w:p>
            <w:pPr>
              <w:jc w:val="right"/>
              <w:spacing w:after="0" w:line="120" w:lineRule="exact"/>
              <w:rPr>
                <w:sz w:val="20"/>
                <w:szCs w:val="20"/>
                <w:color w:val="auto"/>
              </w:rPr>
            </w:pPr>
            <w:r>
              <w:rPr>
                <w:rFonts w:ascii="Arial" w:cs="Arial" w:eastAsia="Arial" w:hAnsi="Arial"/>
                <w:sz w:val="12"/>
                <w:szCs w:val="12"/>
                <w:b w:val="1"/>
                <w:bCs w:val="1"/>
                <w:color w:val="auto"/>
              </w:rPr>
              <w:t>Average</w:t>
            </w:r>
          </w:p>
        </w:tc>
        <w:tc>
          <w:tcPr>
            <w:tcW w:w="180" w:type="dxa"/>
            <w:vAlign w:val="bottom"/>
          </w:tcPr>
          <w:p>
            <w:pPr>
              <w:spacing w:after="0"/>
              <w:rPr>
                <w:sz w:val="10"/>
                <w:szCs w:val="10"/>
                <w:color w:val="auto"/>
              </w:rPr>
            </w:pPr>
          </w:p>
        </w:tc>
        <w:tc>
          <w:tcPr>
            <w:tcW w:w="580" w:type="dxa"/>
            <w:vAlign w:val="bottom"/>
            <w:gridSpan w:val="2"/>
          </w:tcPr>
          <w:p>
            <w:pPr>
              <w:ind w:left="20"/>
              <w:spacing w:after="0" w:line="120" w:lineRule="exact"/>
              <w:rPr>
                <w:sz w:val="20"/>
                <w:szCs w:val="20"/>
                <w:color w:val="auto"/>
              </w:rPr>
            </w:pPr>
            <w:r>
              <w:rPr>
                <w:rFonts w:ascii="Arial" w:cs="Arial" w:eastAsia="Arial" w:hAnsi="Arial"/>
                <w:sz w:val="12"/>
                <w:szCs w:val="12"/>
                <w:b w:val="1"/>
                <w:bCs w:val="1"/>
                <w:color w:val="auto"/>
              </w:rPr>
              <w:t>Average</w:t>
            </w: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jc w:val="right"/>
              <w:spacing w:after="0" w:line="120" w:lineRule="exact"/>
              <w:rPr>
                <w:sz w:val="20"/>
                <w:szCs w:val="20"/>
                <w:color w:val="auto"/>
              </w:rPr>
            </w:pPr>
            <w:r>
              <w:rPr>
                <w:rFonts w:ascii="Arial" w:cs="Arial" w:eastAsia="Arial" w:hAnsi="Arial"/>
                <w:sz w:val="12"/>
                <w:szCs w:val="12"/>
                <w:b w:val="1"/>
                <w:bCs w:val="1"/>
                <w:color w:val="auto"/>
                <w:w w:val="84"/>
              </w:rPr>
              <w:t>Average</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200" w:type="dxa"/>
            <w:vAlign w:val="bottom"/>
          </w:tcPr>
          <w:p>
            <w:pPr>
              <w:spacing w:after="0"/>
              <w:rPr>
                <w:sz w:val="13"/>
                <w:szCs w:val="13"/>
                <w:color w:val="auto"/>
              </w:rPr>
            </w:pPr>
          </w:p>
        </w:tc>
        <w:tc>
          <w:tcPr>
            <w:tcW w:w="580" w:type="dxa"/>
            <w:vAlign w:val="bottom"/>
            <w:gridSpan w:val="3"/>
          </w:tcPr>
          <w:p>
            <w:pPr>
              <w:ind w:left="40"/>
              <w:spacing w:after="0"/>
              <w:rPr>
                <w:sz w:val="20"/>
                <w:szCs w:val="20"/>
                <w:color w:val="auto"/>
              </w:rPr>
            </w:pPr>
            <w:r>
              <w:rPr>
                <w:rFonts w:ascii="Arial" w:cs="Arial" w:eastAsia="Arial" w:hAnsi="Arial"/>
                <w:sz w:val="12"/>
                <w:szCs w:val="12"/>
                <w:b w:val="1"/>
                <w:bCs w:val="1"/>
                <w:color w:val="auto"/>
              </w:rPr>
              <w:t>Balance</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ind w:right="39"/>
              <w:spacing w:after="0"/>
              <w:rPr>
                <w:sz w:val="20"/>
                <w:szCs w:val="20"/>
                <w:color w:val="auto"/>
              </w:rPr>
            </w:pPr>
            <w:r>
              <w:rPr>
                <w:rFonts w:ascii="Arial" w:cs="Arial" w:eastAsia="Arial" w:hAnsi="Arial"/>
                <w:sz w:val="12"/>
                <w:szCs w:val="12"/>
                <w:b w:val="1"/>
                <w:bCs w:val="1"/>
                <w:color w:val="auto"/>
                <w:w w:val="87"/>
              </w:rPr>
              <w:t>Interest</w:t>
            </w:r>
          </w:p>
        </w:tc>
        <w:tc>
          <w:tcPr>
            <w:tcW w:w="120" w:type="dxa"/>
            <w:vAlign w:val="bottom"/>
          </w:tcPr>
          <w:p>
            <w:pPr>
              <w:spacing w:after="0"/>
              <w:rPr>
                <w:sz w:val="13"/>
                <w:szCs w:val="13"/>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rPr>
              <w:t>Rate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Balance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Interest</w:t>
            </w:r>
          </w:p>
        </w:tc>
        <w:tc>
          <w:tcPr>
            <w:tcW w:w="60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rPr>
              <w:t>Rate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Balance</w:t>
            </w:r>
          </w:p>
        </w:tc>
        <w:tc>
          <w:tcPr>
            <w:tcW w:w="560" w:type="dxa"/>
            <w:vAlign w:val="bottom"/>
          </w:tcPr>
          <w:p>
            <w:pPr>
              <w:jc w:val="right"/>
              <w:ind w:right="19"/>
              <w:spacing w:after="0"/>
              <w:rPr>
                <w:sz w:val="20"/>
                <w:szCs w:val="20"/>
                <w:color w:val="auto"/>
              </w:rPr>
            </w:pPr>
            <w:r>
              <w:rPr>
                <w:rFonts w:ascii="Arial" w:cs="Arial" w:eastAsia="Arial" w:hAnsi="Arial"/>
                <w:sz w:val="12"/>
                <w:szCs w:val="12"/>
                <w:b w:val="1"/>
                <w:bCs w:val="1"/>
                <w:color w:val="auto"/>
              </w:rPr>
              <w:t>Interest</w:t>
            </w:r>
          </w:p>
        </w:tc>
        <w:tc>
          <w:tcPr>
            <w:tcW w:w="100" w:type="dxa"/>
            <w:vAlign w:val="bottom"/>
          </w:tcPr>
          <w:p>
            <w:pPr>
              <w:spacing w:after="0"/>
              <w:rPr>
                <w:sz w:val="13"/>
                <w:szCs w:val="13"/>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rPr>
              <w:t>Rate</w:t>
            </w: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rPr>
              <w:t>Balance</w:t>
            </w:r>
          </w:p>
        </w:tc>
        <w:tc>
          <w:tcPr>
            <w:tcW w:w="560" w:type="dxa"/>
            <w:vAlign w:val="bottom"/>
          </w:tcPr>
          <w:p>
            <w:pPr>
              <w:jc w:val="right"/>
              <w:ind w:right="19"/>
              <w:spacing w:after="0"/>
              <w:rPr>
                <w:sz w:val="20"/>
                <w:szCs w:val="20"/>
                <w:color w:val="auto"/>
              </w:rPr>
            </w:pPr>
            <w:r>
              <w:rPr>
                <w:rFonts w:ascii="Arial" w:cs="Arial" w:eastAsia="Arial" w:hAnsi="Arial"/>
                <w:sz w:val="12"/>
                <w:szCs w:val="12"/>
                <w:b w:val="1"/>
                <w:bCs w:val="1"/>
                <w:color w:val="auto"/>
              </w:rPr>
              <w:t>Interest</w:t>
            </w:r>
          </w:p>
        </w:tc>
        <w:tc>
          <w:tcPr>
            <w:tcW w:w="120" w:type="dxa"/>
            <w:vAlign w:val="bottom"/>
          </w:tcPr>
          <w:p>
            <w:pPr>
              <w:spacing w:after="0"/>
              <w:rPr>
                <w:sz w:val="13"/>
                <w:szCs w:val="13"/>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rPr>
              <w:t>Rate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Balance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Interest</w:t>
            </w:r>
          </w:p>
        </w:tc>
        <w:tc>
          <w:tcPr>
            <w:tcW w:w="54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Rate</w:t>
            </w:r>
          </w:p>
        </w:tc>
        <w:tc>
          <w:tcPr>
            <w:tcW w:w="0" w:type="dxa"/>
            <w:vAlign w:val="bottom"/>
          </w:tcPr>
          <w:p>
            <w:pPr>
              <w:spacing w:after="0"/>
              <w:rPr>
                <w:sz w:val="1"/>
                <w:szCs w:val="1"/>
                <w:color w:val="auto"/>
              </w:rPr>
            </w:pPr>
          </w:p>
        </w:tc>
      </w:tr>
      <w:tr>
        <w:trPr>
          <w:trHeight w:val="138"/>
        </w:trPr>
        <w:tc>
          <w:tcPr>
            <w:tcW w:w="2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300" w:type="dxa"/>
            <w:vAlign w:val="bottom"/>
            <w:tcBorders>
              <w:top w:val="single" w:sz="8" w:color="auto"/>
            </w:tcBorders>
            <w:gridSpan w:val="13"/>
          </w:tcPr>
          <w:p>
            <w:pPr>
              <w:jc w:val="right"/>
              <w:ind w:right="279"/>
              <w:spacing w:after="0"/>
              <w:rPr>
                <w:sz w:val="20"/>
                <w:szCs w:val="20"/>
                <w:color w:val="auto"/>
              </w:rPr>
            </w:pPr>
            <w:r>
              <w:rPr>
                <w:rFonts w:ascii="Arial" w:cs="Arial" w:eastAsia="Arial" w:hAnsi="Arial"/>
                <w:sz w:val="12"/>
                <w:szCs w:val="12"/>
                <w:b w:val="1"/>
                <w:bCs w:val="1"/>
                <w:color w:val="auto"/>
                <w:w w:val="96"/>
              </w:rPr>
              <w:t>(Average balance in millions of dollars; interest in thousands of dollars)</w:t>
            </w:r>
          </w:p>
        </w:tc>
        <w:tc>
          <w:tcPr>
            <w:tcW w:w="1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20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Assets</w:t>
            </w: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200" w:type="dxa"/>
            <w:vAlign w:val="bottom"/>
          </w:tcPr>
          <w:p>
            <w:pPr>
              <w:spacing w:after="0"/>
              <w:rPr>
                <w:sz w:val="20"/>
                <w:szCs w:val="20"/>
                <w:color w:val="auto"/>
              </w:rPr>
            </w:pPr>
            <w:r>
              <w:rPr>
                <w:rFonts w:ascii="Arial" w:cs="Arial" w:eastAsia="Arial" w:hAnsi="Arial"/>
                <w:sz w:val="12"/>
                <w:szCs w:val="12"/>
                <w:color w:val="auto"/>
              </w:rPr>
              <w:t>Earning assets</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200" w:type="dxa"/>
            <w:vAlign w:val="bottom"/>
            <w:shd w:val="clear" w:color="auto" w:fill="CFF0FC"/>
          </w:tcPr>
          <w:p>
            <w:pPr>
              <w:spacing w:after="0" w:line="130" w:lineRule="exact"/>
              <w:rPr>
                <w:sz w:val="20"/>
                <w:szCs w:val="20"/>
                <w:color w:val="auto"/>
              </w:rPr>
            </w:pPr>
            <w:r>
              <w:rPr>
                <w:rFonts w:ascii="Arial" w:cs="Arial" w:eastAsia="Arial" w:hAnsi="Arial"/>
                <w:sz w:val="12"/>
                <w:szCs w:val="12"/>
                <w:color w:val="auto"/>
              </w:rPr>
              <w:t>Loans and leases, net of unearned</w:t>
            </w: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200" w:type="dxa"/>
            <w:vAlign w:val="bottom"/>
            <w:shd w:val="clear" w:color="auto" w:fill="CFF0FC"/>
          </w:tcPr>
          <w:p>
            <w:pPr>
              <w:spacing w:after="0"/>
              <w:rPr>
                <w:sz w:val="20"/>
                <w:szCs w:val="20"/>
                <w:color w:val="auto"/>
              </w:rPr>
            </w:pPr>
            <w:r>
              <w:rPr>
                <w:rFonts w:ascii="Arial" w:cs="Arial" w:eastAsia="Arial" w:hAnsi="Arial"/>
                <w:sz w:val="12"/>
                <w:szCs w:val="12"/>
                <w:color w:val="auto"/>
              </w:rPr>
              <w:t>discount(a)</w:t>
            </w: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200" w:type="dxa"/>
            <w:vAlign w:val="bottom"/>
          </w:tcPr>
          <w:p>
            <w:pPr>
              <w:ind w:left="240"/>
              <w:spacing w:after="0"/>
              <w:rPr>
                <w:sz w:val="20"/>
                <w:szCs w:val="20"/>
                <w:color w:val="auto"/>
              </w:rPr>
            </w:pPr>
            <w:r>
              <w:rPr>
                <w:rFonts w:ascii="Arial" w:cs="Arial" w:eastAsia="Arial" w:hAnsi="Arial"/>
                <w:sz w:val="12"/>
                <w:szCs w:val="12"/>
                <w:color w:val="auto"/>
              </w:rPr>
              <w:t>Commercial, financial, etc.</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rPr>
                <w:sz w:val="20"/>
                <w:szCs w:val="20"/>
                <w:color w:val="auto"/>
              </w:rPr>
            </w:pPr>
            <w:r>
              <w:rPr>
                <w:rFonts w:ascii="Arial" w:cs="Arial" w:eastAsia="Arial" w:hAnsi="Arial"/>
                <w:sz w:val="12"/>
                <w:szCs w:val="12"/>
                <w:color w:val="auto"/>
              </w:rPr>
              <w:t>21,981</w:t>
            </w:r>
          </w:p>
        </w:tc>
        <w:tc>
          <w:tcPr>
            <w:tcW w:w="80" w:type="dxa"/>
            <w:vAlign w:val="bottom"/>
          </w:tcPr>
          <w:p>
            <w:pPr>
              <w:spacing w:after="0"/>
              <w:rPr>
                <w:sz w:val="12"/>
                <w:szCs w:val="12"/>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853,389</w:t>
            </w:r>
          </w:p>
        </w:tc>
        <w:tc>
          <w:tcPr>
            <w:tcW w:w="720" w:type="dxa"/>
            <w:vAlign w:val="bottom"/>
            <w:gridSpan w:val="3"/>
          </w:tcPr>
          <w:p>
            <w:pPr>
              <w:jc w:val="right"/>
              <w:ind w:right="80"/>
              <w:spacing w:after="0"/>
              <w:rPr>
                <w:sz w:val="20"/>
                <w:szCs w:val="20"/>
                <w:color w:val="auto"/>
              </w:rPr>
            </w:pPr>
            <w:r>
              <w:rPr>
                <w:rFonts w:ascii="Arial" w:cs="Arial" w:eastAsia="Arial" w:hAnsi="Arial"/>
                <w:sz w:val="12"/>
                <w:szCs w:val="12"/>
                <w:color w:val="auto"/>
              </w:rPr>
              <w:t>3.88%</w:t>
            </w:r>
          </w:p>
        </w:tc>
        <w:tc>
          <w:tcPr>
            <w:tcW w:w="480" w:type="dxa"/>
            <w:vAlign w:val="bottom"/>
          </w:tcPr>
          <w:p>
            <w:pPr>
              <w:jc w:val="right"/>
              <w:spacing w:after="0"/>
              <w:rPr>
                <w:sz w:val="20"/>
                <w:szCs w:val="20"/>
                <w:color w:val="auto"/>
              </w:rPr>
            </w:pPr>
            <w:r>
              <w:rPr>
                <w:rFonts w:ascii="Arial" w:cs="Arial" w:eastAsia="Arial" w:hAnsi="Arial"/>
                <w:sz w:val="12"/>
                <w:szCs w:val="12"/>
                <w:color w:val="auto"/>
              </w:rPr>
              <w:t>21,397</w:t>
            </w: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736,240</w:t>
            </w:r>
          </w:p>
        </w:tc>
        <w:tc>
          <w:tcPr>
            <w:tcW w:w="100" w:type="dxa"/>
            <w:vAlign w:val="bottom"/>
          </w:tcPr>
          <w:p>
            <w:pPr>
              <w:spacing w:after="0"/>
              <w:rPr>
                <w:sz w:val="12"/>
                <w:szCs w:val="12"/>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2"/>
                <w:szCs w:val="12"/>
                <w:color w:val="auto"/>
              </w:rPr>
              <w:t>3.44%</w:t>
            </w:r>
          </w:p>
        </w:tc>
        <w:tc>
          <w:tcPr>
            <w:tcW w:w="480" w:type="dxa"/>
            <w:vAlign w:val="bottom"/>
          </w:tcPr>
          <w:p>
            <w:pPr>
              <w:jc w:val="right"/>
              <w:spacing w:after="0"/>
              <w:rPr>
                <w:sz w:val="20"/>
                <w:szCs w:val="20"/>
                <w:color w:val="auto"/>
              </w:rPr>
            </w:pPr>
            <w:r>
              <w:rPr>
                <w:rFonts w:ascii="Arial" w:cs="Arial" w:eastAsia="Arial" w:hAnsi="Arial"/>
                <w:sz w:val="12"/>
                <w:szCs w:val="12"/>
                <w:color w:val="auto"/>
              </w:rPr>
              <w:t>19,899</w:t>
            </w: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638,199</w:t>
            </w:r>
          </w:p>
        </w:tc>
        <w:tc>
          <w:tcPr>
            <w:tcW w:w="700" w:type="dxa"/>
            <w:vAlign w:val="bottom"/>
            <w:gridSpan w:val="3"/>
          </w:tcPr>
          <w:p>
            <w:pPr>
              <w:jc w:val="right"/>
              <w:ind w:right="60"/>
              <w:spacing w:after="0"/>
              <w:rPr>
                <w:sz w:val="20"/>
                <w:szCs w:val="20"/>
                <w:color w:val="auto"/>
              </w:rPr>
            </w:pPr>
            <w:r>
              <w:rPr>
                <w:rFonts w:ascii="Arial" w:cs="Arial" w:eastAsia="Arial" w:hAnsi="Arial"/>
                <w:sz w:val="12"/>
                <w:szCs w:val="12"/>
                <w:color w:val="auto"/>
              </w:rPr>
              <w:t>3.21%</w:t>
            </w:r>
          </w:p>
        </w:tc>
        <w:tc>
          <w:tcPr>
            <w:tcW w:w="480" w:type="dxa"/>
            <w:vAlign w:val="bottom"/>
          </w:tcPr>
          <w:p>
            <w:pPr>
              <w:jc w:val="right"/>
              <w:spacing w:after="0"/>
              <w:rPr>
                <w:sz w:val="20"/>
                <w:szCs w:val="20"/>
                <w:color w:val="auto"/>
              </w:rPr>
            </w:pPr>
            <w:r>
              <w:rPr>
                <w:rFonts w:ascii="Arial" w:cs="Arial" w:eastAsia="Arial" w:hAnsi="Arial"/>
                <w:sz w:val="12"/>
                <w:szCs w:val="12"/>
                <w:color w:val="auto"/>
              </w:rPr>
              <w:t>18,867</w:t>
            </w: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624,487</w:t>
            </w:r>
          </w:p>
        </w:tc>
        <w:tc>
          <w:tcPr>
            <w:tcW w:w="720" w:type="dxa"/>
            <w:vAlign w:val="bottom"/>
            <w:gridSpan w:val="3"/>
          </w:tcPr>
          <w:p>
            <w:pPr>
              <w:jc w:val="right"/>
              <w:ind w:right="80"/>
              <w:spacing w:after="0"/>
              <w:rPr>
                <w:sz w:val="20"/>
                <w:szCs w:val="20"/>
                <w:color w:val="auto"/>
              </w:rPr>
            </w:pPr>
            <w:r>
              <w:rPr>
                <w:rFonts w:ascii="Arial" w:cs="Arial" w:eastAsia="Arial" w:hAnsi="Arial"/>
                <w:sz w:val="12"/>
                <w:szCs w:val="12"/>
                <w:color w:val="auto"/>
              </w:rPr>
              <w:t>3.31%</w:t>
            </w:r>
          </w:p>
        </w:tc>
        <w:tc>
          <w:tcPr>
            <w:tcW w:w="460" w:type="dxa"/>
            <w:vAlign w:val="bottom"/>
          </w:tcPr>
          <w:p>
            <w:pPr>
              <w:jc w:val="right"/>
              <w:spacing w:after="0"/>
              <w:rPr>
                <w:sz w:val="20"/>
                <w:szCs w:val="20"/>
                <w:color w:val="auto"/>
              </w:rPr>
            </w:pPr>
            <w:r>
              <w:rPr>
                <w:rFonts w:ascii="Arial" w:cs="Arial" w:eastAsia="Arial" w:hAnsi="Arial"/>
                <w:sz w:val="12"/>
                <w:szCs w:val="12"/>
                <w:color w:val="auto"/>
              </w:rPr>
              <w:t>17,736</w:t>
            </w: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628,154</w:t>
            </w:r>
          </w:p>
        </w:tc>
        <w:tc>
          <w:tcPr>
            <w:tcW w:w="100" w:type="dxa"/>
            <w:vAlign w:val="bottom"/>
          </w:tcPr>
          <w:p>
            <w:pPr>
              <w:spacing w:after="0"/>
              <w:rPr>
                <w:sz w:val="12"/>
                <w:szCs w:val="12"/>
                <w:color w:val="auto"/>
              </w:rPr>
            </w:pP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3.54%</w:t>
            </w:r>
          </w:p>
        </w:tc>
        <w:tc>
          <w:tcPr>
            <w:tcW w:w="0" w:type="dxa"/>
            <w:vAlign w:val="bottom"/>
          </w:tcPr>
          <w:p>
            <w:pPr>
              <w:spacing w:after="0"/>
              <w:rPr>
                <w:sz w:val="1"/>
                <w:szCs w:val="1"/>
                <w:color w:val="auto"/>
              </w:rPr>
            </w:pPr>
          </w:p>
        </w:tc>
      </w:tr>
      <w:tr>
        <w:trPr>
          <w:trHeight w:val="145"/>
        </w:trPr>
        <w:tc>
          <w:tcPr>
            <w:tcW w:w="2200" w:type="dxa"/>
            <w:vAlign w:val="bottom"/>
            <w:shd w:val="clear" w:color="auto" w:fill="CFF0FC"/>
          </w:tcPr>
          <w:p>
            <w:pPr>
              <w:ind w:left="240"/>
              <w:spacing w:after="0"/>
              <w:rPr>
                <w:sz w:val="20"/>
                <w:szCs w:val="20"/>
                <w:color w:val="auto"/>
              </w:rPr>
            </w:pPr>
            <w:r>
              <w:rPr>
                <w:rFonts w:ascii="Arial" w:cs="Arial" w:eastAsia="Arial" w:hAnsi="Arial"/>
                <w:sz w:val="12"/>
                <w:szCs w:val="12"/>
                <w:color w:val="auto"/>
              </w:rPr>
              <w:t>Real estate — commercial</w:t>
            </w: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33,196</w:t>
            </w: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2"/>
                <w:szCs w:val="12"/>
                <w:color w:val="auto"/>
                <w:w w:val="89"/>
              </w:rPr>
              <w:t>1,481,427</w:t>
            </w: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4.40</w:t>
            </w:r>
          </w:p>
        </w:tc>
        <w:tc>
          <w:tcPr>
            <w:tcW w:w="1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30,915</w:t>
            </w: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1,277,196</w:t>
            </w: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4.06</w:t>
            </w: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28,276</w:t>
            </w: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7"/>
              </w:rPr>
              <w:t>1,193,271</w:t>
            </w: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4.16</w:t>
            </w: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26,461</w:t>
            </w: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1,142,939</w:t>
            </w: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4.26</w:t>
            </w:r>
          </w:p>
        </w:tc>
        <w:tc>
          <w:tcPr>
            <w:tcW w:w="18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26,083</w:t>
            </w: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1,198,400</w:t>
            </w: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4.53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200" w:type="dxa"/>
            <w:vAlign w:val="bottom"/>
          </w:tcPr>
          <w:p>
            <w:pPr>
              <w:ind w:left="240"/>
              <w:spacing w:after="0"/>
              <w:rPr>
                <w:sz w:val="20"/>
                <w:szCs w:val="20"/>
                <w:color w:val="auto"/>
              </w:rPr>
            </w:pPr>
            <w:r>
              <w:rPr>
                <w:rFonts w:ascii="Arial" w:cs="Arial" w:eastAsia="Arial" w:hAnsi="Arial"/>
                <w:sz w:val="12"/>
                <w:szCs w:val="12"/>
                <w:color w:val="auto"/>
              </w:rPr>
              <w:t>Real estate — consumer</w:t>
            </w: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21,013</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832,574</w:t>
            </w: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3.96</w:t>
            </w:r>
          </w:p>
        </w:tc>
        <w:tc>
          <w:tcPr>
            <w:tcW w:w="1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24,463</w:t>
            </w: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958,521</w:t>
            </w: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3.92</w:t>
            </w:r>
          </w:p>
        </w:tc>
        <w:tc>
          <w:tcPr>
            <w:tcW w:w="1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11,458</w:t>
            </w: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468,790</w:t>
            </w: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4.09</w:t>
            </w:r>
          </w:p>
        </w:tc>
        <w:tc>
          <w:tcPr>
            <w:tcW w:w="1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8,719</w:t>
            </w: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368,632</w:t>
            </w: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4.23</w:t>
            </w:r>
          </w:p>
        </w:tc>
        <w:tc>
          <w:tcPr>
            <w:tcW w:w="1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10,136</w:t>
            </w: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418,095</w:t>
            </w: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4.12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200" w:type="dxa"/>
            <w:vAlign w:val="bottom"/>
            <w:shd w:val="clear" w:color="auto" w:fill="CFF0FC"/>
          </w:tcPr>
          <w:p>
            <w:pPr>
              <w:ind w:left="240"/>
              <w:spacing w:after="0"/>
              <w:rPr>
                <w:sz w:val="20"/>
                <w:szCs w:val="20"/>
                <w:color w:val="auto"/>
              </w:rPr>
            </w:pPr>
            <w:r>
              <w:rPr>
                <w:rFonts w:ascii="Arial" w:cs="Arial" w:eastAsia="Arial" w:hAnsi="Arial"/>
                <w:sz w:val="12"/>
                <w:szCs w:val="12"/>
                <w:color w:val="auto"/>
              </w:rPr>
              <w:t>Consumer</w:t>
            </w: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12,625</w:t>
            </w: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608,253</w:t>
            </w: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4.82</w:t>
            </w:r>
          </w:p>
        </w:tc>
        <w:tc>
          <w:tcPr>
            <w:tcW w:w="1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11,841</w:t>
            </w: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538,144</w:t>
            </w: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4.54</w:t>
            </w: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11,203</w:t>
            </w: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499,650</w:t>
            </w: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4.46</w:t>
            </w: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10,618</w:t>
            </w: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480,877</w:t>
            </w: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4.53</w:t>
            </w:r>
          </w:p>
        </w:tc>
        <w:tc>
          <w:tcPr>
            <w:tcW w:w="18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11,098</w:t>
            </w: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510,962</w:t>
            </w: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4.60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200" w:type="dxa"/>
            <w:vAlign w:val="bottom"/>
            <w:tcBorders>
              <w:bottom w:val="single" w:sz="8" w:color="CFF0FC"/>
            </w:tcBorders>
          </w:tcPr>
          <w:p>
            <w:pPr>
              <w:ind w:left="480"/>
              <w:spacing w:after="0"/>
              <w:rPr>
                <w:sz w:val="20"/>
                <w:szCs w:val="20"/>
                <w:color w:val="auto"/>
              </w:rPr>
            </w:pPr>
            <w:r>
              <w:rPr>
                <w:rFonts w:ascii="Arial" w:cs="Arial" w:eastAsia="Arial" w:hAnsi="Arial"/>
                <w:sz w:val="12"/>
                <w:szCs w:val="12"/>
                <w:color w:val="auto"/>
              </w:rPr>
              <w:t>Total loans and leases, net</w:t>
            </w:r>
          </w:p>
        </w:tc>
        <w:tc>
          <w:tcPr>
            <w:tcW w:w="8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88,815</w:t>
            </w:r>
          </w:p>
        </w:tc>
        <w:tc>
          <w:tcPr>
            <w:tcW w:w="80" w:type="dxa"/>
            <w:vAlign w:val="bottom"/>
            <w:tcBorders>
              <w:bottom w:val="single" w:sz="8" w:color="CFF0FC"/>
            </w:tcBorders>
          </w:tcPr>
          <w:p>
            <w:pPr>
              <w:spacing w:after="0"/>
              <w:rPr>
                <w:sz w:val="11"/>
                <w:szCs w:val="11"/>
                <w:color w:val="auto"/>
              </w:rPr>
            </w:pPr>
          </w:p>
        </w:tc>
        <w:tc>
          <w:tcPr>
            <w:tcW w:w="40" w:type="dxa"/>
            <w:vAlign w:val="bottom"/>
            <w:tcBorders>
              <w:bottom w:val="single" w:sz="8" w:color="CFF0FC"/>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3,775,643</w:t>
            </w:r>
          </w:p>
        </w:tc>
        <w:tc>
          <w:tcPr>
            <w:tcW w:w="120" w:type="dxa"/>
            <w:vAlign w:val="bottom"/>
            <w:tcBorders>
              <w:bottom w:val="single" w:sz="8" w:color="CFF0FC"/>
            </w:tcBorders>
          </w:tcPr>
          <w:p>
            <w:pPr>
              <w:spacing w:after="0"/>
              <w:rPr>
                <w:sz w:val="11"/>
                <w:szCs w:val="11"/>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4.25</w:t>
            </w:r>
          </w:p>
        </w:tc>
        <w:tc>
          <w:tcPr>
            <w:tcW w:w="180" w:type="dxa"/>
            <w:vAlign w:val="bottom"/>
            <w:tcBorders>
              <w:bottom w:val="single" w:sz="8" w:color="CFF0FC"/>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88,616</w:t>
            </w:r>
          </w:p>
        </w:tc>
        <w:tc>
          <w:tcPr>
            <w:tcW w:w="100" w:type="dxa"/>
            <w:vAlign w:val="bottom"/>
            <w:tcBorders>
              <w:bottom w:val="single" w:sz="8" w:color="CFF0FC"/>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3,510,101</w:t>
            </w:r>
          </w:p>
        </w:tc>
        <w:tc>
          <w:tcPr>
            <w:tcW w:w="100" w:type="dxa"/>
            <w:vAlign w:val="bottom"/>
            <w:tcBorders>
              <w:bottom w:val="single" w:sz="8" w:color="CFF0FC"/>
            </w:tcBorders>
          </w:tcPr>
          <w:p>
            <w:pPr>
              <w:spacing w:after="0"/>
              <w:rPr>
                <w:sz w:val="11"/>
                <w:szCs w:val="11"/>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3.96</w:t>
            </w:r>
          </w:p>
        </w:tc>
        <w:tc>
          <w:tcPr>
            <w:tcW w:w="160" w:type="dxa"/>
            <w:vAlign w:val="bottom"/>
            <w:tcBorders>
              <w:bottom w:val="single" w:sz="8" w:color="CFF0FC"/>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70,836</w:t>
            </w:r>
          </w:p>
        </w:tc>
        <w:tc>
          <w:tcPr>
            <w:tcW w:w="120" w:type="dxa"/>
            <w:vAlign w:val="bottom"/>
            <w:tcBorders>
              <w:bottom w:val="single" w:sz="8" w:color="CFF0FC"/>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97"/>
              </w:rPr>
              <w:t>2,799,910</w:t>
            </w:r>
          </w:p>
        </w:tc>
        <w:tc>
          <w:tcPr>
            <w:tcW w:w="100" w:type="dxa"/>
            <w:vAlign w:val="bottom"/>
            <w:tcBorders>
              <w:bottom w:val="single" w:sz="8" w:color="CFF0FC"/>
            </w:tcBorders>
          </w:tcPr>
          <w:p>
            <w:pPr>
              <w:spacing w:after="0"/>
              <w:rPr>
                <w:sz w:val="11"/>
                <w:szCs w:val="11"/>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3.95</w:t>
            </w:r>
          </w:p>
        </w:tc>
        <w:tc>
          <w:tcPr>
            <w:tcW w:w="160" w:type="dxa"/>
            <w:vAlign w:val="bottom"/>
            <w:tcBorders>
              <w:bottom w:val="single" w:sz="8" w:color="CFF0FC"/>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64,665</w:t>
            </w:r>
          </w:p>
        </w:tc>
        <w:tc>
          <w:tcPr>
            <w:tcW w:w="120" w:type="dxa"/>
            <w:vAlign w:val="bottom"/>
            <w:tcBorders>
              <w:bottom w:val="single" w:sz="8" w:color="CFF0FC"/>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2,616,935</w:t>
            </w:r>
          </w:p>
        </w:tc>
        <w:tc>
          <w:tcPr>
            <w:tcW w:w="120" w:type="dxa"/>
            <w:vAlign w:val="bottom"/>
            <w:tcBorders>
              <w:bottom w:val="single" w:sz="8" w:color="CFF0FC"/>
            </w:tcBorders>
          </w:tcPr>
          <w:p>
            <w:pPr>
              <w:spacing w:after="0"/>
              <w:rPr>
                <w:sz w:val="11"/>
                <w:szCs w:val="11"/>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4.05</w:t>
            </w:r>
          </w:p>
        </w:tc>
        <w:tc>
          <w:tcPr>
            <w:tcW w:w="180" w:type="dxa"/>
            <w:vAlign w:val="bottom"/>
            <w:tcBorders>
              <w:bottom w:val="single" w:sz="8" w:color="CFF0FC"/>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65,053</w:t>
            </w:r>
          </w:p>
        </w:tc>
        <w:tc>
          <w:tcPr>
            <w:tcW w:w="120" w:type="dxa"/>
            <w:vAlign w:val="bottom"/>
            <w:tcBorders>
              <w:bottom w:val="single" w:sz="8" w:color="CFF0FC"/>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2,755,611</w:t>
            </w:r>
          </w:p>
        </w:tc>
        <w:tc>
          <w:tcPr>
            <w:tcW w:w="100" w:type="dxa"/>
            <w:vAlign w:val="bottom"/>
            <w:tcBorders>
              <w:bottom w:val="single" w:sz="8" w:color="CFF0FC"/>
            </w:tcBorders>
          </w:tcPr>
          <w:p>
            <w:pPr>
              <w:spacing w:after="0"/>
              <w:rPr>
                <w:sz w:val="11"/>
                <w:szCs w:val="11"/>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4.24</w:t>
            </w:r>
          </w:p>
        </w:tc>
        <w:tc>
          <w:tcPr>
            <w:tcW w:w="12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200" w:type="dxa"/>
            <w:vAlign w:val="bottom"/>
            <w:shd w:val="clear" w:color="auto" w:fill="CFF0FC"/>
          </w:tcPr>
          <w:p>
            <w:pPr>
              <w:spacing w:after="0"/>
              <w:rPr>
                <w:sz w:val="20"/>
                <w:szCs w:val="20"/>
                <w:color w:val="auto"/>
              </w:rPr>
            </w:pPr>
            <w:r>
              <w:rPr>
                <w:rFonts w:ascii="Arial" w:cs="Arial" w:eastAsia="Arial" w:hAnsi="Arial"/>
                <w:sz w:val="12"/>
                <w:szCs w:val="12"/>
                <w:color w:val="auto"/>
              </w:rPr>
              <w:t>Interest-bearing deposits at banks</w:t>
            </w: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5,578</w:t>
            </w:r>
          </w:p>
        </w:tc>
        <w:tc>
          <w:tcPr>
            <w:tcW w:w="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61,326</w:t>
            </w:r>
          </w:p>
        </w:tc>
        <w:tc>
          <w:tcPr>
            <w:tcW w:w="12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1.10</w:t>
            </w:r>
          </w:p>
        </w:tc>
        <w:tc>
          <w:tcPr>
            <w:tcW w:w="18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8,846</w:t>
            </w: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45,516</w:t>
            </w: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.51</w:t>
            </w:r>
          </w:p>
        </w:tc>
        <w:tc>
          <w:tcPr>
            <w:tcW w:w="16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5,775</w:t>
            </w: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15,252</w:t>
            </w: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.26</w:t>
            </w:r>
          </w:p>
        </w:tc>
        <w:tc>
          <w:tcPr>
            <w:tcW w:w="16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5,342</w:t>
            </w: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13,361</w:t>
            </w:r>
          </w:p>
        </w:tc>
        <w:tc>
          <w:tcPr>
            <w:tcW w:w="12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.25</w:t>
            </w:r>
          </w:p>
        </w:tc>
        <w:tc>
          <w:tcPr>
            <w:tcW w:w="180" w:type="dxa"/>
            <w:vAlign w:val="bottom"/>
            <w:shd w:val="clear" w:color="auto" w:fill="CFF0FC"/>
          </w:tcPr>
          <w:p>
            <w:pPr>
              <w:spacing w:after="0"/>
              <w:rPr>
                <w:sz w:val="11"/>
                <w:szCs w:val="11"/>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2,139</w:t>
            </w: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5,201</w:t>
            </w:r>
          </w:p>
        </w:tc>
        <w:tc>
          <w:tcPr>
            <w:tcW w:w="10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200" w:type="dxa"/>
            <w:vAlign w:val="bottom"/>
          </w:tcPr>
          <w:p>
            <w:pPr>
              <w:spacing w:after="0" w:line="130" w:lineRule="exact"/>
              <w:rPr>
                <w:sz w:val="20"/>
                <w:szCs w:val="20"/>
                <w:color w:val="auto"/>
              </w:rPr>
            </w:pPr>
            <w:r>
              <w:rPr>
                <w:rFonts w:ascii="Arial" w:cs="Arial" w:eastAsia="Arial" w:hAnsi="Arial"/>
                <w:sz w:val="12"/>
                <w:szCs w:val="12"/>
                <w:color w:val="auto"/>
                <w:w w:val="93"/>
              </w:rPr>
              <w:t>Federal funds sold and agreements to resell</w:t>
            </w: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200" w:type="dxa"/>
            <w:vAlign w:val="bottom"/>
          </w:tcPr>
          <w:p>
            <w:pPr>
              <w:ind w:left="100"/>
              <w:spacing w:after="0"/>
              <w:rPr>
                <w:sz w:val="20"/>
                <w:szCs w:val="20"/>
                <w:color w:val="auto"/>
              </w:rPr>
            </w:pPr>
            <w:r>
              <w:rPr>
                <w:rFonts w:ascii="Arial" w:cs="Arial" w:eastAsia="Arial" w:hAnsi="Arial"/>
                <w:sz w:val="12"/>
                <w:szCs w:val="12"/>
                <w:color w:val="auto"/>
              </w:rPr>
              <w:t>securities</w:t>
            </w:r>
          </w:p>
        </w:tc>
        <w:tc>
          <w:tcPr>
            <w:tcW w:w="80" w:type="dxa"/>
            <w:vAlign w:val="bottom"/>
          </w:tcPr>
          <w:p>
            <w:pPr>
              <w:spacing w:after="0"/>
              <w:rPr>
                <w:sz w:val="12"/>
                <w:szCs w:val="12"/>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6</w:t>
            </w: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1.56</w:t>
            </w:r>
          </w:p>
        </w:tc>
        <w:tc>
          <w:tcPr>
            <w:tcW w:w="180" w:type="dxa"/>
            <w:vAlign w:val="bottom"/>
          </w:tcPr>
          <w:p>
            <w:pPr>
              <w:spacing w:after="0"/>
              <w:rPr>
                <w:sz w:val="12"/>
                <w:szCs w:val="12"/>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.86</w:t>
            </w:r>
          </w:p>
        </w:tc>
        <w:tc>
          <w:tcPr>
            <w:tcW w:w="1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34</w:t>
            </w: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35</w:t>
            </w: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.10</w:t>
            </w:r>
          </w:p>
        </w:tc>
        <w:tc>
          <w:tcPr>
            <w:tcW w:w="1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89</w:t>
            </w: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64</w:t>
            </w: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.07</w:t>
            </w:r>
          </w:p>
        </w:tc>
        <w:tc>
          <w:tcPr>
            <w:tcW w:w="1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128</w:t>
            </w: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114</w:t>
            </w: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.09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200" w:type="dxa"/>
            <w:vAlign w:val="bottom"/>
            <w:shd w:val="clear" w:color="auto" w:fill="CFF0FC"/>
          </w:tcPr>
          <w:p>
            <w:pPr>
              <w:spacing w:after="0"/>
              <w:rPr>
                <w:sz w:val="20"/>
                <w:szCs w:val="20"/>
                <w:color w:val="auto"/>
              </w:rPr>
            </w:pPr>
            <w:r>
              <w:rPr>
                <w:rFonts w:ascii="Arial" w:cs="Arial" w:eastAsia="Arial" w:hAnsi="Arial"/>
                <w:sz w:val="12"/>
                <w:szCs w:val="12"/>
                <w:color w:val="auto"/>
              </w:rPr>
              <w:t>Trading account</w:t>
            </w: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71</w:t>
            </w: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1,202</w:t>
            </w: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1.70</w:t>
            </w:r>
          </w:p>
        </w:tc>
        <w:tc>
          <w:tcPr>
            <w:tcW w:w="1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85</w:t>
            </w: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1,442</w:t>
            </w: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1.71</w:t>
            </w: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86</w:t>
            </w: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1,247</w:t>
            </w: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1.44</w:t>
            </w: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76</w:t>
            </w: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1,381</w:t>
            </w: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1.81</w:t>
            </w:r>
          </w:p>
        </w:tc>
        <w:tc>
          <w:tcPr>
            <w:tcW w:w="18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78</w:t>
            </w: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1,482</w:t>
            </w: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200" w:type="dxa"/>
            <w:vAlign w:val="bottom"/>
          </w:tcPr>
          <w:p>
            <w:pPr>
              <w:spacing w:after="0"/>
              <w:rPr>
                <w:sz w:val="20"/>
                <w:szCs w:val="20"/>
                <w:color w:val="auto"/>
              </w:rPr>
            </w:pPr>
            <w:r>
              <w:rPr>
                <w:rFonts w:ascii="Arial" w:cs="Arial" w:eastAsia="Arial" w:hAnsi="Arial"/>
                <w:sz w:val="12"/>
                <w:szCs w:val="12"/>
                <w:color w:val="auto"/>
              </w:rPr>
              <w:t>Investment securities(b)</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200" w:type="dxa"/>
            <w:vAlign w:val="bottom"/>
            <w:shd w:val="clear" w:color="auto" w:fill="CFF0FC"/>
          </w:tcPr>
          <w:p>
            <w:pPr>
              <w:ind w:left="240"/>
              <w:spacing w:after="0"/>
              <w:rPr>
                <w:sz w:val="20"/>
                <w:szCs w:val="20"/>
                <w:color w:val="auto"/>
              </w:rPr>
            </w:pPr>
            <w:r>
              <w:rPr>
                <w:rFonts w:ascii="Arial" w:cs="Arial" w:eastAsia="Arial" w:hAnsi="Arial"/>
                <w:sz w:val="12"/>
                <w:szCs w:val="12"/>
                <w:color w:val="auto"/>
              </w:rPr>
              <w:t>U.S. Treasury and federal agencies</w:t>
            </w: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14,701</w:t>
            </w: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336,446</w:t>
            </w: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2.29</w:t>
            </w:r>
          </w:p>
        </w:tc>
        <w:tc>
          <w:tcPr>
            <w:tcW w:w="1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14,025</w:t>
            </w: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332,926</w:t>
            </w: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2.37</w:t>
            </w: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13,514</w:t>
            </w: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336,873</w:t>
            </w: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2.49</w:t>
            </w: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10,543</w:t>
            </w: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304,178</w:t>
            </w: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2.88</w:t>
            </w:r>
          </w:p>
        </w:tc>
        <w:tc>
          <w:tcPr>
            <w:tcW w:w="18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5,123</w:t>
            </w: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165,879</w:t>
            </w: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3.24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200" w:type="dxa"/>
            <w:vAlign w:val="bottom"/>
          </w:tcPr>
          <w:p>
            <w:pPr>
              <w:ind w:left="240"/>
              <w:spacing w:after="0" w:line="130" w:lineRule="exact"/>
              <w:rPr>
                <w:sz w:val="20"/>
                <w:szCs w:val="20"/>
                <w:color w:val="auto"/>
              </w:rPr>
            </w:pPr>
            <w:r>
              <w:rPr>
                <w:rFonts w:ascii="Arial" w:cs="Arial" w:eastAsia="Arial" w:hAnsi="Arial"/>
                <w:sz w:val="12"/>
                <w:szCs w:val="12"/>
                <w:color w:val="auto"/>
              </w:rPr>
              <w:t>Obligations of states and political</w:t>
            </w: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200" w:type="dxa"/>
            <w:vAlign w:val="bottom"/>
          </w:tcPr>
          <w:p>
            <w:pPr>
              <w:ind w:left="340"/>
              <w:spacing w:after="0"/>
              <w:rPr>
                <w:sz w:val="20"/>
                <w:szCs w:val="20"/>
                <w:color w:val="auto"/>
              </w:rPr>
            </w:pPr>
            <w:r>
              <w:rPr>
                <w:rFonts w:ascii="Arial" w:cs="Arial" w:eastAsia="Arial" w:hAnsi="Arial"/>
                <w:sz w:val="12"/>
                <w:szCs w:val="12"/>
                <w:color w:val="auto"/>
              </w:rPr>
              <w:t>subdivisions</w:t>
            </w: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43</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1,951</w:t>
            </w: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4.62</w:t>
            </w:r>
          </w:p>
        </w:tc>
        <w:tc>
          <w:tcPr>
            <w:tcW w:w="1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90</w:t>
            </w: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3,839</w:t>
            </w: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4.24</w:t>
            </w:r>
          </w:p>
        </w:tc>
        <w:tc>
          <w:tcPr>
            <w:tcW w:w="1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143</w:t>
            </w: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6,391</w:t>
            </w: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4.46</w:t>
            </w:r>
          </w:p>
        </w:tc>
        <w:tc>
          <w:tcPr>
            <w:tcW w:w="1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166</w:t>
            </w: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8,115</w:t>
            </w: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4.89</w:t>
            </w:r>
          </w:p>
        </w:tc>
        <w:tc>
          <w:tcPr>
            <w:tcW w:w="1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194</w:t>
            </w: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9,999</w:t>
            </w: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5.15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200" w:type="dxa"/>
            <w:vAlign w:val="bottom"/>
            <w:shd w:val="clear" w:color="auto" w:fill="CFF0FC"/>
          </w:tcPr>
          <w:p>
            <w:pPr>
              <w:ind w:left="240"/>
              <w:spacing w:after="0"/>
              <w:rPr>
                <w:sz w:val="20"/>
                <w:szCs w:val="20"/>
                <w:color w:val="auto"/>
              </w:rPr>
            </w:pPr>
            <w:r>
              <w:rPr>
                <w:rFonts w:ascii="Arial" w:cs="Arial" w:eastAsia="Arial" w:hAnsi="Arial"/>
                <w:sz w:val="12"/>
                <w:szCs w:val="12"/>
                <w:color w:val="auto"/>
              </w:rPr>
              <w:t>Other</w:t>
            </w: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794</w:t>
            </w: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25,791</w:t>
            </w: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3.25</w:t>
            </w:r>
          </w:p>
        </w:tc>
        <w:tc>
          <w:tcPr>
            <w:tcW w:w="1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894</w:t>
            </w: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29,006</w:t>
            </w: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3.24</w:t>
            </w: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799</w:t>
            </w: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35,599</w:t>
            </w: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4.45</w:t>
            </w: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800</w:t>
            </w: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36,485</w:t>
            </w: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4.56</w:t>
            </w:r>
          </w:p>
        </w:tc>
        <w:tc>
          <w:tcPr>
            <w:tcW w:w="18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1,298</w:t>
            </w: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44,019</w:t>
            </w: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3.39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200" w:type="dxa"/>
            <w:vAlign w:val="bottom"/>
            <w:tcBorders>
              <w:bottom w:val="single" w:sz="8" w:color="CFF0FC"/>
            </w:tcBorders>
          </w:tcPr>
          <w:p>
            <w:pPr>
              <w:ind w:left="480"/>
              <w:spacing w:after="0"/>
              <w:rPr>
                <w:sz w:val="20"/>
                <w:szCs w:val="20"/>
                <w:color w:val="auto"/>
              </w:rPr>
            </w:pPr>
            <w:r>
              <w:rPr>
                <w:rFonts w:ascii="Arial" w:cs="Arial" w:eastAsia="Arial" w:hAnsi="Arial"/>
                <w:sz w:val="12"/>
                <w:szCs w:val="12"/>
                <w:color w:val="auto"/>
              </w:rPr>
              <w:t>Total investment securities</w:t>
            </w:r>
          </w:p>
        </w:tc>
        <w:tc>
          <w:tcPr>
            <w:tcW w:w="8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15,538</w:t>
            </w:r>
          </w:p>
        </w:tc>
        <w:tc>
          <w:tcPr>
            <w:tcW w:w="80" w:type="dxa"/>
            <w:vAlign w:val="bottom"/>
            <w:tcBorders>
              <w:bottom w:val="single" w:sz="8" w:color="CFF0FC"/>
            </w:tcBorders>
          </w:tcPr>
          <w:p>
            <w:pPr>
              <w:spacing w:after="0"/>
              <w:rPr>
                <w:sz w:val="11"/>
                <w:szCs w:val="11"/>
                <w:color w:val="auto"/>
              </w:rPr>
            </w:pPr>
          </w:p>
        </w:tc>
        <w:tc>
          <w:tcPr>
            <w:tcW w:w="40" w:type="dxa"/>
            <w:vAlign w:val="bottom"/>
            <w:tcBorders>
              <w:bottom w:val="single" w:sz="8" w:color="CFF0FC"/>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364,188</w:t>
            </w:r>
          </w:p>
        </w:tc>
        <w:tc>
          <w:tcPr>
            <w:tcW w:w="120" w:type="dxa"/>
            <w:vAlign w:val="bottom"/>
            <w:tcBorders>
              <w:bottom w:val="single" w:sz="8" w:color="CFF0FC"/>
            </w:tcBorders>
          </w:tcPr>
          <w:p>
            <w:pPr>
              <w:spacing w:after="0"/>
              <w:rPr>
                <w:sz w:val="11"/>
                <w:szCs w:val="11"/>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2.34</w:t>
            </w:r>
          </w:p>
        </w:tc>
        <w:tc>
          <w:tcPr>
            <w:tcW w:w="180" w:type="dxa"/>
            <w:vAlign w:val="bottom"/>
            <w:tcBorders>
              <w:bottom w:val="single" w:sz="8" w:color="CFF0FC"/>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15,009</w:t>
            </w:r>
          </w:p>
        </w:tc>
        <w:tc>
          <w:tcPr>
            <w:tcW w:w="100" w:type="dxa"/>
            <w:vAlign w:val="bottom"/>
            <w:tcBorders>
              <w:bottom w:val="single" w:sz="8" w:color="CFF0FC"/>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365,771</w:t>
            </w:r>
          </w:p>
        </w:tc>
        <w:tc>
          <w:tcPr>
            <w:tcW w:w="100" w:type="dxa"/>
            <w:vAlign w:val="bottom"/>
            <w:tcBorders>
              <w:bottom w:val="single" w:sz="8" w:color="CFF0FC"/>
            </w:tcBorders>
          </w:tcPr>
          <w:p>
            <w:pPr>
              <w:spacing w:after="0"/>
              <w:rPr>
                <w:sz w:val="11"/>
                <w:szCs w:val="11"/>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2.44</w:t>
            </w:r>
          </w:p>
        </w:tc>
        <w:tc>
          <w:tcPr>
            <w:tcW w:w="160" w:type="dxa"/>
            <w:vAlign w:val="bottom"/>
            <w:tcBorders>
              <w:bottom w:val="single" w:sz="8" w:color="CFF0FC"/>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14,456</w:t>
            </w:r>
          </w:p>
        </w:tc>
        <w:tc>
          <w:tcPr>
            <w:tcW w:w="120" w:type="dxa"/>
            <w:vAlign w:val="bottom"/>
            <w:tcBorders>
              <w:bottom w:val="single" w:sz="8" w:color="CFF0FC"/>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378,863</w:t>
            </w:r>
          </w:p>
        </w:tc>
        <w:tc>
          <w:tcPr>
            <w:tcW w:w="100" w:type="dxa"/>
            <w:vAlign w:val="bottom"/>
            <w:tcBorders>
              <w:bottom w:val="single" w:sz="8" w:color="CFF0FC"/>
            </w:tcBorders>
          </w:tcPr>
          <w:p>
            <w:pPr>
              <w:spacing w:after="0"/>
              <w:rPr>
                <w:sz w:val="11"/>
                <w:szCs w:val="11"/>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2.62</w:t>
            </w:r>
          </w:p>
        </w:tc>
        <w:tc>
          <w:tcPr>
            <w:tcW w:w="160" w:type="dxa"/>
            <w:vAlign w:val="bottom"/>
            <w:tcBorders>
              <w:bottom w:val="single" w:sz="8" w:color="CFF0FC"/>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11,509</w:t>
            </w:r>
          </w:p>
        </w:tc>
        <w:tc>
          <w:tcPr>
            <w:tcW w:w="120" w:type="dxa"/>
            <w:vAlign w:val="bottom"/>
            <w:tcBorders>
              <w:bottom w:val="single" w:sz="8" w:color="CFF0FC"/>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348,778</w:t>
            </w:r>
          </w:p>
        </w:tc>
        <w:tc>
          <w:tcPr>
            <w:tcW w:w="120" w:type="dxa"/>
            <w:vAlign w:val="bottom"/>
            <w:tcBorders>
              <w:bottom w:val="single" w:sz="8" w:color="CFF0FC"/>
            </w:tcBorders>
          </w:tcPr>
          <w:p>
            <w:pPr>
              <w:spacing w:after="0"/>
              <w:rPr>
                <w:sz w:val="11"/>
                <w:szCs w:val="11"/>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3.03</w:t>
            </w:r>
          </w:p>
        </w:tc>
        <w:tc>
          <w:tcPr>
            <w:tcW w:w="180" w:type="dxa"/>
            <w:vAlign w:val="bottom"/>
            <w:tcBorders>
              <w:bottom w:val="single" w:sz="8" w:color="CFF0FC"/>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6,615</w:t>
            </w:r>
          </w:p>
        </w:tc>
        <w:tc>
          <w:tcPr>
            <w:tcW w:w="120" w:type="dxa"/>
            <w:vAlign w:val="bottom"/>
            <w:tcBorders>
              <w:bottom w:val="single" w:sz="8" w:color="CFF0FC"/>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219,897</w:t>
            </w:r>
          </w:p>
        </w:tc>
        <w:tc>
          <w:tcPr>
            <w:tcW w:w="100" w:type="dxa"/>
            <w:vAlign w:val="bottom"/>
            <w:tcBorders>
              <w:bottom w:val="single" w:sz="8" w:color="CFF0FC"/>
            </w:tcBorders>
          </w:tcPr>
          <w:p>
            <w:pPr>
              <w:spacing w:after="0"/>
              <w:rPr>
                <w:sz w:val="11"/>
                <w:szCs w:val="11"/>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3.32</w:t>
            </w:r>
          </w:p>
        </w:tc>
        <w:tc>
          <w:tcPr>
            <w:tcW w:w="12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200" w:type="dxa"/>
            <w:vAlign w:val="bottom"/>
            <w:shd w:val="clear" w:color="auto" w:fill="CFF0FC"/>
          </w:tcPr>
          <w:p>
            <w:pPr>
              <w:ind w:left="480"/>
              <w:spacing w:after="0"/>
              <w:rPr>
                <w:sz w:val="20"/>
                <w:szCs w:val="20"/>
                <w:color w:val="auto"/>
              </w:rPr>
            </w:pPr>
            <w:r>
              <w:rPr>
                <w:rFonts w:ascii="Arial" w:cs="Arial" w:eastAsia="Arial" w:hAnsi="Arial"/>
                <w:sz w:val="12"/>
                <w:szCs w:val="12"/>
                <w:i w:val="1"/>
                <w:iCs w:val="1"/>
                <w:color w:val="auto"/>
              </w:rPr>
              <w:t>Total earning assets</w:t>
            </w:r>
          </w:p>
        </w:tc>
        <w:tc>
          <w:tcPr>
            <w:tcW w:w="80" w:type="dxa"/>
            <w:vAlign w:val="bottom"/>
            <w:tcBorders>
              <w:bottom w:val="single" w:sz="8" w:color="auto"/>
            </w:tcBorders>
            <w:shd w:val="clear" w:color="auto" w:fill="CFF0FC"/>
          </w:tcPr>
          <w:p>
            <w:pPr>
              <w:spacing w:after="0"/>
              <w:rPr>
                <w:sz w:val="11"/>
                <w:szCs w:val="11"/>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w w:val="87"/>
              </w:rPr>
              <w:t>110,002</w:t>
            </w:r>
          </w:p>
        </w:tc>
        <w:tc>
          <w:tcPr>
            <w:tcW w:w="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w w:val="89"/>
              </w:rPr>
              <w:t>4,202,365</w:t>
            </w:r>
          </w:p>
        </w:tc>
        <w:tc>
          <w:tcPr>
            <w:tcW w:w="120" w:type="dxa"/>
            <w:vAlign w:val="bottom"/>
            <w:shd w:val="clear" w:color="auto" w:fill="CFF0FC"/>
          </w:tcPr>
          <w:p>
            <w:pPr>
              <w:spacing w:after="0"/>
              <w:rPr>
                <w:sz w:val="11"/>
                <w:szCs w:val="11"/>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3.82</w:t>
            </w:r>
          </w:p>
        </w:tc>
        <w:tc>
          <w:tcPr>
            <w:tcW w:w="180" w:type="dxa"/>
            <w:vAlign w:val="bottom"/>
            <w:shd w:val="clear" w:color="auto" w:fill="CFF0FC"/>
          </w:tcPr>
          <w:p>
            <w:pPr>
              <w:spacing w:after="0"/>
              <w:rPr>
                <w:sz w:val="11"/>
                <w:szCs w:val="1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112,556</w:t>
            </w:r>
          </w:p>
        </w:tc>
        <w:tc>
          <w:tcPr>
            <w:tcW w:w="100" w:type="dxa"/>
            <w:vAlign w:val="bottom"/>
            <w:shd w:val="clear" w:color="auto" w:fill="CFF0FC"/>
          </w:tcPr>
          <w:p>
            <w:pPr>
              <w:spacing w:after="0"/>
              <w:rPr>
                <w:sz w:val="11"/>
                <w:szCs w:val="1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3,922,833</w:t>
            </w:r>
          </w:p>
        </w:tc>
        <w:tc>
          <w:tcPr>
            <w:tcW w:w="100" w:type="dxa"/>
            <w:vAlign w:val="bottom"/>
            <w:shd w:val="clear" w:color="auto" w:fill="CFF0FC"/>
          </w:tcPr>
          <w:p>
            <w:pPr>
              <w:spacing w:after="0"/>
              <w:rPr>
                <w:sz w:val="11"/>
                <w:szCs w:val="11"/>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3.49</w:t>
            </w:r>
          </w:p>
        </w:tc>
        <w:tc>
          <w:tcPr>
            <w:tcW w:w="160" w:type="dxa"/>
            <w:vAlign w:val="bottom"/>
            <w:shd w:val="clear" w:color="auto" w:fill="CFF0FC"/>
          </w:tcPr>
          <w:p>
            <w:pPr>
              <w:spacing w:after="0"/>
              <w:rPr>
                <w:sz w:val="11"/>
                <w:szCs w:val="1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91,187</w:t>
            </w:r>
          </w:p>
        </w:tc>
        <w:tc>
          <w:tcPr>
            <w:tcW w:w="120" w:type="dxa"/>
            <w:vAlign w:val="bottom"/>
            <w:shd w:val="clear" w:color="auto" w:fill="CFF0FC"/>
          </w:tcPr>
          <w:p>
            <w:pPr>
              <w:spacing w:after="0"/>
              <w:rPr>
                <w:sz w:val="11"/>
                <w:szCs w:val="1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w w:val="97"/>
              </w:rPr>
              <w:t>3,195,307</w:t>
            </w:r>
          </w:p>
        </w:tc>
        <w:tc>
          <w:tcPr>
            <w:tcW w:w="100" w:type="dxa"/>
            <w:vAlign w:val="bottom"/>
            <w:shd w:val="clear" w:color="auto" w:fill="CFF0FC"/>
          </w:tcPr>
          <w:p>
            <w:pPr>
              <w:spacing w:after="0"/>
              <w:rPr>
                <w:sz w:val="11"/>
                <w:szCs w:val="11"/>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3.50</w:t>
            </w:r>
          </w:p>
        </w:tc>
        <w:tc>
          <w:tcPr>
            <w:tcW w:w="160" w:type="dxa"/>
            <w:vAlign w:val="bottom"/>
            <w:shd w:val="clear" w:color="auto" w:fill="CFF0FC"/>
          </w:tcPr>
          <w:p>
            <w:pPr>
              <w:spacing w:after="0"/>
              <w:rPr>
                <w:sz w:val="11"/>
                <w:szCs w:val="1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81,681</w:t>
            </w:r>
          </w:p>
        </w:tc>
        <w:tc>
          <w:tcPr>
            <w:tcW w:w="120" w:type="dxa"/>
            <w:vAlign w:val="bottom"/>
            <w:shd w:val="clear" w:color="auto" w:fill="CFF0FC"/>
          </w:tcPr>
          <w:p>
            <w:pPr>
              <w:spacing w:after="0"/>
              <w:rPr>
                <w:sz w:val="11"/>
                <w:szCs w:val="1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2,980,519</w:t>
            </w:r>
          </w:p>
        </w:tc>
        <w:tc>
          <w:tcPr>
            <w:tcW w:w="120" w:type="dxa"/>
            <w:vAlign w:val="bottom"/>
            <w:shd w:val="clear" w:color="auto" w:fill="CFF0FC"/>
          </w:tcPr>
          <w:p>
            <w:pPr>
              <w:spacing w:after="0"/>
              <w:rPr>
                <w:sz w:val="11"/>
                <w:szCs w:val="11"/>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3.65</w:t>
            </w:r>
          </w:p>
        </w:tc>
        <w:tc>
          <w:tcPr>
            <w:tcW w:w="180" w:type="dxa"/>
            <w:vAlign w:val="bottom"/>
            <w:shd w:val="clear" w:color="auto" w:fill="CFF0FC"/>
          </w:tcPr>
          <w:p>
            <w:pPr>
              <w:spacing w:after="0"/>
              <w:rPr>
                <w:sz w:val="11"/>
                <w:szCs w:val="11"/>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74,013</w:t>
            </w:r>
          </w:p>
        </w:tc>
        <w:tc>
          <w:tcPr>
            <w:tcW w:w="120" w:type="dxa"/>
            <w:vAlign w:val="bottom"/>
            <w:shd w:val="clear" w:color="auto" w:fill="CFF0FC"/>
          </w:tcPr>
          <w:p>
            <w:pPr>
              <w:spacing w:after="0"/>
              <w:rPr>
                <w:sz w:val="11"/>
                <w:szCs w:val="1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2,982,305</w:t>
            </w:r>
          </w:p>
        </w:tc>
        <w:tc>
          <w:tcPr>
            <w:tcW w:w="100" w:type="dxa"/>
            <w:vAlign w:val="bottom"/>
            <w:shd w:val="clear" w:color="auto" w:fill="CFF0FC"/>
          </w:tcPr>
          <w:p>
            <w:pPr>
              <w:spacing w:after="0"/>
              <w:rPr>
                <w:sz w:val="11"/>
                <w:szCs w:val="11"/>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4.03</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200" w:type="dxa"/>
            <w:vAlign w:val="bottom"/>
          </w:tcPr>
          <w:p>
            <w:pPr>
              <w:spacing w:after="0"/>
              <w:rPr>
                <w:sz w:val="20"/>
                <w:szCs w:val="20"/>
                <w:color w:val="auto"/>
              </w:rPr>
            </w:pPr>
            <w:r>
              <w:rPr>
                <w:rFonts w:ascii="Arial" w:cs="Arial" w:eastAsia="Arial" w:hAnsi="Arial"/>
                <w:sz w:val="12"/>
                <w:szCs w:val="12"/>
                <w:color w:val="auto"/>
              </w:rPr>
              <w:t>Allowance for credit losses</w:t>
            </w:r>
          </w:p>
        </w:tc>
        <w:tc>
          <w:tcPr>
            <w:tcW w:w="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(1,012)</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(976)</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(935)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(923)</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(932)</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200" w:type="dxa"/>
            <w:vAlign w:val="bottom"/>
            <w:shd w:val="clear" w:color="auto" w:fill="CFF0FC"/>
          </w:tcPr>
          <w:p>
            <w:pPr>
              <w:spacing w:after="0"/>
              <w:rPr>
                <w:sz w:val="20"/>
                <w:szCs w:val="20"/>
                <w:color w:val="auto"/>
              </w:rPr>
            </w:pPr>
            <w:r>
              <w:rPr>
                <w:rFonts w:ascii="Arial" w:cs="Arial" w:eastAsia="Arial" w:hAnsi="Arial"/>
                <w:sz w:val="12"/>
                <w:szCs w:val="12"/>
                <w:color w:val="auto"/>
              </w:rPr>
              <w:t>Cash and due from banks</w:t>
            </w: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1,295</w:t>
            </w: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1,273</w:t>
            </w: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1,242</w:t>
            </w: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1,277</w:t>
            </w: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1,380</w:t>
            </w: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20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Other assets</w:t>
            </w: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10,575</w:t>
            </w:r>
          </w:p>
        </w:tc>
        <w:tc>
          <w:tcPr>
            <w:tcW w:w="80" w:type="dxa"/>
            <w:vAlign w:val="bottom"/>
            <w:tcBorders>
              <w:bottom w:val="single" w:sz="8" w:color="CFF0FC"/>
            </w:tcBorders>
          </w:tcPr>
          <w:p>
            <w:pPr>
              <w:spacing w:after="0"/>
              <w:rPr>
                <w:sz w:val="12"/>
                <w:szCs w:val="12"/>
                <w:color w:val="auto"/>
              </w:rPr>
            </w:pPr>
          </w:p>
        </w:tc>
        <w:tc>
          <w:tcPr>
            <w:tcW w:w="4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50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420" w:type="dxa"/>
            <w:vAlign w:val="bottom"/>
            <w:tcBorders>
              <w:bottom w:val="single" w:sz="8" w:color="CFF0FC"/>
            </w:tcBorders>
          </w:tcPr>
          <w:p>
            <w:pPr>
              <w:spacing w:after="0"/>
              <w:rPr>
                <w:sz w:val="12"/>
                <w:szCs w:val="12"/>
                <w:color w:val="auto"/>
              </w:rPr>
            </w:pPr>
          </w:p>
        </w:tc>
        <w:tc>
          <w:tcPr>
            <w:tcW w:w="180" w:type="dxa"/>
            <w:vAlign w:val="bottom"/>
            <w:tcBorders>
              <w:bottom w:val="single" w:sz="8" w:color="CFF0FC"/>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11,487</w:t>
            </w:r>
          </w:p>
        </w:tc>
        <w:tc>
          <w:tcPr>
            <w:tcW w:w="100" w:type="dxa"/>
            <w:vAlign w:val="bottom"/>
            <w:tcBorders>
              <w:bottom w:val="single" w:sz="8" w:color="CFF0FC"/>
            </w:tcBorders>
          </w:tcPr>
          <w:p>
            <w:pPr>
              <w:spacing w:after="0"/>
              <w:rPr>
                <w:sz w:val="12"/>
                <w:szCs w:val="12"/>
                <w:color w:val="auto"/>
              </w:rPr>
            </w:pPr>
          </w:p>
        </w:tc>
        <w:tc>
          <w:tcPr>
            <w:tcW w:w="58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440" w:type="dxa"/>
            <w:vAlign w:val="bottom"/>
            <w:tcBorders>
              <w:bottom w:val="single" w:sz="8" w:color="CFF0FC"/>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10,286</w:t>
            </w:r>
          </w:p>
        </w:tc>
        <w:tc>
          <w:tcPr>
            <w:tcW w:w="120" w:type="dxa"/>
            <w:vAlign w:val="bottom"/>
            <w:tcBorders>
              <w:bottom w:val="single" w:sz="8" w:color="CFF0FC"/>
            </w:tcBorders>
          </w:tcPr>
          <w:p>
            <w:pPr>
              <w:spacing w:after="0"/>
              <w:rPr>
                <w:sz w:val="12"/>
                <w:szCs w:val="12"/>
                <w:color w:val="auto"/>
              </w:rPr>
            </w:pPr>
          </w:p>
        </w:tc>
        <w:tc>
          <w:tcPr>
            <w:tcW w:w="56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440" w:type="dxa"/>
            <w:vAlign w:val="bottom"/>
            <w:tcBorders>
              <w:bottom w:val="single" w:sz="8" w:color="CFF0FC"/>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10,108</w:t>
            </w:r>
          </w:p>
        </w:tc>
        <w:tc>
          <w:tcPr>
            <w:tcW w:w="120" w:type="dxa"/>
            <w:vAlign w:val="bottom"/>
            <w:tcBorders>
              <w:bottom w:val="single" w:sz="8" w:color="CFF0FC"/>
            </w:tcBorders>
          </w:tcPr>
          <w:p>
            <w:pPr>
              <w:spacing w:after="0"/>
              <w:rPr>
                <w:sz w:val="12"/>
                <w:szCs w:val="12"/>
                <w:color w:val="auto"/>
              </w:rPr>
            </w:pPr>
          </w:p>
        </w:tc>
        <w:tc>
          <w:tcPr>
            <w:tcW w:w="56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420" w:type="dxa"/>
            <w:vAlign w:val="bottom"/>
            <w:tcBorders>
              <w:bottom w:val="single" w:sz="8" w:color="CFF0FC"/>
            </w:tcBorders>
          </w:tcPr>
          <w:p>
            <w:pPr>
              <w:spacing w:after="0"/>
              <w:rPr>
                <w:sz w:val="12"/>
                <w:szCs w:val="12"/>
                <w:color w:val="auto"/>
              </w:rPr>
            </w:pPr>
          </w:p>
        </w:tc>
        <w:tc>
          <w:tcPr>
            <w:tcW w:w="180" w:type="dxa"/>
            <w:vAlign w:val="bottom"/>
            <w:tcBorders>
              <w:bottom w:val="single" w:sz="8" w:color="CFF0FC"/>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9,201</w:t>
            </w:r>
          </w:p>
        </w:tc>
        <w:tc>
          <w:tcPr>
            <w:tcW w:w="120" w:type="dxa"/>
            <w:vAlign w:val="bottom"/>
            <w:tcBorders>
              <w:bottom w:val="single" w:sz="8" w:color="CFF0FC"/>
            </w:tcBorders>
          </w:tcPr>
          <w:p>
            <w:pPr>
              <w:spacing w:after="0"/>
              <w:rPr>
                <w:sz w:val="12"/>
                <w:szCs w:val="12"/>
                <w:color w:val="auto"/>
              </w:rPr>
            </w:pPr>
          </w:p>
        </w:tc>
        <w:tc>
          <w:tcPr>
            <w:tcW w:w="58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42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20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2"/>
                <w:szCs w:val="12"/>
                <w:color w:val="auto"/>
              </w:rPr>
              <w:t>Total assets</w:t>
            </w: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w w:val="87"/>
              </w:rPr>
              <w:t>120,860</w:t>
            </w:r>
          </w:p>
        </w:tc>
        <w:tc>
          <w:tcPr>
            <w:tcW w:w="80" w:type="dxa"/>
            <w:vAlign w:val="bottom"/>
            <w:tcBorders>
              <w:bottom w:val="single" w:sz="8" w:color="CFF0FC"/>
            </w:tcBorders>
            <w:shd w:val="clear" w:color="auto" w:fill="CFF0FC"/>
          </w:tcPr>
          <w:p>
            <w:pPr>
              <w:spacing w:after="0"/>
              <w:rPr>
                <w:sz w:val="11"/>
                <w:szCs w:val="11"/>
                <w:color w:val="auto"/>
              </w:rPr>
            </w:pPr>
          </w:p>
        </w:tc>
        <w:tc>
          <w:tcPr>
            <w:tcW w:w="4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50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420" w:type="dxa"/>
            <w:vAlign w:val="bottom"/>
            <w:tcBorders>
              <w:bottom w:val="single" w:sz="8" w:color="CFF0FC"/>
            </w:tcBorders>
            <w:shd w:val="clear" w:color="auto" w:fill="CFF0FC"/>
          </w:tcPr>
          <w:p>
            <w:pPr>
              <w:spacing w:after="0"/>
              <w:rPr>
                <w:sz w:val="11"/>
                <w:szCs w:val="11"/>
                <w:color w:val="auto"/>
              </w:rPr>
            </w:pPr>
          </w:p>
        </w:tc>
        <w:tc>
          <w:tcPr>
            <w:tcW w:w="180" w:type="dxa"/>
            <w:vAlign w:val="bottom"/>
            <w:tcBorders>
              <w:bottom w:val="single" w:sz="8" w:color="CFF0FC"/>
            </w:tcBorders>
            <w:shd w:val="clear" w:color="auto" w:fill="CFF0FC"/>
          </w:tcPr>
          <w:p>
            <w:pPr>
              <w:spacing w:after="0"/>
              <w:rPr>
                <w:sz w:val="11"/>
                <w:szCs w:val="1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124,340</w:t>
            </w:r>
          </w:p>
        </w:tc>
        <w:tc>
          <w:tcPr>
            <w:tcW w:w="100" w:type="dxa"/>
            <w:vAlign w:val="bottom"/>
            <w:tcBorders>
              <w:bottom w:val="single" w:sz="8" w:color="CFF0FC"/>
            </w:tcBorders>
            <w:shd w:val="clear" w:color="auto" w:fill="CFF0FC"/>
          </w:tcPr>
          <w:p>
            <w:pPr>
              <w:spacing w:after="0"/>
              <w:rPr>
                <w:sz w:val="11"/>
                <w:szCs w:val="11"/>
                <w:color w:val="auto"/>
              </w:rPr>
            </w:pPr>
          </w:p>
        </w:tc>
        <w:tc>
          <w:tcPr>
            <w:tcW w:w="58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44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CFF0FC"/>
            </w:tcBorders>
            <w:shd w:val="clear" w:color="auto" w:fill="CFF0FC"/>
          </w:tcPr>
          <w:p>
            <w:pPr>
              <w:spacing w:after="0"/>
              <w:rPr>
                <w:sz w:val="11"/>
                <w:szCs w:val="1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101,780</w:t>
            </w:r>
          </w:p>
        </w:tc>
        <w:tc>
          <w:tcPr>
            <w:tcW w:w="120" w:type="dxa"/>
            <w:vAlign w:val="bottom"/>
            <w:tcBorders>
              <w:bottom w:val="single" w:sz="8" w:color="CFF0FC"/>
            </w:tcBorders>
            <w:shd w:val="clear" w:color="auto" w:fill="CFF0FC"/>
          </w:tcPr>
          <w:p>
            <w:pPr>
              <w:spacing w:after="0"/>
              <w:rPr>
                <w:sz w:val="11"/>
                <w:szCs w:val="11"/>
                <w:color w:val="auto"/>
              </w:rPr>
            </w:pPr>
          </w:p>
        </w:tc>
        <w:tc>
          <w:tcPr>
            <w:tcW w:w="56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44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CFF0FC"/>
            </w:tcBorders>
            <w:shd w:val="clear" w:color="auto" w:fill="CFF0FC"/>
          </w:tcPr>
          <w:p>
            <w:pPr>
              <w:spacing w:after="0"/>
              <w:rPr>
                <w:sz w:val="11"/>
                <w:szCs w:val="1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92,143</w:t>
            </w:r>
          </w:p>
        </w:tc>
        <w:tc>
          <w:tcPr>
            <w:tcW w:w="120" w:type="dxa"/>
            <w:vAlign w:val="bottom"/>
            <w:tcBorders>
              <w:bottom w:val="single" w:sz="8" w:color="CFF0FC"/>
            </w:tcBorders>
            <w:shd w:val="clear" w:color="auto" w:fill="CFF0FC"/>
          </w:tcPr>
          <w:p>
            <w:pPr>
              <w:spacing w:after="0"/>
              <w:rPr>
                <w:sz w:val="11"/>
                <w:szCs w:val="11"/>
                <w:color w:val="auto"/>
              </w:rPr>
            </w:pPr>
          </w:p>
        </w:tc>
        <w:tc>
          <w:tcPr>
            <w:tcW w:w="56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420" w:type="dxa"/>
            <w:vAlign w:val="bottom"/>
            <w:tcBorders>
              <w:bottom w:val="single" w:sz="8" w:color="CFF0FC"/>
            </w:tcBorders>
            <w:shd w:val="clear" w:color="auto" w:fill="CFF0FC"/>
          </w:tcPr>
          <w:p>
            <w:pPr>
              <w:spacing w:after="0"/>
              <w:rPr>
                <w:sz w:val="11"/>
                <w:szCs w:val="11"/>
                <w:color w:val="auto"/>
              </w:rPr>
            </w:pPr>
          </w:p>
        </w:tc>
        <w:tc>
          <w:tcPr>
            <w:tcW w:w="180" w:type="dxa"/>
            <w:vAlign w:val="bottom"/>
            <w:tcBorders>
              <w:bottom w:val="single" w:sz="8" w:color="CFF0FC"/>
            </w:tcBorders>
            <w:shd w:val="clear" w:color="auto" w:fill="CFF0FC"/>
          </w:tcPr>
          <w:p>
            <w:pPr>
              <w:spacing w:after="0"/>
              <w:rPr>
                <w:sz w:val="11"/>
                <w:szCs w:val="11"/>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83,662</w:t>
            </w:r>
          </w:p>
        </w:tc>
        <w:tc>
          <w:tcPr>
            <w:tcW w:w="120" w:type="dxa"/>
            <w:vAlign w:val="bottom"/>
            <w:tcBorders>
              <w:bottom w:val="single" w:sz="8" w:color="CFF0FC"/>
            </w:tcBorders>
            <w:shd w:val="clear" w:color="auto" w:fill="CFF0FC"/>
          </w:tcPr>
          <w:p>
            <w:pPr>
              <w:spacing w:after="0"/>
              <w:rPr>
                <w:sz w:val="11"/>
                <w:szCs w:val="11"/>
                <w:color w:val="auto"/>
              </w:rPr>
            </w:pPr>
          </w:p>
        </w:tc>
        <w:tc>
          <w:tcPr>
            <w:tcW w:w="58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4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200" w:type="dxa"/>
            <w:vAlign w:val="bottom"/>
            <w:vMerge w:val="restart"/>
          </w:tcPr>
          <w:p>
            <w:pPr>
              <w:spacing w:after="0"/>
              <w:rPr>
                <w:sz w:val="20"/>
                <w:szCs w:val="20"/>
                <w:color w:val="auto"/>
              </w:rPr>
            </w:pPr>
            <w:r>
              <w:rPr>
                <w:rFonts w:ascii="Arial" w:cs="Arial" w:eastAsia="Arial" w:hAnsi="Arial"/>
                <w:sz w:val="12"/>
                <w:szCs w:val="12"/>
                <w:b w:val="1"/>
                <w:bCs w:val="1"/>
                <w:color w:val="auto"/>
              </w:rPr>
              <w:t>Liabilities and Shareholders’ Equity</w:t>
            </w: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2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200" w:type="dxa"/>
            <w:vAlign w:val="bottom"/>
            <w:shd w:val="clear" w:color="auto" w:fill="CFF0FC"/>
          </w:tcPr>
          <w:p>
            <w:pPr>
              <w:spacing w:after="0"/>
              <w:rPr>
                <w:sz w:val="20"/>
                <w:szCs w:val="20"/>
                <w:color w:val="auto"/>
              </w:rPr>
            </w:pPr>
            <w:r>
              <w:rPr>
                <w:rFonts w:ascii="Arial" w:cs="Arial" w:eastAsia="Arial" w:hAnsi="Arial"/>
                <w:sz w:val="12"/>
                <w:szCs w:val="12"/>
                <w:color w:val="auto"/>
              </w:rPr>
              <w:t>Interest-bearing liabilities</w:t>
            </w: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200" w:type="dxa"/>
            <w:vAlign w:val="bottom"/>
          </w:tcPr>
          <w:p>
            <w:pPr>
              <w:spacing w:after="0"/>
              <w:rPr>
                <w:sz w:val="20"/>
                <w:szCs w:val="20"/>
                <w:color w:val="auto"/>
              </w:rPr>
            </w:pPr>
            <w:r>
              <w:rPr>
                <w:rFonts w:ascii="Arial" w:cs="Arial" w:eastAsia="Arial" w:hAnsi="Arial"/>
                <w:sz w:val="12"/>
                <w:szCs w:val="12"/>
                <w:color w:val="auto"/>
              </w:rPr>
              <w:t>Interest-bearing deposits</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200" w:type="dxa"/>
            <w:vAlign w:val="bottom"/>
            <w:shd w:val="clear" w:color="auto" w:fill="CFF0FC"/>
          </w:tcPr>
          <w:p>
            <w:pPr>
              <w:ind w:left="240"/>
              <w:spacing w:after="0" w:line="130" w:lineRule="exact"/>
              <w:rPr>
                <w:sz w:val="20"/>
                <w:szCs w:val="20"/>
                <w:color w:val="auto"/>
              </w:rPr>
            </w:pPr>
            <w:r>
              <w:rPr>
                <w:rFonts w:ascii="Arial" w:cs="Arial" w:eastAsia="Arial" w:hAnsi="Arial"/>
                <w:sz w:val="12"/>
                <w:szCs w:val="12"/>
                <w:color w:val="auto"/>
              </w:rPr>
              <w:t>Savings and interest-checking</w:t>
            </w: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200" w:type="dxa"/>
            <w:vAlign w:val="bottom"/>
            <w:shd w:val="clear" w:color="auto" w:fill="CFF0FC"/>
          </w:tcPr>
          <w:p>
            <w:pPr>
              <w:ind w:left="240"/>
              <w:spacing w:after="0"/>
              <w:rPr>
                <w:sz w:val="20"/>
                <w:szCs w:val="20"/>
                <w:color w:val="auto"/>
              </w:rPr>
            </w:pPr>
            <w:r>
              <w:rPr>
                <w:rFonts w:ascii="Arial" w:cs="Arial" w:eastAsia="Arial" w:hAnsi="Arial"/>
                <w:sz w:val="12"/>
                <w:szCs w:val="12"/>
                <w:color w:val="auto"/>
              </w:rPr>
              <w:t>deposits</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53,399</w:t>
            </w: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133,177</w:t>
            </w: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.25</w:t>
            </w:r>
          </w:p>
        </w:tc>
        <w:tc>
          <w:tcPr>
            <w:tcW w:w="1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52,194</w:t>
            </w: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87,704</w:t>
            </w: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w:t>
            </w: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43,885</w:t>
            </w: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46,140</w:t>
            </w: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.11</w:t>
            </w: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41,508</w:t>
            </w: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46,869</w:t>
            </w: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.11</w:t>
            </w:r>
          </w:p>
        </w:tc>
        <w:tc>
          <w:tcPr>
            <w:tcW w:w="18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37,662</w:t>
            </w: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56,235</w:t>
            </w: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200" w:type="dxa"/>
            <w:vAlign w:val="bottom"/>
          </w:tcPr>
          <w:p>
            <w:pPr>
              <w:ind w:left="240"/>
              <w:spacing w:after="0"/>
              <w:rPr>
                <w:sz w:val="20"/>
                <w:szCs w:val="20"/>
                <w:color w:val="auto"/>
              </w:rPr>
            </w:pPr>
            <w:r>
              <w:rPr>
                <w:rFonts w:ascii="Arial" w:cs="Arial" w:eastAsia="Arial" w:hAnsi="Arial"/>
                <w:sz w:val="12"/>
                <w:szCs w:val="12"/>
                <w:color w:val="auto"/>
              </w:rPr>
              <w:t>Time deposits</w:t>
            </w: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8,161</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61,505</w:t>
            </w: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.75</w:t>
            </w:r>
          </w:p>
        </w:tc>
        <w:tc>
          <w:tcPr>
            <w:tcW w:w="1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12,253</w:t>
            </w: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102,841</w:t>
            </w: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.84</w:t>
            </w:r>
          </w:p>
        </w:tc>
        <w:tc>
          <w:tcPr>
            <w:tcW w:w="1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4,641</w:t>
            </w: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27,059</w:t>
            </w: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.58</w:t>
            </w:r>
          </w:p>
        </w:tc>
        <w:tc>
          <w:tcPr>
            <w:tcW w:w="1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3,290</w:t>
            </w: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15,515</w:t>
            </w: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.47</w:t>
            </w:r>
          </w:p>
        </w:tc>
        <w:tc>
          <w:tcPr>
            <w:tcW w:w="1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4,045</w:t>
            </w: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26,439</w:t>
            </w: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.65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200" w:type="dxa"/>
            <w:vAlign w:val="bottom"/>
            <w:shd w:val="clear" w:color="auto" w:fill="CFF0FC"/>
          </w:tcPr>
          <w:p>
            <w:pPr>
              <w:ind w:left="240"/>
              <w:spacing w:after="0"/>
              <w:rPr>
                <w:sz w:val="20"/>
                <w:szCs w:val="20"/>
                <w:color w:val="auto"/>
              </w:rPr>
            </w:pPr>
            <w:r>
              <w:rPr>
                <w:rFonts w:ascii="Arial" w:cs="Arial" w:eastAsia="Arial" w:hAnsi="Arial"/>
                <w:sz w:val="12"/>
                <w:szCs w:val="12"/>
                <w:color w:val="auto"/>
              </w:rPr>
              <w:t>Deposits at Cayman Islands office</w:t>
            </w: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185</w:t>
            </w: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1,186</w:t>
            </w: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.64</w:t>
            </w:r>
          </w:p>
        </w:tc>
        <w:tc>
          <w:tcPr>
            <w:tcW w:w="1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199</w:t>
            </w: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797</w:t>
            </w: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.40</w:t>
            </w: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216</w:t>
            </w: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615</w:t>
            </w: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.28</w:t>
            </w: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327</w:t>
            </w: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699</w:t>
            </w: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.21</w:t>
            </w:r>
          </w:p>
        </w:tc>
        <w:tc>
          <w:tcPr>
            <w:tcW w:w="18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496</w:t>
            </w: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1,018</w:t>
            </w: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200" w:type="dxa"/>
            <w:vAlign w:val="bottom"/>
            <w:tcBorders>
              <w:bottom w:val="single" w:sz="8" w:color="CFF0FC"/>
            </w:tcBorders>
          </w:tcPr>
          <w:p>
            <w:pPr>
              <w:ind w:left="480"/>
              <w:spacing w:after="0"/>
              <w:rPr>
                <w:sz w:val="20"/>
                <w:szCs w:val="20"/>
                <w:color w:val="auto"/>
              </w:rPr>
            </w:pPr>
            <w:r>
              <w:rPr>
                <w:rFonts w:ascii="Arial" w:cs="Arial" w:eastAsia="Arial" w:hAnsi="Arial"/>
                <w:sz w:val="12"/>
                <w:szCs w:val="12"/>
                <w:color w:val="auto"/>
              </w:rPr>
              <w:t>Total interest-bearing deposits</w:t>
            </w:r>
          </w:p>
        </w:tc>
        <w:tc>
          <w:tcPr>
            <w:tcW w:w="8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61,745</w:t>
            </w:r>
          </w:p>
        </w:tc>
        <w:tc>
          <w:tcPr>
            <w:tcW w:w="80" w:type="dxa"/>
            <w:vAlign w:val="bottom"/>
            <w:tcBorders>
              <w:bottom w:val="single" w:sz="8" w:color="CFF0FC"/>
            </w:tcBorders>
          </w:tcPr>
          <w:p>
            <w:pPr>
              <w:spacing w:after="0"/>
              <w:rPr>
                <w:sz w:val="11"/>
                <w:szCs w:val="11"/>
                <w:color w:val="auto"/>
              </w:rPr>
            </w:pPr>
          </w:p>
        </w:tc>
        <w:tc>
          <w:tcPr>
            <w:tcW w:w="40" w:type="dxa"/>
            <w:vAlign w:val="bottom"/>
            <w:tcBorders>
              <w:bottom w:val="single" w:sz="8" w:color="CFF0FC"/>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195,868</w:t>
            </w:r>
          </w:p>
        </w:tc>
        <w:tc>
          <w:tcPr>
            <w:tcW w:w="120" w:type="dxa"/>
            <w:vAlign w:val="bottom"/>
            <w:tcBorders>
              <w:bottom w:val="single" w:sz="8" w:color="CFF0FC"/>
            </w:tcBorders>
          </w:tcPr>
          <w:p>
            <w:pPr>
              <w:spacing w:after="0"/>
              <w:rPr>
                <w:sz w:val="11"/>
                <w:szCs w:val="11"/>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.32</w:t>
            </w:r>
          </w:p>
        </w:tc>
        <w:tc>
          <w:tcPr>
            <w:tcW w:w="180" w:type="dxa"/>
            <w:vAlign w:val="bottom"/>
            <w:tcBorders>
              <w:bottom w:val="single" w:sz="8" w:color="CFF0FC"/>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64,646</w:t>
            </w:r>
          </w:p>
        </w:tc>
        <w:tc>
          <w:tcPr>
            <w:tcW w:w="100" w:type="dxa"/>
            <w:vAlign w:val="bottom"/>
            <w:tcBorders>
              <w:bottom w:val="single" w:sz="8" w:color="CFF0FC"/>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191,342</w:t>
            </w:r>
          </w:p>
        </w:tc>
        <w:tc>
          <w:tcPr>
            <w:tcW w:w="100" w:type="dxa"/>
            <w:vAlign w:val="bottom"/>
            <w:tcBorders>
              <w:bottom w:val="single" w:sz="8" w:color="CFF0FC"/>
            </w:tcBorders>
          </w:tcPr>
          <w:p>
            <w:pPr>
              <w:spacing w:after="0"/>
              <w:rPr>
                <w:sz w:val="11"/>
                <w:szCs w:val="11"/>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.30</w:t>
            </w:r>
          </w:p>
        </w:tc>
        <w:tc>
          <w:tcPr>
            <w:tcW w:w="160" w:type="dxa"/>
            <w:vAlign w:val="bottom"/>
            <w:tcBorders>
              <w:bottom w:val="single" w:sz="8" w:color="CFF0FC"/>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48,742</w:t>
            </w:r>
          </w:p>
        </w:tc>
        <w:tc>
          <w:tcPr>
            <w:tcW w:w="120" w:type="dxa"/>
            <w:vAlign w:val="bottom"/>
            <w:tcBorders>
              <w:bottom w:val="single" w:sz="8" w:color="CFF0FC"/>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73,814</w:t>
            </w:r>
          </w:p>
        </w:tc>
        <w:tc>
          <w:tcPr>
            <w:tcW w:w="100" w:type="dxa"/>
            <w:vAlign w:val="bottom"/>
            <w:tcBorders>
              <w:bottom w:val="single" w:sz="8" w:color="CFF0FC"/>
            </w:tcBorders>
          </w:tcPr>
          <w:p>
            <w:pPr>
              <w:spacing w:after="0"/>
              <w:rPr>
                <w:sz w:val="11"/>
                <w:szCs w:val="11"/>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.15</w:t>
            </w:r>
          </w:p>
        </w:tc>
        <w:tc>
          <w:tcPr>
            <w:tcW w:w="160" w:type="dxa"/>
            <w:vAlign w:val="bottom"/>
            <w:tcBorders>
              <w:bottom w:val="single" w:sz="8" w:color="CFF0FC"/>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45,125</w:t>
            </w:r>
          </w:p>
        </w:tc>
        <w:tc>
          <w:tcPr>
            <w:tcW w:w="120" w:type="dxa"/>
            <w:vAlign w:val="bottom"/>
            <w:tcBorders>
              <w:bottom w:val="single" w:sz="8" w:color="CFF0FC"/>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63,083</w:t>
            </w:r>
          </w:p>
        </w:tc>
        <w:tc>
          <w:tcPr>
            <w:tcW w:w="120" w:type="dxa"/>
            <w:vAlign w:val="bottom"/>
            <w:tcBorders>
              <w:bottom w:val="single" w:sz="8" w:color="CFF0FC"/>
            </w:tcBorders>
          </w:tcPr>
          <w:p>
            <w:pPr>
              <w:spacing w:after="0"/>
              <w:rPr>
                <w:sz w:val="11"/>
                <w:szCs w:val="11"/>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.14</w:t>
            </w:r>
          </w:p>
        </w:tc>
        <w:tc>
          <w:tcPr>
            <w:tcW w:w="180" w:type="dxa"/>
            <w:vAlign w:val="bottom"/>
            <w:tcBorders>
              <w:bottom w:val="single" w:sz="8" w:color="CFF0FC"/>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42,203</w:t>
            </w:r>
          </w:p>
        </w:tc>
        <w:tc>
          <w:tcPr>
            <w:tcW w:w="120" w:type="dxa"/>
            <w:vAlign w:val="bottom"/>
            <w:tcBorders>
              <w:bottom w:val="single" w:sz="8" w:color="CFF0FC"/>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83,692</w:t>
            </w:r>
          </w:p>
        </w:tc>
        <w:tc>
          <w:tcPr>
            <w:tcW w:w="100" w:type="dxa"/>
            <w:vAlign w:val="bottom"/>
            <w:tcBorders>
              <w:bottom w:val="single" w:sz="8" w:color="CFF0FC"/>
            </w:tcBorders>
          </w:tcPr>
          <w:p>
            <w:pPr>
              <w:spacing w:after="0"/>
              <w:rPr>
                <w:sz w:val="11"/>
                <w:szCs w:val="11"/>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.20</w:t>
            </w:r>
          </w:p>
        </w:tc>
        <w:tc>
          <w:tcPr>
            <w:tcW w:w="12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200" w:type="dxa"/>
            <w:vAlign w:val="bottom"/>
            <w:shd w:val="clear" w:color="auto" w:fill="CFF0FC"/>
          </w:tcPr>
          <w:p>
            <w:pPr>
              <w:spacing w:after="0"/>
              <w:rPr>
                <w:sz w:val="20"/>
                <w:szCs w:val="20"/>
                <w:color w:val="auto"/>
              </w:rPr>
            </w:pPr>
            <w:r>
              <w:rPr>
                <w:rFonts w:ascii="Arial" w:cs="Arial" w:eastAsia="Arial" w:hAnsi="Arial"/>
                <w:sz w:val="12"/>
                <w:szCs w:val="12"/>
                <w:color w:val="auto"/>
              </w:rPr>
              <w:t>Short-term borrowings</w:t>
            </w: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205</w:t>
            </w:r>
          </w:p>
        </w:tc>
        <w:tc>
          <w:tcPr>
            <w:tcW w:w="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1,511</w:t>
            </w:r>
          </w:p>
        </w:tc>
        <w:tc>
          <w:tcPr>
            <w:tcW w:w="12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.74</w:t>
            </w:r>
          </w:p>
        </w:tc>
        <w:tc>
          <w:tcPr>
            <w:tcW w:w="18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894</w:t>
            </w: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3,625</w:t>
            </w: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.41</w:t>
            </w:r>
          </w:p>
        </w:tc>
        <w:tc>
          <w:tcPr>
            <w:tcW w:w="16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548</w:t>
            </w: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1,677</w:t>
            </w: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.31</w:t>
            </w:r>
          </w:p>
        </w:tc>
        <w:tc>
          <w:tcPr>
            <w:tcW w:w="16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215</w:t>
            </w: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101</w:t>
            </w:r>
          </w:p>
        </w:tc>
        <w:tc>
          <w:tcPr>
            <w:tcW w:w="12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.05</w:t>
            </w:r>
          </w:p>
        </w:tc>
        <w:tc>
          <w:tcPr>
            <w:tcW w:w="180" w:type="dxa"/>
            <w:vAlign w:val="bottom"/>
            <w:shd w:val="clear" w:color="auto" w:fill="CFF0FC"/>
          </w:tcPr>
          <w:p>
            <w:pPr>
              <w:spacing w:after="0"/>
              <w:rPr>
                <w:sz w:val="11"/>
                <w:szCs w:val="11"/>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390</w:t>
            </w: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430</w:t>
            </w:r>
          </w:p>
        </w:tc>
        <w:tc>
          <w:tcPr>
            <w:tcW w:w="10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200" w:type="dxa"/>
            <w:vAlign w:val="bottom"/>
          </w:tcPr>
          <w:p>
            <w:pPr>
              <w:spacing w:after="0"/>
              <w:rPr>
                <w:sz w:val="20"/>
                <w:szCs w:val="20"/>
                <w:color w:val="auto"/>
              </w:rPr>
            </w:pPr>
            <w:r>
              <w:rPr>
                <w:rFonts w:ascii="Arial" w:cs="Arial" w:eastAsia="Arial" w:hAnsi="Arial"/>
                <w:sz w:val="12"/>
                <w:szCs w:val="12"/>
                <w:color w:val="auto"/>
              </w:rPr>
              <w:t>Long-term borrowings</w:t>
            </w: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8,302</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189,372</w:t>
            </w: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2.28</w:t>
            </w:r>
          </w:p>
        </w:tc>
        <w:tc>
          <w:tcPr>
            <w:tcW w:w="1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10,252</w:t>
            </w: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231,017</w:t>
            </w: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2.25</w:t>
            </w:r>
          </w:p>
        </w:tc>
        <w:tc>
          <w:tcPr>
            <w:tcW w:w="1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10,217</w:t>
            </w: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252,766</w:t>
            </w: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2.47</w:t>
            </w:r>
          </w:p>
        </w:tc>
        <w:tc>
          <w:tcPr>
            <w:tcW w:w="1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7,492</w:t>
            </w: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217,247</w:t>
            </w: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2.90</w:t>
            </w:r>
          </w:p>
        </w:tc>
        <w:tc>
          <w:tcPr>
            <w:tcW w:w="1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4,941</w:t>
            </w: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199,983</w:t>
            </w: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4.05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20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2"/>
                <w:szCs w:val="12"/>
                <w:i w:val="1"/>
                <w:iCs w:val="1"/>
                <w:color w:val="auto"/>
              </w:rPr>
              <w:t>Total interest-bearing liabilities</w:t>
            </w: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70,252</w:t>
            </w:r>
          </w:p>
        </w:tc>
        <w:tc>
          <w:tcPr>
            <w:tcW w:w="80" w:type="dxa"/>
            <w:vAlign w:val="bottom"/>
            <w:tcBorders>
              <w:top w:val="single" w:sz="8" w:color="CFF0FC"/>
            </w:tcBorders>
            <w:shd w:val="clear" w:color="auto" w:fill="CFF0FC"/>
          </w:tcPr>
          <w:p>
            <w:pPr>
              <w:spacing w:after="0"/>
              <w:rPr>
                <w:sz w:val="11"/>
                <w:szCs w:val="11"/>
                <w:color w:val="auto"/>
              </w:rPr>
            </w:pPr>
          </w:p>
        </w:tc>
        <w:tc>
          <w:tcPr>
            <w:tcW w:w="4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386,751</w:t>
            </w:r>
          </w:p>
        </w:tc>
        <w:tc>
          <w:tcPr>
            <w:tcW w:w="120" w:type="dxa"/>
            <w:vAlign w:val="bottom"/>
            <w:tcBorders>
              <w:top w:val="single" w:sz="8" w:color="CFF0FC"/>
            </w:tcBorders>
            <w:shd w:val="clear" w:color="auto" w:fill="CFF0FC"/>
          </w:tcPr>
          <w:p>
            <w:pPr>
              <w:spacing w:after="0"/>
              <w:rPr>
                <w:sz w:val="11"/>
                <w:szCs w:val="11"/>
                <w:color w:val="auto"/>
              </w:rPr>
            </w:pP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.55</w:t>
            </w:r>
          </w:p>
        </w:tc>
        <w:tc>
          <w:tcPr>
            <w:tcW w:w="180" w:type="dxa"/>
            <w:vAlign w:val="bottom"/>
            <w:tcBorders>
              <w:top w:val="single" w:sz="8" w:color="CFF0FC"/>
            </w:tcBorders>
            <w:shd w:val="clear" w:color="auto" w:fill="CFF0FC"/>
          </w:tcPr>
          <w:p>
            <w:pPr>
              <w:spacing w:after="0"/>
              <w:rPr>
                <w:sz w:val="11"/>
                <w:szCs w:val="11"/>
                <w:color w:val="auto"/>
              </w:rPr>
            </w:pP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75,792</w:t>
            </w:r>
          </w:p>
        </w:tc>
        <w:tc>
          <w:tcPr>
            <w:tcW w:w="100" w:type="dxa"/>
            <w:vAlign w:val="bottom"/>
            <w:tcBorders>
              <w:top w:val="single" w:sz="8" w:color="CFF0FC"/>
            </w:tcBorders>
            <w:shd w:val="clear" w:color="auto" w:fill="CFF0FC"/>
          </w:tcPr>
          <w:p>
            <w:pPr>
              <w:spacing w:after="0"/>
              <w:rPr>
                <w:sz w:val="11"/>
                <w:szCs w:val="11"/>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425,984</w:t>
            </w:r>
          </w:p>
        </w:tc>
        <w:tc>
          <w:tcPr>
            <w:tcW w:w="100" w:type="dxa"/>
            <w:vAlign w:val="bottom"/>
            <w:tcBorders>
              <w:top w:val="single" w:sz="8" w:color="CFF0FC"/>
            </w:tcBorders>
            <w:shd w:val="clear" w:color="auto" w:fill="CFF0FC"/>
          </w:tcPr>
          <w:p>
            <w:pPr>
              <w:spacing w:after="0"/>
              <w:rPr>
                <w:sz w:val="11"/>
                <w:szCs w:val="11"/>
                <w:color w:val="auto"/>
              </w:rPr>
            </w:pP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.56</w:t>
            </w:r>
          </w:p>
        </w:tc>
        <w:tc>
          <w:tcPr>
            <w:tcW w:w="160" w:type="dxa"/>
            <w:vAlign w:val="bottom"/>
            <w:tcBorders>
              <w:top w:val="single" w:sz="8" w:color="CFF0FC"/>
            </w:tcBorders>
            <w:shd w:val="clear" w:color="auto" w:fill="CFF0FC"/>
          </w:tcPr>
          <w:p>
            <w:pPr>
              <w:spacing w:after="0"/>
              <w:rPr>
                <w:sz w:val="11"/>
                <w:szCs w:val="11"/>
                <w:color w:val="auto"/>
              </w:rPr>
            </w:pP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59,507</w:t>
            </w:r>
          </w:p>
        </w:tc>
        <w:tc>
          <w:tcPr>
            <w:tcW w:w="120" w:type="dxa"/>
            <w:vAlign w:val="bottom"/>
            <w:tcBorders>
              <w:top w:val="single" w:sz="8" w:color="CFF0FC"/>
            </w:tcBorders>
            <w:shd w:val="clear" w:color="auto" w:fill="CFF0FC"/>
          </w:tcPr>
          <w:p>
            <w:pPr>
              <w:spacing w:after="0"/>
              <w:rPr>
                <w:sz w:val="11"/>
                <w:szCs w:val="11"/>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328,257</w:t>
            </w:r>
          </w:p>
        </w:tc>
        <w:tc>
          <w:tcPr>
            <w:tcW w:w="100" w:type="dxa"/>
            <w:vAlign w:val="bottom"/>
            <w:tcBorders>
              <w:top w:val="single" w:sz="8" w:color="CFF0FC"/>
            </w:tcBorders>
            <w:shd w:val="clear" w:color="auto" w:fill="CFF0FC"/>
          </w:tcPr>
          <w:p>
            <w:pPr>
              <w:spacing w:after="0"/>
              <w:rPr>
                <w:sz w:val="11"/>
                <w:szCs w:val="11"/>
                <w:color w:val="auto"/>
              </w:rPr>
            </w:pP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.55</w:t>
            </w:r>
          </w:p>
        </w:tc>
        <w:tc>
          <w:tcPr>
            <w:tcW w:w="160" w:type="dxa"/>
            <w:vAlign w:val="bottom"/>
            <w:tcBorders>
              <w:top w:val="single" w:sz="8" w:color="CFF0FC"/>
            </w:tcBorders>
            <w:shd w:val="clear" w:color="auto" w:fill="CFF0FC"/>
          </w:tcPr>
          <w:p>
            <w:pPr>
              <w:spacing w:after="0"/>
              <w:rPr>
                <w:sz w:val="11"/>
                <w:szCs w:val="11"/>
                <w:color w:val="auto"/>
              </w:rPr>
            </w:pP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52,832</w:t>
            </w:r>
          </w:p>
        </w:tc>
        <w:tc>
          <w:tcPr>
            <w:tcW w:w="120" w:type="dxa"/>
            <w:vAlign w:val="bottom"/>
            <w:tcBorders>
              <w:top w:val="single" w:sz="8" w:color="CFF0FC"/>
            </w:tcBorders>
            <w:shd w:val="clear" w:color="auto" w:fill="CFF0FC"/>
          </w:tcPr>
          <w:p>
            <w:pPr>
              <w:spacing w:after="0"/>
              <w:rPr>
                <w:sz w:val="11"/>
                <w:szCs w:val="11"/>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280,431</w:t>
            </w:r>
          </w:p>
        </w:tc>
        <w:tc>
          <w:tcPr>
            <w:tcW w:w="120" w:type="dxa"/>
            <w:vAlign w:val="bottom"/>
            <w:tcBorders>
              <w:top w:val="single" w:sz="8" w:color="CFF0FC"/>
            </w:tcBorders>
            <w:shd w:val="clear" w:color="auto" w:fill="CFF0FC"/>
          </w:tcPr>
          <w:p>
            <w:pPr>
              <w:spacing w:after="0"/>
              <w:rPr>
                <w:sz w:val="11"/>
                <w:szCs w:val="11"/>
                <w:color w:val="auto"/>
              </w:rPr>
            </w:pP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.53</w:t>
            </w:r>
          </w:p>
        </w:tc>
        <w:tc>
          <w:tcPr>
            <w:tcW w:w="180" w:type="dxa"/>
            <w:vAlign w:val="bottom"/>
            <w:tcBorders>
              <w:top w:val="single" w:sz="8" w:color="CFF0FC"/>
            </w:tcBorders>
            <w:shd w:val="clear" w:color="auto" w:fill="CFF0FC"/>
          </w:tcPr>
          <w:p>
            <w:pPr>
              <w:spacing w:after="0"/>
              <w:rPr>
                <w:sz w:val="11"/>
                <w:szCs w:val="11"/>
                <w:color w:val="auto"/>
              </w:rPr>
            </w:pP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47,534</w:t>
            </w:r>
          </w:p>
        </w:tc>
        <w:tc>
          <w:tcPr>
            <w:tcW w:w="120" w:type="dxa"/>
            <w:vAlign w:val="bottom"/>
            <w:tcBorders>
              <w:top w:val="single" w:sz="8" w:color="CFF0FC"/>
            </w:tcBorders>
            <w:shd w:val="clear" w:color="auto" w:fill="CFF0FC"/>
          </w:tcPr>
          <w:p>
            <w:pPr>
              <w:spacing w:after="0"/>
              <w:rPr>
                <w:sz w:val="11"/>
                <w:szCs w:val="11"/>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284,105</w:t>
            </w:r>
          </w:p>
        </w:tc>
        <w:tc>
          <w:tcPr>
            <w:tcW w:w="100" w:type="dxa"/>
            <w:vAlign w:val="bottom"/>
            <w:tcBorders>
              <w:top w:val="single" w:sz="8" w:color="CFF0FC"/>
            </w:tcBorders>
            <w:shd w:val="clear" w:color="auto" w:fill="CFF0FC"/>
          </w:tcPr>
          <w:p>
            <w:pPr>
              <w:spacing w:after="0"/>
              <w:rPr>
                <w:sz w:val="11"/>
                <w:szCs w:val="11"/>
                <w:color w:val="auto"/>
              </w:rPr>
            </w:pP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.60</w:t>
            </w:r>
          </w:p>
        </w:tc>
        <w:tc>
          <w:tcPr>
            <w:tcW w:w="1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200" w:type="dxa"/>
            <w:vAlign w:val="bottom"/>
          </w:tcPr>
          <w:p>
            <w:pPr>
              <w:spacing w:after="0"/>
              <w:rPr>
                <w:sz w:val="20"/>
                <w:szCs w:val="20"/>
                <w:color w:val="auto"/>
              </w:rPr>
            </w:pPr>
            <w:r>
              <w:rPr>
                <w:rFonts w:ascii="Arial" w:cs="Arial" w:eastAsia="Arial" w:hAnsi="Arial"/>
                <w:sz w:val="12"/>
                <w:szCs w:val="12"/>
                <w:color w:val="auto"/>
              </w:rPr>
              <w:t>Noninterest-bearing deposits</w:t>
            </w:r>
          </w:p>
        </w:tc>
        <w:tc>
          <w:tcPr>
            <w:tcW w:w="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32,520</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30,160</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27,324</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25,715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23,721</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200" w:type="dxa"/>
            <w:vAlign w:val="bottom"/>
            <w:shd w:val="clear" w:color="auto" w:fill="CFF0FC"/>
          </w:tcPr>
          <w:p>
            <w:pPr>
              <w:spacing w:after="0"/>
              <w:rPr>
                <w:sz w:val="20"/>
                <w:szCs w:val="20"/>
                <w:color w:val="auto"/>
              </w:rPr>
            </w:pPr>
            <w:r>
              <w:rPr>
                <w:rFonts w:ascii="Arial" w:cs="Arial" w:eastAsia="Arial" w:hAnsi="Arial"/>
                <w:sz w:val="12"/>
                <w:szCs w:val="12"/>
                <w:color w:val="auto"/>
              </w:rPr>
              <w:t>Other liabilities</w:t>
            </w:r>
          </w:p>
        </w:tc>
        <w:tc>
          <w:tcPr>
            <w:tcW w:w="80" w:type="dxa"/>
            <w:vAlign w:val="bottom"/>
            <w:tcBorders>
              <w:bottom w:val="single" w:sz="8" w:color="auto"/>
            </w:tcBorders>
            <w:shd w:val="clear" w:color="auto" w:fill="CFF0FC"/>
          </w:tcPr>
          <w:p>
            <w:pPr>
              <w:spacing w:after="0"/>
              <w:rPr>
                <w:sz w:val="12"/>
                <w:szCs w:val="12"/>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1,793</w:t>
            </w: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1,969</w:t>
            </w: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1,721</w:t>
            </w: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1,499</w:t>
            </w: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1,685</w:t>
            </w: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200" w:type="dxa"/>
            <w:vAlign w:val="bottom"/>
            <w:tcBorders>
              <w:bottom w:val="single" w:sz="8" w:color="CFF0FC"/>
            </w:tcBorders>
          </w:tcPr>
          <w:p>
            <w:pPr>
              <w:ind w:left="240"/>
              <w:spacing w:after="0"/>
              <w:rPr>
                <w:sz w:val="20"/>
                <w:szCs w:val="20"/>
                <w:color w:val="auto"/>
              </w:rPr>
            </w:pPr>
            <w:r>
              <w:rPr>
                <w:rFonts w:ascii="Arial" w:cs="Arial" w:eastAsia="Arial" w:hAnsi="Arial"/>
                <w:sz w:val="12"/>
                <w:szCs w:val="12"/>
                <w:color w:val="auto"/>
              </w:rPr>
              <w:t>Total liabilities</w:t>
            </w: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7"/>
              </w:rPr>
              <w:t>104,565</w:t>
            </w:r>
          </w:p>
        </w:tc>
        <w:tc>
          <w:tcPr>
            <w:tcW w:w="80" w:type="dxa"/>
            <w:vAlign w:val="bottom"/>
            <w:tcBorders>
              <w:bottom w:val="single" w:sz="8" w:color="CFF0FC"/>
            </w:tcBorders>
          </w:tcPr>
          <w:p>
            <w:pPr>
              <w:spacing w:after="0"/>
              <w:rPr>
                <w:sz w:val="11"/>
                <w:szCs w:val="11"/>
                <w:color w:val="auto"/>
              </w:rPr>
            </w:pPr>
          </w:p>
        </w:tc>
        <w:tc>
          <w:tcPr>
            <w:tcW w:w="40" w:type="dxa"/>
            <w:vAlign w:val="bottom"/>
            <w:tcBorders>
              <w:bottom w:val="single" w:sz="8" w:color="CFF0FC"/>
            </w:tcBorders>
          </w:tcPr>
          <w:p>
            <w:pPr>
              <w:spacing w:after="0"/>
              <w:rPr>
                <w:sz w:val="11"/>
                <w:szCs w:val="11"/>
                <w:color w:val="auto"/>
              </w:rPr>
            </w:pPr>
          </w:p>
        </w:tc>
        <w:tc>
          <w:tcPr>
            <w:tcW w:w="80" w:type="dxa"/>
            <w:vAlign w:val="bottom"/>
            <w:tcBorders>
              <w:bottom w:val="single" w:sz="8" w:color="CFF0FC"/>
            </w:tcBorders>
          </w:tcPr>
          <w:p>
            <w:pPr>
              <w:spacing w:after="0"/>
              <w:rPr>
                <w:sz w:val="11"/>
                <w:szCs w:val="11"/>
                <w:color w:val="auto"/>
              </w:rPr>
            </w:pPr>
          </w:p>
        </w:tc>
        <w:tc>
          <w:tcPr>
            <w:tcW w:w="500" w:type="dxa"/>
            <w:vAlign w:val="bottom"/>
            <w:tcBorders>
              <w:bottom w:val="single" w:sz="8" w:color="CFF0FC"/>
            </w:tcBorders>
          </w:tcPr>
          <w:p>
            <w:pPr>
              <w:spacing w:after="0"/>
              <w:rPr>
                <w:sz w:val="11"/>
                <w:szCs w:val="11"/>
                <w:color w:val="auto"/>
              </w:rPr>
            </w:pPr>
          </w:p>
        </w:tc>
        <w:tc>
          <w:tcPr>
            <w:tcW w:w="120" w:type="dxa"/>
            <w:vAlign w:val="bottom"/>
            <w:tcBorders>
              <w:bottom w:val="single" w:sz="8" w:color="CFF0FC"/>
            </w:tcBorders>
          </w:tcPr>
          <w:p>
            <w:pPr>
              <w:spacing w:after="0"/>
              <w:rPr>
                <w:sz w:val="11"/>
                <w:szCs w:val="11"/>
                <w:color w:val="auto"/>
              </w:rPr>
            </w:pPr>
          </w:p>
        </w:tc>
        <w:tc>
          <w:tcPr>
            <w:tcW w:w="420" w:type="dxa"/>
            <w:vAlign w:val="bottom"/>
            <w:tcBorders>
              <w:bottom w:val="single" w:sz="8" w:color="CFF0FC"/>
            </w:tcBorders>
          </w:tcPr>
          <w:p>
            <w:pPr>
              <w:spacing w:after="0"/>
              <w:rPr>
                <w:sz w:val="11"/>
                <w:szCs w:val="11"/>
                <w:color w:val="auto"/>
              </w:rPr>
            </w:pPr>
          </w:p>
        </w:tc>
        <w:tc>
          <w:tcPr>
            <w:tcW w:w="180" w:type="dxa"/>
            <w:vAlign w:val="bottom"/>
            <w:tcBorders>
              <w:bottom w:val="single" w:sz="8" w:color="CFF0FC"/>
            </w:tcBorders>
          </w:tcPr>
          <w:p>
            <w:pPr>
              <w:spacing w:after="0"/>
              <w:rPr>
                <w:sz w:val="11"/>
                <w:szCs w:val="1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107,921</w:t>
            </w:r>
          </w:p>
        </w:tc>
        <w:tc>
          <w:tcPr>
            <w:tcW w:w="100" w:type="dxa"/>
            <w:vAlign w:val="bottom"/>
            <w:tcBorders>
              <w:bottom w:val="single" w:sz="8" w:color="CFF0FC"/>
            </w:tcBorders>
          </w:tcPr>
          <w:p>
            <w:pPr>
              <w:spacing w:after="0"/>
              <w:rPr>
                <w:sz w:val="11"/>
                <w:szCs w:val="11"/>
                <w:color w:val="auto"/>
              </w:rPr>
            </w:pPr>
          </w:p>
        </w:tc>
        <w:tc>
          <w:tcPr>
            <w:tcW w:w="580" w:type="dxa"/>
            <w:vAlign w:val="bottom"/>
            <w:tcBorders>
              <w:bottom w:val="single" w:sz="8" w:color="CFF0FC"/>
            </w:tcBorders>
          </w:tcPr>
          <w:p>
            <w:pPr>
              <w:spacing w:after="0"/>
              <w:rPr>
                <w:sz w:val="11"/>
                <w:szCs w:val="11"/>
                <w:color w:val="auto"/>
              </w:rPr>
            </w:pPr>
          </w:p>
        </w:tc>
        <w:tc>
          <w:tcPr>
            <w:tcW w:w="100" w:type="dxa"/>
            <w:vAlign w:val="bottom"/>
            <w:tcBorders>
              <w:bottom w:val="single" w:sz="8" w:color="CFF0FC"/>
            </w:tcBorders>
          </w:tcPr>
          <w:p>
            <w:pPr>
              <w:spacing w:after="0"/>
              <w:rPr>
                <w:sz w:val="11"/>
                <w:szCs w:val="11"/>
                <w:color w:val="auto"/>
              </w:rPr>
            </w:pPr>
          </w:p>
        </w:tc>
        <w:tc>
          <w:tcPr>
            <w:tcW w:w="440" w:type="dxa"/>
            <w:vAlign w:val="bottom"/>
            <w:tcBorders>
              <w:bottom w:val="single" w:sz="8" w:color="CFF0FC"/>
            </w:tcBorders>
          </w:tcPr>
          <w:p>
            <w:pPr>
              <w:spacing w:after="0"/>
              <w:rPr>
                <w:sz w:val="11"/>
                <w:szCs w:val="11"/>
                <w:color w:val="auto"/>
              </w:rPr>
            </w:pPr>
          </w:p>
        </w:tc>
        <w:tc>
          <w:tcPr>
            <w:tcW w:w="160" w:type="dxa"/>
            <w:vAlign w:val="bottom"/>
            <w:tcBorders>
              <w:bottom w:val="single" w:sz="8" w:color="CFF0FC"/>
            </w:tcBorders>
          </w:tcPr>
          <w:p>
            <w:pPr>
              <w:spacing w:after="0"/>
              <w:rPr>
                <w:sz w:val="11"/>
                <w:szCs w:val="1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88,552</w:t>
            </w:r>
          </w:p>
        </w:tc>
        <w:tc>
          <w:tcPr>
            <w:tcW w:w="120" w:type="dxa"/>
            <w:vAlign w:val="bottom"/>
            <w:tcBorders>
              <w:bottom w:val="single" w:sz="8" w:color="CFF0FC"/>
            </w:tcBorders>
          </w:tcPr>
          <w:p>
            <w:pPr>
              <w:spacing w:after="0"/>
              <w:rPr>
                <w:sz w:val="11"/>
                <w:szCs w:val="11"/>
                <w:color w:val="auto"/>
              </w:rPr>
            </w:pPr>
          </w:p>
        </w:tc>
        <w:tc>
          <w:tcPr>
            <w:tcW w:w="560" w:type="dxa"/>
            <w:vAlign w:val="bottom"/>
            <w:tcBorders>
              <w:bottom w:val="single" w:sz="8" w:color="CFF0FC"/>
            </w:tcBorders>
          </w:tcPr>
          <w:p>
            <w:pPr>
              <w:spacing w:after="0"/>
              <w:rPr>
                <w:sz w:val="11"/>
                <w:szCs w:val="11"/>
                <w:color w:val="auto"/>
              </w:rPr>
            </w:pPr>
          </w:p>
        </w:tc>
        <w:tc>
          <w:tcPr>
            <w:tcW w:w="100" w:type="dxa"/>
            <w:vAlign w:val="bottom"/>
            <w:tcBorders>
              <w:bottom w:val="single" w:sz="8" w:color="CFF0FC"/>
            </w:tcBorders>
          </w:tcPr>
          <w:p>
            <w:pPr>
              <w:spacing w:after="0"/>
              <w:rPr>
                <w:sz w:val="11"/>
                <w:szCs w:val="11"/>
                <w:color w:val="auto"/>
              </w:rPr>
            </w:pPr>
          </w:p>
        </w:tc>
        <w:tc>
          <w:tcPr>
            <w:tcW w:w="440" w:type="dxa"/>
            <w:vAlign w:val="bottom"/>
            <w:tcBorders>
              <w:bottom w:val="single" w:sz="8" w:color="CFF0FC"/>
            </w:tcBorders>
          </w:tcPr>
          <w:p>
            <w:pPr>
              <w:spacing w:after="0"/>
              <w:rPr>
                <w:sz w:val="11"/>
                <w:szCs w:val="11"/>
                <w:color w:val="auto"/>
              </w:rPr>
            </w:pPr>
          </w:p>
        </w:tc>
        <w:tc>
          <w:tcPr>
            <w:tcW w:w="160" w:type="dxa"/>
            <w:vAlign w:val="bottom"/>
            <w:tcBorders>
              <w:bottom w:val="single" w:sz="8" w:color="CFF0FC"/>
            </w:tcBorders>
          </w:tcPr>
          <w:p>
            <w:pPr>
              <w:spacing w:after="0"/>
              <w:rPr>
                <w:sz w:val="11"/>
                <w:szCs w:val="1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80,046</w:t>
            </w:r>
          </w:p>
        </w:tc>
        <w:tc>
          <w:tcPr>
            <w:tcW w:w="120" w:type="dxa"/>
            <w:vAlign w:val="bottom"/>
            <w:tcBorders>
              <w:bottom w:val="single" w:sz="8" w:color="CFF0FC"/>
            </w:tcBorders>
          </w:tcPr>
          <w:p>
            <w:pPr>
              <w:spacing w:after="0"/>
              <w:rPr>
                <w:sz w:val="11"/>
                <w:szCs w:val="11"/>
                <w:color w:val="auto"/>
              </w:rPr>
            </w:pPr>
          </w:p>
        </w:tc>
        <w:tc>
          <w:tcPr>
            <w:tcW w:w="560" w:type="dxa"/>
            <w:vAlign w:val="bottom"/>
            <w:tcBorders>
              <w:bottom w:val="single" w:sz="8" w:color="CFF0FC"/>
            </w:tcBorders>
          </w:tcPr>
          <w:p>
            <w:pPr>
              <w:spacing w:after="0"/>
              <w:rPr>
                <w:sz w:val="11"/>
                <w:szCs w:val="11"/>
                <w:color w:val="auto"/>
              </w:rPr>
            </w:pPr>
          </w:p>
        </w:tc>
        <w:tc>
          <w:tcPr>
            <w:tcW w:w="120" w:type="dxa"/>
            <w:vAlign w:val="bottom"/>
            <w:tcBorders>
              <w:bottom w:val="single" w:sz="8" w:color="CFF0FC"/>
            </w:tcBorders>
          </w:tcPr>
          <w:p>
            <w:pPr>
              <w:spacing w:after="0"/>
              <w:rPr>
                <w:sz w:val="11"/>
                <w:szCs w:val="11"/>
                <w:color w:val="auto"/>
              </w:rPr>
            </w:pPr>
          </w:p>
        </w:tc>
        <w:tc>
          <w:tcPr>
            <w:tcW w:w="420" w:type="dxa"/>
            <w:vAlign w:val="bottom"/>
            <w:tcBorders>
              <w:bottom w:val="single" w:sz="8" w:color="CFF0FC"/>
            </w:tcBorders>
          </w:tcPr>
          <w:p>
            <w:pPr>
              <w:spacing w:after="0"/>
              <w:rPr>
                <w:sz w:val="11"/>
                <w:szCs w:val="11"/>
                <w:color w:val="auto"/>
              </w:rPr>
            </w:pPr>
          </w:p>
        </w:tc>
        <w:tc>
          <w:tcPr>
            <w:tcW w:w="180" w:type="dxa"/>
            <w:vAlign w:val="bottom"/>
            <w:tcBorders>
              <w:bottom w:val="single" w:sz="8" w:color="CFF0FC"/>
            </w:tcBorders>
          </w:tcPr>
          <w:p>
            <w:pPr>
              <w:spacing w:after="0"/>
              <w:rPr>
                <w:sz w:val="11"/>
                <w:szCs w:val="1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72,940</w:t>
            </w:r>
          </w:p>
        </w:tc>
        <w:tc>
          <w:tcPr>
            <w:tcW w:w="120" w:type="dxa"/>
            <w:vAlign w:val="bottom"/>
            <w:tcBorders>
              <w:bottom w:val="single" w:sz="8" w:color="CFF0FC"/>
            </w:tcBorders>
          </w:tcPr>
          <w:p>
            <w:pPr>
              <w:spacing w:after="0"/>
              <w:rPr>
                <w:sz w:val="11"/>
                <w:szCs w:val="11"/>
                <w:color w:val="auto"/>
              </w:rPr>
            </w:pPr>
          </w:p>
        </w:tc>
        <w:tc>
          <w:tcPr>
            <w:tcW w:w="580" w:type="dxa"/>
            <w:vAlign w:val="bottom"/>
            <w:tcBorders>
              <w:bottom w:val="single" w:sz="8" w:color="CFF0FC"/>
            </w:tcBorders>
          </w:tcPr>
          <w:p>
            <w:pPr>
              <w:spacing w:after="0"/>
              <w:rPr>
                <w:sz w:val="11"/>
                <w:szCs w:val="11"/>
                <w:color w:val="auto"/>
              </w:rPr>
            </w:pPr>
          </w:p>
        </w:tc>
        <w:tc>
          <w:tcPr>
            <w:tcW w:w="100" w:type="dxa"/>
            <w:vAlign w:val="bottom"/>
            <w:tcBorders>
              <w:bottom w:val="single" w:sz="8" w:color="CFF0FC"/>
            </w:tcBorders>
          </w:tcPr>
          <w:p>
            <w:pPr>
              <w:spacing w:after="0"/>
              <w:rPr>
                <w:sz w:val="11"/>
                <w:szCs w:val="11"/>
                <w:color w:val="auto"/>
              </w:rPr>
            </w:pPr>
          </w:p>
        </w:tc>
        <w:tc>
          <w:tcPr>
            <w:tcW w:w="420" w:type="dxa"/>
            <w:vAlign w:val="bottom"/>
            <w:tcBorders>
              <w:bottom w:val="single" w:sz="8" w:color="CFF0FC"/>
            </w:tcBorders>
          </w:tcPr>
          <w:p>
            <w:pPr>
              <w:spacing w:after="0"/>
              <w:rPr>
                <w:sz w:val="11"/>
                <w:szCs w:val="11"/>
                <w:color w:val="auto"/>
              </w:rPr>
            </w:pPr>
          </w:p>
        </w:tc>
        <w:tc>
          <w:tcPr>
            <w:tcW w:w="12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200" w:type="dxa"/>
            <w:vAlign w:val="bottom"/>
            <w:shd w:val="clear" w:color="auto" w:fill="CFF0FC"/>
          </w:tcPr>
          <w:p>
            <w:pPr>
              <w:spacing w:after="0"/>
              <w:rPr>
                <w:sz w:val="20"/>
                <w:szCs w:val="20"/>
                <w:color w:val="auto"/>
              </w:rPr>
            </w:pPr>
            <w:r>
              <w:rPr>
                <w:rFonts w:ascii="Arial" w:cs="Arial" w:eastAsia="Arial" w:hAnsi="Arial"/>
                <w:sz w:val="12"/>
                <w:szCs w:val="12"/>
                <w:color w:val="auto"/>
              </w:rPr>
              <w:t>Shareholders’ equity</w:t>
            </w:r>
          </w:p>
        </w:tc>
        <w:tc>
          <w:tcPr>
            <w:tcW w:w="80" w:type="dxa"/>
            <w:vAlign w:val="bottom"/>
            <w:tcBorders>
              <w:bottom w:val="single" w:sz="8" w:color="auto"/>
            </w:tcBorders>
            <w:shd w:val="clear" w:color="auto" w:fill="CFF0FC"/>
          </w:tcPr>
          <w:p>
            <w:pPr>
              <w:spacing w:after="0"/>
              <w:rPr>
                <w:sz w:val="11"/>
                <w:szCs w:val="11"/>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16,295</w:t>
            </w:r>
          </w:p>
        </w:tc>
        <w:tc>
          <w:tcPr>
            <w:tcW w:w="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16,419</w:t>
            </w: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13,228</w:t>
            </w: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12,097</w:t>
            </w: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10,722</w:t>
            </w: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200" w:type="dxa"/>
            <w:vAlign w:val="bottom"/>
          </w:tcPr>
          <w:p>
            <w:pPr>
              <w:ind w:left="240"/>
              <w:spacing w:after="0" w:line="124" w:lineRule="exact"/>
              <w:rPr>
                <w:sz w:val="20"/>
                <w:szCs w:val="20"/>
                <w:color w:val="auto"/>
              </w:rPr>
            </w:pPr>
            <w:r>
              <w:rPr>
                <w:rFonts w:ascii="Arial" w:cs="Arial" w:eastAsia="Arial" w:hAnsi="Arial"/>
                <w:sz w:val="12"/>
                <w:szCs w:val="12"/>
                <w:color w:val="auto"/>
              </w:rPr>
              <w:t>Total liabilities and shareholders’</w:t>
            </w: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2200" w:type="dxa"/>
            <w:vAlign w:val="bottom"/>
            <w:tcBorders>
              <w:bottom w:val="single" w:sz="8" w:color="CFF0FC"/>
            </w:tcBorders>
          </w:tcPr>
          <w:p>
            <w:pPr>
              <w:ind w:left="240"/>
              <w:spacing w:after="0"/>
              <w:rPr>
                <w:sz w:val="20"/>
                <w:szCs w:val="20"/>
                <w:color w:val="auto"/>
              </w:rPr>
            </w:pPr>
            <w:r>
              <w:rPr>
                <w:rFonts w:ascii="Arial" w:cs="Arial" w:eastAsia="Arial" w:hAnsi="Arial"/>
                <w:sz w:val="12"/>
                <w:szCs w:val="12"/>
                <w:color w:val="auto"/>
              </w:rPr>
              <w:t>equity</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7"/>
              </w:rPr>
              <w:t>120,860</w:t>
            </w:r>
          </w:p>
        </w:tc>
        <w:tc>
          <w:tcPr>
            <w:tcW w:w="80" w:type="dxa"/>
            <w:vAlign w:val="bottom"/>
            <w:tcBorders>
              <w:bottom w:val="single" w:sz="8" w:color="CFF0FC"/>
            </w:tcBorders>
          </w:tcPr>
          <w:p>
            <w:pPr>
              <w:spacing w:after="0"/>
              <w:rPr>
                <w:sz w:val="16"/>
                <w:szCs w:val="16"/>
                <w:color w:val="auto"/>
              </w:rPr>
            </w:pPr>
          </w:p>
        </w:tc>
        <w:tc>
          <w:tcPr>
            <w:tcW w:w="40" w:type="dxa"/>
            <w:vAlign w:val="bottom"/>
            <w:tcBorders>
              <w:bottom w:val="single" w:sz="8" w:color="CFF0FC"/>
            </w:tcBorders>
          </w:tcPr>
          <w:p>
            <w:pPr>
              <w:spacing w:after="0"/>
              <w:rPr>
                <w:sz w:val="16"/>
                <w:szCs w:val="16"/>
                <w:color w:val="auto"/>
              </w:rPr>
            </w:pPr>
          </w:p>
        </w:tc>
        <w:tc>
          <w:tcPr>
            <w:tcW w:w="80" w:type="dxa"/>
            <w:vAlign w:val="bottom"/>
            <w:tcBorders>
              <w:bottom w:val="single" w:sz="8" w:color="CFF0FC"/>
            </w:tcBorders>
          </w:tcPr>
          <w:p>
            <w:pPr>
              <w:spacing w:after="0"/>
              <w:rPr>
                <w:sz w:val="16"/>
                <w:szCs w:val="16"/>
                <w:color w:val="auto"/>
              </w:rPr>
            </w:pPr>
          </w:p>
        </w:tc>
        <w:tc>
          <w:tcPr>
            <w:tcW w:w="500" w:type="dxa"/>
            <w:vAlign w:val="bottom"/>
            <w:tcBorders>
              <w:bottom w:val="single" w:sz="8" w:color="CFF0FC"/>
            </w:tcBorders>
          </w:tcPr>
          <w:p>
            <w:pPr>
              <w:spacing w:after="0"/>
              <w:rPr>
                <w:sz w:val="16"/>
                <w:szCs w:val="16"/>
                <w:color w:val="auto"/>
              </w:rPr>
            </w:pPr>
          </w:p>
        </w:tc>
        <w:tc>
          <w:tcPr>
            <w:tcW w:w="120" w:type="dxa"/>
            <w:vAlign w:val="bottom"/>
            <w:tcBorders>
              <w:bottom w:val="single" w:sz="8" w:color="CFF0FC"/>
            </w:tcBorders>
          </w:tcPr>
          <w:p>
            <w:pPr>
              <w:spacing w:after="0"/>
              <w:rPr>
                <w:sz w:val="16"/>
                <w:szCs w:val="16"/>
                <w:color w:val="auto"/>
              </w:rPr>
            </w:pPr>
          </w:p>
        </w:tc>
        <w:tc>
          <w:tcPr>
            <w:tcW w:w="420" w:type="dxa"/>
            <w:vAlign w:val="bottom"/>
            <w:tcBorders>
              <w:bottom w:val="single" w:sz="8" w:color="CFF0FC"/>
            </w:tcBorders>
          </w:tcPr>
          <w:p>
            <w:pPr>
              <w:spacing w:after="0"/>
              <w:rPr>
                <w:sz w:val="16"/>
                <w:szCs w:val="16"/>
                <w:color w:val="auto"/>
              </w:rPr>
            </w:pPr>
          </w:p>
        </w:tc>
        <w:tc>
          <w:tcPr>
            <w:tcW w:w="180" w:type="dxa"/>
            <w:vAlign w:val="bottom"/>
            <w:tcBorders>
              <w:bottom w:val="single" w:sz="8" w:color="CFF0FC"/>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124,340</w:t>
            </w:r>
          </w:p>
        </w:tc>
        <w:tc>
          <w:tcPr>
            <w:tcW w:w="100" w:type="dxa"/>
            <w:vAlign w:val="bottom"/>
            <w:tcBorders>
              <w:bottom w:val="single" w:sz="8" w:color="CFF0FC"/>
            </w:tcBorders>
          </w:tcPr>
          <w:p>
            <w:pPr>
              <w:spacing w:after="0"/>
              <w:rPr>
                <w:sz w:val="16"/>
                <w:szCs w:val="16"/>
                <w:color w:val="auto"/>
              </w:rPr>
            </w:pPr>
          </w:p>
        </w:tc>
        <w:tc>
          <w:tcPr>
            <w:tcW w:w="580" w:type="dxa"/>
            <w:vAlign w:val="bottom"/>
            <w:tcBorders>
              <w:bottom w:val="single" w:sz="8" w:color="CFF0FC"/>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440" w:type="dxa"/>
            <w:vAlign w:val="bottom"/>
            <w:tcBorders>
              <w:bottom w:val="single" w:sz="8" w:color="CFF0FC"/>
            </w:tcBorders>
          </w:tcPr>
          <w:p>
            <w:pPr>
              <w:spacing w:after="0"/>
              <w:rPr>
                <w:sz w:val="16"/>
                <w:szCs w:val="16"/>
                <w:color w:val="auto"/>
              </w:rPr>
            </w:pPr>
          </w:p>
        </w:tc>
        <w:tc>
          <w:tcPr>
            <w:tcW w:w="160" w:type="dxa"/>
            <w:vAlign w:val="bottom"/>
            <w:tcBorders>
              <w:bottom w:val="single" w:sz="8" w:color="CFF0FC"/>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101,780</w:t>
            </w:r>
          </w:p>
        </w:tc>
        <w:tc>
          <w:tcPr>
            <w:tcW w:w="120" w:type="dxa"/>
            <w:vAlign w:val="bottom"/>
            <w:tcBorders>
              <w:bottom w:val="single" w:sz="8" w:color="CFF0FC"/>
            </w:tcBorders>
          </w:tcPr>
          <w:p>
            <w:pPr>
              <w:spacing w:after="0"/>
              <w:rPr>
                <w:sz w:val="16"/>
                <w:szCs w:val="16"/>
                <w:color w:val="auto"/>
              </w:rPr>
            </w:pPr>
          </w:p>
        </w:tc>
        <w:tc>
          <w:tcPr>
            <w:tcW w:w="560" w:type="dxa"/>
            <w:vAlign w:val="bottom"/>
            <w:tcBorders>
              <w:bottom w:val="single" w:sz="8" w:color="CFF0FC"/>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440" w:type="dxa"/>
            <w:vAlign w:val="bottom"/>
            <w:tcBorders>
              <w:bottom w:val="single" w:sz="8" w:color="CFF0FC"/>
            </w:tcBorders>
          </w:tcPr>
          <w:p>
            <w:pPr>
              <w:spacing w:after="0"/>
              <w:rPr>
                <w:sz w:val="16"/>
                <w:szCs w:val="16"/>
                <w:color w:val="auto"/>
              </w:rPr>
            </w:pPr>
          </w:p>
        </w:tc>
        <w:tc>
          <w:tcPr>
            <w:tcW w:w="160" w:type="dxa"/>
            <w:vAlign w:val="bottom"/>
            <w:tcBorders>
              <w:bottom w:val="single" w:sz="8" w:color="CFF0FC"/>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92,143</w:t>
            </w:r>
          </w:p>
        </w:tc>
        <w:tc>
          <w:tcPr>
            <w:tcW w:w="120" w:type="dxa"/>
            <w:vAlign w:val="bottom"/>
            <w:tcBorders>
              <w:bottom w:val="single" w:sz="8" w:color="CFF0FC"/>
            </w:tcBorders>
          </w:tcPr>
          <w:p>
            <w:pPr>
              <w:spacing w:after="0"/>
              <w:rPr>
                <w:sz w:val="16"/>
                <w:szCs w:val="16"/>
                <w:color w:val="auto"/>
              </w:rPr>
            </w:pPr>
          </w:p>
        </w:tc>
        <w:tc>
          <w:tcPr>
            <w:tcW w:w="560" w:type="dxa"/>
            <w:vAlign w:val="bottom"/>
            <w:tcBorders>
              <w:bottom w:val="single" w:sz="8" w:color="CFF0FC"/>
            </w:tcBorders>
          </w:tcPr>
          <w:p>
            <w:pPr>
              <w:spacing w:after="0"/>
              <w:rPr>
                <w:sz w:val="16"/>
                <w:szCs w:val="16"/>
                <w:color w:val="auto"/>
              </w:rPr>
            </w:pPr>
          </w:p>
        </w:tc>
        <w:tc>
          <w:tcPr>
            <w:tcW w:w="120" w:type="dxa"/>
            <w:vAlign w:val="bottom"/>
            <w:tcBorders>
              <w:bottom w:val="single" w:sz="8" w:color="CFF0FC"/>
            </w:tcBorders>
          </w:tcPr>
          <w:p>
            <w:pPr>
              <w:spacing w:after="0"/>
              <w:rPr>
                <w:sz w:val="16"/>
                <w:szCs w:val="16"/>
                <w:color w:val="auto"/>
              </w:rPr>
            </w:pPr>
          </w:p>
        </w:tc>
        <w:tc>
          <w:tcPr>
            <w:tcW w:w="420" w:type="dxa"/>
            <w:vAlign w:val="bottom"/>
            <w:tcBorders>
              <w:bottom w:val="single" w:sz="8" w:color="CFF0FC"/>
            </w:tcBorders>
          </w:tcPr>
          <w:p>
            <w:pPr>
              <w:spacing w:after="0"/>
              <w:rPr>
                <w:sz w:val="16"/>
                <w:szCs w:val="16"/>
                <w:color w:val="auto"/>
              </w:rPr>
            </w:pPr>
          </w:p>
        </w:tc>
        <w:tc>
          <w:tcPr>
            <w:tcW w:w="180" w:type="dxa"/>
            <w:vAlign w:val="bottom"/>
            <w:tcBorders>
              <w:bottom w:val="single" w:sz="8" w:color="CFF0FC"/>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83,662</w:t>
            </w:r>
          </w:p>
        </w:tc>
        <w:tc>
          <w:tcPr>
            <w:tcW w:w="120" w:type="dxa"/>
            <w:vAlign w:val="bottom"/>
            <w:tcBorders>
              <w:bottom w:val="single" w:sz="8" w:color="CFF0FC"/>
            </w:tcBorders>
          </w:tcPr>
          <w:p>
            <w:pPr>
              <w:spacing w:after="0"/>
              <w:rPr>
                <w:sz w:val="16"/>
                <w:szCs w:val="16"/>
                <w:color w:val="auto"/>
              </w:rPr>
            </w:pPr>
          </w:p>
        </w:tc>
        <w:tc>
          <w:tcPr>
            <w:tcW w:w="580" w:type="dxa"/>
            <w:vAlign w:val="bottom"/>
            <w:tcBorders>
              <w:bottom w:val="single" w:sz="8" w:color="CFF0FC"/>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420" w:type="dxa"/>
            <w:vAlign w:val="bottom"/>
            <w:tcBorders>
              <w:bottom w:val="single" w:sz="8" w:color="CFF0FC"/>
            </w:tcBorders>
          </w:tcPr>
          <w:p>
            <w:pPr>
              <w:spacing w:after="0"/>
              <w:rPr>
                <w:sz w:val="16"/>
                <w:szCs w:val="16"/>
                <w:color w:val="auto"/>
              </w:rPr>
            </w:pPr>
          </w:p>
        </w:tc>
        <w:tc>
          <w:tcPr>
            <w:tcW w:w="12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2200" w:type="dxa"/>
            <w:vAlign w:val="bottom"/>
            <w:shd w:val="clear" w:color="auto" w:fill="CFF0FC"/>
          </w:tcPr>
          <w:p>
            <w:pPr>
              <w:spacing w:after="0" w:line="124" w:lineRule="exact"/>
              <w:rPr>
                <w:sz w:val="20"/>
                <w:szCs w:val="20"/>
                <w:color w:val="auto"/>
              </w:rPr>
            </w:pPr>
            <w:r>
              <w:rPr>
                <w:rFonts w:ascii="Arial" w:cs="Arial" w:eastAsia="Arial" w:hAnsi="Arial"/>
                <w:sz w:val="12"/>
                <w:szCs w:val="12"/>
                <w:color w:val="auto"/>
              </w:rPr>
              <w:t>Net interest spread</w:t>
            </w: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540" w:type="dxa"/>
            <w:vAlign w:val="bottom"/>
            <w:gridSpan w:val="2"/>
            <w:shd w:val="clear" w:color="auto" w:fill="CFF0FC"/>
          </w:tcPr>
          <w:p>
            <w:pPr>
              <w:jc w:val="right"/>
              <w:spacing w:after="0" w:line="124" w:lineRule="exact"/>
              <w:rPr>
                <w:sz w:val="20"/>
                <w:szCs w:val="20"/>
                <w:color w:val="auto"/>
              </w:rPr>
            </w:pPr>
            <w:r>
              <w:rPr>
                <w:rFonts w:ascii="Arial" w:cs="Arial" w:eastAsia="Arial" w:hAnsi="Arial"/>
                <w:sz w:val="12"/>
                <w:szCs w:val="12"/>
                <w:color w:val="auto"/>
              </w:rPr>
              <w:t>3.27</w:t>
            </w:r>
          </w:p>
        </w:tc>
        <w:tc>
          <w:tcPr>
            <w:tcW w:w="18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40" w:type="dxa"/>
            <w:vAlign w:val="bottom"/>
            <w:shd w:val="clear" w:color="auto" w:fill="CFF0FC"/>
          </w:tcPr>
          <w:p>
            <w:pPr>
              <w:jc w:val="right"/>
              <w:spacing w:after="0" w:line="124" w:lineRule="exact"/>
              <w:rPr>
                <w:sz w:val="20"/>
                <w:szCs w:val="20"/>
                <w:color w:val="auto"/>
              </w:rPr>
            </w:pPr>
            <w:r>
              <w:rPr>
                <w:rFonts w:ascii="Arial" w:cs="Arial" w:eastAsia="Arial" w:hAnsi="Arial"/>
                <w:sz w:val="12"/>
                <w:szCs w:val="12"/>
                <w:color w:val="auto"/>
              </w:rPr>
              <w:t>2.93</w:t>
            </w:r>
          </w:p>
        </w:tc>
        <w:tc>
          <w:tcPr>
            <w:tcW w:w="16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540" w:type="dxa"/>
            <w:vAlign w:val="bottom"/>
            <w:gridSpan w:val="2"/>
            <w:shd w:val="clear" w:color="auto" w:fill="CFF0FC"/>
          </w:tcPr>
          <w:p>
            <w:pPr>
              <w:jc w:val="right"/>
              <w:spacing w:after="0" w:line="124" w:lineRule="exact"/>
              <w:rPr>
                <w:sz w:val="20"/>
                <w:szCs w:val="20"/>
                <w:color w:val="auto"/>
              </w:rPr>
            </w:pPr>
            <w:r>
              <w:rPr>
                <w:rFonts w:ascii="Arial" w:cs="Arial" w:eastAsia="Arial" w:hAnsi="Arial"/>
                <w:sz w:val="12"/>
                <w:szCs w:val="12"/>
                <w:color w:val="auto"/>
              </w:rPr>
              <w:t>2.95</w:t>
            </w:r>
          </w:p>
        </w:tc>
        <w:tc>
          <w:tcPr>
            <w:tcW w:w="16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540" w:type="dxa"/>
            <w:vAlign w:val="bottom"/>
            <w:gridSpan w:val="2"/>
            <w:shd w:val="clear" w:color="auto" w:fill="CFF0FC"/>
          </w:tcPr>
          <w:p>
            <w:pPr>
              <w:jc w:val="right"/>
              <w:spacing w:after="0" w:line="124" w:lineRule="exact"/>
              <w:rPr>
                <w:sz w:val="20"/>
                <w:szCs w:val="20"/>
                <w:color w:val="auto"/>
              </w:rPr>
            </w:pPr>
            <w:r>
              <w:rPr>
                <w:rFonts w:ascii="Arial" w:cs="Arial" w:eastAsia="Arial" w:hAnsi="Arial"/>
                <w:sz w:val="12"/>
                <w:szCs w:val="12"/>
                <w:color w:val="auto"/>
              </w:rPr>
              <w:t>3.12</w:t>
            </w:r>
          </w:p>
        </w:tc>
        <w:tc>
          <w:tcPr>
            <w:tcW w:w="18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20" w:type="dxa"/>
            <w:vAlign w:val="bottom"/>
            <w:shd w:val="clear" w:color="auto" w:fill="CFF0FC"/>
          </w:tcPr>
          <w:p>
            <w:pPr>
              <w:jc w:val="right"/>
              <w:spacing w:after="0" w:line="124" w:lineRule="exact"/>
              <w:rPr>
                <w:sz w:val="20"/>
                <w:szCs w:val="20"/>
                <w:color w:val="auto"/>
              </w:rPr>
            </w:pPr>
            <w:r>
              <w:rPr>
                <w:rFonts w:ascii="Arial" w:cs="Arial" w:eastAsia="Arial" w:hAnsi="Arial"/>
                <w:sz w:val="12"/>
                <w:szCs w:val="12"/>
                <w:color w:val="auto"/>
              </w:rPr>
              <w:t>3.43</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200" w:type="dxa"/>
            <w:vAlign w:val="bottom"/>
          </w:tcPr>
          <w:p>
            <w:pPr>
              <w:spacing w:after="0"/>
              <w:rPr>
                <w:sz w:val="20"/>
                <w:szCs w:val="20"/>
                <w:color w:val="auto"/>
              </w:rPr>
            </w:pPr>
            <w:r>
              <w:rPr>
                <w:rFonts w:ascii="Arial" w:cs="Arial" w:eastAsia="Arial" w:hAnsi="Arial"/>
                <w:sz w:val="12"/>
                <w:szCs w:val="12"/>
                <w:color w:val="auto"/>
              </w:rPr>
              <w:t>Contribution of interest-free funds</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.20</w:t>
            </w: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.18</w:t>
            </w: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.19</w:t>
            </w: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.19</w:t>
            </w: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.22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200" w:type="dxa"/>
            <w:vAlign w:val="bottom"/>
            <w:tcBorders>
              <w:top w:val="single" w:sz="8" w:color="CFF0FC"/>
            </w:tcBorders>
            <w:shd w:val="clear" w:color="auto" w:fill="CFF0FC"/>
          </w:tcPr>
          <w:p>
            <w:pPr>
              <w:spacing w:after="0" w:line="124" w:lineRule="exact"/>
              <w:rPr>
                <w:sz w:val="20"/>
                <w:szCs w:val="20"/>
                <w:color w:val="auto"/>
              </w:rPr>
            </w:pPr>
            <w:r>
              <w:rPr>
                <w:rFonts w:ascii="Arial" w:cs="Arial" w:eastAsia="Arial" w:hAnsi="Arial"/>
                <w:sz w:val="12"/>
                <w:szCs w:val="12"/>
                <w:color w:val="auto"/>
              </w:rPr>
              <w:t>Net interest income/margin on earning</w:t>
            </w:r>
          </w:p>
        </w:tc>
        <w:tc>
          <w:tcPr>
            <w:tcW w:w="80" w:type="dxa"/>
            <w:vAlign w:val="bottom"/>
            <w:tcBorders>
              <w:top w:val="single" w:sz="8" w:color="CFF0FC"/>
            </w:tcBorders>
            <w:shd w:val="clear" w:color="auto" w:fill="CFF0FC"/>
          </w:tcPr>
          <w:p>
            <w:pPr>
              <w:spacing w:after="0"/>
              <w:rPr>
                <w:sz w:val="10"/>
                <w:szCs w:val="10"/>
                <w:color w:val="auto"/>
              </w:rPr>
            </w:pPr>
          </w:p>
        </w:tc>
        <w:tc>
          <w:tcPr>
            <w:tcW w:w="42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4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0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420" w:type="dxa"/>
            <w:vAlign w:val="bottom"/>
            <w:tcBorders>
              <w:top w:val="single" w:sz="8" w:color="auto"/>
            </w:tcBorders>
            <w:shd w:val="clear" w:color="auto" w:fill="CFF0FC"/>
          </w:tcPr>
          <w:p>
            <w:pPr>
              <w:spacing w:after="0"/>
              <w:rPr>
                <w:sz w:val="10"/>
                <w:szCs w:val="10"/>
                <w:color w:val="auto"/>
              </w:rPr>
            </w:pPr>
          </w:p>
        </w:tc>
        <w:tc>
          <w:tcPr>
            <w:tcW w:w="180" w:type="dxa"/>
            <w:vAlign w:val="bottom"/>
            <w:tcBorders>
              <w:top w:val="single" w:sz="8" w:color="CFF0FC"/>
            </w:tcBorders>
            <w:shd w:val="clear" w:color="auto" w:fill="CFF0FC"/>
          </w:tcPr>
          <w:p>
            <w:pPr>
              <w:spacing w:after="0"/>
              <w:rPr>
                <w:sz w:val="10"/>
                <w:szCs w:val="10"/>
                <w:color w:val="auto"/>
              </w:rPr>
            </w:pPr>
          </w:p>
        </w:tc>
        <w:tc>
          <w:tcPr>
            <w:tcW w:w="48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58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440" w:type="dxa"/>
            <w:vAlign w:val="bottom"/>
            <w:tcBorders>
              <w:top w:val="single" w:sz="8" w:color="auto"/>
            </w:tcBorders>
            <w:shd w:val="clear" w:color="auto" w:fill="CFF0FC"/>
          </w:tcPr>
          <w:p>
            <w:pPr>
              <w:spacing w:after="0"/>
              <w:rPr>
                <w:sz w:val="10"/>
                <w:szCs w:val="10"/>
                <w:color w:val="auto"/>
              </w:rPr>
            </w:pPr>
          </w:p>
        </w:tc>
        <w:tc>
          <w:tcPr>
            <w:tcW w:w="160" w:type="dxa"/>
            <w:vAlign w:val="bottom"/>
            <w:tcBorders>
              <w:top w:val="single" w:sz="8" w:color="CFF0FC"/>
            </w:tcBorders>
            <w:shd w:val="clear" w:color="auto" w:fill="CFF0FC"/>
          </w:tcPr>
          <w:p>
            <w:pPr>
              <w:spacing w:after="0"/>
              <w:rPr>
                <w:sz w:val="10"/>
                <w:szCs w:val="10"/>
                <w:color w:val="auto"/>
              </w:rPr>
            </w:pPr>
          </w:p>
        </w:tc>
        <w:tc>
          <w:tcPr>
            <w:tcW w:w="48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56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440" w:type="dxa"/>
            <w:vAlign w:val="bottom"/>
            <w:tcBorders>
              <w:top w:val="single" w:sz="8" w:color="auto"/>
            </w:tcBorders>
            <w:shd w:val="clear" w:color="auto" w:fill="CFF0FC"/>
          </w:tcPr>
          <w:p>
            <w:pPr>
              <w:spacing w:after="0"/>
              <w:rPr>
                <w:sz w:val="10"/>
                <w:szCs w:val="10"/>
                <w:color w:val="auto"/>
              </w:rPr>
            </w:pPr>
          </w:p>
        </w:tc>
        <w:tc>
          <w:tcPr>
            <w:tcW w:w="160" w:type="dxa"/>
            <w:vAlign w:val="bottom"/>
            <w:tcBorders>
              <w:top w:val="single" w:sz="8" w:color="CFF0FC"/>
            </w:tcBorders>
            <w:shd w:val="clear" w:color="auto" w:fill="CFF0FC"/>
          </w:tcPr>
          <w:p>
            <w:pPr>
              <w:spacing w:after="0"/>
              <w:rPr>
                <w:sz w:val="10"/>
                <w:szCs w:val="10"/>
                <w:color w:val="auto"/>
              </w:rPr>
            </w:pPr>
          </w:p>
        </w:tc>
        <w:tc>
          <w:tcPr>
            <w:tcW w:w="48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56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420" w:type="dxa"/>
            <w:vAlign w:val="bottom"/>
            <w:tcBorders>
              <w:top w:val="single" w:sz="8" w:color="auto"/>
            </w:tcBorders>
            <w:shd w:val="clear" w:color="auto" w:fill="CFF0FC"/>
          </w:tcPr>
          <w:p>
            <w:pPr>
              <w:spacing w:after="0"/>
              <w:rPr>
                <w:sz w:val="10"/>
                <w:szCs w:val="10"/>
                <w:color w:val="auto"/>
              </w:rPr>
            </w:pPr>
          </w:p>
        </w:tc>
        <w:tc>
          <w:tcPr>
            <w:tcW w:w="180" w:type="dxa"/>
            <w:vAlign w:val="bottom"/>
            <w:tcBorders>
              <w:top w:val="single" w:sz="8" w:color="CFF0FC"/>
            </w:tcBorders>
            <w:shd w:val="clear" w:color="auto" w:fill="CFF0FC"/>
          </w:tcPr>
          <w:p>
            <w:pPr>
              <w:spacing w:after="0"/>
              <w:rPr>
                <w:sz w:val="10"/>
                <w:szCs w:val="10"/>
                <w:color w:val="auto"/>
              </w:rPr>
            </w:pPr>
          </w:p>
        </w:tc>
        <w:tc>
          <w:tcPr>
            <w:tcW w:w="46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58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42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200" w:type="dxa"/>
            <w:vAlign w:val="bottom"/>
            <w:shd w:val="clear" w:color="auto" w:fill="CFF0FC"/>
          </w:tcPr>
          <w:p>
            <w:pPr>
              <w:spacing w:after="0"/>
              <w:rPr>
                <w:sz w:val="20"/>
                <w:szCs w:val="20"/>
                <w:color w:val="auto"/>
              </w:rPr>
            </w:pPr>
            <w:r>
              <w:rPr>
                <w:rFonts w:ascii="Arial" w:cs="Arial" w:eastAsia="Arial" w:hAnsi="Arial"/>
                <w:sz w:val="12"/>
                <w:szCs w:val="12"/>
                <w:color w:val="auto"/>
              </w:rPr>
              <w:t>assets</w:t>
            </w: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2"/>
                <w:szCs w:val="12"/>
                <w:color w:val="auto"/>
                <w:w w:val="89"/>
              </w:rPr>
              <w:t>3,815,614</w:t>
            </w:r>
          </w:p>
        </w:tc>
        <w:tc>
          <w:tcPr>
            <w:tcW w:w="720" w:type="dxa"/>
            <w:vAlign w:val="bottom"/>
            <w:gridSpan w:val="3"/>
            <w:shd w:val="clear" w:color="auto" w:fill="CFF0FC"/>
          </w:tcPr>
          <w:p>
            <w:pPr>
              <w:jc w:val="right"/>
              <w:ind w:right="80"/>
              <w:spacing w:after="0"/>
              <w:rPr>
                <w:sz w:val="20"/>
                <w:szCs w:val="20"/>
                <w:color w:val="auto"/>
              </w:rPr>
            </w:pPr>
            <w:r>
              <w:rPr>
                <w:rFonts w:ascii="Arial" w:cs="Arial" w:eastAsia="Arial" w:hAnsi="Arial"/>
                <w:sz w:val="12"/>
                <w:szCs w:val="12"/>
                <w:color w:val="auto"/>
              </w:rPr>
              <w:t>3.47%</w:t>
            </w:r>
          </w:p>
        </w:tc>
        <w:tc>
          <w:tcPr>
            <w:tcW w:w="4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3,496,849</w:t>
            </w:r>
          </w:p>
        </w:tc>
        <w:tc>
          <w:tcPr>
            <w:tcW w:w="10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3.11%</w:t>
            </w:r>
          </w:p>
        </w:tc>
        <w:tc>
          <w:tcPr>
            <w:tcW w:w="4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7"/>
              </w:rPr>
              <w:t>2,867,050</w:t>
            </w:r>
          </w:p>
        </w:tc>
        <w:tc>
          <w:tcPr>
            <w:tcW w:w="700" w:type="dxa"/>
            <w:vAlign w:val="bottom"/>
            <w:gridSpan w:val="3"/>
            <w:shd w:val="clear" w:color="auto" w:fill="CFF0FC"/>
          </w:tcPr>
          <w:p>
            <w:pPr>
              <w:jc w:val="right"/>
              <w:ind w:right="60"/>
              <w:spacing w:after="0"/>
              <w:rPr>
                <w:sz w:val="20"/>
                <w:szCs w:val="20"/>
                <w:color w:val="auto"/>
              </w:rPr>
            </w:pPr>
            <w:r>
              <w:rPr>
                <w:rFonts w:ascii="Arial" w:cs="Arial" w:eastAsia="Arial" w:hAnsi="Arial"/>
                <w:sz w:val="12"/>
                <w:szCs w:val="12"/>
                <w:color w:val="auto"/>
              </w:rPr>
              <w:t>3.14%</w:t>
            </w:r>
          </w:p>
        </w:tc>
        <w:tc>
          <w:tcPr>
            <w:tcW w:w="4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2,700,088</w:t>
            </w:r>
          </w:p>
        </w:tc>
        <w:tc>
          <w:tcPr>
            <w:tcW w:w="720" w:type="dxa"/>
            <w:vAlign w:val="bottom"/>
            <w:gridSpan w:val="3"/>
            <w:shd w:val="clear" w:color="auto" w:fill="CFF0FC"/>
          </w:tcPr>
          <w:p>
            <w:pPr>
              <w:jc w:val="right"/>
              <w:ind w:right="80"/>
              <w:spacing w:after="0"/>
              <w:rPr>
                <w:sz w:val="20"/>
                <w:szCs w:val="20"/>
                <w:color w:val="auto"/>
              </w:rPr>
            </w:pPr>
            <w:r>
              <w:rPr>
                <w:rFonts w:ascii="Arial" w:cs="Arial" w:eastAsia="Arial" w:hAnsi="Arial"/>
                <w:sz w:val="12"/>
                <w:szCs w:val="12"/>
                <w:color w:val="auto"/>
              </w:rPr>
              <w:t>3.31%</w:t>
            </w:r>
          </w:p>
        </w:tc>
        <w:tc>
          <w:tcPr>
            <w:tcW w:w="4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2,698,200</w:t>
            </w:r>
          </w:p>
        </w:tc>
        <w:tc>
          <w:tcPr>
            <w:tcW w:w="100" w:type="dxa"/>
            <w:vAlign w:val="bottom"/>
            <w:shd w:val="clear" w:color="auto" w:fill="CFF0FC"/>
          </w:tcPr>
          <w:p>
            <w:pPr>
              <w:spacing w:after="0"/>
              <w:rPr>
                <w:sz w:val="12"/>
                <w:szCs w:val="12"/>
                <w:color w:val="auto"/>
              </w:rPr>
            </w:pP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3.65%</w:t>
            </w:r>
          </w:p>
        </w:tc>
        <w:tc>
          <w:tcPr>
            <w:tcW w:w="0" w:type="dxa"/>
            <w:vAlign w:val="bottom"/>
          </w:tcPr>
          <w:p>
            <w:pPr>
              <w:spacing w:after="0"/>
              <w:rPr>
                <w:sz w:val="1"/>
                <w:szCs w:val="1"/>
                <w:color w:val="auto"/>
              </w:rPr>
            </w:pPr>
          </w:p>
        </w:tc>
      </w:tr>
      <w:tr>
        <w:trPr>
          <w:trHeight w:val="20"/>
        </w:trPr>
        <w:tc>
          <w:tcPr>
            <w:tcW w:w="2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58420</wp:posOffset>
            </wp:positionV>
            <wp:extent cx="7594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59460" cy="8255"/>
                    </a:xfrm>
                    <a:prstGeom prst="rect">
                      <a:avLst/>
                    </a:prstGeom>
                    <a:noFill/>
                  </pic:spPr>
                </pic:pic>
              </a:graphicData>
            </a:graphic>
          </wp:anchor>
        </w:drawing>
      </w:r>
    </w:p>
    <w:p>
      <w:pPr>
        <w:spacing w:after="0" w:line="84" w:lineRule="exact"/>
        <w:rPr>
          <w:sz w:val="20"/>
          <w:szCs w:val="20"/>
          <w:color w:val="auto"/>
        </w:rPr>
      </w:pPr>
    </w:p>
    <w:p>
      <w:pPr>
        <w:ind w:left="420" w:hanging="415"/>
        <w:spacing w:after="0"/>
        <w:tabs>
          <w:tab w:leader="none" w:pos="420" w:val="left"/>
        </w:tabs>
        <w:numPr>
          <w:ilvl w:val="0"/>
          <w:numId w:val="24"/>
        </w:numPr>
        <w:rPr>
          <w:rFonts w:ascii="Arial" w:cs="Arial" w:eastAsia="Arial" w:hAnsi="Arial"/>
          <w:sz w:val="12"/>
          <w:szCs w:val="12"/>
          <w:i w:val="1"/>
          <w:iCs w:val="1"/>
          <w:color w:val="auto"/>
        </w:rPr>
      </w:pPr>
      <w:r>
        <w:rPr>
          <w:rFonts w:ascii="Arial" w:cs="Arial" w:eastAsia="Arial" w:hAnsi="Arial"/>
          <w:sz w:val="12"/>
          <w:szCs w:val="12"/>
          <w:i w:val="1"/>
          <w:iCs w:val="1"/>
          <w:color w:val="auto"/>
        </w:rPr>
        <w:t>Includes nonaccrual loans.</w:t>
      </w:r>
    </w:p>
    <w:p>
      <w:pPr>
        <w:spacing w:after="0" w:line="3" w:lineRule="exact"/>
        <w:rPr>
          <w:rFonts w:ascii="Arial" w:cs="Arial" w:eastAsia="Arial" w:hAnsi="Arial"/>
          <w:sz w:val="12"/>
          <w:szCs w:val="12"/>
          <w:i w:val="1"/>
          <w:iCs w:val="1"/>
          <w:color w:val="auto"/>
        </w:rPr>
      </w:pPr>
    </w:p>
    <w:p>
      <w:pPr>
        <w:ind w:left="420" w:hanging="415"/>
        <w:spacing w:after="0"/>
        <w:tabs>
          <w:tab w:leader="none" w:pos="420" w:val="left"/>
        </w:tabs>
        <w:numPr>
          <w:ilvl w:val="0"/>
          <w:numId w:val="24"/>
        </w:numPr>
        <w:rPr>
          <w:rFonts w:ascii="Arial" w:cs="Arial" w:eastAsia="Arial" w:hAnsi="Arial"/>
          <w:sz w:val="12"/>
          <w:szCs w:val="12"/>
          <w:i w:val="1"/>
          <w:iCs w:val="1"/>
          <w:color w:val="auto"/>
        </w:rPr>
      </w:pPr>
      <w:r>
        <w:rPr>
          <w:rFonts w:ascii="Arial" w:cs="Arial" w:eastAsia="Arial" w:hAnsi="Arial"/>
          <w:sz w:val="12"/>
          <w:szCs w:val="12"/>
          <w:i w:val="1"/>
          <w:iCs w:val="1"/>
          <w:color w:val="auto"/>
        </w:rPr>
        <w:t>Includes available-for-sale investment securities at amortized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469900</wp:posOffset>
            </wp:positionV>
            <wp:extent cx="729234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520"/>
          </w:cols>
          <w:pgMar w:left="240" w:top="127" w:right="139" w:bottom="1440" w:gutter="0" w:footer="0" w:header="0"/>
        </w:sectPr>
      </w:pPr>
    </w:p>
    <w:bookmarkStart w:id="55" w:name="page56"/>
    <w:bookmarkEnd w:id="55"/>
    <w:p>
      <w:pPr>
        <w:ind w:right="260" w:firstLine="598"/>
        <w:spacing w:after="0" w:line="275" w:lineRule="auto"/>
        <w:rPr>
          <w:sz w:val="20"/>
          <w:szCs w:val="20"/>
          <w:color w:val="auto"/>
        </w:rPr>
      </w:pPr>
      <w:r>
        <w:rPr>
          <w:rFonts w:ascii="Arial" w:cs="Arial" w:eastAsia="Arial" w:hAnsi="Arial"/>
          <w:sz w:val="20"/>
          <w:szCs w:val="20"/>
          <w:color w:val="auto"/>
        </w:rPr>
        <w:t>Table 4 summarizes average loans and leases outstanding in 2017 and percentage changes in the major components of the portfolio over the past two years.</w:t>
      </w: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Table 4</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AVERAGE LOANS AND LEASES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(Net of unearned discount)</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96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89"/>
              </w:rPr>
              <w:t>Percent Increase</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5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vMerge w:val="restart"/>
          </w:tcPr>
          <w:p>
            <w:pPr>
              <w:jc w:val="right"/>
              <w:ind w:right="316"/>
              <w:spacing w:after="0"/>
              <w:rPr>
                <w:sz w:val="20"/>
                <w:szCs w:val="20"/>
                <w:color w:val="auto"/>
              </w:rPr>
            </w:pPr>
            <w:r>
              <w:rPr>
                <w:rFonts w:ascii="Arial" w:cs="Arial" w:eastAsia="Arial" w:hAnsi="Arial"/>
                <w:sz w:val="14"/>
                <w:szCs w:val="14"/>
                <w:b w:val="1"/>
                <w:bCs w:val="1"/>
                <w:color w:val="auto"/>
              </w:rPr>
              <w:t>2017</w:t>
            </w:r>
          </w:p>
        </w:tc>
        <w:tc>
          <w:tcPr>
            <w:tcW w:w="360" w:type="dxa"/>
            <w:vAlign w:val="bottom"/>
          </w:tcPr>
          <w:p>
            <w:pPr>
              <w:spacing w:after="0"/>
              <w:rPr>
                <w:sz w:val="14"/>
                <w:szCs w:val="14"/>
                <w:color w:val="auto"/>
              </w:rPr>
            </w:pPr>
          </w:p>
        </w:tc>
        <w:tc>
          <w:tcPr>
            <w:tcW w:w="296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0"/>
              </w:rPr>
              <w:t>(Decrease) from</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450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360" w:type="dxa"/>
            <w:vAlign w:val="bottom"/>
          </w:tcPr>
          <w:p>
            <w:pPr>
              <w:spacing w:after="0"/>
              <w:rPr>
                <w:sz w:val="13"/>
                <w:szCs w:val="13"/>
                <w:color w:val="auto"/>
              </w:rPr>
            </w:pPr>
          </w:p>
        </w:tc>
        <w:tc>
          <w:tcPr>
            <w:tcW w:w="1260" w:type="dxa"/>
            <w:vAlign w:val="bottom"/>
            <w:tcBorders>
              <w:top w:val="single" w:sz="8" w:color="auto"/>
              <w:bottom w:val="single" w:sz="8" w:color="auto"/>
            </w:tcBorders>
          </w:tcPr>
          <w:p>
            <w:pPr>
              <w:jc w:val="right"/>
              <w:ind w:right="177"/>
              <w:spacing w:after="0" w:line="151" w:lineRule="exact"/>
              <w:rPr>
                <w:sz w:val="20"/>
                <w:szCs w:val="20"/>
                <w:color w:val="auto"/>
              </w:rPr>
            </w:pPr>
            <w:r>
              <w:rPr>
                <w:rFonts w:ascii="Arial" w:cs="Arial" w:eastAsia="Arial" w:hAnsi="Arial"/>
                <w:sz w:val="14"/>
                <w:szCs w:val="14"/>
                <w:b w:val="1"/>
                <w:bCs w:val="1"/>
                <w:color w:val="auto"/>
              </w:rPr>
              <w:t>2016 to 2017</w:t>
            </w:r>
          </w:p>
        </w:tc>
        <w:tc>
          <w:tcPr>
            <w:tcW w:w="8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260" w:type="dxa"/>
            <w:vAlign w:val="bottom"/>
            <w:tcBorders>
              <w:top w:val="single" w:sz="8" w:color="auto"/>
              <w:bottom w:val="single" w:sz="8" w:color="auto"/>
            </w:tcBorders>
          </w:tcPr>
          <w:p>
            <w:pPr>
              <w:jc w:val="right"/>
              <w:ind w:right="174"/>
              <w:spacing w:after="0" w:line="151" w:lineRule="exact"/>
              <w:rPr>
                <w:sz w:val="20"/>
                <w:szCs w:val="20"/>
                <w:color w:val="auto"/>
              </w:rPr>
            </w:pPr>
            <w:r>
              <w:rPr>
                <w:rFonts w:ascii="Arial" w:cs="Arial" w:eastAsia="Arial" w:hAnsi="Arial"/>
                <w:sz w:val="14"/>
                <w:szCs w:val="14"/>
                <w:b w:val="1"/>
                <w:bCs w:val="1"/>
                <w:color w:val="auto"/>
              </w:rPr>
              <w:t>2015 to 2016</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45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b w:val="1"/>
                <w:bCs w:val="1"/>
                <w:color w:val="auto"/>
              </w:rPr>
              <w:t>(In millions)</w:t>
            </w: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4500" w:type="dxa"/>
            <w:vAlign w:val="bottom"/>
          </w:tcPr>
          <w:p>
            <w:pPr>
              <w:spacing w:after="0"/>
              <w:rPr>
                <w:sz w:val="20"/>
                <w:szCs w:val="20"/>
                <w:color w:val="auto"/>
              </w:rPr>
            </w:pPr>
            <w:r>
              <w:rPr>
                <w:rFonts w:ascii="Arial" w:cs="Arial" w:eastAsia="Arial" w:hAnsi="Arial"/>
                <w:sz w:val="18"/>
                <w:szCs w:val="18"/>
                <w:color w:val="auto"/>
              </w:rPr>
              <w:t>Commercial, financial, etc.</w:t>
            </w:r>
          </w:p>
        </w:tc>
        <w:tc>
          <w:tcPr>
            <w:tcW w:w="2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21,981</w:t>
            </w:r>
          </w:p>
        </w:tc>
        <w:tc>
          <w:tcPr>
            <w:tcW w:w="3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4"/>
                <w:szCs w:val="24"/>
                <w:color w:val="auto"/>
              </w:rPr>
            </w:pPr>
          </w:p>
        </w:tc>
        <w:tc>
          <w:tcPr>
            <w:tcW w:w="280" w:type="dxa"/>
            <w:vAlign w:val="bottom"/>
          </w:tcPr>
          <w:p>
            <w:pPr>
              <w:jc w:val="center"/>
              <w:ind w:right="12"/>
              <w:spacing w:after="0"/>
              <w:rPr>
                <w:sz w:val="20"/>
                <w:szCs w:val="20"/>
                <w:color w:val="auto"/>
              </w:rPr>
            </w:pPr>
            <w:r>
              <w:rPr>
                <w:rFonts w:ascii="Arial" w:cs="Arial" w:eastAsia="Arial" w:hAnsi="Arial"/>
                <w:sz w:val="18"/>
                <w:szCs w:val="18"/>
                <w:color w:val="auto"/>
                <w:w w:val="87"/>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4"/>
                <w:szCs w:val="24"/>
                <w:color w:val="auto"/>
              </w:rPr>
            </w:pPr>
          </w:p>
        </w:tc>
        <w:tc>
          <w:tcPr>
            <w:tcW w:w="30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4"/>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Real estate — commercial</w:t>
            </w:r>
          </w:p>
        </w:tc>
        <w:tc>
          <w:tcPr>
            <w:tcW w:w="2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33,196</w:t>
            </w: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tcPr>
          <w:p>
            <w:pPr>
              <w:spacing w:after="0"/>
              <w:rPr>
                <w:sz w:val="20"/>
                <w:szCs w:val="20"/>
                <w:color w:val="auto"/>
              </w:rPr>
            </w:pPr>
            <w:r>
              <w:rPr>
                <w:rFonts w:ascii="Arial" w:cs="Arial" w:eastAsia="Arial" w:hAnsi="Arial"/>
                <w:sz w:val="18"/>
                <w:szCs w:val="18"/>
                <w:color w:val="auto"/>
              </w:rPr>
              <w:t>Real estate — consumer</w:t>
            </w:r>
          </w:p>
        </w:tc>
        <w:tc>
          <w:tcPr>
            <w:tcW w:w="2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21,013</w:t>
            </w:r>
          </w:p>
        </w:tc>
        <w:tc>
          <w:tcPr>
            <w:tcW w:w="36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Consumer</w:t>
            </w:r>
          </w:p>
        </w:tc>
        <w:tc>
          <w:tcPr>
            <w:tcW w:w="2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tcPr>
          <w:p>
            <w:pPr>
              <w:ind w:left="240"/>
              <w:spacing w:after="0"/>
              <w:rPr>
                <w:sz w:val="20"/>
                <w:szCs w:val="20"/>
                <w:color w:val="auto"/>
              </w:rPr>
            </w:pPr>
            <w:r>
              <w:rPr>
                <w:rFonts w:ascii="Arial" w:cs="Arial" w:eastAsia="Arial" w:hAnsi="Arial"/>
                <w:sz w:val="18"/>
                <w:szCs w:val="18"/>
                <w:color w:val="auto"/>
              </w:rPr>
              <w:t>Automobile</w:t>
            </w:r>
          </w:p>
        </w:tc>
        <w:tc>
          <w:tcPr>
            <w:tcW w:w="2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3,256</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Home equity lines and loans</w:t>
            </w:r>
          </w:p>
        </w:tc>
        <w:tc>
          <w:tcPr>
            <w:tcW w:w="2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5,455</w:t>
            </w: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w:t>
            </w:r>
          </w:p>
        </w:tc>
        <w:tc>
          <w:tcPr>
            <w:tcW w:w="2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w:t>
            </w: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w:t>
            </w:r>
          </w:p>
        </w:tc>
        <w:tc>
          <w:tcPr>
            <w:tcW w:w="2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3,914</w:t>
            </w:r>
          </w:p>
        </w:tc>
        <w:tc>
          <w:tcPr>
            <w:tcW w:w="360" w:type="dxa"/>
            <w:vAlign w:val="bottom"/>
            <w:tcBorders>
              <w:bottom w:val="single" w:sz="8" w:color="CFF0FC"/>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5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consumer</w:t>
            </w:r>
          </w:p>
        </w:tc>
        <w:tc>
          <w:tcPr>
            <w:tcW w:w="224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12,625</w:t>
            </w:r>
          </w:p>
        </w:tc>
        <w:tc>
          <w:tcPr>
            <w:tcW w:w="360" w:type="dxa"/>
            <w:vAlign w:val="bottom"/>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720"/>
              <w:spacing w:after="0"/>
              <w:rPr>
                <w:sz w:val="20"/>
                <w:szCs w:val="20"/>
                <w:color w:val="auto"/>
              </w:rPr>
            </w:pPr>
            <w:r>
              <w:rPr>
                <w:rFonts w:ascii="Arial" w:cs="Arial" w:eastAsia="Arial" w:hAnsi="Arial"/>
                <w:sz w:val="18"/>
                <w:szCs w:val="18"/>
                <w:color w:val="auto"/>
              </w:rPr>
              <w:t>Total</w:t>
            </w:r>
          </w:p>
        </w:tc>
        <w:tc>
          <w:tcPr>
            <w:tcW w:w="2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88,815</w:t>
            </w:r>
          </w:p>
        </w:tc>
        <w:tc>
          <w:tcPr>
            <w:tcW w:w="36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Pr>
          <w:p>
            <w:pPr>
              <w:jc w:val="center"/>
              <w:ind w:right="12"/>
              <w:spacing w:after="0"/>
              <w:rPr>
                <w:sz w:val="20"/>
                <w:szCs w:val="20"/>
                <w:color w:val="auto"/>
              </w:rPr>
            </w:pPr>
            <w:r>
              <w:rPr>
                <w:rFonts w:ascii="Arial" w:cs="Arial" w:eastAsia="Arial" w:hAnsi="Arial"/>
                <w:sz w:val="18"/>
                <w:szCs w:val="18"/>
                <w:color w:val="auto"/>
                <w:w w:val="87"/>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8"/>
                <w:szCs w:val="18"/>
                <w:color w:val="auto"/>
              </w:rPr>
            </w:pPr>
          </w:p>
        </w:tc>
        <w:tc>
          <w:tcPr>
            <w:tcW w:w="30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ind w:right="40" w:firstLine="598"/>
        <w:spacing w:after="0" w:line="250" w:lineRule="auto"/>
        <w:rPr>
          <w:sz w:val="20"/>
          <w:szCs w:val="20"/>
          <w:color w:val="auto"/>
        </w:rPr>
      </w:pPr>
      <w:r>
        <w:rPr>
          <w:rFonts w:ascii="Arial" w:cs="Arial" w:eastAsia="Arial" w:hAnsi="Arial"/>
          <w:sz w:val="20"/>
          <w:szCs w:val="20"/>
          <w:color w:val="auto"/>
        </w:rPr>
        <w:t>Commercial loans and leases, excluding loans secured by real estate, totaled $21.7 billion at December 31, 2017, representing 25% of total loans and leases. Table 5 presents information on commercial loans and leases as of December 31, 2017 relating to geographic area, size, borrower industry and whether the loans are secured by collateral or unsecured. Of the $21.7 billion of commercial loans and leases outstanding at the end of 2017, approximately $19.4 billion, or 89%, were secured, while 39%, 24% and 23% were granted to businesses in New York State, Pennsylvania and the Mid-Atlantic area (which includes Delaware, Maryland, New Jersey, Virginia, West Virginia and the District of Columbia), respectively. The Company provides financing for leases to commercial customers, primarily for equipment. Commercial leases included in total commercial loans and leases at December 31, 2017 aggregated $1.3 billion, of which 47% were secured by collateral located in New York State, 18% were secured by collateral in Pennsylvania and another 14% were secured by collateral in the Mid-Atlantic area.</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56" w:name="page57"/>
    <w:bookmarkEnd w:id="56"/>
    <w:p>
      <w:pPr>
        <w:spacing w:after="0"/>
        <w:rPr>
          <w:sz w:val="20"/>
          <w:szCs w:val="20"/>
          <w:color w:val="auto"/>
        </w:rPr>
      </w:pPr>
      <w:r>
        <w:rPr>
          <w:rFonts w:ascii="Arial" w:cs="Arial" w:eastAsia="Arial" w:hAnsi="Arial"/>
          <w:sz w:val="20"/>
          <w:szCs w:val="20"/>
          <w:b w:val="1"/>
          <w:bCs w:val="1"/>
          <w:color w:val="auto"/>
        </w:rPr>
        <w:t>Table 5</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COMMERCIAL LOANS AND LEASES, NET OF UNEARNED DISCOUNT</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(Excludes Loans Secured by Real Estate)</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December 31, 2017</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Mid-</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jc w:val="right"/>
              <w:ind w:right="44"/>
              <w:spacing w:after="0"/>
              <w:rPr>
                <w:sz w:val="20"/>
                <w:szCs w:val="20"/>
                <w:color w:val="auto"/>
              </w:rPr>
            </w:pPr>
            <w:r>
              <w:rPr>
                <w:rFonts w:ascii="Arial" w:cs="Arial" w:eastAsia="Arial" w:hAnsi="Arial"/>
                <w:sz w:val="14"/>
                <w:szCs w:val="14"/>
                <w:b w:val="1"/>
                <w:bCs w:val="1"/>
                <w:color w:val="auto"/>
              </w:rPr>
              <w:t>Percent of</w:t>
            </w:r>
          </w:p>
        </w:tc>
        <w:tc>
          <w:tcPr>
            <w:tcW w:w="0" w:type="dxa"/>
            <w:vAlign w:val="bottom"/>
          </w:tcPr>
          <w:p>
            <w:pPr>
              <w:spacing w:after="0"/>
              <w:rPr>
                <w:sz w:val="1"/>
                <w:szCs w:val="1"/>
                <w:color w:val="auto"/>
              </w:rPr>
            </w:pPr>
          </w:p>
        </w:tc>
      </w:tr>
      <w:tr>
        <w:trPr>
          <w:trHeight w:val="167"/>
        </w:trPr>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w w:val="90"/>
              </w:rPr>
              <w:t>New York</w:t>
            </w: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Pennsylvania</w:t>
            </w:r>
          </w:p>
        </w:tc>
        <w:tc>
          <w:tcPr>
            <w:tcW w:w="1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Atlantic(a)</w:t>
            </w: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Other</w:t>
            </w: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Total</w:t>
            </w:r>
          </w:p>
        </w:tc>
        <w:tc>
          <w:tcPr>
            <w:tcW w:w="3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0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38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3860" w:type="dxa"/>
            <w:vAlign w:val="bottom"/>
            <w:gridSpan w:val="7"/>
            <w:shd w:val="clear" w:color="auto" w:fill="CFF0FC"/>
          </w:tcPr>
          <w:p>
            <w:pPr>
              <w:spacing w:after="0"/>
              <w:rPr>
                <w:sz w:val="20"/>
                <w:szCs w:val="20"/>
                <w:color w:val="auto"/>
              </w:rPr>
            </w:pPr>
            <w:r>
              <w:rPr>
                <w:rFonts w:ascii="Arial" w:cs="Arial" w:eastAsia="Arial" w:hAnsi="Arial"/>
                <w:sz w:val="18"/>
                <w:szCs w:val="18"/>
                <w:color w:val="auto"/>
              </w:rPr>
              <w:t>Automobile dealerships</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1,700</w:t>
            </w:r>
          </w:p>
        </w:tc>
        <w:tc>
          <w:tcPr>
            <w:tcW w:w="6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876</w:t>
            </w: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ind w:right="114"/>
              <w:spacing w:after="0"/>
              <w:rPr>
                <w:sz w:val="20"/>
                <w:szCs w:val="20"/>
                <w:color w:val="auto"/>
              </w:rPr>
            </w:pPr>
            <w:r>
              <w:rPr>
                <w:rFonts w:ascii="Arial" w:cs="Arial" w:eastAsia="Arial" w:hAnsi="Arial"/>
                <w:sz w:val="18"/>
                <w:szCs w:val="18"/>
                <w:color w:val="auto"/>
              </w:rPr>
              <w:t>534</w:t>
            </w: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925</w:t>
            </w: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4,035</w:t>
            </w:r>
          </w:p>
        </w:tc>
        <w:tc>
          <w:tcPr>
            <w:tcW w:w="1220" w:type="dxa"/>
            <w:vAlign w:val="bottom"/>
            <w:gridSpan w:val="2"/>
            <w:shd w:val="clear" w:color="auto" w:fill="CFF0FC"/>
          </w:tcPr>
          <w:p>
            <w:pPr>
              <w:jc w:val="right"/>
              <w:ind w:right="84"/>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3"/>
        </w:trPr>
        <w:tc>
          <w:tcPr>
            <w:tcW w:w="3860" w:type="dxa"/>
            <w:vAlign w:val="bottom"/>
            <w:gridSpan w:val="7"/>
          </w:tcPr>
          <w:p>
            <w:pPr>
              <w:spacing w:after="0"/>
              <w:rPr>
                <w:sz w:val="20"/>
                <w:szCs w:val="20"/>
                <w:color w:val="auto"/>
              </w:rPr>
            </w:pPr>
            <w:r>
              <w:rPr>
                <w:rFonts w:ascii="Arial" w:cs="Arial" w:eastAsia="Arial" w:hAnsi="Arial"/>
                <w:sz w:val="18"/>
                <w:szCs w:val="18"/>
                <w:color w:val="auto"/>
              </w:rPr>
              <w:t>Services</w:t>
            </w:r>
          </w:p>
        </w:tc>
        <w:tc>
          <w:tcPr>
            <w:tcW w:w="100" w:type="dxa"/>
            <w:vAlign w:val="bottom"/>
          </w:tcPr>
          <w:p>
            <w:pPr>
              <w:spacing w:after="0"/>
              <w:rPr>
                <w:sz w:val="19"/>
                <w:szCs w:val="19"/>
                <w:color w:val="auto"/>
              </w:rPr>
            </w:pP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1,288</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ind w:right="93"/>
              <w:spacing w:after="0"/>
              <w:rPr>
                <w:sz w:val="20"/>
                <w:szCs w:val="20"/>
                <w:color w:val="auto"/>
              </w:rPr>
            </w:pPr>
            <w:r>
              <w:rPr>
                <w:rFonts w:ascii="Arial" w:cs="Arial" w:eastAsia="Arial" w:hAnsi="Arial"/>
                <w:sz w:val="18"/>
                <w:szCs w:val="18"/>
                <w:color w:val="auto"/>
              </w:rPr>
              <w:t>702</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ind w:right="114"/>
              <w:spacing w:after="0"/>
              <w:rPr>
                <w:sz w:val="20"/>
                <w:szCs w:val="20"/>
                <w:color w:val="auto"/>
              </w:rPr>
            </w:pPr>
            <w:r>
              <w:rPr>
                <w:rFonts w:ascii="Arial" w:cs="Arial" w:eastAsia="Arial" w:hAnsi="Arial"/>
                <w:sz w:val="18"/>
                <w:szCs w:val="18"/>
                <w:color w:val="auto"/>
              </w:rPr>
              <w:t>1,238</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ind w:right="93"/>
              <w:spacing w:after="0"/>
              <w:rPr>
                <w:sz w:val="20"/>
                <w:szCs w:val="20"/>
                <w:color w:val="auto"/>
              </w:rPr>
            </w:pPr>
            <w:r>
              <w:rPr>
                <w:rFonts w:ascii="Arial" w:cs="Arial" w:eastAsia="Arial" w:hAnsi="Arial"/>
                <w:sz w:val="18"/>
                <w:szCs w:val="18"/>
                <w:color w:val="auto"/>
              </w:rPr>
              <w:t>232</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ind w:right="93"/>
              <w:spacing w:after="0"/>
              <w:rPr>
                <w:sz w:val="20"/>
                <w:szCs w:val="20"/>
                <w:color w:val="auto"/>
              </w:rPr>
            </w:pPr>
            <w:r>
              <w:rPr>
                <w:rFonts w:ascii="Arial" w:cs="Arial" w:eastAsia="Arial" w:hAnsi="Arial"/>
                <w:sz w:val="18"/>
                <w:szCs w:val="18"/>
                <w:color w:val="auto"/>
              </w:rPr>
              <w:t>3,460</w:t>
            </w:r>
          </w:p>
        </w:tc>
        <w:tc>
          <w:tcPr>
            <w:tcW w:w="1220" w:type="dxa"/>
            <w:vAlign w:val="bottom"/>
            <w:gridSpan w:val="2"/>
          </w:tcPr>
          <w:p>
            <w:pPr>
              <w:jc w:val="right"/>
              <w:ind w:right="244"/>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4"/>
        </w:trPr>
        <w:tc>
          <w:tcPr>
            <w:tcW w:w="3860" w:type="dxa"/>
            <w:vAlign w:val="bottom"/>
            <w:gridSpan w:val="7"/>
            <w:shd w:val="clear" w:color="auto" w:fill="CFF0FC"/>
          </w:tcPr>
          <w:p>
            <w:pPr>
              <w:spacing w:after="0"/>
              <w:rPr>
                <w:sz w:val="20"/>
                <w:szCs w:val="20"/>
                <w:color w:val="auto"/>
              </w:rPr>
            </w:pPr>
            <w:r>
              <w:rPr>
                <w:rFonts w:ascii="Arial" w:cs="Arial" w:eastAsia="Arial" w:hAnsi="Arial"/>
                <w:sz w:val="18"/>
                <w:szCs w:val="18"/>
                <w:color w:val="auto"/>
              </w:rPr>
              <w:t>Manufacturing</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1,597</w:t>
            </w: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889</w:t>
            </w: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114"/>
              <w:spacing w:after="0"/>
              <w:rPr>
                <w:sz w:val="20"/>
                <w:szCs w:val="20"/>
                <w:color w:val="auto"/>
              </w:rPr>
            </w:pPr>
            <w:r>
              <w:rPr>
                <w:rFonts w:ascii="Arial" w:cs="Arial" w:eastAsia="Arial" w:hAnsi="Arial"/>
                <w:sz w:val="18"/>
                <w:szCs w:val="18"/>
                <w:color w:val="auto"/>
              </w:rPr>
              <w:t>477</w:t>
            </w: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489</w:t>
            </w: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3,452</w:t>
            </w:r>
          </w:p>
        </w:tc>
        <w:tc>
          <w:tcPr>
            <w:tcW w:w="1220" w:type="dxa"/>
            <w:vAlign w:val="bottom"/>
            <w:gridSpan w:val="2"/>
            <w:shd w:val="clear" w:color="auto" w:fill="CFF0FC"/>
          </w:tcPr>
          <w:p>
            <w:pPr>
              <w:jc w:val="right"/>
              <w:ind w:right="244"/>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3"/>
        </w:trPr>
        <w:tc>
          <w:tcPr>
            <w:tcW w:w="3860" w:type="dxa"/>
            <w:vAlign w:val="bottom"/>
            <w:gridSpan w:val="7"/>
          </w:tcPr>
          <w:p>
            <w:pPr>
              <w:spacing w:after="0"/>
              <w:rPr>
                <w:sz w:val="20"/>
                <w:szCs w:val="20"/>
                <w:color w:val="auto"/>
              </w:rPr>
            </w:pPr>
            <w:r>
              <w:rPr>
                <w:rFonts w:ascii="Arial" w:cs="Arial" w:eastAsia="Arial" w:hAnsi="Arial"/>
                <w:sz w:val="18"/>
                <w:szCs w:val="18"/>
                <w:color w:val="auto"/>
              </w:rPr>
              <w:t>Wholesale</w:t>
            </w:r>
          </w:p>
        </w:tc>
        <w:tc>
          <w:tcPr>
            <w:tcW w:w="100" w:type="dxa"/>
            <w:vAlign w:val="bottom"/>
          </w:tcPr>
          <w:p>
            <w:pPr>
              <w:spacing w:after="0"/>
              <w:rPr>
                <w:sz w:val="19"/>
                <w:szCs w:val="19"/>
                <w:color w:val="auto"/>
              </w:rPr>
            </w:pP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794</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ind w:right="93"/>
              <w:spacing w:after="0"/>
              <w:rPr>
                <w:sz w:val="20"/>
                <w:szCs w:val="20"/>
                <w:color w:val="auto"/>
              </w:rPr>
            </w:pPr>
            <w:r>
              <w:rPr>
                <w:rFonts w:ascii="Arial" w:cs="Arial" w:eastAsia="Arial" w:hAnsi="Arial"/>
                <w:sz w:val="18"/>
                <w:szCs w:val="18"/>
                <w:color w:val="auto"/>
              </w:rPr>
              <w:t>569</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ind w:right="114"/>
              <w:spacing w:after="0"/>
              <w:rPr>
                <w:sz w:val="20"/>
                <w:szCs w:val="20"/>
                <w:color w:val="auto"/>
              </w:rPr>
            </w:pPr>
            <w:r>
              <w:rPr>
                <w:rFonts w:ascii="Arial" w:cs="Arial" w:eastAsia="Arial" w:hAnsi="Arial"/>
                <w:sz w:val="18"/>
                <w:szCs w:val="18"/>
                <w:color w:val="auto"/>
              </w:rPr>
              <w:t>477</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ind w:right="93"/>
              <w:spacing w:after="0"/>
              <w:rPr>
                <w:sz w:val="20"/>
                <w:szCs w:val="20"/>
                <w:color w:val="auto"/>
              </w:rPr>
            </w:pPr>
            <w:r>
              <w:rPr>
                <w:rFonts w:ascii="Arial" w:cs="Arial" w:eastAsia="Arial" w:hAnsi="Arial"/>
                <w:sz w:val="18"/>
                <w:szCs w:val="18"/>
                <w:color w:val="auto"/>
              </w:rPr>
              <w:t>171</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ind w:right="93"/>
              <w:spacing w:after="0"/>
              <w:rPr>
                <w:sz w:val="20"/>
                <w:szCs w:val="20"/>
                <w:color w:val="auto"/>
              </w:rPr>
            </w:pPr>
            <w:r>
              <w:rPr>
                <w:rFonts w:ascii="Arial" w:cs="Arial" w:eastAsia="Arial" w:hAnsi="Arial"/>
                <w:sz w:val="18"/>
                <w:szCs w:val="18"/>
                <w:color w:val="auto"/>
              </w:rPr>
              <w:t>2,011</w:t>
            </w:r>
          </w:p>
        </w:tc>
        <w:tc>
          <w:tcPr>
            <w:tcW w:w="1220" w:type="dxa"/>
            <w:vAlign w:val="bottom"/>
            <w:gridSpan w:val="2"/>
          </w:tcPr>
          <w:p>
            <w:pPr>
              <w:jc w:val="right"/>
              <w:ind w:right="244"/>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4"/>
        </w:trPr>
        <w:tc>
          <w:tcPr>
            <w:tcW w:w="3860" w:type="dxa"/>
            <w:vAlign w:val="bottom"/>
            <w:gridSpan w:val="7"/>
            <w:shd w:val="clear" w:color="auto" w:fill="CFF0FC"/>
          </w:tcPr>
          <w:p>
            <w:pPr>
              <w:spacing w:after="0"/>
              <w:rPr>
                <w:sz w:val="20"/>
                <w:szCs w:val="20"/>
                <w:color w:val="auto"/>
              </w:rPr>
            </w:pPr>
            <w:r>
              <w:rPr>
                <w:rFonts w:ascii="Arial" w:cs="Arial" w:eastAsia="Arial" w:hAnsi="Arial"/>
                <w:sz w:val="18"/>
                <w:szCs w:val="18"/>
                <w:color w:val="auto"/>
              </w:rPr>
              <w:t>Financial and insurance</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647</w:t>
            </w: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322</w:t>
            </w: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114"/>
              <w:spacing w:after="0"/>
              <w:rPr>
                <w:sz w:val="20"/>
                <w:szCs w:val="20"/>
                <w:color w:val="auto"/>
              </w:rPr>
            </w:pPr>
            <w:r>
              <w:rPr>
                <w:rFonts w:ascii="Arial" w:cs="Arial" w:eastAsia="Arial" w:hAnsi="Arial"/>
                <w:sz w:val="18"/>
                <w:szCs w:val="18"/>
                <w:color w:val="auto"/>
              </w:rPr>
              <w:t>316</w:t>
            </w: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322</w:t>
            </w: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1,607</w:t>
            </w:r>
          </w:p>
        </w:tc>
        <w:tc>
          <w:tcPr>
            <w:tcW w:w="1220" w:type="dxa"/>
            <w:vAlign w:val="bottom"/>
            <w:gridSpan w:val="2"/>
            <w:shd w:val="clear" w:color="auto" w:fill="CFF0FC"/>
          </w:tcPr>
          <w:p>
            <w:pPr>
              <w:jc w:val="right"/>
              <w:ind w:right="244"/>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3860" w:type="dxa"/>
            <w:vAlign w:val="bottom"/>
            <w:gridSpan w:val="7"/>
          </w:tcPr>
          <w:p>
            <w:pPr>
              <w:spacing w:after="0"/>
              <w:rPr>
                <w:sz w:val="20"/>
                <w:szCs w:val="20"/>
                <w:color w:val="auto"/>
              </w:rPr>
            </w:pPr>
            <w:r>
              <w:rPr>
                <w:rFonts w:ascii="Arial" w:cs="Arial" w:eastAsia="Arial" w:hAnsi="Arial"/>
                <w:sz w:val="18"/>
                <w:szCs w:val="18"/>
                <w:color w:val="auto"/>
              </w:rPr>
              <w:t>Health services</w:t>
            </w:r>
          </w:p>
        </w:tc>
        <w:tc>
          <w:tcPr>
            <w:tcW w:w="100" w:type="dxa"/>
            <w:vAlign w:val="bottom"/>
          </w:tcPr>
          <w:p>
            <w:pPr>
              <w:spacing w:after="0"/>
              <w:rPr>
                <w:sz w:val="19"/>
                <w:szCs w:val="19"/>
                <w:color w:val="auto"/>
              </w:rPr>
            </w:pP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605</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ind w:right="93"/>
              <w:spacing w:after="0"/>
              <w:rPr>
                <w:sz w:val="20"/>
                <w:szCs w:val="20"/>
                <w:color w:val="auto"/>
              </w:rPr>
            </w:pPr>
            <w:r>
              <w:rPr>
                <w:rFonts w:ascii="Arial" w:cs="Arial" w:eastAsia="Arial" w:hAnsi="Arial"/>
                <w:sz w:val="18"/>
                <w:szCs w:val="18"/>
                <w:color w:val="auto"/>
              </w:rPr>
              <w:t>222</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ind w:right="114"/>
              <w:spacing w:after="0"/>
              <w:rPr>
                <w:sz w:val="20"/>
                <w:szCs w:val="20"/>
                <w:color w:val="auto"/>
              </w:rPr>
            </w:pPr>
            <w:r>
              <w:rPr>
                <w:rFonts w:ascii="Arial" w:cs="Arial" w:eastAsia="Arial" w:hAnsi="Arial"/>
                <w:sz w:val="18"/>
                <w:szCs w:val="18"/>
                <w:color w:val="auto"/>
              </w:rPr>
              <w:t>647</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ind w:right="93"/>
              <w:spacing w:after="0"/>
              <w:rPr>
                <w:sz w:val="20"/>
                <w:szCs w:val="20"/>
                <w:color w:val="auto"/>
              </w:rPr>
            </w:pPr>
            <w:r>
              <w:rPr>
                <w:rFonts w:ascii="Arial" w:cs="Arial" w:eastAsia="Arial" w:hAnsi="Arial"/>
                <w:sz w:val="18"/>
                <w:szCs w:val="18"/>
                <w:color w:val="auto"/>
              </w:rPr>
              <w:t>133</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ind w:right="93"/>
              <w:spacing w:after="0"/>
              <w:rPr>
                <w:sz w:val="20"/>
                <w:szCs w:val="20"/>
                <w:color w:val="auto"/>
              </w:rPr>
            </w:pPr>
            <w:r>
              <w:rPr>
                <w:rFonts w:ascii="Arial" w:cs="Arial" w:eastAsia="Arial" w:hAnsi="Arial"/>
                <w:sz w:val="18"/>
                <w:szCs w:val="18"/>
                <w:color w:val="auto"/>
              </w:rPr>
              <w:t>1,607</w:t>
            </w:r>
          </w:p>
        </w:tc>
        <w:tc>
          <w:tcPr>
            <w:tcW w:w="1220" w:type="dxa"/>
            <w:vAlign w:val="bottom"/>
            <w:gridSpan w:val="2"/>
          </w:tcPr>
          <w:p>
            <w:pPr>
              <w:jc w:val="right"/>
              <w:ind w:right="244"/>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1"/>
        </w:trPr>
        <w:tc>
          <w:tcPr>
            <w:tcW w:w="3860" w:type="dxa"/>
            <w:vAlign w:val="bottom"/>
            <w:gridSpan w:val="7"/>
            <w:shd w:val="clear" w:color="auto" w:fill="CFF0FC"/>
          </w:tcPr>
          <w:p>
            <w:pPr>
              <w:spacing w:after="0"/>
              <w:rPr>
                <w:sz w:val="20"/>
                <w:szCs w:val="20"/>
                <w:color w:val="auto"/>
              </w:rPr>
            </w:pPr>
            <w:r>
              <w:rPr>
                <w:rFonts w:ascii="Arial" w:cs="Arial" w:eastAsia="Arial" w:hAnsi="Arial"/>
                <w:sz w:val="18"/>
                <w:szCs w:val="18"/>
                <w:color w:val="auto"/>
              </w:rPr>
              <w:t>Transportation, communications,</w:t>
            </w: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40" w:type="dxa"/>
            <w:vAlign w:val="bottom"/>
            <w:shd w:val="clear" w:color="auto" w:fill="CFF0FC"/>
          </w:tcPr>
          <w:p>
            <w:pPr>
              <w:spacing w:after="0"/>
              <w:rPr>
                <w:sz w:val="19"/>
                <w:szCs w:val="19"/>
                <w:color w:val="auto"/>
              </w:rPr>
            </w:pPr>
          </w:p>
        </w:tc>
        <w:tc>
          <w:tcPr>
            <w:tcW w:w="3720" w:type="dxa"/>
            <w:vAlign w:val="bottom"/>
            <w:gridSpan w:val="6"/>
            <w:shd w:val="clear" w:color="auto" w:fill="CFF0FC"/>
          </w:tcPr>
          <w:p>
            <w:pPr>
              <w:spacing w:after="0"/>
              <w:rPr>
                <w:sz w:val="20"/>
                <w:szCs w:val="20"/>
                <w:color w:val="auto"/>
              </w:rPr>
            </w:pPr>
            <w:r>
              <w:rPr>
                <w:rFonts w:ascii="Arial" w:cs="Arial" w:eastAsia="Arial" w:hAnsi="Arial"/>
                <w:sz w:val="18"/>
                <w:szCs w:val="18"/>
                <w:color w:val="auto"/>
              </w:rPr>
              <w:t>utilities</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389</w:t>
            </w: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365</w:t>
            </w: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114"/>
              <w:spacing w:after="0"/>
              <w:rPr>
                <w:sz w:val="20"/>
                <w:szCs w:val="20"/>
                <w:color w:val="auto"/>
              </w:rPr>
            </w:pPr>
            <w:r>
              <w:rPr>
                <w:rFonts w:ascii="Arial" w:cs="Arial" w:eastAsia="Arial" w:hAnsi="Arial"/>
                <w:sz w:val="18"/>
                <w:szCs w:val="18"/>
                <w:color w:val="auto"/>
              </w:rPr>
              <w:t>365</w:t>
            </w: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277</w:t>
            </w: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1,396</w:t>
            </w:r>
          </w:p>
        </w:tc>
        <w:tc>
          <w:tcPr>
            <w:tcW w:w="1220" w:type="dxa"/>
            <w:vAlign w:val="bottom"/>
            <w:gridSpan w:val="2"/>
            <w:shd w:val="clear" w:color="auto" w:fill="CFF0FC"/>
          </w:tcPr>
          <w:p>
            <w:pPr>
              <w:jc w:val="right"/>
              <w:ind w:right="244"/>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3860" w:type="dxa"/>
            <w:vAlign w:val="bottom"/>
            <w:gridSpan w:val="7"/>
          </w:tcPr>
          <w:p>
            <w:pPr>
              <w:spacing w:after="0"/>
              <w:rPr>
                <w:sz w:val="20"/>
                <w:szCs w:val="20"/>
                <w:color w:val="auto"/>
              </w:rPr>
            </w:pPr>
            <w:r>
              <w:rPr>
                <w:rFonts w:ascii="Arial" w:cs="Arial" w:eastAsia="Arial" w:hAnsi="Arial"/>
                <w:sz w:val="18"/>
                <w:szCs w:val="18"/>
                <w:color w:val="auto"/>
              </w:rPr>
              <w:t>Real estate investors</w:t>
            </w:r>
          </w:p>
        </w:tc>
        <w:tc>
          <w:tcPr>
            <w:tcW w:w="100" w:type="dxa"/>
            <w:vAlign w:val="bottom"/>
          </w:tcPr>
          <w:p>
            <w:pPr>
              <w:spacing w:after="0"/>
              <w:rPr>
                <w:sz w:val="19"/>
                <w:szCs w:val="19"/>
                <w:color w:val="auto"/>
              </w:rPr>
            </w:pP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622</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ind w:right="93"/>
              <w:spacing w:after="0"/>
              <w:rPr>
                <w:sz w:val="20"/>
                <w:szCs w:val="20"/>
                <w:color w:val="auto"/>
              </w:rPr>
            </w:pPr>
            <w:r>
              <w:rPr>
                <w:rFonts w:ascii="Arial" w:cs="Arial" w:eastAsia="Arial" w:hAnsi="Arial"/>
                <w:sz w:val="18"/>
                <w:szCs w:val="18"/>
                <w:color w:val="auto"/>
              </w:rPr>
              <w:t>226</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ind w:right="114"/>
              <w:spacing w:after="0"/>
              <w:rPr>
                <w:sz w:val="20"/>
                <w:szCs w:val="20"/>
                <w:color w:val="auto"/>
              </w:rPr>
            </w:pPr>
            <w:r>
              <w:rPr>
                <w:rFonts w:ascii="Arial" w:cs="Arial" w:eastAsia="Arial" w:hAnsi="Arial"/>
                <w:sz w:val="18"/>
                <w:szCs w:val="18"/>
                <w:color w:val="auto"/>
              </w:rPr>
              <w:t>268</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ind w:right="93"/>
              <w:spacing w:after="0"/>
              <w:rPr>
                <w:sz w:val="20"/>
                <w:szCs w:val="20"/>
                <w:color w:val="auto"/>
              </w:rPr>
            </w:pPr>
            <w:r>
              <w:rPr>
                <w:rFonts w:ascii="Arial" w:cs="Arial" w:eastAsia="Arial" w:hAnsi="Arial"/>
                <w:sz w:val="18"/>
                <w:szCs w:val="18"/>
                <w:color w:val="auto"/>
              </w:rPr>
              <w:t>102</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ind w:right="93"/>
              <w:spacing w:after="0"/>
              <w:rPr>
                <w:sz w:val="20"/>
                <w:szCs w:val="20"/>
                <w:color w:val="auto"/>
              </w:rPr>
            </w:pPr>
            <w:r>
              <w:rPr>
                <w:rFonts w:ascii="Arial" w:cs="Arial" w:eastAsia="Arial" w:hAnsi="Arial"/>
                <w:sz w:val="18"/>
                <w:szCs w:val="18"/>
                <w:color w:val="auto"/>
              </w:rPr>
              <w:t>1,218</w:t>
            </w:r>
          </w:p>
        </w:tc>
        <w:tc>
          <w:tcPr>
            <w:tcW w:w="1220" w:type="dxa"/>
            <w:vAlign w:val="bottom"/>
            <w:gridSpan w:val="2"/>
          </w:tcPr>
          <w:p>
            <w:pPr>
              <w:jc w:val="right"/>
              <w:ind w:right="244"/>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4"/>
        </w:trPr>
        <w:tc>
          <w:tcPr>
            <w:tcW w:w="3860" w:type="dxa"/>
            <w:vAlign w:val="bottom"/>
            <w:gridSpan w:val="7"/>
            <w:shd w:val="clear" w:color="auto" w:fill="CFF0FC"/>
          </w:tcPr>
          <w:p>
            <w:pPr>
              <w:spacing w:after="0"/>
              <w:rPr>
                <w:sz w:val="20"/>
                <w:szCs w:val="20"/>
                <w:color w:val="auto"/>
              </w:rPr>
            </w:pPr>
            <w:r>
              <w:rPr>
                <w:rFonts w:ascii="Arial" w:cs="Arial" w:eastAsia="Arial" w:hAnsi="Arial"/>
                <w:sz w:val="18"/>
                <w:szCs w:val="18"/>
                <w:color w:val="auto"/>
              </w:rPr>
              <w:t>Retail</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257</w:t>
            </w: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349</w:t>
            </w: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114"/>
              <w:spacing w:after="0"/>
              <w:rPr>
                <w:sz w:val="20"/>
                <w:szCs w:val="20"/>
                <w:color w:val="auto"/>
              </w:rPr>
            </w:pPr>
            <w:r>
              <w:rPr>
                <w:rFonts w:ascii="Arial" w:cs="Arial" w:eastAsia="Arial" w:hAnsi="Arial"/>
                <w:sz w:val="18"/>
                <w:szCs w:val="18"/>
                <w:color w:val="auto"/>
              </w:rPr>
              <w:t>281</w:t>
            </w: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176</w:t>
            </w: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1,063</w:t>
            </w:r>
          </w:p>
        </w:tc>
        <w:tc>
          <w:tcPr>
            <w:tcW w:w="1220" w:type="dxa"/>
            <w:vAlign w:val="bottom"/>
            <w:gridSpan w:val="2"/>
            <w:shd w:val="clear" w:color="auto" w:fill="CFF0FC"/>
          </w:tcPr>
          <w:p>
            <w:pPr>
              <w:jc w:val="right"/>
              <w:ind w:right="244"/>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3860" w:type="dxa"/>
            <w:vAlign w:val="bottom"/>
            <w:gridSpan w:val="7"/>
          </w:tcPr>
          <w:p>
            <w:pPr>
              <w:spacing w:after="0"/>
              <w:rPr>
                <w:sz w:val="20"/>
                <w:szCs w:val="20"/>
                <w:color w:val="auto"/>
              </w:rPr>
            </w:pPr>
            <w:r>
              <w:rPr>
                <w:rFonts w:ascii="Arial" w:cs="Arial" w:eastAsia="Arial" w:hAnsi="Arial"/>
                <w:sz w:val="18"/>
                <w:szCs w:val="18"/>
                <w:color w:val="auto"/>
              </w:rPr>
              <w:t>Construction</w:t>
            </w:r>
          </w:p>
        </w:tc>
        <w:tc>
          <w:tcPr>
            <w:tcW w:w="100" w:type="dxa"/>
            <w:vAlign w:val="bottom"/>
          </w:tcPr>
          <w:p>
            <w:pPr>
              <w:spacing w:after="0"/>
              <w:rPr>
                <w:sz w:val="19"/>
                <w:szCs w:val="19"/>
                <w:color w:val="auto"/>
              </w:rPr>
            </w:pP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364</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ind w:right="93"/>
              <w:spacing w:after="0"/>
              <w:rPr>
                <w:sz w:val="20"/>
                <w:szCs w:val="20"/>
                <w:color w:val="auto"/>
              </w:rPr>
            </w:pPr>
            <w:r>
              <w:rPr>
                <w:rFonts w:ascii="Arial" w:cs="Arial" w:eastAsia="Arial" w:hAnsi="Arial"/>
                <w:sz w:val="18"/>
                <w:szCs w:val="18"/>
                <w:color w:val="auto"/>
              </w:rPr>
              <w:t>280</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ind w:right="114"/>
              <w:spacing w:after="0"/>
              <w:rPr>
                <w:sz w:val="20"/>
                <w:szCs w:val="20"/>
                <w:color w:val="auto"/>
              </w:rPr>
            </w:pPr>
            <w:r>
              <w:rPr>
                <w:rFonts w:ascii="Arial" w:cs="Arial" w:eastAsia="Arial" w:hAnsi="Arial"/>
                <w:sz w:val="18"/>
                <w:szCs w:val="18"/>
                <w:color w:val="auto"/>
              </w:rPr>
              <w:t>287</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ind w:right="93"/>
              <w:spacing w:after="0"/>
              <w:rPr>
                <w:sz w:val="20"/>
                <w:szCs w:val="20"/>
                <w:color w:val="auto"/>
              </w:rPr>
            </w:pPr>
            <w:r>
              <w:rPr>
                <w:rFonts w:ascii="Arial" w:cs="Arial" w:eastAsia="Arial" w:hAnsi="Arial"/>
                <w:sz w:val="18"/>
                <w:szCs w:val="18"/>
                <w:color w:val="auto"/>
              </w:rPr>
              <w:t>61</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ind w:right="93"/>
              <w:spacing w:after="0"/>
              <w:rPr>
                <w:sz w:val="20"/>
                <w:szCs w:val="20"/>
                <w:color w:val="auto"/>
              </w:rPr>
            </w:pPr>
            <w:r>
              <w:rPr>
                <w:rFonts w:ascii="Arial" w:cs="Arial" w:eastAsia="Arial" w:hAnsi="Arial"/>
                <w:sz w:val="18"/>
                <w:szCs w:val="18"/>
                <w:color w:val="auto"/>
              </w:rPr>
              <w:t>992</w:t>
            </w:r>
          </w:p>
        </w:tc>
        <w:tc>
          <w:tcPr>
            <w:tcW w:w="1220" w:type="dxa"/>
            <w:vAlign w:val="bottom"/>
            <w:gridSpan w:val="2"/>
          </w:tcPr>
          <w:p>
            <w:pPr>
              <w:jc w:val="right"/>
              <w:ind w:right="244"/>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4"/>
        </w:trPr>
        <w:tc>
          <w:tcPr>
            <w:tcW w:w="3860" w:type="dxa"/>
            <w:vAlign w:val="bottom"/>
            <w:gridSpan w:val="7"/>
            <w:shd w:val="clear" w:color="auto" w:fill="CFF0FC"/>
          </w:tcPr>
          <w:p>
            <w:pPr>
              <w:spacing w:after="0"/>
              <w:rPr>
                <w:sz w:val="20"/>
                <w:szCs w:val="20"/>
                <w:color w:val="auto"/>
              </w:rPr>
            </w:pPr>
            <w:r>
              <w:rPr>
                <w:rFonts w:ascii="Arial" w:cs="Arial" w:eastAsia="Arial" w:hAnsi="Arial"/>
                <w:sz w:val="18"/>
                <w:szCs w:val="18"/>
                <w:color w:val="auto"/>
              </w:rPr>
              <w:t>Public administration</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156</w:t>
            </w: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67</w:t>
            </w: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114"/>
              <w:spacing w:after="0"/>
              <w:rPr>
                <w:sz w:val="20"/>
                <w:szCs w:val="20"/>
                <w:color w:val="auto"/>
              </w:rPr>
            </w:pPr>
            <w:r>
              <w:rPr>
                <w:rFonts w:ascii="Arial" w:cs="Arial" w:eastAsia="Arial" w:hAnsi="Arial"/>
                <w:sz w:val="18"/>
                <w:szCs w:val="18"/>
                <w:color w:val="auto"/>
              </w:rPr>
              <w:t>35</w:t>
            </w: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258</w:t>
            </w:r>
          </w:p>
        </w:tc>
        <w:tc>
          <w:tcPr>
            <w:tcW w:w="1220" w:type="dxa"/>
            <w:vAlign w:val="bottom"/>
            <w:gridSpan w:val="2"/>
            <w:shd w:val="clear" w:color="auto" w:fill="CFF0FC"/>
          </w:tcPr>
          <w:p>
            <w:pPr>
              <w:jc w:val="right"/>
              <w:ind w:right="24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3860" w:type="dxa"/>
            <w:vAlign w:val="bottom"/>
            <w:gridSpan w:val="7"/>
          </w:tcPr>
          <w:p>
            <w:pPr>
              <w:spacing w:after="0"/>
              <w:rPr>
                <w:sz w:val="20"/>
                <w:szCs w:val="20"/>
                <w:color w:val="auto"/>
              </w:rPr>
            </w:pPr>
            <w:r>
              <w:rPr>
                <w:rFonts w:ascii="Arial" w:cs="Arial" w:eastAsia="Arial" w:hAnsi="Arial"/>
                <w:sz w:val="18"/>
                <w:szCs w:val="18"/>
                <w:color w:val="auto"/>
              </w:rPr>
              <w:t>Agriculture, forestry, fishing, etc.</w:t>
            </w:r>
          </w:p>
        </w:tc>
        <w:tc>
          <w:tcPr>
            <w:tcW w:w="100" w:type="dxa"/>
            <w:vAlign w:val="bottom"/>
          </w:tcPr>
          <w:p>
            <w:pPr>
              <w:spacing w:after="0"/>
              <w:rPr>
                <w:sz w:val="19"/>
                <w:szCs w:val="19"/>
                <w:color w:val="auto"/>
              </w:rPr>
            </w:pP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26</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ind w:right="93"/>
              <w:spacing w:after="0"/>
              <w:rPr>
                <w:sz w:val="20"/>
                <w:szCs w:val="20"/>
                <w:color w:val="auto"/>
              </w:rPr>
            </w:pPr>
            <w:r>
              <w:rPr>
                <w:rFonts w:ascii="Arial" w:cs="Arial" w:eastAsia="Arial" w:hAnsi="Arial"/>
                <w:sz w:val="18"/>
                <w:szCs w:val="18"/>
                <w:color w:val="auto"/>
              </w:rPr>
              <w:t>73</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ind w:right="114"/>
              <w:spacing w:after="0"/>
              <w:rPr>
                <w:sz w:val="20"/>
                <w:szCs w:val="20"/>
                <w:color w:val="auto"/>
              </w:rPr>
            </w:pPr>
            <w:r>
              <w:rPr>
                <w:rFonts w:ascii="Arial" w:cs="Arial" w:eastAsia="Arial" w:hAnsi="Arial"/>
                <w:sz w:val="18"/>
                <w:szCs w:val="18"/>
                <w:color w:val="auto"/>
              </w:rPr>
              <w:t>51</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80" w:type="dxa"/>
            <w:vAlign w:val="bottom"/>
          </w:tcPr>
          <w:p>
            <w:pPr>
              <w:jc w:val="right"/>
              <w:ind w:right="93"/>
              <w:spacing w:after="0"/>
              <w:rPr>
                <w:sz w:val="20"/>
                <w:szCs w:val="20"/>
                <w:color w:val="auto"/>
              </w:rPr>
            </w:pPr>
            <w:r>
              <w:rPr>
                <w:rFonts w:ascii="Arial" w:cs="Arial" w:eastAsia="Arial" w:hAnsi="Arial"/>
                <w:sz w:val="18"/>
                <w:szCs w:val="18"/>
                <w:color w:val="auto"/>
              </w:rPr>
              <w:t>150</w:t>
            </w:r>
          </w:p>
        </w:tc>
        <w:tc>
          <w:tcPr>
            <w:tcW w:w="1220" w:type="dxa"/>
            <w:vAlign w:val="bottom"/>
            <w:gridSpan w:val="2"/>
          </w:tcPr>
          <w:p>
            <w:pPr>
              <w:jc w:val="right"/>
              <w:ind w:right="24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4"/>
        </w:trPr>
        <w:tc>
          <w:tcPr>
            <w:tcW w:w="3860" w:type="dxa"/>
            <w:vAlign w:val="bottom"/>
            <w:gridSpan w:val="7"/>
            <w:shd w:val="clear" w:color="auto" w:fill="CFF0FC"/>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93"/>
              <w:spacing w:after="0"/>
              <w:rPr>
                <w:sz w:val="20"/>
                <w:szCs w:val="20"/>
                <w:color w:val="auto"/>
              </w:rPr>
            </w:pPr>
            <w:r>
              <w:rPr>
                <w:rFonts w:ascii="Arial" w:cs="Arial" w:eastAsia="Arial" w:hAnsi="Arial"/>
                <w:sz w:val="18"/>
                <w:szCs w:val="18"/>
                <w:color w:val="auto"/>
              </w:rPr>
              <w:t>136</w:t>
            </w:r>
          </w:p>
        </w:tc>
        <w:tc>
          <w:tcPr>
            <w:tcW w:w="5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93"/>
              <w:spacing w:after="0"/>
              <w:rPr>
                <w:sz w:val="20"/>
                <w:szCs w:val="20"/>
                <w:color w:val="auto"/>
              </w:rPr>
            </w:pPr>
            <w:r>
              <w:rPr>
                <w:rFonts w:ascii="Arial" w:cs="Arial" w:eastAsia="Arial" w:hAnsi="Arial"/>
                <w:sz w:val="18"/>
                <w:szCs w:val="18"/>
                <w:color w:val="auto"/>
              </w:rPr>
              <w:t>188</w:t>
            </w:r>
          </w:p>
        </w:tc>
        <w:tc>
          <w:tcPr>
            <w:tcW w:w="6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114"/>
              <w:spacing w:after="0"/>
              <w:rPr>
                <w:sz w:val="20"/>
                <w:szCs w:val="20"/>
                <w:color w:val="auto"/>
              </w:rPr>
            </w:pPr>
            <w:r>
              <w:rPr>
                <w:rFonts w:ascii="Arial" w:cs="Arial" w:eastAsia="Arial" w:hAnsi="Arial"/>
                <w:sz w:val="18"/>
                <w:szCs w:val="18"/>
                <w:color w:val="auto"/>
              </w:rPr>
              <w:t>107</w:t>
            </w:r>
          </w:p>
        </w:tc>
        <w:tc>
          <w:tcPr>
            <w:tcW w:w="5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93"/>
              <w:spacing w:after="0"/>
              <w:rPr>
                <w:sz w:val="20"/>
                <w:szCs w:val="20"/>
                <w:color w:val="auto"/>
              </w:rPr>
            </w:pPr>
            <w:r>
              <w:rPr>
                <w:rFonts w:ascii="Arial" w:cs="Arial" w:eastAsia="Arial" w:hAnsi="Arial"/>
                <w:sz w:val="18"/>
                <w:szCs w:val="18"/>
                <w:color w:val="auto"/>
              </w:rPr>
              <w:t>63</w:t>
            </w:r>
          </w:p>
        </w:tc>
        <w:tc>
          <w:tcPr>
            <w:tcW w:w="5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93"/>
              <w:spacing w:after="0"/>
              <w:rPr>
                <w:sz w:val="20"/>
                <w:szCs w:val="20"/>
                <w:color w:val="auto"/>
              </w:rPr>
            </w:pPr>
            <w:r>
              <w:rPr>
                <w:rFonts w:ascii="Arial" w:cs="Arial" w:eastAsia="Arial" w:hAnsi="Arial"/>
                <w:sz w:val="18"/>
                <w:szCs w:val="18"/>
                <w:color w:val="auto"/>
              </w:rPr>
              <w:t>494</w:t>
            </w:r>
          </w:p>
        </w:tc>
        <w:tc>
          <w:tcPr>
            <w:tcW w:w="38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244"/>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6"/>
        </w:trPr>
        <w:tc>
          <w:tcPr>
            <w:tcW w:w="3860" w:type="dxa"/>
            <w:vAlign w:val="bottom"/>
            <w:gridSpan w:val="7"/>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8,581</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93"/>
              <w:spacing w:after="0"/>
              <w:rPr>
                <w:sz w:val="20"/>
                <w:szCs w:val="20"/>
                <w:color w:val="auto"/>
              </w:rPr>
            </w:pPr>
            <w:r>
              <w:rPr>
                <w:rFonts w:ascii="Arial" w:cs="Arial" w:eastAsia="Arial" w:hAnsi="Arial"/>
                <w:sz w:val="18"/>
                <w:szCs w:val="18"/>
                <w:color w:val="auto"/>
              </w:rPr>
              <w:t>5,128</w:t>
            </w:r>
          </w:p>
        </w:tc>
        <w:tc>
          <w:tcPr>
            <w:tcW w:w="6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114"/>
              <w:spacing w:after="0"/>
              <w:rPr>
                <w:sz w:val="20"/>
                <w:szCs w:val="20"/>
                <w:color w:val="auto"/>
              </w:rPr>
            </w:pPr>
            <w:r>
              <w:rPr>
                <w:rFonts w:ascii="Arial" w:cs="Arial" w:eastAsia="Arial" w:hAnsi="Arial"/>
                <w:sz w:val="18"/>
                <w:szCs w:val="18"/>
                <w:color w:val="auto"/>
              </w:rPr>
              <w:t>5,083</w:t>
            </w:r>
          </w:p>
        </w:tc>
        <w:tc>
          <w:tcPr>
            <w:tcW w:w="5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ind w:right="93"/>
              <w:spacing w:after="0"/>
              <w:rPr>
                <w:sz w:val="20"/>
                <w:szCs w:val="20"/>
                <w:color w:val="auto"/>
              </w:rPr>
            </w:pPr>
            <w:r>
              <w:rPr>
                <w:rFonts w:ascii="Arial" w:cs="Arial" w:eastAsia="Arial" w:hAnsi="Arial"/>
                <w:sz w:val="18"/>
                <w:szCs w:val="18"/>
                <w:color w:val="auto"/>
                <w:w w:val="84"/>
              </w:rPr>
              <w:t>2,951</w:t>
            </w:r>
          </w:p>
        </w:tc>
        <w:tc>
          <w:tcPr>
            <w:tcW w:w="5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93"/>
              <w:spacing w:after="0"/>
              <w:rPr>
                <w:sz w:val="20"/>
                <w:szCs w:val="20"/>
                <w:color w:val="auto"/>
              </w:rPr>
            </w:pPr>
            <w:r>
              <w:rPr>
                <w:rFonts w:ascii="Arial" w:cs="Arial" w:eastAsia="Arial" w:hAnsi="Arial"/>
                <w:sz w:val="18"/>
                <w:szCs w:val="18"/>
                <w:color w:val="auto"/>
                <w:w w:val="87"/>
              </w:rPr>
              <w:t>21,743</w:t>
            </w:r>
          </w:p>
        </w:tc>
        <w:tc>
          <w:tcPr>
            <w:tcW w:w="1220" w:type="dxa"/>
            <w:vAlign w:val="bottom"/>
            <w:gridSpan w:val="2"/>
          </w:tcPr>
          <w:p>
            <w:pPr>
              <w:jc w:val="right"/>
              <w:ind w:right="8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3"/>
        </w:trPr>
        <w:tc>
          <w:tcPr>
            <w:tcW w:w="3860" w:type="dxa"/>
            <w:vAlign w:val="bottom"/>
            <w:tcBorders>
              <w:top w:val="single" w:sz="8" w:color="CFF0FC"/>
              <w:bottom w:val="single" w:sz="8" w:color="CFF0FC"/>
            </w:tcBorders>
            <w:gridSpan w:val="7"/>
            <w:shd w:val="clear" w:color="auto" w:fill="CFF0FC"/>
          </w:tcPr>
          <w:p>
            <w:pPr>
              <w:spacing w:after="0" w:line="202" w:lineRule="exact"/>
              <w:rPr>
                <w:sz w:val="20"/>
                <w:szCs w:val="20"/>
                <w:color w:val="auto"/>
              </w:rPr>
            </w:pPr>
            <w:r>
              <w:rPr>
                <w:rFonts w:ascii="Arial" w:cs="Arial" w:eastAsia="Arial" w:hAnsi="Arial"/>
                <w:sz w:val="18"/>
                <w:szCs w:val="18"/>
                <w:color w:val="auto"/>
              </w:rPr>
              <w:t>Percent of total</w:t>
            </w:r>
          </w:p>
        </w:tc>
        <w:tc>
          <w:tcPr>
            <w:tcW w:w="100" w:type="dxa"/>
            <w:vAlign w:val="bottom"/>
            <w:tcBorders>
              <w:top w:val="single" w:sz="8" w:color="auto"/>
              <w:bottom w:val="single" w:sz="8" w:color="auto"/>
            </w:tcBorders>
            <w:shd w:val="clear" w:color="auto" w:fill="CFF0FC"/>
          </w:tcPr>
          <w:p>
            <w:pPr>
              <w:spacing w:after="0"/>
              <w:rPr>
                <w:sz w:val="17"/>
                <w:szCs w:val="17"/>
                <w:color w:val="auto"/>
              </w:rPr>
            </w:pPr>
          </w:p>
        </w:tc>
        <w:tc>
          <w:tcPr>
            <w:tcW w:w="700" w:type="dxa"/>
            <w:vAlign w:val="bottom"/>
            <w:tcBorders>
              <w:top w:val="single" w:sz="8" w:color="auto"/>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39%</w:t>
            </w:r>
          </w:p>
        </w:tc>
        <w:tc>
          <w:tcPr>
            <w:tcW w:w="52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spacing w:after="0"/>
              <w:rPr>
                <w:sz w:val="17"/>
                <w:szCs w:val="17"/>
                <w:color w:val="auto"/>
              </w:rPr>
            </w:pPr>
          </w:p>
        </w:tc>
        <w:tc>
          <w:tcPr>
            <w:tcW w:w="940" w:type="dxa"/>
            <w:vAlign w:val="bottom"/>
            <w:tcBorders>
              <w:top w:val="single" w:sz="8" w:color="auto"/>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24%</w:t>
            </w:r>
          </w:p>
        </w:tc>
        <w:tc>
          <w:tcPr>
            <w:tcW w:w="62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spacing w:after="0"/>
              <w:rPr>
                <w:sz w:val="17"/>
                <w:szCs w:val="17"/>
                <w:color w:val="auto"/>
              </w:rPr>
            </w:pPr>
          </w:p>
        </w:tc>
        <w:tc>
          <w:tcPr>
            <w:tcW w:w="760" w:type="dxa"/>
            <w:vAlign w:val="bottom"/>
            <w:tcBorders>
              <w:top w:val="single" w:sz="8" w:color="auto"/>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23%</w:t>
            </w:r>
          </w:p>
        </w:tc>
        <w:tc>
          <w:tcPr>
            <w:tcW w:w="52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spacing w:after="0"/>
              <w:rPr>
                <w:sz w:val="17"/>
                <w:szCs w:val="17"/>
                <w:color w:val="auto"/>
              </w:rPr>
            </w:pPr>
          </w:p>
        </w:tc>
        <w:tc>
          <w:tcPr>
            <w:tcW w:w="580" w:type="dxa"/>
            <w:vAlign w:val="bottom"/>
            <w:tcBorders>
              <w:top w:val="single" w:sz="8" w:color="auto"/>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14%</w:t>
            </w:r>
          </w:p>
        </w:tc>
        <w:tc>
          <w:tcPr>
            <w:tcW w:w="52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spacing w:after="0"/>
              <w:rPr>
                <w:sz w:val="17"/>
                <w:szCs w:val="17"/>
                <w:color w:val="auto"/>
              </w:rPr>
            </w:pPr>
          </w:p>
        </w:tc>
        <w:tc>
          <w:tcPr>
            <w:tcW w:w="680" w:type="dxa"/>
            <w:vAlign w:val="bottom"/>
            <w:tcBorders>
              <w:top w:val="single" w:sz="8" w:color="auto"/>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100%</w:t>
            </w:r>
          </w:p>
        </w:tc>
        <w:tc>
          <w:tcPr>
            <w:tcW w:w="380" w:type="dxa"/>
            <w:vAlign w:val="bottom"/>
            <w:tcBorders>
              <w:top w:val="single" w:sz="8" w:color="CFF0FC"/>
              <w:bottom w:val="single" w:sz="8" w:color="CFF0FC"/>
            </w:tcBorders>
            <w:shd w:val="clear" w:color="auto" w:fill="CFF0FC"/>
          </w:tcPr>
          <w:p>
            <w:pPr>
              <w:spacing w:after="0"/>
              <w:rPr>
                <w:sz w:val="17"/>
                <w:szCs w:val="17"/>
                <w:color w:val="auto"/>
              </w:rPr>
            </w:pPr>
          </w:p>
        </w:tc>
        <w:tc>
          <w:tcPr>
            <w:tcW w:w="840" w:type="dxa"/>
            <w:vAlign w:val="bottom"/>
            <w:tcBorders>
              <w:top w:val="single" w:sz="8" w:color="auto"/>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60" w:type="dxa"/>
            <w:vAlign w:val="bottom"/>
            <w:gridSpan w:val="7"/>
            <w:vMerge w:val="restart"/>
          </w:tcPr>
          <w:p>
            <w:pPr>
              <w:spacing w:after="0" w:line="204" w:lineRule="exact"/>
              <w:rPr>
                <w:sz w:val="20"/>
                <w:szCs w:val="20"/>
                <w:color w:val="auto"/>
              </w:rPr>
            </w:pPr>
            <w:r>
              <w:rPr>
                <w:rFonts w:ascii="Arial" w:cs="Arial" w:eastAsia="Arial" w:hAnsi="Arial"/>
                <w:sz w:val="18"/>
                <w:szCs w:val="18"/>
                <w:color w:val="auto"/>
              </w:rPr>
              <w:t>Percent of dollars outstanding</w:t>
            </w: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3860" w:type="dxa"/>
            <w:vAlign w:val="bottom"/>
            <w:gridSpan w:val="7"/>
            <w:vMerge w:val="continue"/>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2100" w:type="dxa"/>
            <w:vAlign w:val="bottom"/>
            <w:tcBorders>
              <w:top w:val="single" w:sz="8" w:color="auto"/>
            </w:tcBorders>
            <w:gridSpan w:val="3"/>
            <w:shd w:val="clear" w:color="auto" w:fill="CFF0FC"/>
          </w:tcPr>
          <w:p>
            <w:pPr>
              <w:spacing w:after="0"/>
              <w:rPr>
                <w:sz w:val="20"/>
                <w:szCs w:val="20"/>
                <w:color w:val="auto"/>
              </w:rPr>
            </w:pPr>
            <w:r>
              <w:rPr>
                <w:rFonts w:ascii="Arial" w:cs="Arial" w:eastAsia="Arial" w:hAnsi="Arial"/>
                <w:sz w:val="18"/>
                <w:szCs w:val="18"/>
                <w:color w:val="auto"/>
              </w:rPr>
              <w:t>Secured</w:t>
            </w:r>
          </w:p>
        </w:tc>
        <w:tc>
          <w:tcPr>
            <w:tcW w:w="1760" w:type="dxa"/>
            <w:vAlign w:val="bottom"/>
            <w:gridSpan w:val="4"/>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5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6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5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5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38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860" w:type="dxa"/>
            <w:vAlign w:val="bottom"/>
            <w:gridSpan w:val="7"/>
          </w:tcPr>
          <w:p>
            <w:pPr>
              <w:spacing w:after="0"/>
              <w:rPr>
                <w:sz w:val="20"/>
                <w:szCs w:val="20"/>
                <w:color w:val="auto"/>
              </w:rPr>
            </w:pPr>
            <w:r>
              <w:rPr>
                <w:rFonts w:ascii="Arial" w:cs="Arial" w:eastAsia="Arial" w:hAnsi="Arial"/>
                <w:sz w:val="18"/>
                <w:szCs w:val="18"/>
                <w:color w:val="auto"/>
              </w:rPr>
              <w:t>Unsecured</w:t>
            </w:r>
          </w:p>
        </w:tc>
        <w:tc>
          <w:tcPr>
            <w:tcW w:w="100" w:type="dxa"/>
            <w:vAlign w:val="bottom"/>
          </w:tcPr>
          <w:p>
            <w:pPr>
              <w:spacing w:after="0"/>
              <w:rPr>
                <w:sz w:val="19"/>
                <w:szCs w:val="19"/>
                <w:color w:val="auto"/>
              </w:rPr>
            </w:pP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11</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ind w:right="93"/>
              <w:spacing w:after="0"/>
              <w:rPr>
                <w:sz w:val="20"/>
                <w:szCs w:val="20"/>
                <w:color w:val="auto"/>
              </w:rPr>
            </w:pPr>
            <w:r>
              <w:rPr>
                <w:rFonts w:ascii="Arial" w:cs="Arial" w:eastAsia="Arial" w:hAnsi="Arial"/>
                <w:sz w:val="18"/>
                <w:szCs w:val="18"/>
                <w:color w:val="auto"/>
              </w:rPr>
              <w:t>13</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ind w:right="114"/>
              <w:spacing w:after="0"/>
              <w:rPr>
                <w:sz w:val="20"/>
                <w:szCs w:val="20"/>
                <w:color w:val="auto"/>
              </w:rPr>
            </w:pPr>
            <w:r>
              <w:rPr>
                <w:rFonts w:ascii="Arial" w:cs="Arial" w:eastAsia="Arial" w:hAnsi="Arial"/>
                <w:sz w:val="18"/>
                <w:szCs w:val="18"/>
                <w:color w:val="auto"/>
              </w:rPr>
              <w:t>10</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ind w:right="93"/>
              <w:spacing w:after="0"/>
              <w:rPr>
                <w:sz w:val="20"/>
                <w:szCs w:val="20"/>
                <w:color w:val="auto"/>
              </w:rPr>
            </w:pPr>
            <w:r>
              <w:rPr>
                <w:rFonts w:ascii="Arial" w:cs="Arial" w:eastAsia="Arial" w:hAnsi="Arial"/>
                <w:sz w:val="18"/>
                <w:szCs w:val="18"/>
                <w:color w:val="auto"/>
              </w:rPr>
              <w:t>7</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ind w:right="93"/>
              <w:spacing w:after="0"/>
              <w:rPr>
                <w:sz w:val="20"/>
                <w:szCs w:val="20"/>
                <w:color w:val="auto"/>
              </w:rPr>
            </w:pPr>
            <w:r>
              <w:rPr>
                <w:rFonts w:ascii="Arial" w:cs="Arial" w:eastAsia="Arial" w:hAnsi="Arial"/>
                <w:sz w:val="18"/>
                <w:szCs w:val="18"/>
                <w:color w:val="auto"/>
              </w:rPr>
              <w:t>11</w:t>
            </w: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860" w:type="dxa"/>
            <w:vAlign w:val="bottom"/>
            <w:gridSpan w:val="7"/>
            <w:shd w:val="clear" w:color="auto" w:fill="CFF0FC"/>
          </w:tcPr>
          <w:p>
            <w:pPr>
              <w:spacing w:after="0"/>
              <w:rPr>
                <w:sz w:val="20"/>
                <w:szCs w:val="20"/>
                <w:color w:val="auto"/>
              </w:rPr>
            </w:pPr>
            <w:r>
              <w:rPr>
                <w:rFonts w:ascii="Arial" w:cs="Arial" w:eastAsia="Arial" w:hAnsi="Arial"/>
                <w:sz w:val="18"/>
                <w:szCs w:val="18"/>
                <w:color w:val="auto"/>
              </w:rPr>
              <w:t>Leases</w:t>
            </w:r>
          </w:p>
        </w:tc>
        <w:tc>
          <w:tcPr>
            <w:tcW w:w="1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93"/>
              <w:spacing w:after="0"/>
              <w:rPr>
                <w:sz w:val="20"/>
                <w:szCs w:val="20"/>
                <w:color w:val="auto"/>
              </w:rPr>
            </w:pPr>
            <w:r>
              <w:rPr>
                <w:rFonts w:ascii="Arial" w:cs="Arial" w:eastAsia="Arial" w:hAnsi="Arial"/>
                <w:sz w:val="18"/>
                <w:szCs w:val="18"/>
                <w:color w:val="auto"/>
              </w:rPr>
              <w:t>7</w:t>
            </w:r>
          </w:p>
        </w:tc>
        <w:tc>
          <w:tcPr>
            <w:tcW w:w="5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93"/>
              <w:spacing w:after="0"/>
              <w:rPr>
                <w:sz w:val="20"/>
                <w:szCs w:val="20"/>
                <w:color w:val="auto"/>
              </w:rPr>
            </w:pPr>
            <w:r>
              <w:rPr>
                <w:rFonts w:ascii="Arial" w:cs="Arial" w:eastAsia="Arial" w:hAnsi="Arial"/>
                <w:sz w:val="18"/>
                <w:szCs w:val="18"/>
                <w:color w:val="auto"/>
              </w:rPr>
              <w:t>4</w:t>
            </w:r>
          </w:p>
        </w:tc>
        <w:tc>
          <w:tcPr>
            <w:tcW w:w="6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114"/>
              <w:spacing w:after="0"/>
              <w:rPr>
                <w:sz w:val="20"/>
                <w:szCs w:val="20"/>
                <w:color w:val="auto"/>
              </w:rPr>
            </w:pPr>
            <w:r>
              <w:rPr>
                <w:rFonts w:ascii="Arial" w:cs="Arial" w:eastAsia="Arial" w:hAnsi="Arial"/>
                <w:sz w:val="18"/>
                <w:szCs w:val="18"/>
                <w:color w:val="auto"/>
              </w:rPr>
              <w:t>4</w:t>
            </w:r>
          </w:p>
        </w:tc>
        <w:tc>
          <w:tcPr>
            <w:tcW w:w="5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93"/>
              <w:spacing w:after="0"/>
              <w:rPr>
                <w:sz w:val="20"/>
                <w:szCs w:val="20"/>
                <w:color w:val="auto"/>
              </w:rPr>
            </w:pPr>
            <w:r>
              <w:rPr>
                <w:rFonts w:ascii="Arial" w:cs="Arial" w:eastAsia="Arial" w:hAnsi="Arial"/>
                <w:sz w:val="18"/>
                <w:szCs w:val="18"/>
                <w:color w:val="auto"/>
              </w:rPr>
              <w:t>9</w:t>
            </w:r>
          </w:p>
        </w:tc>
        <w:tc>
          <w:tcPr>
            <w:tcW w:w="5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93"/>
              <w:spacing w:after="0"/>
              <w:rPr>
                <w:sz w:val="20"/>
                <w:szCs w:val="20"/>
                <w:color w:val="auto"/>
              </w:rPr>
            </w:pPr>
            <w:r>
              <w:rPr>
                <w:rFonts w:ascii="Arial" w:cs="Arial" w:eastAsia="Arial" w:hAnsi="Arial"/>
                <w:sz w:val="18"/>
                <w:szCs w:val="18"/>
                <w:color w:val="auto"/>
              </w:rPr>
              <w:t>6</w:t>
            </w: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3860" w:type="dxa"/>
            <w:vAlign w:val="bottom"/>
            <w:tcBorders>
              <w:bottom w:val="single" w:sz="8" w:color="CFF0FC"/>
            </w:tcBorders>
            <w:gridSpan w:val="7"/>
          </w:tcPr>
          <w:p>
            <w:pPr>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52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62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52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52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380" w:type="dxa"/>
            <w:vAlign w:val="bottom"/>
            <w:tcBorders>
              <w:bottom w:val="single" w:sz="8" w:color="CFF0FC"/>
            </w:tcBorders>
          </w:tcPr>
          <w:p>
            <w:pPr>
              <w:spacing w:after="0"/>
              <w:rPr>
                <w:sz w:val="22"/>
                <w:szCs w:val="22"/>
                <w:color w:val="auto"/>
              </w:rPr>
            </w:pPr>
          </w:p>
        </w:tc>
        <w:tc>
          <w:tcPr>
            <w:tcW w:w="84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164"/>
        </w:trPr>
        <w:tc>
          <w:tcPr>
            <w:tcW w:w="3860" w:type="dxa"/>
            <w:vAlign w:val="bottom"/>
            <w:gridSpan w:val="7"/>
            <w:shd w:val="clear" w:color="auto" w:fill="CFF0FC"/>
          </w:tcPr>
          <w:p>
            <w:pPr>
              <w:spacing w:after="0" w:line="163" w:lineRule="exact"/>
              <w:rPr>
                <w:sz w:val="20"/>
                <w:szCs w:val="20"/>
                <w:color w:val="auto"/>
              </w:rPr>
            </w:pPr>
            <w:r>
              <w:rPr>
                <w:rFonts w:ascii="Arial" w:cs="Arial" w:eastAsia="Arial" w:hAnsi="Arial"/>
                <w:sz w:val="18"/>
                <w:szCs w:val="18"/>
                <w:color w:val="auto"/>
              </w:rPr>
              <w:t>Percent of dollars outstanding by</w:t>
            </w: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320" w:type="dxa"/>
            <w:vAlign w:val="bottom"/>
            <w:tcBorders>
              <w:top w:val="single" w:sz="8" w:color="auto"/>
            </w:tcBorders>
            <w:gridSpan w:val="5"/>
            <w:shd w:val="clear" w:color="auto" w:fill="CFF0FC"/>
          </w:tcPr>
          <w:p>
            <w:pPr>
              <w:ind w:left="140"/>
              <w:spacing w:after="0" w:line="190" w:lineRule="exact"/>
              <w:rPr>
                <w:sz w:val="20"/>
                <w:szCs w:val="20"/>
                <w:color w:val="auto"/>
              </w:rPr>
            </w:pPr>
            <w:r>
              <w:rPr>
                <w:rFonts w:ascii="Arial" w:cs="Arial" w:eastAsia="Arial" w:hAnsi="Arial"/>
                <w:sz w:val="18"/>
                <w:szCs w:val="18"/>
                <w:color w:val="auto"/>
              </w:rPr>
              <w:t>size of loan</w:t>
            </w:r>
          </w:p>
        </w:tc>
        <w:tc>
          <w:tcPr>
            <w:tcW w:w="1540" w:type="dxa"/>
            <w:vAlign w:val="bottom"/>
            <w:tcBorders>
              <w:top w:val="single" w:sz="8" w:color="CFF0FC"/>
            </w:tcBorders>
            <w:gridSpan w:val="2"/>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700" w:type="dxa"/>
            <w:vAlign w:val="bottom"/>
            <w:tcBorders>
              <w:top w:val="single" w:sz="8" w:color="CFF0FC"/>
            </w:tcBorders>
            <w:shd w:val="clear" w:color="auto" w:fill="CFF0FC"/>
          </w:tcPr>
          <w:p>
            <w:pPr>
              <w:spacing w:after="0"/>
              <w:rPr>
                <w:sz w:val="16"/>
                <w:szCs w:val="16"/>
                <w:color w:val="auto"/>
              </w:rPr>
            </w:pPr>
          </w:p>
        </w:tc>
        <w:tc>
          <w:tcPr>
            <w:tcW w:w="52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940" w:type="dxa"/>
            <w:vAlign w:val="bottom"/>
            <w:tcBorders>
              <w:top w:val="single" w:sz="8" w:color="CFF0FC"/>
            </w:tcBorders>
            <w:shd w:val="clear" w:color="auto" w:fill="CFF0FC"/>
          </w:tcPr>
          <w:p>
            <w:pPr>
              <w:spacing w:after="0"/>
              <w:rPr>
                <w:sz w:val="16"/>
                <w:szCs w:val="16"/>
                <w:color w:val="auto"/>
              </w:rPr>
            </w:pPr>
          </w:p>
        </w:tc>
        <w:tc>
          <w:tcPr>
            <w:tcW w:w="62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760" w:type="dxa"/>
            <w:vAlign w:val="bottom"/>
            <w:tcBorders>
              <w:top w:val="single" w:sz="8" w:color="CFF0FC"/>
            </w:tcBorders>
            <w:shd w:val="clear" w:color="auto" w:fill="CFF0FC"/>
          </w:tcPr>
          <w:p>
            <w:pPr>
              <w:spacing w:after="0"/>
              <w:rPr>
                <w:sz w:val="16"/>
                <w:szCs w:val="16"/>
                <w:color w:val="auto"/>
              </w:rPr>
            </w:pPr>
          </w:p>
        </w:tc>
        <w:tc>
          <w:tcPr>
            <w:tcW w:w="52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580" w:type="dxa"/>
            <w:vAlign w:val="bottom"/>
            <w:tcBorders>
              <w:top w:val="single" w:sz="8" w:color="CFF0FC"/>
            </w:tcBorders>
            <w:shd w:val="clear" w:color="auto" w:fill="CFF0FC"/>
          </w:tcPr>
          <w:p>
            <w:pPr>
              <w:spacing w:after="0"/>
              <w:rPr>
                <w:sz w:val="16"/>
                <w:szCs w:val="16"/>
                <w:color w:val="auto"/>
              </w:rPr>
            </w:pPr>
          </w:p>
        </w:tc>
        <w:tc>
          <w:tcPr>
            <w:tcW w:w="52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680" w:type="dxa"/>
            <w:vAlign w:val="bottom"/>
            <w:tcBorders>
              <w:top w:val="single" w:sz="8" w:color="CFF0FC"/>
            </w:tcBorders>
            <w:shd w:val="clear" w:color="auto" w:fill="CFF0FC"/>
          </w:tcPr>
          <w:p>
            <w:pPr>
              <w:spacing w:after="0"/>
              <w:rPr>
                <w:sz w:val="16"/>
                <w:szCs w:val="16"/>
                <w:color w:val="auto"/>
              </w:rPr>
            </w:pPr>
          </w:p>
        </w:tc>
        <w:tc>
          <w:tcPr>
            <w:tcW w:w="380" w:type="dxa"/>
            <w:vAlign w:val="bottom"/>
            <w:tcBorders>
              <w:top w:val="single" w:sz="8" w:color="CFF0FC"/>
            </w:tcBorders>
            <w:shd w:val="clear" w:color="auto" w:fill="CFF0FC"/>
          </w:tcPr>
          <w:p>
            <w:pPr>
              <w:spacing w:after="0"/>
              <w:rPr>
                <w:sz w:val="16"/>
                <w:szCs w:val="16"/>
                <w:color w:val="auto"/>
              </w:rPr>
            </w:pPr>
          </w:p>
        </w:tc>
        <w:tc>
          <w:tcPr>
            <w:tcW w:w="84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40" w:type="dxa"/>
            <w:vAlign w:val="bottom"/>
            <w:shd w:val="clear" w:color="auto" w:fill="CFF0FC"/>
          </w:tcPr>
          <w:p>
            <w:pPr>
              <w:spacing w:after="0"/>
              <w:rPr>
                <w:sz w:val="3"/>
                <w:szCs w:val="3"/>
                <w:color w:val="auto"/>
              </w:rPr>
            </w:pPr>
          </w:p>
        </w:tc>
        <w:tc>
          <w:tcPr>
            <w:tcW w:w="800" w:type="dxa"/>
            <w:vAlign w:val="bottom"/>
            <w:shd w:val="clear" w:color="auto" w:fill="000000"/>
          </w:tcPr>
          <w:p>
            <w:pPr>
              <w:spacing w:after="0"/>
              <w:rPr>
                <w:sz w:val="3"/>
                <w:szCs w:val="3"/>
                <w:color w:val="auto"/>
              </w:rPr>
            </w:pPr>
          </w:p>
        </w:tc>
        <w:tc>
          <w:tcPr>
            <w:tcW w:w="1160" w:type="dxa"/>
            <w:vAlign w:val="bottom"/>
            <w:shd w:val="clear" w:color="auto" w:fill="CFF0FC"/>
          </w:tcPr>
          <w:p>
            <w:pPr>
              <w:spacing w:after="0"/>
              <w:rPr>
                <w:sz w:val="3"/>
                <w:szCs w:val="3"/>
                <w:color w:val="auto"/>
              </w:rPr>
            </w:pPr>
          </w:p>
        </w:tc>
        <w:tc>
          <w:tcPr>
            <w:tcW w:w="40" w:type="dxa"/>
            <w:vAlign w:val="bottom"/>
            <w:shd w:val="clear" w:color="auto" w:fill="CFF0FC"/>
          </w:tcPr>
          <w:p>
            <w:pPr>
              <w:spacing w:after="0"/>
              <w:rPr>
                <w:sz w:val="3"/>
                <w:szCs w:val="3"/>
                <w:color w:val="auto"/>
              </w:rPr>
            </w:pPr>
          </w:p>
        </w:tc>
        <w:tc>
          <w:tcPr>
            <w:tcW w:w="180" w:type="dxa"/>
            <w:vAlign w:val="bottom"/>
            <w:shd w:val="clear" w:color="auto" w:fill="CFF0FC"/>
          </w:tcPr>
          <w:p>
            <w:pPr>
              <w:spacing w:after="0"/>
              <w:rPr>
                <w:sz w:val="3"/>
                <w:szCs w:val="3"/>
                <w:color w:val="auto"/>
              </w:rPr>
            </w:pPr>
          </w:p>
        </w:tc>
        <w:tc>
          <w:tcPr>
            <w:tcW w:w="1400" w:type="dxa"/>
            <w:vAlign w:val="bottom"/>
            <w:shd w:val="clear" w:color="auto" w:fill="CFF0FC"/>
          </w:tcPr>
          <w:p>
            <w:pPr>
              <w:spacing w:after="0"/>
              <w:rPr>
                <w:sz w:val="3"/>
                <w:szCs w:val="3"/>
                <w:color w:val="auto"/>
              </w:rPr>
            </w:pPr>
          </w:p>
        </w:tc>
        <w:tc>
          <w:tcPr>
            <w:tcW w:w="140" w:type="dxa"/>
            <w:vAlign w:val="bottom"/>
            <w:shd w:val="clear" w:color="auto" w:fill="CFF0FC"/>
          </w:tcPr>
          <w:p>
            <w:pPr>
              <w:spacing w:after="0"/>
              <w:rPr>
                <w:sz w:val="3"/>
                <w:szCs w:val="3"/>
                <w:color w:val="auto"/>
              </w:rPr>
            </w:pPr>
          </w:p>
        </w:tc>
        <w:tc>
          <w:tcPr>
            <w:tcW w:w="100" w:type="dxa"/>
            <w:vAlign w:val="bottom"/>
            <w:shd w:val="clear" w:color="auto" w:fill="CFF0FC"/>
          </w:tcPr>
          <w:p>
            <w:pPr>
              <w:spacing w:after="0"/>
              <w:rPr>
                <w:sz w:val="3"/>
                <w:szCs w:val="3"/>
                <w:color w:val="auto"/>
              </w:rPr>
            </w:pPr>
          </w:p>
        </w:tc>
        <w:tc>
          <w:tcPr>
            <w:tcW w:w="700" w:type="dxa"/>
            <w:vAlign w:val="bottom"/>
            <w:shd w:val="clear" w:color="auto" w:fill="CFF0FC"/>
          </w:tcPr>
          <w:p>
            <w:pPr>
              <w:spacing w:after="0"/>
              <w:rPr>
                <w:sz w:val="3"/>
                <w:szCs w:val="3"/>
                <w:color w:val="auto"/>
              </w:rPr>
            </w:pPr>
          </w:p>
        </w:tc>
        <w:tc>
          <w:tcPr>
            <w:tcW w:w="520" w:type="dxa"/>
            <w:vAlign w:val="bottom"/>
            <w:shd w:val="clear" w:color="auto" w:fill="CFF0FC"/>
          </w:tcPr>
          <w:p>
            <w:pPr>
              <w:spacing w:after="0"/>
              <w:rPr>
                <w:sz w:val="3"/>
                <w:szCs w:val="3"/>
                <w:color w:val="auto"/>
              </w:rPr>
            </w:pPr>
          </w:p>
        </w:tc>
        <w:tc>
          <w:tcPr>
            <w:tcW w:w="100" w:type="dxa"/>
            <w:vAlign w:val="bottom"/>
            <w:shd w:val="clear" w:color="auto" w:fill="CFF0FC"/>
          </w:tcPr>
          <w:p>
            <w:pPr>
              <w:spacing w:after="0"/>
              <w:rPr>
                <w:sz w:val="3"/>
                <w:szCs w:val="3"/>
                <w:color w:val="auto"/>
              </w:rPr>
            </w:pPr>
          </w:p>
        </w:tc>
        <w:tc>
          <w:tcPr>
            <w:tcW w:w="940" w:type="dxa"/>
            <w:vAlign w:val="bottom"/>
            <w:shd w:val="clear" w:color="auto" w:fill="CFF0FC"/>
          </w:tcPr>
          <w:p>
            <w:pPr>
              <w:spacing w:after="0"/>
              <w:rPr>
                <w:sz w:val="3"/>
                <w:szCs w:val="3"/>
                <w:color w:val="auto"/>
              </w:rPr>
            </w:pPr>
          </w:p>
        </w:tc>
        <w:tc>
          <w:tcPr>
            <w:tcW w:w="620" w:type="dxa"/>
            <w:vAlign w:val="bottom"/>
            <w:shd w:val="clear" w:color="auto" w:fill="CFF0FC"/>
          </w:tcPr>
          <w:p>
            <w:pPr>
              <w:spacing w:after="0"/>
              <w:rPr>
                <w:sz w:val="3"/>
                <w:szCs w:val="3"/>
                <w:color w:val="auto"/>
              </w:rPr>
            </w:pPr>
          </w:p>
        </w:tc>
        <w:tc>
          <w:tcPr>
            <w:tcW w:w="100" w:type="dxa"/>
            <w:vAlign w:val="bottom"/>
            <w:shd w:val="clear" w:color="auto" w:fill="CFF0FC"/>
          </w:tcPr>
          <w:p>
            <w:pPr>
              <w:spacing w:after="0"/>
              <w:rPr>
                <w:sz w:val="3"/>
                <w:szCs w:val="3"/>
                <w:color w:val="auto"/>
              </w:rPr>
            </w:pPr>
          </w:p>
        </w:tc>
        <w:tc>
          <w:tcPr>
            <w:tcW w:w="760" w:type="dxa"/>
            <w:vAlign w:val="bottom"/>
            <w:shd w:val="clear" w:color="auto" w:fill="CFF0FC"/>
          </w:tcPr>
          <w:p>
            <w:pPr>
              <w:spacing w:after="0"/>
              <w:rPr>
                <w:sz w:val="3"/>
                <w:szCs w:val="3"/>
                <w:color w:val="auto"/>
              </w:rPr>
            </w:pPr>
          </w:p>
        </w:tc>
        <w:tc>
          <w:tcPr>
            <w:tcW w:w="520" w:type="dxa"/>
            <w:vAlign w:val="bottom"/>
            <w:shd w:val="clear" w:color="auto" w:fill="CFF0FC"/>
          </w:tcPr>
          <w:p>
            <w:pPr>
              <w:spacing w:after="0"/>
              <w:rPr>
                <w:sz w:val="3"/>
                <w:szCs w:val="3"/>
                <w:color w:val="auto"/>
              </w:rPr>
            </w:pPr>
          </w:p>
        </w:tc>
        <w:tc>
          <w:tcPr>
            <w:tcW w:w="100" w:type="dxa"/>
            <w:vAlign w:val="bottom"/>
            <w:shd w:val="clear" w:color="auto" w:fill="CFF0FC"/>
          </w:tcPr>
          <w:p>
            <w:pPr>
              <w:spacing w:after="0"/>
              <w:rPr>
                <w:sz w:val="3"/>
                <w:szCs w:val="3"/>
                <w:color w:val="auto"/>
              </w:rPr>
            </w:pPr>
          </w:p>
        </w:tc>
        <w:tc>
          <w:tcPr>
            <w:tcW w:w="580" w:type="dxa"/>
            <w:vAlign w:val="bottom"/>
            <w:shd w:val="clear" w:color="auto" w:fill="CFF0FC"/>
          </w:tcPr>
          <w:p>
            <w:pPr>
              <w:spacing w:after="0"/>
              <w:rPr>
                <w:sz w:val="3"/>
                <w:szCs w:val="3"/>
                <w:color w:val="auto"/>
              </w:rPr>
            </w:pPr>
          </w:p>
        </w:tc>
        <w:tc>
          <w:tcPr>
            <w:tcW w:w="520" w:type="dxa"/>
            <w:vAlign w:val="bottom"/>
            <w:shd w:val="clear" w:color="auto" w:fill="CFF0FC"/>
          </w:tcPr>
          <w:p>
            <w:pPr>
              <w:spacing w:after="0"/>
              <w:rPr>
                <w:sz w:val="3"/>
                <w:szCs w:val="3"/>
                <w:color w:val="auto"/>
              </w:rPr>
            </w:pPr>
          </w:p>
        </w:tc>
        <w:tc>
          <w:tcPr>
            <w:tcW w:w="100" w:type="dxa"/>
            <w:vAlign w:val="bottom"/>
            <w:shd w:val="clear" w:color="auto" w:fill="CFF0FC"/>
          </w:tcPr>
          <w:p>
            <w:pPr>
              <w:spacing w:after="0"/>
              <w:rPr>
                <w:sz w:val="3"/>
                <w:szCs w:val="3"/>
                <w:color w:val="auto"/>
              </w:rPr>
            </w:pPr>
          </w:p>
        </w:tc>
        <w:tc>
          <w:tcPr>
            <w:tcW w:w="680" w:type="dxa"/>
            <w:vAlign w:val="bottom"/>
            <w:shd w:val="clear" w:color="auto" w:fill="CFF0FC"/>
          </w:tcPr>
          <w:p>
            <w:pPr>
              <w:spacing w:after="0"/>
              <w:rPr>
                <w:sz w:val="3"/>
                <w:szCs w:val="3"/>
                <w:color w:val="auto"/>
              </w:rPr>
            </w:pPr>
          </w:p>
        </w:tc>
        <w:tc>
          <w:tcPr>
            <w:tcW w:w="380" w:type="dxa"/>
            <w:vAlign w:val="bottom"/>
            <w:shd w:val="clear" w:color="auto" w:fill="CFF0FC"/>
          </w:tcPr>
          <w:p>
            <w:pPr>
              <w:spacing w:after="0"/>
              <w:rPr>
                <w:sz w:val="3"/>
                <w:szCs w:val="3"/>
                <w:color w:val="auto"/>
              </w:rPr>
            </w:pPr>
          </w:p>
        </w:tc>
        <w:tc>
          <w:tcPr>
            <w:tcW w:w="840" w:type="dxa"/>
            <w:vAlign w:val="bottom"/>
            <w:shd w:val="clear" w:color="auto" w:fill="CFF0FC"/>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3860" w:type="dxa"/>
            <w:vAlign w:val="bottom"/>
            <w:gridSpan w:val="7"/>
          </w:tcPr>
          <w:p>
            <w:pPr>
              <w:spacing w:after="0"/>
              <w:rPr>
                <w:sz w:val="20"/>
                <w:szCs w:val="20"/>
                <w:color w:val="auto"/>
              </w:rPr>
            </w:pPr>
            <w:r>
              <w:rPr>
                <w:rFonts w:ascii="Arial" w:cs="Arial" w:eastAsia="Arial" w:hAnsi="Arial"/>
                <w:sz w:val="18"/>
                <w:szCs w:val="18"/>
                <w:color w:val="auto"/>
              </w:rPr>
              <w:t>Less than $1 million</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w:t>
            </w: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860" w:type="dxa"/>
            <w:vAlign w:val="bottom"/>
            <w:gridSpan w:val="7"/>
            <w:shd w:val="clear" w:color="auto" w:fill="CFF0FC"/>
          </w:tcPr>
          <w:p>
            <w:pPr>
              <w:spacing w:after="0"/>
              <w:rPr>
                <w:sz w:val="20"/>
                <w:szCs w:val="20"/>
                <w:color w:val="auto"/>
              </w:rPr>
            </w:pPr>
            <w:r>
              <w:rPr>
                <w:rFonts w:ascii="Arial" w:cs="Arial" w:eastAsia="Arial" w:hAnsi="Arial"/>
                <w:sz w:val="18"/>
                <w:szCs w:val="18"/>
                <w:color w:val="auto"/>
              </w:rPr>
              <w:t>$1 million to $5 million</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24</w:t>
            </w: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23</w:t>
            </w: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114"/>
              <w:spacing w:after="0"/>
              <w:rPr>
                <w:sz w:val="20"/>
                <w:szCs w:val="20"/>
                <w:color w:val="auto"/>
              </w:rPr>
            </w:pPr>
            <w:r>
              <w:rPr>
                <w:rFonts w:ascii="Arial" w:cs="Arial" w:eastAsia="Arial" w:hAnsi="Arial"/>
                <w:sz w:val="18"/>
                <w:szCs w:val="18"/>
                <w:color w:val="auto"/>
              </w:rPr>
              <w:t>21</w:t>
            </w: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23</w:t>
            </w: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23</w:t>
            </w: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60" w:type="dxa"/>
            <w:vAlign w:val="bottom"/>
            <w:gridSpan w:val="7"/>
          </w:tcPr>
          <w:p>
            <w:pPr>
              <w:spacing w:after="0"/>
              <w:rPr>
                <w:sz w:val="20"/>
                <w:szCs w:val="20"/>
                <w:color w:val="auto"/>
              </w:rPr>
            </w:pPr>
            <w:r>
              <w:rPr>
                <w:rFonts w:ascii="Arial" w:cs="Arial" w:eastAsia="Arial" w:hAnsi="Arial"/>
                <w:sz w:val="18"/>
                <w:szCs w:val="18"/>
                <w:color w:val="auto"/>
              </w:rPr>
              <w:t>$5 million to $10 million</w:t>
            </w:r>
          </w:p>
        </w:tc>
        <w:tc>
          <w:tcPr>
            <w:tcW w:w="100" w:type="dxa"/>
            <w:vAlign w:val="bottom"/>
          </w:tcPr>
          <w:p>
            <w:pPr>
              <w:spacing w:after="0"/>
              <w:rPr>
                <w:sz w:val="19"/>
                <w:szCs w:val="19"/>
                <w:color w:val="auto"/>
              </w:rPr>
            </w:pP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15</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ind w:right="93"/>
              <w:spacing w:after="0"/>
              <w:rPr>
                <w:sz w:val="20"/>
                <w:szCs w:val="20"/>
                <w:color w:val="auto"/>
              </w:rPr>
            </w:pPr>
            <w:r>
              <w:rPr>
                <w:rFonts w:ascii="Arial" w:cs="Arial" w:eastAsia="Arial" w:hAnsi="Arial"/>
                <w:sz w:val="18"/>
                <w:szCs w:val="18"/>
                <w:color w:val="auto"/>
              </w:rPr>
              <w:t>21</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ind w:right="114"/>
              <w:spacing w:after="0"/>
              <w:rPr>
                <w:sz w:val="20"/>
                <w:szCs w:val="20"/>
                <w:color w:val="auto"/>
              </w:rPr>
            </w:pPr>
            <w:r>
              <w:rPr>
                <w:rFonts w:ascii="Arial" w:cs="Arial" w:eastAsia="Arial" w:hAnsi="Arial"/>
                <w:sz w:val="18"/>
                <w:szCs w:val="18"/>
                <w:color w:val="auto"/>
              </w:rPr>
              <w:t>16</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ind w:right="93"/>
              <w:spacing w:after="0"/>
              <w:rPr>
                <w:sz w:val="20"/>
                <w:szCs w:val="20"/>
                <w:color w:val="auto"/>
              </w:rPr>
            </w:pPr>
            <w:r>
              <w:rPr>
                <w:rFonts w:ascii="Arial" w:cs="Arial" w:eastAsia="Arial" w:hAnsi="Arial"/>
                <w:sz w:val="18"/>
                <w:szCs w:val="18"/>
                <w:color w:val="auto"/>
              </w:rPr>
              <w:t>17</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ind w:right="93"/>
              <w:spacing w:after="0"/>
              <w:rPr>
                <w:sz w:val="20"/>
                <w:szCs w:val="20"/>
                <w:color w:val="auto"/>
              </w:rPr>
            </w:pPr>
            <w:r>
              <w:rPr>
                <w:rFonts w:ascii="Arial" w:cs="Arial" w:eastAsia="Arial" w:hAnsi="Arial"/>
                <w:sz w:val="18"/>
                <w:szCs w:val="18"/>
                <w:color w:val="auto"/>
              </w:rPr>
              <w:t>17</w:t>
            </w: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860" w:type="dxa"/>
            <w:vAlign w:val="bottom"/>
            <w:gridSpan w:val="7"/>
            <w:shd w:val="clear" w:color="auto" w:fill="CFF0FC"/>
          </w:tcPr>
          <w:p>
            <w:pPr>
              <w:spacing w:after="0"/>
              <w:rPr>
                <w:sz w:val="20"/>
                <w:szCs w:val="20"/>
                <w:color w:val="auto"/>
              </w:rPr>
            </w:pPr>
            <w:r>
              <w:rPr>
                <w:rFonts w:ascii="Arial" w:cs="Arial" w:eastAsia="Arial" w:hAnsi="Arial"/>
                <w:sz w:val="18"/>
                <w:szCs w:val="18"/>
                <w:color w:val="auto"/>
              </w:rPr>
              <w:t>$10 million to $20 million</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18</w:t>
            </w: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20</w:t>
            </w: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114"/>
              <w:spacing w:after="0"/>
              <w:rPr>
                <w:sz w:val="20"/>
                <w:szCs w:val="20"/>
                <w:color w:val="auto"/>
              </w:rPr>
            </w:pPr>
            <w:r>
              <w:rPr>
                <w:rFonts w:ascii="Arial" w:cs="Arial" w:eastAsia="Arial" w:hAnsi="Arial"/>
                <w:sz w:val="18"/>
                <w:szCs w:val="18"/>
                <w:color w:val="auto"/>
              </w:rPr>
              <w:t>15</w:t>
            </w: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16</w:t>
            </w: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17</w:t>
            </w: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60" w:type="dxa"/>
            <w:vAlign w:val="bottom"/>
            <w:gridSpan w:val="7"/>
          </w:tcPr>
          <w:p>
            <w:pPr>
              <w:spacing w:after="0"/>
              <w:rPr>
                <w:sz w:val="20"/>
                <w:szCs w:val="20"/>
                <w:color w:val="auto"/>
              </w:rPr>
            </w:pPr>
            <w:r>
              <w:rPr>
                <w:rFonts w:ascii="Arial" w:cs="Arial" w:eastAsia="Arial" w:hAnsi="Arial"/>
                <w:sz w:val="18"/>
                <w:szCs w:val="18"/>
                <w:color w:val="auto"/>
              </w:rPr>
              <w:t>$20 million to $30 million</w:t>
            </w:r>
          </w:p>
        </w:tc>
        <w:tc>
          <w:tcPr>
            <w:tcW w:w="100" w:type="dxa"/>
            <w:vAlign w:val="bottom"/>
          </w:tcPr>
          <w:p>
            <w:pPr>
              <w:spacing w:after="0"/>
              <w:rPr>
                <w:sz w:val="19"/>
                <w:szCs w:val="19"/>
                <w:color w:val="auto"/>
              </w:rPr>
            </w:pP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8</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ind w:right="93"/>
              <w:spacing w:after="0"/>
              <w:rPr>
                <w:sz w:val="20"/>
                <w:szCs w:val="20"/>
                <w:color w:val="auto"/>
              </w:rPr>
            </w:pPr>
            <w:r>
              <w:rPr>
                <w:rFonts w:ascii="Arial" w:cs="Arial" w:eastAsia="Arial" w:hAnsi="Arial"/>
                <w:sz w:val="18"/>
                <w:szCs w:val="18"/>
                <w:color w:val="auto"/>
              </w:rPr>
              <w:t>12</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ind w:right="114"/>
              <w:spacing w:after="0"/>
              <w:rPr>
                <w:sz w:val="20"/>
                <w:szCs w:val="20"/>
                <w:color w:val="auto"/>
              </w:rPr>
            </w:pPr>
            <w:r>
              <w:rPr>
                <w:rFonts w:ascii="Arial" w:cs="Arial" w:eastAsia="Arial" w:hAnsi="Arial"/>
                <w:sz w:val="18"/>
                <w:szCs w:val="18"/>
                <w:color w:val="auto"/>
              </w:rPr>
              <w:t>10</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ind w:right="93"/>
              <w:spacing w:after="0"/>
              <w:rPr>
                <w:sz w:val="20"/>
                <w:szCs w:val="20"/>
                <w:color w:val="auto"/>
              </w:rPr>
            </w:pPr>
            <w:r>
              <w:rPr>
                <w:rFonts w:ascii="Arial" w:cs="Arial" w:eastAsia="Arial" w:hAnsi="Arial"/>
                <w:sz w:val="18"/>
                <w:szCs w:val="18"/>
                <w:color w:val="auto"/>
              </w:rPr>
              <w:t>17</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ind w:right="93"/>
              <w:spacing w:after="0"/>
              <w:rPr>
                <w:sz w:val="20"/>
                <w:szCs w:val="20"/>
                <w:color w:val="auto"/>
              </w:rPr>
            </w:pPr>
            <w:r>
              <w:rPr>
                <w:rFonts w:ascii="Arial" w:cs="Arial" w:eastAsia="Arial" w:hAnsi="Arial"/>
                <w:sz w:val="18"/>
                <w:szCs w:val="18"/>
                <w:color w:val="auto"/>
              </w:rPr>
              <w:t>11</w:t>
            </w: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860" w:type="dxa"/>
            <w:vAlign w:val="bottom"/>
            <w:gridSpan w:val="7"/>
            <w:shd w:val="clear" w:color="auto" w:fill="CFF0FC"/>
          </w:tcPr>
          <w:p>
            <w:pPr>
              <w:spacing w:after="0"/>
              <w:rPr>
                <w:sz w:val="20"/>
                <w:szCs w:val="20"/>
                <w:color w:val="auto"/>
              </w:rPr>
            </w:pPr>
            <w:r>
              <w:rPr>
                <w:rFonts w:ascii="Arial" w:cs="Arial" w:eastAsia="Arial" w:hAnsi="Arial"/>
                <w:sz w:val="18"/>
                <w:szCs w:val="18"/>
                <w:color w:val="auto"/>
              </w:rPr>
              <w:t>$30 million to $50 million</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6</w:t>
            </w: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5</w:t>
            </w: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114"/>
              <w:spacing w:after="0"/>
              <w:rPr>
                <w:sz w:val="20"/>
                <w:szCs w:val="20"/>
                <w:color w:val="auto"/>
              </w:rPr>
            </w:pPr>
            <w:r>
              <w:rPr>
                <w:rFonts w:ascii="Arial" w:cs="Arial" w:eastAsia="Arial" w:hAnsi="Arial"/>
                <w:sz w:val="18"/>
                <w:szCs w:val="18"/>
                <w:color w:val="auto"/>
              </w:rPr>
              <w:t>5</w:t>
            </w: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2</w:t>
            </w: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5</w:t>
            </w: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60" w:type="dxa"/>
            <w:vAlign w:val="bottom"/>
            <w:gridSpan w:val="7"/>
          </w:tcPr>
          <w:p>
            <w:pPr>
              <w:spacing w:after="0"/>
              <w:rPr>
                <w:sz w:val="20"/>
                <w:szCs w:val="20"/>
                <w:color w:val="auto"/>
              </w:rPr>
            </w:pPr>
            <w:r>
              <w:rPr>
                <w:rFonts w:ascii="Arial" w:cs="Arial" w:eastAsia="Arial" w:hAnsi="Arial"/>
                <w:sz w:val="18"/>
                <w:szCs w:val="18"/>
                <w:color w:val="auto"/>
              </w:rPr>
              <w:t>Greater than $50 million</w:t>
            </w:r>
          </w:p>
        </w:tc>
        <w:tc>
          <w:tcPr>
            <w:tcW w:w="100" w:type="dxa"/>
            <w:vAlign w:val="bottom"/>
          </w:tcPr>
          <w:p>
            <w:pPr>
              <w:spacing w:after="0"/>
              <w:rPr>
                <w:sz w:val="19"/>
                <w:szCs w:val="19"/>
                <w:color w:val="auto"/>
              </w:rPr>
            </w:pP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5</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60" w:type="dxa"/>
            <w:vAlign w:val="bottom"/>
          </w:tcPr>
          <w:p>
            <w:pPr>
              <w:jc w:val="right"/>
              <w:ind w:right="114"/>
              <w:spacing w:after="0"/>
              <w:rPr>
                <w:sz w:val="20"/>
                <w:szCs w:val="20"/>
                <w:color w:val="auto"/>
              </w:rPr>
            </w:pPr>
            <w:r>
              <w:rPr>
                <w:rFonts w:ascii="Arial" w:cs="Arial" w:eastAsia="Arial" w:hAnsi="Arial"/>
                <w:sz w:val="18"/>
                <w:szCs w:val="18"/>
                <w:color w:val="auto"/>
              </w:rPr>
              <w:t>7</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ind w:right="93"/>
              <w:spacing w:after="0"/>
              <w:rPr>
                <w:sz w:val="20"/>
                <w:szCs w:val="20"/>
                <w:color w:val="auto"/>
              </w:rPr>
            </w:pPr>
            <w:r>
              <w:rPr>
                <w:rFonts w:ascii="Arial" w:cs="Arial" w:eastAsia="Arial" w:hAnsi="Arial"/>
                <w:sz w:val="18"/>
                <w:szCs w:val="18"/>
                <w:color w:val="auto"/>
              </w:rPr>
              <w:t>15</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ind w:right="93"/>
              <w:spacing w:after="0"/>
              <w:rPr>
                <w:sz w:val="20"/>
                <w:szCs w:val="20"/>
                <w:color w:val="auto"/>
              </w:rPr>
            </w:pPr>
            <w:r>
              <w:rPr>
                <w:rFonts w:ascii="Arial" w:cs="Arial" w:eastAsia="Arial" w:hAnsi="Arial"/>
                <w:sz w:val="18"/>
                <w:szCs w:val="18"/>
                <w:color w:val="auto"/>
              </w:rPr>
              <w:t>6</w:t>
            </w: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860" w:type="dxa"/>
            <w:vAlign w:val="bottom"/>
            <w:tcBorders>
              <w:top w:val="single" w:sz="8" w:color="CFF0FC"/>
              <w:bottom w:val="single" w:sz="8" w:color="CFF0FC"/>
            </w:tcBorders>
            <w:gridSpan w:val="7"/>
            <w:shd w:val="clear" w:color="auto" w:fill="CFF0FC"/>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5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6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5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5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380" w:type="dxa"/>
            <w:vAlign w:val="bottom"/>
            <w:tcBorders>
              <w:top w:val="single" w:sz="8" w:color="CFF0FC"/>
              <w:bottom w:val="single" w:sz="8" w:color="CFF0FC"/>
            </w:tcBorders>
            <w:shd w:val="clear" w:color="auto" w:fill="CFF0FC"/>
          </w:tcPr>
          <w:p>
            <w:pPr>
              <w:spacing w:after="0"/>
              <w:rPr>
                <w:sz w:val="18"/>
                <w:szCs w:val="18"/>
                <w:color w:val="auto"/>
              </w:rPr>
            </w:pPr>
          </w:p>
        </w:tc>
        <w:tc>
          <w:tcPr>
            <w:tcW w:w="84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14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600" w:hanging="595"/>
        <w:spacing w:after="0"/>
        <w:tabs>
          <w:tab w:leader="none" w:pos="600"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Includes Delaware, Maryland, New Jersey, Virginia, West Virginia and the District of Columbia.</w:t>
      </w:r>
    </w:p>
    <w:p>
      <w:pPr>
        <w:spacing w:after="0" w:line="212" w:lineRule="exact"/>
        <w:rPr>
          <w:sz w:val="20"/>
          <w:szCs w:val="20"/>
          <w:color w:val="auto"/>
        </w:rPr>
      </w:pPr>
    </w:p>
    <w:p>
      <w:pPr>
        <w:jc w:val="both"/>
        <w:ind w:right="260" w:firstLine="598"/>
        <w:spacing w:after="0" w:line="281" w:lineRule="auto"/>
        <w:rPr>
          <w:sz w:val="20"/>
          <w:szCs w:val="20"/>
          <w:color w:val="auto"/>
        </w:rPr>
      </w:pPr>
      <w:r>
        <w:rPr>
          <w:rFonts w:ascii="Arial" w:cs="Arial" w:eastAsia="Arial" w:hAnsi="Arial"/>
          <w:sz w:val="18"/>
          <w:szCs w:val="18"/>
          <w:color w:val="auto"/>
        </w:rPr>
        <w:t>International loans included in commercial loans and leases totaled $77 million and $228 million at December 31, 2017 and 2016, respectively. Included in such loans were $54 million and $95 million, respectively, of loans at M&amp;T Bank’s commercial banking office in Ontario, Canada. The remaining international loans are predominantly to domestic companies with foreign operations.</w:t>
      </w:r>
    </w:p>
    <w:p>
      <w:pPr>
        <w:ind w:right="20" w:firstLine="598"/>
        <w:spacing w:after="0" w:line="256" w:lineRule="auto"/>
        <w:rPr>
          <w:sz w:val="20"/>
          <w:szCs w:val="20"/>
          <w:color w:val="auto"/>
        </w:rPr>
      </w:pPr>
      <w:r>
        <w:rPr>
          <w:rFonts w:ascii="Arial" w:cs="Arial" w:eastAsia="Arial" w:hAnsi="Arial"/>
          <w:sz w:val="20"/>
          <w:szCs w:val="20"/>
          <w:color w:val="auto"/>
        </w:rPr>
        <w:t>Loans secured by real estate, including outstanding balances of home equity loans and lines of credit which the Company classifies as consumer loans, represented approximately 67% of the loan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648"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color w:val="auto"/>
        </w:rPr>
        <w:t>and lease portfolio during 2017, compared with 69% and 64% in 2016 and 2015, respectively. At December 31, 2017, the Company held</w:t>
      </w:r>
    </w:p>
    <w:p>
      <w:pPr>
        <w:spacing w:after="0" w:line="48" w:lineRule="exact"/>
        <w:rPr>
          <w:sz w:val="20"/>
          <w:szCs w:val="20"/>
          <w:color w:val="auto"/>
        </w:rPr>
      </w:pPr>
    </w:p>
    <w:p>
      <w:pPr>
        <w:spacing w:after="0"/>
        <w:rPr>
          <w:sz w:val="20"/>
          <w:szCs w:val="20"/>
          <w:color w:val="auto"/>
        </w:rPr>
      </w:pPr>
      <w:r>
        <w:rPr>
          <w:rFonts w:ascii="Arial" w:cs="Arial" w:eastAsia="Arial" w:hAnsi="Arial"/>
          <w:sz w:val="19"/>
          <w:szCs w:val="19"/>
          <w:color w:val="auto"/>
        </w:rPr>
        <w:t>approximately $33.4 billion of commercial real estate loans, $19.6 billion of consumer real estate loans secured by one-to-four family</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residential properties (including $356 million of loans originated for sale) and $5.3 billion of outstanding balances of home equity loans and</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lines of credit, compared with $33.5 billion, $22.6 billion and $5.6 billion, respectively, at December 31, 2016. The decrease in residential</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real estate loans reflects pay downs of loans obtained in the Hudson City acquisition. Included in commercial real estate loans at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and 2016 were construction loans of $8.1 billion and $8.0 billion, respectively, including amounts due from builders and</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developers of residential real estate aggregating $1.6 billion and $1.9 billion at December 31, 2017 and 2016, respectively. Commercial real</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estate loans also included loans held for sale totaling $22 million and $643 million at December 31, 2017 and 2016, respectively.</w:t>
      </w:r>
    </w:p>
    <w:p>
      <w:pPr>
        <w:spacing w:after="0" w:line="7"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color w:val="auto"/>
        </w:rPr>
        <w:t>Commercial real estate loans originated by the Company include fixed rate instruments with monthly payments and a balloon payment of the remaining unpaid principal at maturity, in many cases five years after origination. For borrowers in good standing, the terms of such loans may be extended by the customer for an additional five years at the then-current market rate of interest. The Company also originates fixed rate commercial real estate loans with maturities of greater than five years, generally having original maturity terms of approximately seven to ten years, and adjustable-rate commercial real estate loans. Adjustable-rate commercial real estate loans represented approximately 75% of the commercial real estate loan portfolio at the 2017 year-end. Table 6 presents commercial real estate loans by geographic area, type of collateral and size of the loans outstanding at December 31, 2017. New York City area commercial real estate loans totaled $8.9 billion at December 31, 2017. The $8.1 billion of investor-owned commercial real estate loans in the New York City area were largely secured by multifamily residential properties, retail space and office space. The Company’s experience has been that office, retail and service-related properties tend to demonstrate more volatile fluctuations in value through economic cycles and changing economic conditions than do multifamily residential properties. Approximately 33% of the aggregate dollar amount of New York City area loans were for loans with outstanding balances of $10 million or less, while loans of more than $50 million made up approximately 20% of the total.</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58" w:name="page59"/>
    <w:bookmarkEnd w:id="58"/>
    <w:p>
      <w:pPr>
        <w:spacing w:after="0"/>
        <w:rPr>
          <w:sz w:val="20"/>
          <w:szCs w:val="20"/>
          <w:color w:val="auto"/>
        </w:rPr>
      </w:pPr>
      <w:r>
        <w:rPr>
          <w:rFonts w:ascii="Arial" w:cs="Arial" w:eastAsia="Arial" w:hAnsi="Arial"/>
          <w:sz w:val="20"/>
          <w:szCs w:val="20"/>
          <w:b w:val="1"/>
          <w:bCs w:val="1"/>
          <w:color w:val="auto"/>
        </w:rPr>
        <w:t>Table 6</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COMMERCIAL REAL ESTATE LOANS, NET OF UNEARNED DISCOUNT</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December 31, 2017</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New York State</w:t>
            </w:r>
          </w:p>
        </w:tc>
        <w:tc>
          <w:tcPr>
            <w:tcW w:w="48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Penn-</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Mid-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Percent of</w:t>
            </w:r>
          </w:p>
        </w:tc>
        <w:tc>
          <w:tcPr>
            <w:tcW w:w="0" w:type="dxa"/>
            <w:vAlign w:val="bottom"/>
          </w:tcPr>
          <w:p>
            <w:pPr>
              <w:spacing w:after="0"/>
              <w:rPr>
                <w:sz w:val="1"/>
                <w:szCs w:val="1"/>
                <w:color w:val="auto"/>
              </w:rPr>
            </w:pPr>
          </w:p>
        </w:tc>
      </w:tr>
      <w:tr>
        <w:trPr>
          <w:trHeight w:val="141"/>
        </w:trPr>
        <w:tc>
          <w:tcPr>
            <w:tcW w:w="2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300"/>
              <w:spacing w:after="0" w:line="141" w:lineRule="exact"/>
              <w:rPr>
                <w:sz w:val="20"/>
                <w:szCs w:val="20"/>
                <w:color w:val="auto"/>
              </w:rPr>
            </w:pPr>
            <w:r>
              <w:rPr>
                <w:rFonts w:ascii="Arial" w:cs="Arial" w:eastAsia="Arial" w:hAnsi="Arial"/>
                <w:sz w:val="14"/>
                <w:szCs w:val="14"/>
                <w:b w:val="1"/>
                <w:bCs w:val="1"/>
                <w:color w:val="auto"/>
                <w:w w:val="93"/>
              </w:rPr>
              <w:t>New York</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4"/>
                <w:szCs w:val="14"/>
                <w:b w:val="1"/>
                <w:bCs w:val="1"/>
                <w:color w:val="auto"/>
              </w:rPr>
              <w:t>City</w:t>
            </w:r>
          </w:p>
        </w:tc>
        <w:tc>
          <w:tcPr>
            <w:tcW w:w="1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right"/>
              <w:ind w:right="580"/>
              <w:spacing w:after="0"/>
              <w:rPr>
                <w:sz w:val="20"/>
                <w:szCs w:val="20"/>
                <w:color w:val="auto"/>
              </w:rPr>
            </w:pPr>
            <w:r>
              <w:rPr>
                <w:rFonts w:ascii="Arial" w:cs="Arial" w:eastAsia="Arial" w:hAnsi="Arial"/>
                <w:sz w:val="14"/>
                <w:szCs w:val="14"/>
                <w:b w:val="1"/>
                <w:bCs w:val="1"/>
                <w:color w:val="auto"/>
                <w:w w:val="96"/>
              </w:rPr>
              <w:t>Other</w:t>
            </w: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w w:val="94"/>
              </w:rPr>
              <w:t>sylvania</w:t>
            </w: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w w:val="93"/>
              </w:rPr>
              <w:t>Atlantic(a)</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ind w:right="580"/>
              <w:spacing w:after="0"/>
              <w:rPr>
                <w:sz w:val="20"/>
                <w:szCs w:val="20"/>
                <w:color w:val="auto"/>
              </w:rPr>
            </w:pPr>
            <w:r>
              <w:rPr>
                <w:rFonts w:ascii="Arial" w:cs="Arial" w:eastAsia="Arial" w:hAnsi="Arial"/>
                <w:sz w:val="14"/>
                <w:szCs w:val="14"/>
                <w:b w:val="1"/>
                <w:bCs w:val="1"/>
                <w:color w:val="auto"/>
              </w:rPr>
              <w:t>Other</w:t>
            </w: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ind w:right="620"/>
              <w:spacing w:after="0"/>
              <w:rPr>
                <w:sz w:val="20"/>
                <w:szCs w:val="20"/>
                <w:color w:val="auto"/>
              </w:rPr>
            </w:pPr>
            <w:r>
              <w:rPr>
                <w:rFonts w:ascii="Arial" w:cs="Arial" w:eastAsia="Arial" w:hAnsi="Arial"/>
                <w:sz w:val="14"/>
                <w:szCs w:val="14"/>
                <w:b w:val="1"/>
                <w:bCs w:val="1"/>
                <w:color w:val="auto"/>
              </w:rPr>
              <w:t>Total</w:t>
            </w:r>
          </w:p>
        </w:tc>
        <w:tc>
          <w:tcPr>
            <w:tcW w:w="92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3400" w:type="dxa"/>
            <w:vAlign w:val="bottom"/>
            <w:gridSpan w:val="3"/>
            <w:vMerge w:val="restart"/>
          </w:tcPr>
          <w:p>
            <w:pPr>
              <w:spacing w:after="0"/>
              <w:rPr>
                <w:sz w:val="20"/>
                <w:szCs w:val="20"/>
                <w:color w:val="auto"/>
              </w:rPr>
            </w:pPr>
            <w:r>
              <w:rPr>
                <w:rFonts w:ascii="Arial" w:cs="Arial" w:eastAsia="Arial" w:hAnsi="Arial"/>
                <w:sz w:val="14"/>
                <w:szCs w:val="14"/>
                <w:color w:val="auto"/>
              </w:rPr>
              <w:t>Investor-owned</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95"/>
              </w:rPr>
              <w:t>(Dollars in millions)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340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400" w:type="dxa"/>
            <w:vAlign w:val="bottom"/>
            <w:gridSpan w:val="3"/>
            <w:shd w:val="clear" w:color="auto" w:fill="CFF0FC"/>
          </w:tcPr>
          <w:p>
            <w:pPr>
              <w:ind w:left="120"/>
              <w:spacing w:after="0" w:line="139" w:lineRule="exact"/>
              <w:rPr>
                <w:sz w:val="20"/>
                <w:szCs w:val="20"/>
                <w:color w:val="auto"/>
              </w:rPr>
            </w:pPr>
            <w:r>
              <w:rPr>
                <w:rFonts w:ascii="Arial" w:cs="Arial" w:eastAsia="Arial" w:hAnsi="Arial"/>
                <w:sz w:val="14"/>
                <w:szCs w:val="14"/>
                <w:color w:val="auto"/>
              </w:rPr>
              <w:t>Permanent finance by property</w:t>
            </w: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400" w:type="dxa"/>
            <w:vAlign w:val="bottom"/>
            <w:gridSpan w:val="3"/>
            <w:shd w:val="clear" w:color="auto" w:fill="CFF0FC"/>
          </w:tcPr>
          <w:p>
            <w:pPr>
              <w:ind w:left="240"/>
              <w:spacing w:after="0"/>
              <w:rPr>
                <w:sz w:val="20"/>
                <w:szCs w:val="20"/>
                <w:color w:val="auto"/>
              </w:rPr>
            </w:pPr>
            <w:r>
              <w:rPr>
                <w:rFonts w:ascii="Arial" w:cs="Arial" w:eastAsia="Arial" w:hAnsi="Arial"/>
                <w:sz w:val="14"/>
                <w:szCs w:val="14"/>
                <w:color w:val="auto"/>
              </w:rPr>
              <w:t>type</w:t>
            </w: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400" w:type="dxa"/>
            <w:vAlign w:val="bottom"/>
            <w:gridSpan w:val="3"/>
          </w:tcPr>
          <w:p>
            <w:pPr>
              <w:ind w:left="240"/>
              <w:spacing w:after="0" w:line="158" w:lineRule="exact"/>
              <w:rPr>
                <w:sz w:val="20"/>
                <w:szCs w:val="20"/>
                <w:color w:val="auto"/>
              </w:rPr>
            </w:pPr>
            <w:r>
              <w:rPr>
                <w:rFonts w:ascii="Arial" w:cs="Arial" w:eastAsia="Arial" w:hAnsi="Arial"/>
                <w:sz w:val="14"/>
                <w:szCs w:val="14"/>
                <w:color w:val="auto"/>
              </w:rPr>
              <w:t>Office</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line="158" w:lineRule="exact"/>
              <w:rPr>
                <w:sz w:val="20"/>
                <w:szCs w:val="20"/>
                <w:color w:val="auto"/>
              </w:rPr>
            </w:pPr>
            <w:r>
              <w:rPr>
                <w:rFonts w:ascii="Arial" w:cs="Arial" w:eastAsia="Arial" w:hAnsi="Arial"/>
                <w:sz w:val="14"/>
                <w:szCs w:val="14"/>
                <w:color w:val="auto"/>
              </w:rPr>
              <w:t>1,622</w:t>
            </w:r>
          </w:p>
        </w:tc>
        <w:tc>
          <w:tcPr>
            <w:tcW w:w="300" w:type="dxa"/>
            <w:vAlign w:val="bottom"/>
          </w:tcPr>
          <w:p>
            <w:pPr>
              <w:spacing w:after="0"/>
              <w:rPr>
                <w:sz w:val="13"/>
                <w:szCs w:val="13"/>
                <w:color w:val="auto"/>
              </w:rPr>
            </w:pPr>
          </w:p>
        </w:tc>
        <w:tc>
          <w:tcPr>
            <w:tcW w:w="400" w:type="dxa"/>
            <w:vAlign w:val="bottom"/>
            <w:gridSpan w:val="2"/>
          </w:tcPr>
          <w:p>
            <w:pPr>
              <w:jc w:val="right"/>
              <w:ind w:right="110"/>
              <w:spacing w:after="0" w:line="158"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8" w:lineRule="exact"/>
              <w:rPr>
                <w:sz w:val="20"/>
                <w:szCs w:val="20"/>
                <w:color w:val="auto"/>
              </w:rPr>
            </w:pPr>
            <w:r>
              <w:rPr>
                <w:rFonts w:ascii="Arial" w:cs="Arial" w:eastAsia="Arial" w:hAnsi="Arial"/>
                <w:sz w:val="14"/>
                <w:szCs w:val="14"/>
                <w:color w:val="auto"/>
              </w:rPr>
              <w:t>947</w:t>
            </w:r>
          </w:p>
        </w:tc>
        <w:tc>
          <w:tcPr>
            <w:tcW w:w="480" w:type="dxa"/>
            <w:vAlign w:val="bottom"/>
          </w:tcPr>
          <w:p>
            <w:pPr>
              <w:spacing w:after="0"/>
              <w:rPr>
                <w:sz w:val="13"/>
                <w:szCs w:val="13"/>
                <w:color w:val="auto"/>
              </w:rPr>
            </w:pPr>
          </w:p>
        </w:tc>
        <w:tc>
          <w:tcPr>
            <w:tcW w:w="120" w:type="dxa"/>
            <w:vAlign w:val="bottom"/>
          </w:tcPr>
          <w:p>
            <w:pPr>
              <w:jc w:val="right"/>
              <w:spacing w:after="0" w:line="158" w:lineRule="exact"/>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line="158" w:lineRule="exact"/>
              <w:rPr>
                <w:sz w:val="20"/>
                <w:szCs w:val="20"/>
                <w:color w:val="auto"/>
              </w:rPr>
            </w:pPr>
            <w:r>
              <w:rPr>
                <w:rFonts w:ascii="Arial" w:cs="Arial" w:eastAsia="Arial" w:hAnsi="Arial"/>
                <w:sz w:val="14"/>
                <w:szCs w:val="14"/>
                <w:color w:val="auto"/>
              </w:rPr>
              <w:t>493</w:t>
            </w:r>
          </w:p>
        </w:tc>
        <w:tc>
          <w:tcPr>
            <w:tcW w:w="180" w:type="dxa"/>
            <w:vAlign w:val="bottom"/>
          </w:tcPr>
          <w:p>
            <w:pPr>
              <w:spacing w:after="0"/>
              <w:rPr>
                <w:sz w:val="13"/>
                <w:szCs w:val="13"/>
                <w:color w:val="auto"/>
              </w:rPr>
            </w:pPr>
          </w:p>
        </w:tc>
        <w:tc>
          <w:tcPr>
            <w:tcW w:w="38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58" w:lineRule="exact"/>
              <w:rPr>
                <w:sz w:val="20"/>
                <w:szCs w:val="20"/>
                <w:color w:val="auto"/>
              </w:rPr>
            </w:pPr>
            <w:r>
              <w:rPr>
                <w:rFonts w:ascii="Arial" w:cs="Arial" w:eastAsia="Arial" w:hAnsi="Arial"/>
                <w:sz w:val="14"/>
                <w:szCs w:val="14"/>
                <w:color w:val="auto"/>
              </w:rPr>
              <w:t>1,380</w:t>
            </w:r>
          </w:p>
        </w:tc>
        <w:tc>
          <w:tcPr>
            <w:tcW w:w="360" w:type="dxa"/>
            <w:vAlign w:val="bottom"/>
          </w:tcPr>
          <w:p>
            <w:pPr>
              <w:spacing w:after="0"/>
              <w:rPr>
                <w:sz w:val="13"/>
                <w:szCs w:val="13"/>
                <w:color w:val="auto"/>
              </w:rPr>
            </w:pPr>
          </w:p>
        </w:tc>
        <w:tc>
          <w:tcPr>
            <w:tcW w:w="260" w:type="dxa"/>
            <w:vAlign w:val="bottom"/>
            <w:gridSpan w:val="2"/>
          </w:tcPr>
          <w:p>
            <w:pPr>
              <w:jc w:val="right"/>
              <w:ind w:right="10"/>
              <w:spacing w:after="0" w:line="158"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58" w:lineRule="exact"/>
              <w:rPr>
                <w:sz w:val="20"/>
                <w:szCs w:val="20"/>
                <w:color w:val="auto"/>
              </w:rPr>
            </w:pPr>
            <w:r>
              <w:rPr>
                <w:rFonts w:ascii="Arial" w:cs="Arial" w:eastAsia="Arial" w:hAnsi="Arial"/>
                <w:sz w:val="14"/>
                <w:szCs w:val="14"/>
                <w:color w:val="auto"/>
              </w:rPr>
              <w:t>414</w:t>
            </w:r>
          </w:p>
        </w:tc>
        <w:tc>
          <w:tcPr>
            <w:tcW w:w="460" w:type="dxa"/>
            <w:vAlign w:val="bottom"/>
          </w:tcPr>
          <w:p>
            <w:pPr>
              <w:spacing w:after="0"/>
              <w:rPr>
                <w:sz w:val="13"/>
                <w:szCs w:val="13"/>
                <w:color w:val="auto"/>
              </w:rPr>
            </w:pPr>
          </w:p>
        </w:tc>
        <w:tc>
          <w:tcPr>
            <w:tcW w:w="180" w:type="dxa"/>
            <w:vAlign w:val="bottom"/>
          </w:tcPr>
          <w:p>
            <w:pPr>
              <w:jc w:val="right"/>
              <w:ind w:right="30"/>
              <w:spacing w:after="0" w:line="158"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58" w:lineRule="exact"/>
              <w:rPr>
                <w:sz w:val="20"/>
                <w:szCs w:val="20"/>
                <w:color w:val="auto"/>
              </w:rPr>
            </w:pPr>
            <w:r>
              <w:rPr>
                <w:rFonts w:ascii="Arial" w:cs="Arial" w:eastAsia="Arial" w:hAnsi="Arial"/>
                <w:sz w:val="14"/>
                <w:szCs w:val="14"/>
                <w:color w:val="auto"/>
              </w:rPr>
              <w:t>4,856</w:t>
            </w:r>
          </w:p>
        </w:tc>
        <w:tc>
          <w:tcPr>
            <w:tcW w:w="480" w:type="dxa"/>
            <w:vAlign w:val="bottom"/>
          </w:tcPr>
          <w:p>
            <w:pPr>
              <w:spacing w:after="0"/>
              <w:rPr>
                <w:sz w:val="13"/>
                <w:szCs w:val="13"/>
                <w:color w:val="auto"/>
              </w:rPr>
            </w:pPr>
          </w:p>
        </w:tc>
        <w:tc>
          <w:tcPr>
            <w:tcW w:w="92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58"/>
        </w:trPr>
        <w:tc>
          <w:tcPr>
            <w:tcW w:w="3400" w:type="dxa"/>
            <w:vAlign w:val="bottom"/>
            <w:gridSpan w:val="3"/>
            <w:shd w:val="clear" w:color="auto" w:fill="CFF0FC"/>
          </w:tcPr>
          <w:p>
            <w:pPr>
              <w:ind w:left="240"/>
              <w:spacing w:after="0" w:line="158" w:lineRule="exact"/>
              <w:rPr>
                <w:sz w:val="20"/>
                <w:szCs w:val="20"/>
                <w:color w:val="auto"/>
              </w:rPr>
            </w:pPr>
            <w:r>
              <w:rPr>
                <w:rFonts w:ascii="Arial" w:cs="Arial" w:eastAsia="Arial" w:hAnsi="Arial"/>
                <w:sz w:val="14"/>
                <w:szCs w:val="14"/>
                <w:color w:val="auto"/>
              </w:rPr>
              <w:t>Retail/Service</w:t>
            </w: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1,380</w:t>
            </w:r>
          </w:p>
        </w:tc>
        <w:tc>
          <w:tcPr>
            <w:tcW w:w="3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601</w:t>
            </w:r>
          </w:p>
        </w:tc>
        <w:tc>
          <w:tcPr>
            <w:tcW w:w="4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385</w:t>
            </w:r>
          </w:p>
        </w:tc>
        <w:tc>
          <w:tcPr>
            <w:tcW w:w="1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994</w:t>
            </w:r>
          </w:p>
        </w:tc>
        <w:tc>
          <w:tcPr>
            <w:tcW w:w="3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576</w:t>
            </w:r>
          </w:p>
        </w:tc>
        <w:tc>
          <w:tcPr>
            <w:tcW w:w="4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3,936</w:t>
            </w:r>
          </w:p>
        </w:tc>
        <w:tc>
          <w:tcPr>
            <w:tcW w:w="48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12</w:t>
            </w:r>
          </w:p>
        </w:tc>
        <w:tc>
          <w:tcPr>
            <w:tcW w:w="2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400" w:type="dxa"/>
            <w:vAlign w:val="bottom"/>
            <w:gridSpan w:val="3"/>
          </w:tcPr>
          <w:p>
            <w:pPr>
              <w:ind w:left="240"/>
              <w:spacing w:after="0" w:line="158" w:lineRule="exact"/>
              <w:rPr>
                <w:sz w:val="20"/>
                <w:szCs w:val="20"/>
                <w:color w:val="auto"/>
              </w:rPr>
            </w:pPr>
            <w:r>
              <w:rPr>
                <w:rFonts w:ascii="Arial" w:cs="Arial" w:eastAsia="Arial" w:hAnsi="Arial"/>
                <w:sz w:val="14"/>
                <w:szCs w:val="14"/>
                <w:color w:val="auto"/>
              </w:rPr>
              <w:t>Apartments/Multifamily</w:t>
            </w:r>
          </w:p>
        </w:tc>
        <w:tc>
          <w:tcPr>
            <w:tcW w:w="80" w:type="dxa"/>
            <w:vAlign w:val="bottom"/>
          </w:tcPr>
          <w:p>
            <w:pPr>
              <w:spacing w:after="0"/>
              <w:rPr>
                <w:sz w:val="13"/>
                <w:szCs w:val="13"/>
                <w:color w:val="auto"/>
              </w:rPr>
            </w:pPr>
          </w:p>
        </w:tc>
        <w:tc>
          <w:tcPr>
            <w:tcW w:w="620" w:type="dxa"/>
            <w:vAlign w:val="bottom"/>
          </w:tcPr>
          <w:p>
            <w:pPr>
              <w:jc w:val="right"/>
              <w:spacing w:after="0" w:line="158" w:lineRule="exact"/>
              <w:rPr>
                <w:sz w:val="20"/>
                <w:szCs w:val="20"/>
                <w:color w:val="auto"/>
              </w:rPr>
            </w:pPr>
            <w:r>
              <w:rPr>
                <w:rFonts w:ascii="Arial" w:cs="Arial" w:eastAsia="Arial" w:hAnsi="Arial"/>
                <w:sz w:val="14"/>
                <w:szCs w:val="14"/>
                <w:color w:val="auto"/>
              </w:rPr>
              <w:t>1,378</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jc w:val="right"/>
              <w:spacing w:after="0" w:line="158" w:lineRule="exact"/>
              <w:rPr>
                <w:sz w:val="20"/>
                <w:szCs w:val="20"/>
                <w:color w:val="auto"/>
              </w:rPr>
            </w:pPr>
            <w:r>
              <w:rPr>
                <w:rFonts w:ascii="Arial" w:cs="Arial" w:eastAsia="Arial" w:hAnsi="Arial"/>
                <w:sz w:val="14"/>
                <w:szCs w:val="14"/>
                <w:color w:val="auto"/>
              </w:rPr>
              <w:t>756</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line="158" w:lineRule="exact"/>
              <w:rPr>
                <w:sz w:val="20"/>
                <w:szCs w:val="20"/>
                <w:color w:val="auto"/>
              </w:rPr>
            </w:pPr>
            <w:r>
              <w:rPr>
                <w:rFonts w:ascii="Arial" w:cs="Arial" w:eastAsia="Arial" w:hAnsi="Arial"/>
                <w:sz w:val="14"/>
                <w:szCs w:val="14"/>
                <w:color w:val="auto"/>
              </w:rPr>
              <w:t>405</w:t>
            </w: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line="158" w:lineRule="exact"/>
              <w:rPr>
                <w:sz w:val="20"/>
                <w:szCs w:val="20"/>
                <w:color w:val="auto"/>
              </w:rPr>
            </w:pPr>
            <w:r>
              <w:rPr>
                <w:rFonts w:ascii="Arial" w:cs="Arial" w:eastAsia="Arial" w:hAnsi="Arial"/>
                <w:sz w:val="14"/>
                <w:szCs w:val="14"/>
                <w:color w:val="auto"/>
              </w:rPr>
              <w:t>603</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line="158" w:lineRule="exact"/>
              <w:rPr>
                <w:sz w:val="20"/>
                <w:szCs w:val="20"/>
                <w:color w:val="auto"/>
              </w:rPr>
            </w:pPr>
            <w:r>
              <w:rPr>
                <w:rFonts w:ascii="Arial" w:cs="Arial" w:eastAsia="Arial" w:hAnsi="Arial"/>
                <w:sz w:val="14"/>
                <w:szCs w:val="14"/>
                <w:color w:val="auto"/>
              </w:rPr>
              <w:t>459</w:t>
            </w: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jc w:val="right"/>
              <w:spacing w:after="0" w:line="158" w:lineRule="exact"/>
              <w:rPr>
                <w:sz w:val="20"/>
                <w:szCs w:val="20"/>
                <w:color w:val="auto"/>
              </w:rPr>
            </w:pPr>
            <w:r>
              <w:rPr>
                <w:rFonts w:ascii="Arial" w:cs="Arial" w:eastAsia="Arial" w:hAnsi="Arial"/>
                <w:sz w:val="14"/>
                <w:szCs w:val="14"/>
                <w:color w:val="auto"/>
              </w:rPr>
              <w:t>3,601</w:t>
            </w:r>
          </w:p>
        </w:tc>
        <w:tc>
          <w:tcPr>
            <w:tcW w:w="480" w:type="dxa"/>
            <w:vAlign w:val="bottom"/>
          </w:tcPr>
          <w:p>
            <w:pPr>
              <w:spacing w:after="0"/>
              <w:rPr>
                <w:sz w:val="13"/>
                <w:szCs w:val="13"/>
                <w:color w:val="auto"/>
              </w:rPr>
            </w:pPr>
          </w:p>
        </w:tc>
        <w:tc>
          <w:tcPr>
            <w:tcW w:w="720" w:type="dxa"/>
            <w:vAlign w:val="bottom"/>
          </w:tcPr>
          <w:p>
            <w:pPr>
              <w:jc w:val="right"/>
              <w:spacing w:after="0" w:line="158" w:lineRule="exact"/>
              <w:rPr>
                <w:sz w:val="20"/>
                <w:szCs w:val="20"/>
                <w:color w:val="auto"/>
              </w:rPr>
            </w:pPr>
            <w:r>
              <w:rPr>
                <w:rFonts w:ascii="Arial" w:cs="Arial" w:eastAsia="Arial" w:hAnsi="Arial"/>
                <w:sz w:val="14"/>
                <w:szCs w:val="14"/>
                <w:color w:val="auto"/>
              </w:rPr>
              <w:t>11</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400" w:type="dxa"/>
            <w:vAlign w:val="bottom"/>
            <w:gridSpan w:val="3"/>
            <w:shd w:val="clear" w:color="auto" w:fill="CFF0FC"/>
          </w:tcPr>
          <w:p>
            <w:pPr>
              <w:ind w:left="240"/>
              <w:spacing w:after="0" w:line="158" w:lineRule="exact"/>
              <w:rPr>
                <w:sz w:val="20"/>
                <w:szCs w:val="20"/>
                <w:color w:val="auto"/>
              </w:rPr>
            </w:pPr>
            <w:r>
              <w:rPr>
                <w:rFonts w:ascii="Arial" w:cs="Arial" w:eastAsia="Arial" w:hAnsi="Arial"/>
                <w:sz w:val="14"/>
                <w:szCs w:val="14"/>
                <w:color w:val="auto"/>
              </w:rPr>
              <w:t>Hotel</w:t>
            </w: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789</w:t>
            </w:r>
          </w:p>
        </w:tc>
        <w:tc>
          <w:tcPr>
            <w:tcW w:w="3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350</w:t>
            </w:r>
          </w:p>
        </w:tc>
        <w:tc>
          <w:tcPr>
            <w:tcW w:w="4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295</w:t>
            </w:r>
          </w:p>
        </w:tc>
        <w:tc>
          <w:tcPr>
            <w:tcW w:w="1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712</w:t>
            </w:r>
          </w:p>
        </w:tc>
        <w:tc>
          <w:tcPr>
            <w:tcW w:w="3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327</w:t>
            </w:r>
          </w:p>
        </w:tc>
        <w:tc>
          <w:tcPr>
            <w:tcW w:w="4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2,473</w:t>
            </w:r>
          </w:p>
        </w:tc>
        <w:tc>
          <w:tcPr>
            <w:tcW w:w="48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7</w:t>
            </w:r>
          </w:p>
        </w:tc>
        <w:tc>
          <w:tcPr>
            <w:tcW w:w="2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400" w:type="dxa"/>
            <w:vAlign w:val="bottom"/>
            <w:gridSpan w:val="3"/>
          </w:tcPr>
          <w:p>
            <w:pPr>
              <w:ind w:left="240"/>
              <w:spacing w:after="0" w:line="158" w:lineRule="exact"/>
              <w:rPr>
                <w:sz w:val="20"/>
                <w:szCs w:val="20"/>
                <w:color w:val="auto"/>
              </w:rPr>
            </w:pPr>
            <w:r>
              <w:rPr>
                <w:rFonts w:ascii="Arial" w:cs="Arial" w:eastAsia="Arial" w:hAnsi="Arial"/>
                <w:sz w:val="14"/>
                <w:szCs w:val="14"/>
                <w:color w:val="auto"/>
              </w:rPr>
              <w:t>Health facilities</w:t>
            </w:r>
          </w:p>
        </w:tc>
        <w:tc>
          <w:tcPr>
            <w:tcW w:w="80" w:type="dxa"/>
            <w:vAlign w:val="bottom"/>
          </w:tcPr>
          <w:p>
            <w:pPr>
              <w:spacing w:after="0"/>
              <w:rPr>
                <w:sz w:val="13"/>
                <w:szCs w:val="13"/>
                <w:color w:val="auto"/>
              </w:rPr>
            </w:pPr>
          </w:p>
        </w:tc>
        <w:tc>
          <w:tcPr>
            <w:tcW w:w="620" w:type="dxa"/>
            <w:vAlign w:val="bottom"/>
          </w:tcPr>
          <w:p>
            <w:pPr>
              <w:jc w:val="right"/>
              <w:spacing w:after="0" w:line="158" w:lineRule="exact"/>
              <w:rPr>
                <w:sz w:val="20"/>
                <w:szCs w:val="20"/>
                <w:color w:val="auto"/>
              </w:rPr>
            </w:pPr>
            <w:r>
              <w:rPr>
                <w:rFonts w:ascii="Arial" w:cs="Arial" w:eastAsia="Arial" w:hAnsi="Arial"/>
                <w:sz w:val="14"/>
                <w:szCs w:val="14"/>
                <w:color w:val="auto"/>
              </w:rPr>
              <w:t>465</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jc w:val="right"/>
              <w:spacing w:after="0" w:line="158" w:lineRule="exact"/>
              <w:rPr>
                <w:sz w:val="20"/>
                <w:szCs w:val="20"/>
                <w:color w:val="auto"/>
              </w:rPr>
            </w:pPr>
            <w:r>
              <w:rPr>
                <w:rFonts w:ascii="Arial" w:cs="Arial" w:eastAsia="Arial" w:hAnsi="Arial"/>
                <w:sz w:val="14"/>
                <w:szCs w:val="14"/>
                <w:color w:val="auto"/>
              </w:rPr>
              <w:t>492</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line="158" w:lineRule="exact"/>
              <w:rPr>
                <w:sz w:val="20"/>
                <w:szCs w:val="20"/>
                <w:color w:val="auto"/>
              </w:rPr>
            </w:pPr>
            <w:r>
              <w:rPr>
                <w:rFonts w:ascii="Arial" w:cs="Arial" w:eastAsia="Arial" w:hAnsi="Arial"/>
                <w:sz w:val="14"/>
                <w:szCs w:val="14"/>
                <w:color w:val="auto"/>
              </w:rPr>
              <w:t>334</w:t>
            </w: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line="158" w:lineRule="exact"/>
              <w:rPr>
                <w:sz w:val="20"/>
                <w:szCs w:val="20"/>
                <w:color w:val="auto"/>
              </w:rPr>
            </w:pPr>
            <w:r>
              <w:rPr>
                <w:rFonts w:ascii="Arial" w:cs="Arial" w:eastAsia="Arial" w:hAnsi="Arial"/>
                <w:sz w:val="14"/>
                <w:szCs w:val="14"/>
                <w:color w:val="auto"/>
              </w:rPr>
              <w:t>704</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line="158" w:lineRule="exact"/>
              <w:rPr>
                <w:sz w:val="20"/>
                <w:szCs w:val="20"/>
                <w:color w:val="auto"/>
              </w:rPr>
            </w:pPr>
            <w:r>
              <w:rPr>
                <w:rFonts w:ascii="Arial" w:cs="Arial" w:eastAsia="Arial" w:hAnsi="Arial"/>
                <w:sz w:val="14"/>
                <w:szCs w:val="14"/>
                <w:color w:val="auto"/>
              </w:rPr>
              <w:t>399</w:t>
            </w: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jc w:val="right"/>
              <w:spacing w:after="0" w:line="158" w:lineRule="exact"/>
              <w:rPr>
                <w:sz w:val="20"/>
                <w:szCs w:val="20"/>
                <w:color w:val="auto"/>
              </w:rPr>
            </w:pPr>
            <w:r>
              <w:rPr>
                <w:rFonts w:ascii="Arial" w:cs="Arial" w:eastAsia="Arial" w:hAnsi="Arial"/>
                <w:sz w:val="14"/>
                <w:szCs w:val="14"/>
                <w:color w:val="auto"/>
              </w:rPr>
              <w:t>2,394</w:t>
            </w:r>
          </w:p>
        </w:tc>
        <w:tc>
          <w:tcPr>
            <w:tcW w:w="480" w:type="dxa"/>
            <w:vAlign w:val="bottom"/>
          </w:tcPr>
          <w:p>
            <w:pPr>
              <w:spacing w:after="0"/>
              <w:rPr>
                <w:sz w:val="13"/>
                <w:szCs w:val="13"/>
                <w:color w:val="auto"/>
              </w:rPr>
            </w:pPr>
          </w:p>
        </w:tc>
        <w:tc>
          <w:tcPr>
            <w:tcW w:w="720" w:type="dxa"/>
            <w:vAlign w:val="bottom"/>
          </w:tcPr>
          <w:p>
            <w:pPr>
              <w:jc w:val="right"/>
              <w:spacing w:after="0" w:line="158" w:lineRule="exact"/>
              <w:rPr>
                <w:sz w:val="20"/>
                <w:szCs w:val="20"/>
                <w:color w:val="auto"/>
              </w:rPr>
            </w:pPr>
            <w:r>
              <w:rPr>
                <w:rFonts w:ascii="Arial" w:cs="Arial" w:eastAsia="Arial" w:hAnsi="Arial"/>
                <w:sz w:val="14"/>
                <w:szCs w:val="14"/>
                <w:color w:val="auto"/>
              </w:rPr>
              <w:t>7</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400" w:type="dxa"/>
            <w:vAlign w:val="bottom"/>
            <w:gridSpan w:val="3"/>
            <w:shd w:val="clear" w:color="auto" w:fill="CFF0FC"/>
          </w:tcPr>
          <w:p>
            <w:pPr>
              <w:ind w:left="240"/>
              <w:spacing w:after="0" w:line="158" w:lineRule="exact"/>
              <w:rPr>
                <w:sz w:val="20"/>
                <w:szCs w:val="20"/>
                <w:color w:val="auto"/>
              </w:rPr>
            </w:pPr>
            <w:r>
              <w:rPr>
                <w:rFonts w:ascii="Arial" w:cs="Arial" w:eastAsia="Arial" w:hAnsi="Arial"/>
                <w:sz w:val="14"/>
                <w:szCs w:val="14"/>
                <w:color w:val="auto"/>
              </w:rPr>
              <w:t>Industrial/Warehouse</w:t>
            </w: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339</w:t>
            </w:r>
          </w:p>
        </w:tc>
        <w:tc>
          <w:tcPr>
            <w:tcW w:w="3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206</w:t>
            </w:r>
          </w:p>
        </w:tc>
        <w:tc>
          <w:tcPr>
            <w:tcW w:w="4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306</w:t>
            </w:r>
          </w:p>
        </w:tc>
        <w:tc>
          <w:tcPr>
            <w:tcW w:w="1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261</w:t>
            </w:r>
          </w:p>
        </w:tc>
        <w:tc>
          <w:tcPr>
            <w:tcW w:w="3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359</w:t>
            </w:r>
          </w:p>
        </w:tc>
        <w:tc>
          <w:tcPr>
            <w:tcW w:w="4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1,471</w:t>
            </w:r>
          </w:p>
        </w:tc>
        <w:tc>
          <w:tcPr>
            <w:tcW w:w="48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4</w:t>
            </w:r>
          </w:p>
        </w:tc>
        <w:tc>
          <w:tcPr>
            <w:tcW w:w="2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400" w:type="dxa"/>
            <w:vAlign w:val="bottom"/>
            <w:tcBorders>
              <w:bottom w:val="single" w:sz="8" w:color="CFF0FC"/>
            </w:tcBorders>
            <w:gridSpan w:val="3"/>
          </w:tcPr>
          <w:p>
            <w:pPr>
              <w:ind w:left="240"/>
              <w:spacing w:after="0" w:line="158" w:lineRule="exact"/>
              <w:rPr>
                <w:sz w:val="20"/>
                <w:szCs w:val="20"/>
                <w:color w:val="auto"/>
              </w:rPr>
            </w:pPr>
            <w:r>
              <w:rPr>
                <w:rFonts w:ascii="Arial" w:cs="Arial" w:eastAsia="Arial" w:hAnsi="Arial"/>
                <w:sz w:val="14"/>
                <w:szCs w:val="14"/>
                <w:color w:val="auto"/>
              </w:rPr>
              <w:t>Other</w:t>
            </w: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170</w:t>
            </w:r>
          </w:p>
        </w:tc>
        <w:tc>
          <w:tcPr>
            <w:tcW w:w="30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33</w:t>
            </w:r>
          </w:p>
        </w:tc>
        <w:tc>
          <w:tcPr>
            <w:tcW w:w="48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12</w:t>
            </w:r>
          </w:p>
        </w:tc>
        <w:tc>
          <w:tcPr>
            <w:tcW w:w="180" w:type="dxa"/>
            <w:vAlign w:val="bottom"/>
            <w:tcBorders>
              <w:bottom w:val="single" w:sz="8" w:color="CFF0FC"/>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23</w:t>
            </w:r>
          </w:p>
        </w:tc>
        <w:tc>
          <w:tcPr>
            <w:tcW w:w="3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13</w:t>
            </w:r>
          </w:p>
        </w:tc>
        <w:tc>
          <w:tcPr>
            <w:tcW w:w="46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251</w:t>
            </w:r>
          </w:p>
        </w:tc>
        <w:tc>
          <w:tcPr>
            <w:tcW w:w="48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1</w:t>
            </w:r>
          </w:p>
        </w:tc>
        <w:tc>
          <w:tcPr>
            <w:tcW w:w="2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400" w:type="dxa"/>
            <w:vAlign w:val="bottom"/>
            <w:gridSpan w:val="3"/>
            <w:shd w:val="clear" w:color="auto" w:fill="CFF0FC"/>
          </w:tcPr>
          <w:p>
            <w:pPr>
              <w:ind w:left="460"/>
              <w:spacing w:after="0" w:line="151" w:lineRule="exact"/>
              <w:rPr>
                <w:sz w:val="20"/>
                <w:szCs w:val="20"/>
                <w:color w:val="auto"/>
              </w:rPr>
            </w:pPr>
            <w:r>
              <w:rPr>
                <w:rFonts w:ascii="Arial" w:cs="Arial" w:eastAsia="Arial" w:hAnsi="Arial"/>
                <w:sz w:val="14"/>
                <w:szCs w:val="14"/>
                <w:color w:val="auto"/>
              </w:rPr>
              <w:t>Total permanent</w:t>
            </w: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rPr>
              <w:t>6,143</w:t>
            </w:r>
          </w:p>
        </w:tc>
        <w:tc>
          <w:tcPr>
            <w:tcW w:w="3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rPr>
              <w:t>3,385</w:t>
            </w:r>
          </w:p>
        </w:tc>
        <w:tc>
          <w:tcPr>
            <w:tcW w:w="4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rPr>
              <w:t>2,230</w:t>
            </w:r>
          </w:p>
        </w:tc>
        <w:tc>
          <w:tcPr>
            <w:tcW w:w="1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rPr>
              <w:t>4,677</w:t>
            </w:r>
          </w:p>
        </w:tc>
        <w:tc>
          <w:tcPr>
            <w:tcW w:w="3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rPr>
              <w:t>2,547</w:t>
            </w:r>
          </w:p>
        </w:tc>
        <w:tc>
          <w:tcPr>
            <w:tcW w:w="4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rPr>
              <w:t>18,982</w:t>
            </w:r>
          </w:p>
        </w:tc>
        <w:tc>
          <w:tcPr>
            <w:tcW w:w="48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80"/>
              <w:spacing w:after="0" w:line="151" w:lineRule="exact"/>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51"/>
        </w:trPr>
        <w:tc>
          <w:tcPr>
            <w:tcW w:w="3400" w:type="dxa"/>
            <w:vAlign w:val="bottom"/>
            <w:gridSpan w:val="3"/>
          </w:tcPr>
          <w:p>
            <w:pPr>
              <w:ind w:left="120"/>
              <w:spacing w:after="0" w:line="151" w:lineRule="exact"/>
              <w:rPr>
                <w:sz w:val="20"/>
                <w:szCs w:val="20"/>
                <w:color w:val="auto"/>
              </w:rPr>
            </w:pPr>
            <w:r>
              <w:rPr>
                <w:rFonts w:ascii="Arial" w:cs="Arial" w:eastAsia="Arial" w:hAnsi="Arial"/>
                <w:sz w:val="14"/>
                <w:szCs w:val="14"/>
                <w:color w:val="auto"/>
              </w:rPr>
              <w:t>Construction/Development</w:t>
            </w:r>
          </w:p>
        </w:tc>
        <w:tc>
          <w:tcPr>
            <w:tcW w:w="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48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400" w:type="dxa"/>
            <w:vAlign w:val="bottom"/>
            <w:gridSpan w:val="3"/>
            <w:shd w:val="clear" w:color="auto" w:fill="CFF0FC"/>
          </w:tcPr>
          <w:p>
            <w:pPr>
              <w:ind w:left="240"/>
              <w:spacing w:after="0" w:line="158" w:lineRule="exact"/>
              <w:rPr>
                <w:sz w:val="20"/>
                <w:szCs w:val="20"/>
                <w:color w:val="auto"/>
              </w:rPr>
            </w:pPr>
            <w:r>
              <w:rPr>
                <w:rFonts w:ascii="Arial" w:cs="Arial" w:eastAsia="Arial" w:hAnsi="Arial"/>
                <w:sz w:val="14"/>
                <w:szCs w:val="14"/>
                <w:color w:val="auto"/>
              </w:rPr>
              <w:t>Commercial</w:t>
            </w: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400" w:type="dxa"/>
            <w:vAlign w:val="bottom"/>
            <w:gridSpan w:val="3"/>
          </w:tcPr>
          <w:p>
            <w:pPr>
              <w:ind w:left="360"/>
              <w:spacing w:after="0" w:line="158" w:lineRule="exact"/>
              <w:rPr>
                <w:sz w:val="20"/>
                <w:szCs w:val="20"/>
                <w:color w:val="auto"/>
              </w:rPr>
            </w:pPr>
            <w:r>
              <w:rPr>
                <w:rFonts w:ascii="Arial" w:cs="Arial" w:eastAsia="Arial" w:hAnsi="Arial"/>
                <w:sz w:val="14"/>
                <w:szCs w:val="14"/>
                <w:color w:val="auto"/>
              </w:rPr>
              <w:t>Construction</w:t>
            </w:r>
          </w:p>
        </w:tc>
        <w:tc>
          <w:tcPr>
            <w:tcW w:w="80" w:type="dxa"/>
            <w:vAlign w:val="bottom"/>
          </w:tcPr>
          <w:p>
            <w:pPr>
              <w:spacing w:after="0"/>
              <w:rPr>
                <w:sz w:val="13"/>
                <w:szCs w:val="13"/>
                <w:color w:val="auto"/>
              </w:rPr>
            </w:pPr>
          </w:p>
        </w:tc>
        <w:tc>
          <w:tcPr>
            <w:tcW w:w="620" w:type="dxa"/>
            <w:vAlign w:val="bottom"/>
          </w:tcPr>
          <w:p>
            <w:pPr>
              <w:jc w:val="right"/>
              <w:spacing w:after="0" w:line="158" w:lineRule="exact"/>
              <w:rPr>
                <w:sz w:val="20"/>
                <w:szCs w:val="20"/>
                <w:color w:val="auto"/>
              </w:rPr>
            </w:pPr>
            <w:r>
              <w:rPr>
                <w:rFonts w:ascii="Arial" w:cs="Arial" w:eastAsia="Arial" w:hAnsi="Arial"/>
                <w:sz w:val="14"/>
                <w:szCs w:val="14"/>
                <w:color w:val="auto"/>
              </w:rPr>
              <w:t>1,169</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jc w:val="right"/>
              <w:spacing w:after="0" w:line="158" w:lineRule="exact"/>
              <w:rPr>
                <w:sz w:val="20"/>
                <w:szCs w:val="20"/>
                <w:color w:val="auto"/>
              </w:rPr>
            </w:pPr>
            <w:r>
              <w:rPr>
                <w:rFonts w:ascii="Arial" w:cs="Arial" w:eastAsia="Arial" w:hAnsi="Arial"/>
                <w:sz w:val="14"/>
                <w:szCs w:val="14"/>
                <w:color w:val="auto"/>
              </w:rPr>
              <w:t>642</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line="158" w:lineRule="exact"/>
              <w:rPr>
                <w:sz w:val="20"/>
                <w:szCs w:val="20"/>
                <w:color w:val="auto"/>
              </w:rPr>
            </w:pPr>
            <w:r>
              <w:rPr>
                <w:rFonts w:ascii="Arial" w:cs="Arial" w:eastAsia="Arial" w:hAnsi="Arial"/>
                <w:sz w:val="14"/>
                <w:szCs w:val="14"/>
                <w:color w:val="auto"/>
              </w:rPr>
              <w:t>599</w:t>
            </w: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line="158" w:lineRule="exact"/>
              <w:rPr>
                <w:sz w:val="20"/>
                <w:szCs w:val="20"/>
                <w:color w:val="auto"/>
              </w:rPr>
            </w:pPr>
            <w:r>
              <w:rPr>
                <w:rFonts w:ascii="Arial" w:cs="Arial" w:eastAsia="Arial" w:hAnsi="Arial"/>
                <w:sz w:val="14"/>
                <w:szCs w:val="14"/>
                <w:color w:val="auto"/>
              </w:rPr>
              <w:t>1,814</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line="158" w:lineRule="exact"/>
              <w:rPr>
                <w:sz w:val="20"/>
                <w:szCs w:val="20"/>
                <w:color w:val="auto"/>
              </w:rPr>
            </w:pPr>
            <w:r>
              <w:rPr>
                <w:rFonts w:ascii="Arial" w:cs="Arial" w:eastAsia="Arial" w:hAnsi="Arial"/>
                <w:sz w:val="14"/>
                <w:szCs w:val="14"/>
                <w:color w:val="auto"/>
              </w:rPr>
              <w:t>1,166</w:t>
            </w: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jc w:val="right"/>
              <w:spacing w:after="0" w:line="158" w:lineRule="exact"/>
              <w:rPr>
                <w:sz w:val="20"/>
                <w:szCs w:val="20"/>
                <w:color w:val="auto"/>
              </w:rPr>
            </w:pPr>
            <w:r>
              <w:rPr>
                <w:rFonts w:ascii="Arial" w:cs="Arial" w:eastAsia="Arial" w:hAnsi="Arial"/>
                <w:sz w:val="14"/>
                <w:szCs w:val="14"/>
                <w:color w:val="auto"/>
              </w:rPr>
              <w:t>5,390</w:t>
            </w:r>
          </w:p>
        </w:tc>
        <w:tc>
          <w:tcPr>
            <w:tcW w:w="480" w:type="dxa"/>
            <w:vAlign w:val="bottom"/>
          </w:tcPr>
          <w:p>
            <w:pPr>
              <w:spacing w:after="0"/>
              <w:rPr>
                <w:sz w:val="13"/>
                <w:szCs w:val="13"/>
                <w:color w:val="auto"/>
              </w:rPr>
            </w:pPr>
          </w:p>
        </w:tc>
        <w:tc>
          <w:tcPr>
            <w:tcW w:w="92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58"/>
        </w:trPr>
        <w:tc>
          <w:tcPr>
            <w:tcW w:w="3400" w:type="dxa"/>
            <w:vAlign w:val="bottom"/>
            <w:gridSpan w:val="3"/>
            <w:shd w:val="clear" w:color="auto" w:fill="CFF0FC"/>
          </w:tcPr>
          <w:p>
            <w:pPr>
              <w:ind w:left="360"/>
              <w:spacing w:after="0" w:line="158" w:lineRule="exact"/>
              <w:rPr>
                <w:sz w:val="20"/>
                <w:szCs w:val="20"/>
                <w:color w:val="auto"/>
              </w:rPr>
            </w:pPr>
            <w:r>
              <w:rPr>
                <w:rFonts w:ascii="Arial" w:cs="Arial" w:eastAsia="Arial" w:hAnsi="Arial"/>
                <w:sz w:val="14"/>
                <w:szCs w:val="14"/>
                <w:color w:val="auto"/>
              </w:rPr>
              <w:t>Land/Land development</w:t>
            </w: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358</w:t>
            </w:r>
          </w:p>
        </w:tc>
        <w:tc>
          <w:tcPr>
            <w:tcW w:w="3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33</w:t>
            </w:r>
          </w:p>
        </w:tc>
        <w:tc>
          <w:tcPr>
            <w:tcW w:w="4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46</w:t>
            </w:r>
          </w:p>
        </w:tc>
        <w:tc>
          <w:tcPr>
            <w:tcW w:w="1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209</w:t>
            </w:r>
          </w:p>
        </w:tc>
        <w:tc>
          <w:tcPr>
            <w:tcW w:w="3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72</w:t>
            </w:r>
          </w:p>
        </w:tc>
        <w:tc>
          <w:tcPr>
            <w:tcW w:w="4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718</w:t>
            </w:r>
          </w:p>
        </w:tc>
        <w:tc>
          <w:tcPr>
            <w:tcW w:w="48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w:t>
            </w:r>
          </w:p>
        </w:tc>
        <w:tc>
          <w:tcPr>
            <w:tcW w:w="2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3400" w:type="dxa"/>
            <w:vAlign w:val="bottom"/>
            <w:gridSpan w:val="3"/>
          </w:tcPr>
          <w:p>
            <w:pPr>
              <w:ind w:left="240"/>
              <w:spacing w:after="0" w:line="139" w:lineRule="exact"/>
              <w:rPr>
                <w:sz w:val="20"/>
                <w:szCs w:val="20"/>
                <w:color w:val="auto"/>
              </w:rPr>
            </w:pPr>
            <w:r>
              <w:rPr>
                <w:rFonts w:ascii="Arial" w:cs="Arial" w:eastAsia="Arial" w:hAnsi="Arial"/>
                <w:sz w:val="14"/>
                <w:szCs w:val="14"/>
                <w:color w:val="auto"/>
              </w:rPr>
              <w:t>Residential builder and</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400" w:type="dxa"/>
            <w:vAlign w:val="bottom"/>
            <w:gridSpan w:val="3"/>
          </w:tcPr>
          <w:p>
            <w:pPr>
              <w:ind w:left="360"/>
              <w:spacing w:after="0"/>
              <w:rPr>
                <w:sz w:val="20"/>
                <w:szCs w:val="20"/>
                <w:color w:val="auto"/>
              </w:rPr>
            </w:pPr>
            <w:r>
              <w:rPr>
                <w:rFonts w:ascii="Arial" w:cs="Arial" w:eastAsia="Arial" w:hAnsi="Arial"/>
                <w:sz w:val="14"/>
                <w:szCs w:val="14"/>
                <w:color w:val="auto"/>
              </w:rPr>
              <w:t>developer</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400" w:type="dxa"/>
            <w:vAlign w:val="bottom"/>
            <w:gridSpan w:val="3"/>
            <w:shd w:val="clear" w:color="auto" w:fill="CFF0FC"/>
          </w:tcPr>
          <w:p>
            <w:pPr>
              <w:ind w:left="360"/>
              <w:spacing w:after="0" w:line="158" w:lineRule="exact"/>
              <w:rPr>
                <w:sz w:val="20"/>
                <w:szCs w:val="20"/>
                <w:color w:val="auto"/>
              </w:rPr>
            </w:pPr>
            <w:r>
              <w:rPr>
                <w:rFonts w:ascii="Arial" w:cs="Arial" w:eastAsia="Arial" w:hAnsi="Arial"/>
                <w:sz w:val="14"/>
                <w:szCs w:val="14"/>
                <w:color w:val="auto"/>
              </w:rPr>
              <w:t>Construction</w:t>
            </w: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367</w:t>
            </w:r>
          </w:p>
        </w:tc>
        <w:tc>
          <w:tcPr>
            <w:tcW w:w="3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10</w:t>
            </w:r>
          </w:p>
        </w:tc>
        <w:tc>
          <w:tcPr>
            <w:tcW w:w="4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48</w:t>
            </w:r>
          </w:p>
        </w:tc>
        <w:tc>
          <w:tcPr>
            <w:tcW w:w="1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219</w:t>
            </w:r>
          </w:p>
        </w:tc>
        <w:tc>
          <w:tcPr>
            <w:tcW w:w="3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429</w:t>
            </w:r>
          </w:p>
        </w:tc>
        <w:tc>
          <w:tcPr>
            <w:tcW w:w="4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1,073</w:t>
            </w:r>
          </w:p>
        </w:tc>
        <w:tc>
          <w:tcPr>
            <w:tcW w:w="48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3</w:t>
            </w:r>
          </w:p>
        </w:tc>
        <w:tc>
          <w:tcPr>
            <w:tcW w:w="2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400" w:type="dxa"/>
            <w:vAlign w:val="bottom"/>
            <w:tcBorders>
              <w:bottom w:val="single" w:sz="8" w:color="CFF0FC"/>
            </w:tcBorders>
            <w:gridSpan w:val="3"/>
          </w:tcPr>
          <w:p>
            <w:pPr>
              <w:ind w:left="360"/>
              <w:spacing w:after="0" w:line="158" w:lineRule="exact"/>
              <w:rPr>
                <w:sz w:val="20"/>
                <w:szCs w:val="20"/>
                <w:color w:val="auto"/>
              </w:rPr>
            </w:pPr>
            <w:r>
              <w:rPr>
                <w:rFonts w:ascii="Arial" w:cs="Arial" w:eastAsia="Arial" w:hAnsi="Arial"/>
                <w:sz w:val="14"/>
                <w:szCs w:val="14"/>
                <w:color w:val="auto"/>
              </w:rPr>
              <w:t>Land/Land development</w:t>
            </w: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21</w:t>
            </w:r>
          </w:p>
        </w:tc>
        <w:tc>
          <w:tcPr>
            <w:tcW w:w="30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18</w:t>
            </w:r>
          </w:p>
        </w:tc>
        <w:tc>
          <w:tcPr>
            <w:tcW w:w="48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38</w:t>
            </w:r>
          </w:p>
        </w:tc>
        <w:tc>
          <w:tcPr>
            <w:tcW w:w="180" w:type="dxa"/>
            <w:vAlign w:val="bottom"/>
            <w:tcBorders>
              <w:bottom w:val="single" w:sz="8" w:color="CFF0FC"/>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206</w:t>
            </w:r>
          </w:p>
        </w:tc>
        <w:tc>
          <w:tcPr>
            <w:tcW w:w="3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276</w:t>
            </w:r>
          </w:p>
        </w:tc>
        <w:tc>
          <w:tcPr>
            <w:tcW w:w="46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559</w:t>
            </w:r>
          </w:p>
        </w:tc>
        <w:tc>
          <w:tcPr>
            <w:tcW w:w="48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2</w:t>
            </w:r>
          </w:p>
        </w:tc>
        <w:tc>
          <w:tcPr>
            <w:tcW w:w="2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3400" w:type="dxa"/>
            <w:vAlign w:val="bottom"/>
            <w:gridSpan w:val="3"/>
            <w:shd w:val="clear" w:color="auto" w:fill="CFF0FC"/>
          </w:tcPr>
          <w:p>
            <w:pPr>
              <w:ind w:left="460"/>
              <w:spacing w:after="0" w:line="133" w:lineRule="exact"/>
              <w:rPr>
                <w:sz w:val="20"/>
                <w:szCs w:val="20"/>
                <w:color w:val="auto"/>
              </w:rPr>
            </w:pPr>
            <w:r>
              <w:rPr>
                <w:rFonts w:ascii="Arial" w:cs="Arial" w:eastAsia="Arial" w:hAnsi="Arial"/>
                <w:sz w:val="14"/>
                <w:szCs w:val="14"/>
                <w:color w:val="auto"/>
              </w:rPr>
              <w:t>Total construction/</w:t>
            </w: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3400" w:type="dxa"/>
            <w:vAlign w:val="bottom"/>
            <w:gridSpan w:val="3"/>
            <w:shd w:val="clear" w:color="auto" w:fill="CFF0FC"/>
          </w:tcPr>
          <w:p>
            <w:pPr>
              <w:ind w:left="580"/>
              <w:spacing w:after="0"/>
              <w:rPr>
                <w:sz w:val="20"/>
                <w:szCs w:val="20"/>
                <w:color w:val="auto"/>
              </w:rPr>
            </w:pPr>
            <w:r>
              <w:rPr>
                <w:rFonts w:ascii="Arial" w:cs="Arial" w:eastAsia="Arial" w:hAnsi="Arial"/>
                <w:sz w:val="14"/>
                <w:szCs w:val="14"/>
                <w:color w:val="auto"/>
              </w:rPr>
              <w:t>development</w:t>
            </w: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1,915</w:t>
            </w: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703</w:t>
            </w:r>
          </w:p>
        </w:tc>
        <w:tc>
          <w:tcPr>
            <w:tcW w:w="4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731</w:t>
            </w:r>
          </w:p>
        </w:tc>
        <w:tc>
          <w:tcPr>
            <w:tcW w:w="1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2,448</w:t>
            </w:r>
          </w:p>
        </w:tc>
        <w:tc>
          <w:tcPr>
            <w:tcW w:w="3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1,943</w:t>
            </w:r>
          </w:p>
        </w:tc>
        <w:tc>
          <w:tcPr>
            <w:tcW w:w="4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7,740</w:t>
            </w:r>
          </w:p>
        </w:tc>
        <w:tc>
          <w:tcPr>
            <w:tcW w:w="4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0"/>
        </w:trPr>
        <w:tc>
          <w:tcPr>
            <w:tcW w:w="3400" w:type="dxa"/>
            <w:vAlign w:val="bottom"/>
            <w:gridSpan w:val="3"/>
            <w:vMerge w:val="restart"/>
          </w:tcPr>
          <w:p>
            <w:pPr>
              <w:spacing w:after="0"/>
              <w:rPr>
                <w:sz w:val="20"/>
                <w:szCs w:val="20"/>
                <w:color w:val="auto"/>
              </w:rPr>
            </w:pPr>
            <w:r>
              <w:rPr>
                <w:rFonts w:ascii="Arial" w:cs="Arial" w:eastAsia="Arial" w:hAnsi="Arial"/>
                <w:sz w:val="14"/>
                <w:szCs w:val="14"/>
                <w:color w:val="auto"/>
              </w:rPr>
              <w:t>Total investor-owned</w:t>
            </w: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40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line="151" w:lineRule="exact"/>
              <w:rPr>
                <w:sz w:val="20"/>
                <w:szCs w:val="20"/>
                <w:color w:val="auto"/>
              </w:rPr>
            </w:pPr>
            <w:r>
              <w:rPr>
                <w:rFonts w:ascii="Arial" w:cs="Arial" w:eastAsia="Arial" w:hAnsi="Arial"/>
                <w:sz w:val="14"/>
                <w:szCs w:val="14"/>
                <w:color w:val="auto"/>
              </w:rPr>
              <w:t>8,058</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jc w:val="right"/>
              <w:spacing w:after="0" w:line="151" w:lineRule="exact"/>
              <w:rPr>
                <w:sz w:val="20"/>
                <w:szCs w:val="20"/>
                <w:color w:val="auto"/>
              </w:rPr>
            </w:pPr>
            <w:r>
              <w:rPr>
                <w:rFonts w:ascii="Arial" w:cs="Arial" w:eastAsia="Arial" w:hAnsi="Arial"/>
                <w:sz w:val="14"/>
                <w:szCs w:val="14"/>
                <w:color w:val="auto"/>
              </w:rPr>
              <w:t>4,088</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line="151" w:lineRule="exact"/>
              <w:rPr>
                <w:sz w:val="20"/>
                <w:szCs w:val="20"/>
                <w:color w:val="auto"/>
              </w:rPr>
            </w:pPr>
            <w:r>
              <w:rPr>
                <w:rFonts w:ascii="Arial" w:cs="Arial" w:eastAsia="Arial" w:hAnsi="Arial"/>
                <w:sz w:val="14"/>
                <w:szCs w:val="14"/>
                <w:color w:val="auto"/>
              </w:rPr>
              <w:t>2,961</w:t>
            </w: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line="151" w:lineRule="exact"/>
              <w:rPr>
                <w:sz w:val="20"/>
                <w:szCs w:val="20"/>
                <w:color w:val="auto"/>
              </w:rPr>
            </w:pPr>
            <w:r>
              <w:rPr>
                <w:rFonts w:ascii="Arial" w:cs="Arial" w:eastAsia="Arial" w:hAnsi="Arial"/>
                <w:sz w:val="14"/>
                <w:szCs w:val="14"/>
                <w:color w:val="auto"/>
              </w:rPr>
              <w:t>7,125</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line="151" w:lineRule="exact"/>
              <w:rPr>
                <w:sz w:val="20"/>
                <w:szCs w:val="20"/>
                <w:color w:val="auto"/>
              </w:rPr>
            </w:pPr>
            <w:r>
              <w:rPr>
                <w:rFonts w:ascii="Arial" w:cs="Arial" w:eastAsia="Arial" w:hAnsi="Arial"/>
                <w:sz w:val="14"/>
                <w:szCs w:val="14"/>
                <w:color w:val="auto"/>
              </w:rPr>
              <w:t>4,490</w:t>
            </w: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jc w:val="right"/>
              <w:spacing w:after="0" w:line="151" w:lineRule="exact"/>
              <w:rPr>
                <w:sz w:val="20"/>
                <w:szCs w:val="20"/>
                <w:color w:val="auto"/>
              </w:rPr>
            </w:pPr>
            <w:r>
              <w:rPr>
                <w:rFonts w:ascii="Arial" w:cs="Arial" w:eastAsia="Arial" w:hAnsi="Arial"/>
                <w:sz w:val="14"/>
                <w:szCs w:val="14"/>
                <w:color w:val="auto"/>
              </w:rPr>
              <w:t>26,722</w:t>
            </w:r>
          </w:p>
        </w:tc>
        <w:tc>
          <w:tcPr>
            <w:tcW w:w="480" w:type="dxa"/>
            <w:vAlign w:val="bottom"/>
          </w:tcPr>
          <w:p>
            <w:pPr>
              <w:spacing w:after="0"/>
              <w:rPr>
                <w:sz w:val="13"/>
                <w:szCs w:val="13"/>
                <w:color w:val="auto"/>
              </w:rPr>
            </w:pPr>
          </w:p>
        </w:tc>
        <w:tc>
          <w:tcPr>
            <w:tcW w:w="920" w:type="dxa"/>
            <w:vAlign w:val="bottom"/>
            <w:gridSpan w:val="2"/>
          </w:tcPr>
          <w:p>
            <w:pPr>
              <w:jc w:val="right"/>
              <w:ind w:right="80"/>
              <w:spacing w:after="0" w:line="151" w:lineRule="exact"/>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151"/>
        </w:trPr>
        <w:tc>
          <w:tcPr>
            <w:tcW w:w="3400" w:type="dxa"/>
            <w:vAlign w:val="bottom"/>
            <w:tcBorders>
              <w:top w:val="single" w:sz="8" w:color="CFF0FC"/>
            </w:tcBorders>
            <w:gridSpan w:val="3"/>
            <w:shd w:val="clear" w:color="auto" w:fill="CFF0FC"/>
          </w:tcPr>
          <w:p>
            <w:pPr>
              <w:spacing w:after="0" w:line="151" w:lineRule="exact"/>
              <w:rPr>
                <w:sz w:val="20"/>
                <w:szCs w:val="20"/>
                <w:color w:val="auto"/>
              </w:rPr>
            </w:pPr>
            <w:r>
              <w:rPr>
                <w:rFonts w:ascii="Arial" w:cs="Arial" w:eastAsia="Arial" w:hAnsi="Arial"/>
                <w:sz w:val="14"/>
                <w:szCs w:val="14"/>
                <w:color w:val="auto"/>
              </w:rPr>
              <w:t>Owner-occupied by industry(b)</w:t>
            </w:r>
          </w:p>
        </w:tc>
        <w:tc>
          <w:tcPr>
            <w:tcW w:w="80" w:type="dxa"/>
            <w:vAlign w:val="bottom"/>
            <w:tcBorders>
              <w:top w:val="single" w:sz="8" w:color="auto"/>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spacing w:after="0"/>
              <w:rPr>
                <w:sz w:val="13"/>
                <w:szCs w:val="13"/>
                <w:color w:val="auto"/>
              </w:rPr>
            </w:pPr>
          </w:p>
        </w:tc>
        <w:tc>
          <w:tcPr>
            <w:tcW w:w="30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480" w:type="dxa"/>
            <w:vAlign w:val="bottom"/>
            <w:tcBorders>
              <w:top w:val="single" w:sz="8" w:color="auto"/>
            </w:tcBorders>
            <w:shd w:val="clear" w:color="auto" w:fill="CFF0FC"/>
          </w:tcPr>
          <w:p>
            <w:pPr>
              <w:spacing w:after="0"/>
              <w:rPr>
                <w:sz w:val="13"/>
                <w:szCs w:val="13"/>
                <w:color w:val="auto"/>
              </w:rPr>
            </w:pPr>
          </w:p>
        </w:tc>
        <w:tc>
          <w:tcPr>
            <w:tcW w:w="4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58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3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spacing w:after="0"/>
              <w:rPr>
                <w:sz w:val="13"/>
                <w:szCs w:val="13"/>
                <w:color w:val="auto"/>
              </w:rPr>
            </w:pPr>
          </w:p>
        </w:tc>
        <w:tc>
          <w:tcPr>
            <w:tcW w:w="3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560" w:type="dxa"/>
            <w:vAlign w:val="bottom"/>
            <w:tcBorders>
              <w:top w:val="single" w:sz="8" w:color="auto"/>
            </w:tcBorders>
            <w:shd w:val="clear" w:color="auto" w:fill="CFF0FC"/>
          </w:tcPr>
          <w:p>
            <w:pPr>
              <w:spacing w:after="0"/>
              <w:rPr>
                <w:sz w:val="13"/>
                <w:szCs w:val="13"/>
                <w:color w:val="auto"/>
              </w:rPr>
            </w:pPr>
          </w:p>
        </w:tc>
        <w:tc>
          <w:tcPr>
            <w:tcW w:w="46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540" w:type="dxa"/>
            <w:vAlign w:val="bottom"/>
            <w:tcBorders>
              <w:top w:val="single" w:sz="8" w:color="auto"/>
            </w:tcBorders>
            <w:shd w:val="clear" w:color="auto" w:fill="CFF0FC"/>
          </w:tcPr>
          <w:p>
            <w:pPr>
              <w:spacing w:after="0"/>
              <w:rPr>
                <w:sz w:val="13"/>
                <w:szCs w:val="13"/>
                <w:color w:val="auto"/>
              </w:rPr>
            </w:pPr>
          </w:p>
        </w:tc>
        <w:tc>
          <w:tcPr>
            <w:tcW w:w="480" w:type="dxa"/>
            <w:vAlign w:val="bottom"/>
            <w:tcBorders>
              <w:top w:val="single" w:sz="8" w:color="CFF0FC"/>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400" w:type="dxa"/>
            <w:vAlign w:val="bottom"/>
            <w:gridSpan w:val="3"/>
          </w:tcPr>
          <w:p>
            <w:pPr>
              <w:ind w:left="240"/>
              <w:spacing w:after="0" w:line="158" w:lineRule="exact"/>
              <w:rPr>
                <w:sz w:val="20"/>
                <w:szCs w:val="20"/>
                <w:color w:val="auto"/>
              </w:rPr>
            </w:pPr>
            <w:r>
              <w:rPr>
                <w:rFonts w:ascii="Arial" w:cs="Arial" w:eastAsia="Arial" w:hAnsi="Arial"/>
                <w:sz w:val="14"/>
                <w:szCs w:val="14"/>
                <w:color w:val="auto"/>
              </w:rPr>
              <w:t>Other services</w:t>
            </w:r>
          </w:p>
        </w:tc>
        <w:tc>
          <w:tcPr>
            <w:tcW w:w="80" w:type="dxa"/>
            <w:vAlign w:val="bottom"/>
          </w:tcPr>
          <w:p>
            <w:pPr>
              <w:spacing w:after="0"/>
              <w:rPr>
                <w:sz w:val="13"/>
                <w:szCs w:val="13"/>
                <w:color w:val="auto"/>
              </w:rPr>
            </w:pPr>
          </w:p>
        </w:tc>
        <w:tc>
          <w:tcPr>
            <w:tcW w:w="620" w:type="dxa"/>
            <w:vAlign w:val="bottom"/>
          </w:tcPr>
          <w:p>
            <w:pPr>
              <w:jc w:val="right"/>
              <w:spacing w:after="0" w:line="158" w:lineRule="exact"/>
              <w:rPr>
                <w:sz w:val="20"/>
                <w:szCs w:val="20"/>
                <w:color w:val="auto"/>
              </w:rPr>
            </w:pPr>
            <w:r>
              <w:rPr>
                <w:rFonts w:ascii="Arial" w:cs="Arial" w:eastAsia="Arial" w:hAnsi="Arial"/>
                <w:sz w:val="14"/>
                <w:szCs w:val="14"/>
                <w:color w:val="auto"/>
              </w:rPr>
              <w:t>166</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jc w:val="right"/>
              <w:spacing w:after="0" w:line="158" w:lineRule="exact"/>
              <w:rPr>
                <w:sz w:val="20"/>
                <w:szCs w:val="20"/>
                <w:color w:val="auto"/>
              </w:rPr>
            </w:pPr>
            <w:r>
              <w:rPr>
                <w:rFonts w:ascii="Arial" w:cs="Arial" w:eastAsia="Arial" w:hAnsi="Arial"/>
                <w:sz w:val="14"/>
                <w:szCs w:val="14"/>
                <w:color w:val="auto"/>
              </w:rPr>
              <w:t>401</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line="158" w:lineRule="exact"/>
              <w:rPr>
                <w:sz w:val="20"/>
                <w:szCs w:val="20"/>
                <w:color w:val="auto"/>
              </w:rPr>
            </w:pPr>
            <w:r>
              <w:rPr>
                <w:rFonts w:ascii="Arial" w:cs="Arial" w:eastAsia="Arial" w:hAnsi="Arial"/>
                <w:sz w:val="14"/>
                <w:szCs w:val="14"/>
                <w:color w:val="auto"/>
              </w:rPr>
              <w:t>223</w:t>
            </w: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line="158" w:lineRule="exact"/>
              <w:rPr>
                <w:sz w:val="20"/>
                <w:szCs w:val="20"/>
                <w:color w:val="auto"/>
              </w:rPr>
            </w:pPr>
            <w:r>
              <w:rPr>
                <w:rFonts w:ascii="Arial" w:cs="Arial" w:eastAsia="Arial" w:hAnsi="Arial"/>
                <w:sz w:val="14"/>
                <w:szCs w:val="14"/>
                <w:color w:val="auto"/>
              </w:rPr>
              <w:t>613</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line="158" w:lineRule="exact"/>
              <w:rPr>
                <w:sz w:val="20"/>
                <w:szCs w:val="20"/>
                <w:color w:val="auto"/>
              </w:rPr>
            </w:pPr>
            <w:r>
              <w:rPr>
                <w:rFonts w:ascii="Arial" w:cs="Arial" w:eastAsia="Arial" w:hAnsi="Arial"/>
                <w:sz w:val="14"/>
                <w:szCs w:val="14"/>
                <w:color w:val="auto"/>
              </w:rPr>
              <w:t>32</w:t>
            </w: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jc w:val="right"/>
              <w:spacing w:after="0" w:line="158" w:lineRule="exact"/>
              <w:rPr>
                <w:sz w:val="20"/>
                <w:szCs w:val="20"/>
                <w:color w:val="auto"/>
              </w:rPr>
            </w:pPr>
            <w:r>
              <w:rPr>
                <w:rFonts w:ascii="Arial" w:cs="Arial" w:eastAsia="Arial" w:hAnsi="Arial"/>
                <w:sz w:val="14"/>
                <w:szCs w:val="14"/>
                <w:color w:val="auto"/>
              </w:rPr>
              <w:t>1,435</w:t>
            </w:r>
          </w:p>
        </w:tc>
        <w:tc>
          <w:tcPr>
            <w:tcW w:w="480" w:type="dxa"/>
            <w:vAlign w:val="bottom"/>
          </w:tcPr>
          <w:p>
            <w:pPr>
              <w:spacing w:after="0"/>
              <w:rPr>
                <w:sz w:val="13"/>
                <w:szCs w:val="13"/>
                <w:color w:val="auto"/>
              </w:rPr>
            </w:pPr>
          </w:p>
        </w:tc>
        <w:tc>
          <w:tcPr>
            <w:tcW w:w="92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58"/>
        </w:trPr>
        <w:tc>
          <w:tcPr>
            <w:tcW w:w="3400" w:type="dxa"/>
            <w:vAlign w:val="bottom"/>
            <w:gridSpan w:val="3"/>
            <w:shd w:val="clear" w:color="auto" w:fill="CFF0FC"/>
          </w:tcPr>
          <w:p>
            <w:pPr>
              <w:ind w:left="240"/>
              <w:spacing w:after="0" w:line="158" w:lineRule="exact"/>
              <w:rPr>
                <w:sz w:val="20"/>
                <w:szCs w:val="20"/>
                <w:color w:val="auto"/>
              </w:rPr>
            </w:pPr>
            <w:r>
              <w:rPr>
                <w:rFonts w:ascii="Arial" w:cs="Arial" w:eastAsia="Arial" w:hAnsi="Arial"/>
                <w:sz w:val="14"/>
                <w:szCs w:val="14"/>
                <w:color w:val="auto"/>
              </w:rPr>
              <w:t>Retail</w:t>
            </w: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106</w:t>
            </w:r>
          </w:p>
        </w:tc>
        <w:tc>
          <w:tcPr>
            <w:tcW w:w="3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177</w:t>
            </w:r>
          </w:p>
        </w:tc>
        <w:tc>
          <w:tcPr>
            <w:tcW w:w="4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277</w:t>
            </w:r>
          </w:p>
        </w:tc>
        <w:tc>
          <w:tcPr>
            <w:tcW w:w="1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396</w:t>
            </w:r>
          </w:p>
        </w:tc>
        <w:tc>
          <w:tcPr>
            <w:tcW w:w="3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162</w:t>
            </w:r>
          </w:p>
        </w:tc>
        <w:tc>
          <w:tcPr>
            <w:tcW w:w="4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1,118</w:t>
            </w:r>
          </w:p>
        </w:tc>
        <w:tc>
          <w:tcPr>
            <w:tcW w:w="48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3</w:t>
            </w:r>
          </w:p>
        </w:tc>
        <w:tc>
          <w:tcPr>
            <w:tcW w:w="2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400" w:type="dxa"/>
            <w:vAlign w:val="bottom"/>
            <w:gridSpan w:val="3"/>
          </w:tcPr>
          <w:p>
            <w:pPr>
              <w:ind w:left="240"/>
              <w:spacing w:after="0" w:line="158" w:lineRule="exact"/>
              <w:rPr>
                <w:sz w:val="20"/>
                <w:szCs w:val="20"/>
                <w:color w:val="auto"/>
              </w:rPr>
            </w:pPr>
            <w:r>
              <w:rPr>
                <w:rFonts w:ascii="Arial" w:cs="Arial" w:eastAsia="Arial" w:hAnsi="Arial"/>
                <w:sz w:val="14"/>
                <w:szCs w:val="14"/>
                <w:color w:val="auto"/>
              </w:rPr>
              <w:t>Automobile dealerships</w:t>
            </w:r>
          </w:p>
        </w:tc>
        <w:tc>
          <w:tcPr>
            <w:tcW w:w="80" w:type="dxa"/>
            <w:vAlign w:val="bottom"/>
          </w:tcPr>
          <w:p>
            <w:pPr>
              <w:spacing w:after="0"/>
              <w:rPr>
                <w:sz w:val="13"/>
                <w:szCs w:val="13"/>
                <w:color w:val="auto"/>
              </w:rPr>
            </w:pPr>
          </w:p>
        </w:tc>
        <w:tc>
          <w:tcPr>
            <w:tcW w:w="620" w:type="dxa"/>
            <w:vAlign w:val="bottom"/>
          </w:tcPr>
          <w:p>
            <w:pPr>
              <w:jc w:val="right"/>
              <w:spacing w:after="0" w:line="158" w:lineRule="exact"/>
              <w:rPr>
                <w:sz w:val="20"/>
                <w:szCs w:val="20"/>
                <w:color w:val="auto"/>
              </w:rPr>
            </w:pPr>
            <w:r>
              <w:rPr>
                <w:rFonts w:ascii="Arial" w:cs="Arial" w:eastAsia="Arial" w:hAnsi="Arial"/>
                <w:sz w:val="14"/>
                <w:szCs w:val="14"/>
                <w:color w:val="auto"/>
              </w:rPr>
              <w:t>176</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jc w:val="right"/>
              <w:spacing w:after="0" w:line="158" w:lineRule="exact"/>
              <w:rPr>
                <w:sz w:val="20"/>
                <w:szCs w:val="20"/>
                <w:color w:val="auto"/>
              </w:rPr>
            </w:pPr>
            <w:r>
              <w:rPr>
                <w:rFonts w:ascii="Arial" w:cs="Arial" w:eastAsia="Arial" w:hAnsi="Arial"/>
                <w:sz w:val="14"/>
                <w:szCs w:val="14"/>
                <w:color w:val="auto"/>
              </w:rPr>
              <w:t>191</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line="158" w:lineRule="exact"/>
              <w:rPr>
                <w:sz w:val="20"/>
                <w:szCs w:val="20"/>
                <w:color w:val="auto"/>
              </w:rPr>
            </w:pPr>
            <w:r>
              <w:rPr>
                <w:rFonts w:ascii="Arial" w:cs="Arial" w:eastAsia="Arial" w:hAnsi="Arial"/>
                <w:sz w:val="14"/>
                <w:szCs w:val="14"/>
                <w:color w:val="auto"/>
              </w:rPr>
              <w:t>210</w:t>
            </w: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line="158" w:lineRule="exact"/>
              <w:rPr>
                <w:sz w:val="20"/>
                <w:szCs w:val="20"/>
                <w:color w:val="auto"/>
              </w:rPr>
            </w:pPr>
            <w:r>
              <w:rPr>
                <w:rFonts w:ascii="Arial" w:cs="Arial" w:eastAsia="Arial" w:hAnsi="Arial"/>
                <w:sz w:val="14"/>
                <w:szCs w:val="14"/>
                <w:color w:val="auto"/>
              </w:rPr>
              <w:t>170</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line="158" w:lineRule="exact"/>
              <w:rPr>
                <w:sz w:val="20"/>
                <w:szCs w:val="20"/>
                <w:color w:val="auto"/>
              </w:rPr>
            </w:pPr>
            <w:r>
              <w:rPr>
                <w:rFonts w:ascii="Arial" w:cs="Arial" w:eastAsia="Arial" w:hAnsi="Arial"/>
                <w:sz w:val="14"/>
                <w:szCs w:val="14"/>
                <w:color w:val="auto"/>
              </w:rPr>
              <w:t>179</w:t>
            </w: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jc w:val="right"/>
              <w:spacing w:after="0" w:line="158" w:lineRule="exact"/>
              <w:rPr>
                <w:sz w:val="20"/>
                <w:szCs w:val="20"/>
                <w:color w:val="auto"/>
              </w:rPr>
            </w:pPr>
            <w:r>
              <w:rPr>
                <w:rFonts w:ascii="Arial" w:cs="Arial" w:eastAsia="Arial" w:hAnsi="Arial"/>
                <w:sz w:val="14"/>
                <w:szCs w:val="14"/>
                <w:color w:val="auto"/>
              </w:rPr>
              <w:t>926</w:t>
            </w:r>
          </w:p>
        </w:tc>
        <w:tc>
          <w:tcPr>
            <w:tcW w:w="480" w:type="dxa"/>
            <w:vAlign w:val="bottom"/>
          </w:tcPr>
          <w:p>
            <w:pPr>
              <w:spacing w:after="0"/>
              <w:rPr>
                <w:sz w:val="13"/>
                <w:szCs w:val="13"/>
                <w:color w:val="auto"/>
              </w:rPr>
            </w:pPr>
          </w:p>
        </w:tc>
        <w:tc>
          <w:tcPr>
            <w:tcW w:w="720" w:type="dxa"/>
            <w:vAlign w:val="bottom"/>
          </w:tcPr>
          <w:p>
            <w:pPr>
              <w:jc w:val="right"/>
              <w:spacing w:after="0" w:line="158" w:lineRule="exact"/>
              <w:rPr>
                <w:sz w:val="20"/>
                <w:szCs w:val="20"/>
                <w:color w:val="auto"/>
              </w:rPr>
            </w:pPr>
            <w:r>
              <w:rPr>
                <w:rFonts w:ascii="Arial" w:cs="Arial" w:eastAsia="Arial" w:hAnsi="Arial"/>
                <w:sz w:val="14"/>
                <w:szCs w:val="14"/>
                <w:color w:val="auto"/>
              </w:rPr>
              <w:t>3</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400" w:type="dxa"/>
            <w:vAlign w:val="bottom"/>
            <w:gridSpan w:val="3"/>
            <w:shd w:val="clear" w:color="auto" w:fill="CFF0FC"/>
          </w:tcPr>
          <w:p>
            <w:pPr>
              <w:ind w:left="240"/>
              <w:spacing w:after="0" w:line="158" w:lineRule="exact"/>
              <w:rPr>
                <w:sz w:val="20"/>
                <w:szCs w:val="20"/>
                <w:color w:val="auto"/>
              </w:rPr>
            </w:pPr>
            <w:r>
              <w:rPr>
                <w:rFonts w:ascii="Arial" w:cs="Arial" w:eastAsia="Arial" w:hAnsi="Arial"/>
                <w:sz w:val="14"/>
                <w:szCs w:val="14"/>
                <w:color w:val="auto"/>
              </w:rPr>
              <w:t>Health services</w:t>
            </w: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134</w:t>
            </w:r>
          </w:p>
        </w:tc>
        <w:tc>
          <w:tcPr>
            <w:tcW w:w="3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303</w:t>
            </w:r>
          </w:p>
        </w:tc>
        <w:tc>
          <w:tcPr>
            <w:tcW w:w="4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153</w:t>
            </w:r>
          </w:p>
        </w:tc>
        <w:tc>
          <w:tcPr>
            <w:tcW w:w="1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216</w:t>
            </w:r>
          </w:p>
        </w:tc>
        <w:tc>
          <w:tcPr>
            <w:tcW w:w="3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24</w:t>
            </w:r>
          </w:p>
        </w:tc>
        <w:tc>
          <w:tcPr>
            <w:tcW w:w="4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830</w:t>
            </w:r>
          </w:p>
        </w:tc>
        <w:tc>
          <w:tcPr>
            <w:tcW w:w="48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w:t>
            </w:r>
          </w:p>
        </w:tc>
        <w:tc>
          <w:tcPr>
            <w:tcW w:w="2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400" w:type="dxa"/>
            <w:vAlign w:val="bottom"/>
            <w:gridSpan w:val="3"/>
          </w:tcPr>
          <w:p>
            <w:pPr>
              <w:ind w:left="240"/>
              <w:spacing w:after="0" w:line="158" w:lineRule="exact"/>
              <w:rPr>
                <w:sz w:val="20"/>
                <w:szCs w:val="20"/>
                <w:color w:val="auto"/>
              </w:rPr>
            </w:pPr>
            <w:r>
              <w:rPr>
                <w:rFonts w:ascii="Arial" w:cs="Arial" w:eastAsia="Arial" w:hAnsi="Arial"/>
                <w:sz w:val="14"/>
                <w:szCs w:val="14"/>
                <w:color w:val="auto"/>
              </w:rPr>
              <w:t>Wholesale</w:t>
            </w:r>
          </w:p>
        </w:tc>
        <w:tc>
          <w:tcPr>
            <w:tcW w:w="80" w:type="dxa"/>
            <w:vAlign w:val="bottom"/>
          </w:tcPr>
          <w:p>
            <w:pPr>
              <w:spacing w:after="0"/>
              <w:rPr>
                <w:sz w:val="13"/>
                <w:szCs w:val="13"/>
                <w:color w:val="auto"/>
              </w:rPr>
            </w:pPr>
          </w:p>
        </w:tc>
        <w:tc>
          <w:tcPr>
            <w:tcW w:w="620" w:type="dxa"/>
            <w:vAlign w:val="bottom"/>
          </w:tcPr>
          <w:p>
            <w:pPr>
              <w:jc w:val="right"/>
              <w:spacing w:after="0" w:line="158" w:lineRule="exact"/>
              <w:rPr>
                <w:sz w:val="20"/>
                <w:szCs w:val="20"/>
                <w:color w:val="auto"/>
              </w:rPr>
            </w:pPr>
            <w:r>
              <w:rPr>
                <w:rFonts w:ascii="Arial" w:cs="Arial" w:eastAsia="Arial" w:hAnsi="Arial"/>
                <w:sz w:val="14"/>
                <w:szCs w:val="14"/>
                <w:color w:val="auto"/>
              </w:rPr>
              <w:t>60</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jc w:val="right"/>
              <w:spacing w:after="0" w:line="158" w:lineRule="exact"/>
              <w:rPr>
                <w:sz w:val="20"/>
                <w:szCs w:val="20"/>
                <w:color w:val="auto"/>
              </w:rPr>
            </w:pPr>
            <w:r>
              <w:rPr>
                <w:rFonts w:ascii="Arial" w:cs="Arial" w:eastAsia="Arial" w:hAnsi="Arial"/>
                <w:sz w:val="14"/>
                <w:szCs w:val="14"/>
                <w:color w:val="auto"/>
              </w:rPr>
              <w:t>77</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line="158" w:lineRule="exact"/>
              <w:rPr>
                <w:sz w:val="20"/>
                <w:szCs w:val="20"/>
                <w:color w:val="auto"/>
              </w:rPr>
            </w:pPr>
            <w:r>
              <w:rPr>
                <w:rFonts w:ascii="Arial" w:cs="Arial" w:eastAsia="Arial" w:hAnsi="Arial"/>
                <w:sz w:val="14"/>
                <w:szCs w:val="14"/>
                <w:color w:val="auto"/>
              </w:rPr>
              <w:t>134</w:t>
            </w: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line="158" w:lineRule="exact"/>
              <w:rPr>
                <w:sz w:val="20"/>
                <w:szCs w:val="20"/>
                <w:color w:val="auto"/>
              </w:rPr>
            </w:pPr>
            <w:r>
              <w:rPr>
                <w:rFonts w:ascii="Arial" w:cs="Arial" w:eastAsia="Arial" w:hAnsi="Arial"/>
                <w:sz w:val="14"/>
                <w:szCs w:val="14"/>
                <w:color w:val="auto"/>
              </w:rPr>
              <w:t>302</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line="158" w:lineRule="exact"/>
              <w:rPr>
                <w:sz w:val="20"/>
                <w:szCs w:val="20"/>
                <w:color w:val="auto"/>
              </w:rPr>
            </w:pPr>
            <w:r>
              <w:rPr>
                <w:rFonts w:ascii="Arial" w:cs="Arial" w:eastAsia="Arial" w:hAnsi="Arial"/>
                <w:sz w:val="14"/>
                <w:szCs w:val="14"/>
                <w:color w:val="auto"/>
              </w:rPr>
              <w:t>96</w:t>
            </w: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jc w:val="right"/>
              <w:spacing w:after="0" w:line="158" w:lineRule="exact"/>
              <w:rPr>
                <w:sz w:val="20"/>
                <w:szCs w:val="20"/>
                <w:color w:val="auto"/>
              </w:rPr>
            </w:pPr>
            <w:r>
              <w:rPr>
                <w:rFonts w:ascii="Arial" w:cs="Arial" w:eastAsia="Arial" w:hAnsi="Arial"/>
                <w:sz w:val="14"/>
                <w:szCs w:val="14"/>
                <w:color w:val="auto"/>
              </w:rPr>
              <w:t>669</w:t>
            </w:r>
          </w:p>
        </w:tc>
        <w:tc>
          <w:tcPr>
            <w:tcW w:w="480" w:type="dxa"/>
            <w:vAlign w:val="bottom"/>
          </w:tcPr>
          <w:p>
            <w:pPr>
              <w:spacing w:after="0"/>
              <w:rPr>
                <w:sz w:val="13"/>
                <w:szCs w:val="13"/>
                <w:color w:val="auto"/>
              </w:rPr>
            </w:pPr>
          </w:p>
        </w:tc>
        <w:tc>
          <w:tcPr>
            <w:tcW w:w="720" w:type="dxa"/>
            <w:vAlign w:val="bottom"/>
          </w:tcPr>
          <w:p>
            <w:pPr>
              <w:jc w:val="right"/>
              <w:spacing w:after="0" w:line="158" w:lineRule="exact"/>
              <w:rPr>
                <w:sz w:val="20"/>
                <w:szCs w:val="20"/>
                <w:color w:val="auto"/>
              </w:rPr>
            </w:pPr>
            <w:r>
              <w:rPr>
                <w:rFonts w:ascii="Arial" w:cs="Arial" w:eastAsia="Arial" w:hAnsi="Arial"/>
                <w:sz w:val="14"/>
                <w:szCs w:val="14"/>
                <w:color w:val="auto"/>
              </w:rPr>
              <w:t>2</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400" w:type="dxa"/>
            <w:vAlign w:val="bottom"/>
            <w:gridSpan w:val="3"/>
            <w:shd w:val="clear" w:color="auto" w:fill="CFF0FC"/>
          </w:tcPr>
          <w:p>
            <w:pPr>
              <w:ind w:left="240"/>
              <w:spacing w:after="0" w:line="158" w:lineRule="exact"/>
              <w:rPr>
                <w:sz w:val="20"/>
                <w:szCs w:val="20"/>
                <w:color w:val="auto"/>
              </w:rPr>
            </w:pPr>
            <w:r>
              <w:rPr>
                <w:rFonts w:ascii="Arial" w:cs="Arial" w:eastAsia="Arial" w:hAnsi="Arial"/>
                <w:sz w:val="14"/>
                <w:szCs w:val="14"/>
                <w:color w:val="auto"/>
              </w:rPr>
              <w:t>Manufacturing</w:t>
            </w: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87</w:t>
            </w:r>
          </w:p>
        </w:tc>
        <w:tc>
          <w:tcPr>
            <w:tcW w:w="3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211</w:t>
            </w:r>
          </w:p>
        </w:tc>
        <w:tc>
          <w:tcPr>
            <w:tcW w:w="4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132</w:t>
            </w:r>
          </w:p>
        </w:tc>
        <w:tc>
          <w:tcPr>
            <w:tcW w:w="1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147</w:t>
            </w:r>
          </w:p>
        </w:tc>
        <w:tc>
          <w:tcPr>
            <w:tcW w:w="3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38</w:t>
            </w:r>
          </w:p>
        </w:tc>
        <w:tc>
          <w:tcPr>
            <w:tcW w:w="4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615</w:t>
            </w:r>
          </w:p>
        </w:tc>
        <w:tc>
          <w:tcPr>
            <w:tcW w:w="48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w:t>
            </w:r>
          </w:p>
        </w:tc>
        <w:tc>
          <w:tcPr>
            <w:tcW w:w="2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400" w:type="dxa"/>
            <w:vAlign w:val="bottom"/>
            <w:gridSpan w:val="3"/>
          </w:tcPr>
          <w:p>
            <w:pPr>
              <w:ind w:left="240"/>
              <w:spacing w:after="0" w:line="158" w:lineRule="exact"/>
              <w:rPr>
                <w:sz w:val="20"/>
                <w:szCs w:val="20"/>
                <w:color w:val="auto"/>
              </w:rPr>
            </w:pPr>
            <w:r>
              <w:rPr>
                <w:rFonts w:ascii="Arial" w:cs="Arial" w:eastAsia="Arial" w:hAnsi="Arial"/>
                <w:sz w:val="14"/>
                <w:szCs w:val="14"/>
                <w:color w:val="auto"/>
              </w:rPr>
              <w:t>Real estate investors</w:t>
            </w:r>
          </w:p>
        </w:tc>
        <w:tc>
          <w:tcPr>
            <w:tcW w:w="80" w:type="dxa"/>
            <w:vAlign w:val="bottom"/>
          </w:tcPr>
          <w:p>
            <w:pPr>
              <w:spacing w:after="0"/>
              <w:rPr>
                <w:sz w:val="13"/>
                <w:szCs w:val="13"/>
                <w:color w:val="auto"/>
              </w:rPr>
            </w:pPr>
          </w:p>
        </w:tc>
        <w:tc>
          <w:tcPr>
            <w:tcW w:w="620" w:type="dxa"/>
            <w:vAlign w:val="bottom"/>
          </w:tcPr>
          <w:p>
            <w:pPr>
              <w:jc w:val="right"/>
              <w:spacing w:after="0" w:line="158" w:lineRule="exact"/>
              <w:rPr>
                <w:sz w:val="20"/>
                <w:szCs w:val="20"/>
                <w:color w:val="auto"/>
              </w:rPr>
            </w:pPr>
            <w:r>
              <w:rPr>
                <w:rFonts w:ascii="Arial" w:cs="Arial" w:eastAsia="Arial" w:hAnsi="Arial"/>
                <w:sz w:val="14"/>
                <w:szCs w:val="14"/>
                <w:color w:val="auto"/>
              </w:rPr>
              <w:t>34</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jc w:val="right"/>
              <w:spacing w:after="0" w:line="158" w:lineRule="exact"/>
              <w:rPr>
                <w:sz w:val="20"/>
                <w:szCs w:val="20"/>
                <w:color w:val="auto"/>
              </w:rPr>
            </w:pPr>
            <w:r>
              <w:rPr>
                <w:rFonts w:ascii="Arial" w:cs="Arial" w:eastAsia="Arial" w:hAnsi="Arial"/>
                <w:sz w:val="14"/>
                <w:szCs w:val="14"/>
                <w:color w:val="auto"/>
              </w:rPr>
              <w:t>31</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line="158" w:lineRule="exact"/>
              <w:rPr>
                <w:sz w:val="20"/>
                <w:szCs w:val="20"/>
                <w:color w:val="auto"/>
              </w:rPr>
            </w:pPr>
            <w:r>
              <w:rPr>
                <w:rFonts w:ascii="Arial" w:cs="Arial" w:eastAsia="Arial" w:hAnsi="Arial"/>
                <w:sz w:val="14"/>
                <w:szCs w:val="14"/>
                <w:color w:val="auto"/>
              </w:rPr>
              <w:t>28</w:t>
            </w: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line="158" w:lineRule="exact"/>
              <w:rPr>
                <w:sz w:val="20"/>
                <w:szCs w:val="20"/>
                <w:color w:val="auto"/>
              </w:rPr>
            </w:pPr>
            <w:r>
              <w:rPr>
                <w:rFonts w:ascii="Arial" w:cs="Arial" w:eastAsia="Arial" w:hAnsi="Arial"/>
                <w:sz w:val="14"/>
                <w:szCs w:val="14"/>
                <w:color w:val="auto"/>
              </w:rPr>
              <w:t>52</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line="158" w:lineRule="exact"/>
              <w:rPr>
                <w:sz w:val="20"/>
                <w:szCs w:val="20"/>
                <w:color w:val="auto"/>
              </w:rPr>
            </w:pPr>
            <w:r>
              <w:rPr>
                <w:rFonts w:ascii="Arial" w:cs="Arial" w:eastAsia="Arial" w:hAnsi="Arial"/>
                <w:sz w:val="14"/>
                <w:szCs w:val="14"/>
                <w:color w:val="auto"/>
              </w:rPr>
              <w:t>2</w:t>
            </w: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jc w:val="right"/>
              <w:spacing w:after="0" w:line="158" w:lineRule="exact"/>
              <w:rPr>
                <w:sz w:val="20"/>
                <w:szCs w:val="20"/>
                <w:color w:val="auto"/>
              </w:rPr>
            </w:pPr>
            <w:r>
              <w:rPr>
                <w:rFonts w:ascii="Arial" w:cs="Arial" w:eastAsia="Arial" w:hAnsi="Arial"/>
                <w:sz w:val="14"/>
                <w:szCs w:val="14"/>
                <w:color w:val="auto"/>
              </w:rPr>
              <w:t>147</w:t>
            </w:r>
          </w:p>
        </w:tc>
        <w:tc>
          <w:tcPr>
            <w:tcW w:w="480" w:type="dxa"/>
            <w:vAlign w:val="bottom"/>
          </w:tcPr>
          <w:p>
            <w:pPr>
              <w:spacing w:after="0"/>
              <w:rPr>
                <w:sz w:val="13"/>
                <w:szCs w:val="13"/>
                <w:color w:val="auto"/>
              </w:rPr>
            </w:pPr>
          </w:p>
        </w:tc>
        <w:tc>
          <w:tcPr>
            <w:tcW w:w="920" w:type="dxa"/>
            <w:vAlign w:val="bottom"/>
            <w:gridSpan w:val="2"/>
          </w:tcPr>
          <w:p>
            <w:pPr>
              <w:jc w:val="right"/>
              <w:ind w:right="200"/>
              <w:spacing w:after="0" w:line="15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8"/>
        </w:trPr>
        <w:tc>
          <w:tcPr>
            <w:tcW w:w="3400" w:type="dxa"/>
            <w:vAlign w:val="bottom"/>
            <w:gridSpan w:val="3"/>
            <w:shd w:val="clear" w:color="auto" w:fill="CFF0FC"/>
          </w:tcPr>
          <w:p>
            <w:pPr>
              <w:ind w:left="240"/>
              <w:spacing w:after="0" w:line="158" w:lineRule="exact"/>
              <w:rPr>
                <w:sz w:val="20"/>
                <w:szCs w:val="20"/>
                <w:color w:val="auto"/>
              </w:rPr>
            </w:pPr>
            <w:r>
              <w:rPr>
                <w:rFonts w:ascii="Arial" w:cs="Arial" w:eastAsia="Arial" w:hAnsi="Arial"/>
                <w:sz w:val="14"/>
                <w:szCs w:val="14"/>
                <w:color w:val="auto"/>
              </w:rPr>
              <w:t>Other</w:t>
            </w:r>
          </w:p>
        </w:tc>
        <w:tc>
          <w:tcPr>
            <w:tcW w:w="80" w:type="dxa"/>
            <w:vAlign w:val="bottom"/>
            <w:tcBorders>
              <w:bottom w:val="single" w:sz="8" w:color="auto"/>
            </w:tcBorders>
            <w:shd w:val="clear" w:color="auto" w:fill="CFF0FC"/>
          </w:tcPr>
          <w:p>
            <w:pPr>
              <w:spacing w:after="0"/>
              <w:rPr>
                <w:sz w:val="13"/>
                <w:szCs w:val="13"/>
                <w:color w:val="auto"/>
              </w:rPr>
            </w:pPr>
          </w:p>
        </w:tc>
        <w:tc>
          <w:tcPr>
            <w:tcW w:w="620" w:type="dxa"/>
            <w:vAlign w:val="bottom"/>
            <w:tcBorders>
              <w:bottom w:val="single" w:sz="8" w:color="auto"/>
            </w:tcBorders>
            <w:shd w:val="clear" w:color="auto" w:fill="CFF0FC"/>
          </w:tcPr>
          <w:p>
            <w:pPr>
              <w:jc w:val="right"/>
              <w:spacing w:after="0" w:line="158" w:lineRule="exact"/>
              <w:rPr>
                <w:sz w:val="20"/>
                <w:szCs w:val="20"/>
                <w:color w:val="auto"/>
              </w:rPr>
            </w:pPr>
            <w:r>
              <w:rPr>
                <w:rFonts w:ascii="Arial" w:cs="Arial" w:eastAsia="Arial" w:hAnsi="Arial"/>
                <w:sz w:val="14"/>
                <w:szCs w:val="14"/>
                <w:color w:val="auto"/>
              </w:rPr>
              <w:t>99</w:t>
            </w:r>
          </w:p>
        </w:tc>
        <w:tc>
          <w:tcPr>
            <w:tcW w:w="3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480" w:type="dxa"/>
            <w:vAlign w:val="bottom"/>
            <w:tcBorders>
              <w:bottom w:val="single" w:sz="8" w:color="auto"/>
            </w:tcBorders>
            <w:shd w:val="clear" w:color="auto" w:fill="CFF0FC"/>
          </w:tcPr>
          <w:p>
            <w:pPr>
              <w:jc w:val="right"/>
              <w:spacing w:after="0" w:line="158" w:lineRule="exact"/>
              <w:rPr>
                <w:sz w:val="20"/>
                <w:szCs w:val="20"/>
                <w:color w:val="auto"/>
              </w:rPr>
            </w:pPr>
            <w:r>
              <w:rPr>
                <w:rFonts w:ascii="Arial" w:cs="Arial" w:eastAsia="Arial" w:hAnsi="Arial"/>
                <w:sz w:val="14"/>
                <w:szCs w:val="14"/>
                <w:color w:val="auto"/>
              </w:rPr>
              <w:t>181</w:t>
            </w:r>
          </w:p>
        </w:tc>
        <w:tc>
          <w:tcPr>
            <w:tcW w:w="480" w:type="dxa"/>
            <w:vAlign w:val="bottom"/>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580" w:type="dxa"/>
            <w:vAlign w:val="bottom"/>
            <w:tcBorders>
              <w:bottom w:val="single" w:sz="8" w:color="auto"/>
            </w:tcBorders>
            <w:shd w:val="clear" w:color="auto" w:fill="CFF0FC"/>
          </w:tcPr>
          <w:p>
            <w:pPr>
              <w:jc w:val="right"/>
              <w:spacing w:after="0" w:line="158" w:lineRule="exact"/>
              <w:rPr>
                <w:sz w:val="20"/>
                <w:szCs w:val="20"/>
                <w:color w:val="auto"/>
              </w:rPr>
            </w:pPr>
            <w:r>
              <w:rPr>
                <w:rFonts w:ascii="Arial" w:cs="Arial" w:eastAsia="Arial" w:hAnsi="Arial"/>
                <w:sz w:val="14"/>
                <w:szCs w:val="14"/>
                <w:color w:val="auto"/>
              </w:rPr>
              <w:t>272</w:t>
            </w:r>
          </w:p>
        </w:tc>
        <w:tc>
          <w:tcPr>
            <w:tcW w:w="1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640" w:type="dxa"/>
            <w:vAlign w:val="bottom"/>
            <w:tcBorders>
              <w:bottom w:val="single" w:sz="8" w:color="auto"/>
            </w:tcBorders>
            <w:shd w:val="clear" w:color="auto" w:fill="CFF0FC"/>
          </w:tcPr>
          <w:p>
            <w:pPr>
              <w:jc w:val="right"/>
              <w:spacing w:after="0" w:line="158" w:lineRule="exact"/>
              <w:rPr>
                <w:sz w:val="20"/>
                <w:szCs w:val="20"/>
                <w:color w:val="auto"/>
              </w:rPr>
            </w:pPr>
            <w:r>
              <w:rPr>
                <w:rFonts w:ascii="Arial" w:cs="Arial" w:eastAsia="Arial" w:hAnsi="Arial"/>
                <w:sz w:val="14"/>
                <w:szCs w:val="14"/>
                <w:color w:val="auto"/>
              </w:rPr>
              <w:t>347</w:t>
            </w:r>
          </w:p>
        </w:tc>
        <w:tc>
          <w:tcPr>
            <w:tcW w:w="3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560" w:type="dxa"/>
            <w:vAlign w:val="bottom"/>
            <w:tcBorders>
              <w:bottom w:val="single" w:sz="8" w:color="auto"/>
            </w:tcBorders>
            <w:shd w:val="clear" w:color="auto" w:fill="CFF0FC"/>
          </w:tcPr>
          <w:p>
            <w:pPr>
              <w:jc w:val="right"/>
              <w:spacing w:after="0" w:line="158" w:lineRule="exact"/>
              <w:rPr>
                <w:sz w:val="20"/>
                <w:szCs w:val="20"/>
                <w:color w:val="auto"/>
              </w:rPr>
            </w:pPr>
            <w:r>
              <w:rPr>
                <w:rFonts w:ascii="Arial" w:cs="Arial" w:eastAsia="Arial" w:hAnsi="Arial"/>
                <w:sz w:val="14"/>
                <w:szCs w:val="14"/>
                <w:color w:val="auto"/>
              </w:rPr>
              <w:t>5</w:t>
            </w:r>
          </w:p>
        </w:tc>
        <w:tc>
          <w:tcPr>
            <w:tcW w:w="460" w:type="dxa"/>
            <w:vAlign w:val="bottom"/>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540" w:type="dxa"/>
            <w:vAlign w:val="bottom"/>
            <w:tcBorders>
              <w:bottom w:val="single" w:sz="8" w:color="auto"/>
            </w:tcBorders>
            <w:shd w:val="clear" w:color="auto" w:fill="CFF0FC"/>
          </w:tcPr>
          <w:p>
            <w:pPr>
              <w:jc w:val="right"/>
              <w:spacing w:after="0" w:line="158" w:lineRule="exact"/>
              <w:rPr>
                <w:sz w:val="20"/>
                <w:szCs w:val="20"/>
                <w:color w:val="auto"/>
              </w:rPr>
            </w:pPr>
            <w:r>
              <w:rPr>
                <w:rFonts w:ascii="Arial" w:cs="Arial" w:eastAsia="Arial" w:hAnsi="Arial"/>
                <w:sz w:val="14"/>
                <w:szCs w:val="14"/>
                <w:color w:val="auto"/>
              </w:rPr>
              <w:t>904</w:t>
            </w:r>
          </w:p>
        </w:tc>
        <w:tc>
          <w:tcPr>
            <w:tcW w:w="480" w:type="dxa"/>
            <w:vAlign w:val="bottom"/>
            <w:shd w:val="clear" w:color="auto" w:fill="CFF0FC"/>
          </w:tcPr>
          <w:p>
            <w:pPr>
              <w:spacing w:after="0"/>
              <w:rPr>
                <w:sz w:val="13"/>
                <w:szCs w:val="13"/>
                <w:color w:val="auto"/>
              </w:rPr>
            </w:pPr>
          </w:p>
        </w:tc>
        <w:tc>
          <w:tcPr>
            <w:tcW w:w="720" w:type="dxa"/>
            <w:vAlign w:val="bottom"/>
            <w:tcBorders>
              <w:bottom w:val="single" w:sz="8" w:color="auto"/>
            </w:tcBorders>
            <w:shd w:val="clear" w:color="auto" w:fill="CFF0FC"/>
          </w:tcPr>
          <w:p>
            <w:pPr>
              <w:jc w:val="right"/>
              <w:spacing w:after="0" w:line="158" w:lineRule="exact"/>
              <w:rPr>
                <w:sz w:val="20"/>
                <w:szCs w:val="20"/>
                <w:color w:val="auto"/>
              </w:rPr>
            </w:pPr>
            <w:r>
              <w:rPr>
                <w:rFonts w:ascii="Arial" w:cs="Arial" w:eastAsia="Arial" w:hAnsi="Arial"/>
                <w:sz w:val="14"/>
                <w:szCs w:val="14"/>
                <w:color w:val="auto"/>
              </w:rPr>
              <w:t>3</w:t>
            </w:r>
          </w:p>
        </w:tc>
        <w:tc>
          <w:tcPr>
            <w:tcW w:w="2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400" w:type="dxa"/>
            <w:vAlign w:val="bottom"/>
            <w:gridSpan w:val="3"/>
          </w:tcPr>
          <w:p>
            <w:pPr>
              <w:ind w:left="460"/>
              <w:spacing w:after="0" w:line="151" w:lineRule="exact"/>
              <w:rPr>
                <w:sz w:val="20"/>
                <w:szCs w:val="20"/>
                <w:color w:val="auto"/>
              </w:rPr>
            </w:pPr>
            <w:r>
              <w:rPr>
                <w:rFonts w:ascii="Arial" w:cs="Arial" w:eastAsia="Arial" w:hAnsi="Arial"/>
                <w:sz w:val="14"/>
                <w:szCs w:val="14"/>
                <w:color w:val="auto"/>
              </w:rPr>
              <w:t>Total owner-occupied</w:t>
            </w:r>
          </w:p>
        </w:tc>
        <w:tc>
          <w:tcPr>
            <w:tcW w:w="80" w:type="dxa"/>
            <w:vAlign w:val="bottom"/>
          </w:tcPr>
          <w:p>
            <w:pPr>
              <w:spacing w:after="0"/>
              <w:rPr>
                <w:sz w:val="13"/>
                <w:szCs w:val="13"/>
                <w:color w:val="auto"/>
              </w:rPr>
            </w:pPr>
          </w:p>
        </w:tc>
        <w:tc>
          <w:tcPr>
            <w:tcW w:w="620" w:type="dxa"/>
            <w:vAlign w:val="bottom"/>
          </w:tcPr>
          <w:p>
            <w:pPr>
              <w:jc w:val="right"/>
              <w:spacing w:after="0" w:line="151" w:lineRule="exact"/>
              <w:rPr>
                <w:sz w:val="20"/>
                <w:szCs w:val="20"/>
                <w:color w:val="auto"/>
              </w:rPr>
            </w:pPr>
            <w:r>
              <w:rPr>
                <w:rFonts w:ascii="Arial" w:cs="Arial" w:eastAsia="Arial" w:hAnsi="Arial"/>
                <w:sz w:val="14"/>
                <w:szCs w:val="14"/>
                <w:color w:val="auto"/>
              </w:rPr>
              <w:t>862</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jc w:val="right"/>
              <w:spacing w:after="0" w:line="151" w:lineRule="exact"/>
              <w:rPr>
                <w:sz w:val="20"/>
                <w:szCs w:val="20"/>
                <w:color w:val="auto"/>
              </w:rPr>
            </w:pPr>
            <w:r>
              <w:rPr>
                <w:rFonts w:ascii="Arial" w:cs="Arial" w:eastAsia="Arial" w:hAnsi="Arial"/>
                <w:sz w:val="14"/>
                <w:szCs w:val="14"/>
                <w:color w:val="auto"/>
              </w:rPr>
              <w:t>1,572</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line="151" w:lineRule="exact"/>
              <w:rPr>
                <w:sz w:val="20"/>
                <w:szCs w:val="20"/>
                <w:color w:val="auto"/>
              </w:rPr>
            </w:pPr>
            <w:r>
              <w:rPr>
                <w:rFonts w:ascii="Arial" w:cs="Arial" w:eastAsia="Arial" w:hAnsi="Arial"/>
                <w:sz w:val="14"/>
                <w:szCs w:val="14"/>
                <w:color w:val="auto"/>
              </w:rPr>
              <w:t>1,429</w:t>
            </w: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line="151" w:lineRule="exact"/>
              <w:rPr>
                <w:sz w:val="20"/>
                <w:szCs w:val="20"/>
                <w:color w:val="auto"/>
              </w:rPr>
            </w:pPr>
            <w:r>
              <w:rPr>
                <w:rFonts w:ascii="Arial" w:cs="Arial" w:eastAsia="Arial" w:hAnsi="Arial"/>
                <w:sz w:val="14"/>
                <w:szCs w:val="14"/>
                <w:color w:val="auto"/>
              </w:rPr>
              <w:t>2,243</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line="151" w:lineRule="exact"/>
              <w:rPr>
                <w:sz w:val="20"/>
                <w:szCs w:val="20"/>
                <w:color w:val="auto"/>
              </w:rPr>
            </w:pPr>
            <w:r>
              <w:rPr>
                <w:rFonts w:ascii="Arial" w:cs="Arial" w:eastAsia="Arial" w:hAnsi="Arial"/>
                <w:sz w:val="14"/>
                <w:szCs w:val="14"/>
                <w:color w:val="auto"/>
              </w:rPr>
              <w:t>538</w:t>
            </w: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jc w:val="right"/>
              <w:spacing w:after="0" w:line="151" w:lineRule="exact"/>
              <w:rPr>
                <w:sz w:val="20"/>
                <w:szCs w:val="20"/>
                <w:color w:val="auto"/>
              </w:rPr>
            </w:pPr>
            <w:r>
              <w:rPr>
                <w:rFonts w:ascii="Arial" w:cs="Arial" w:eastAsia="Arial" w:hAnsi="Arial"/>
                <w:sz w:val="14"/>
                <w:szCs w:val="14"/>
                <w:color w:val="auto"/>
              </w:rPr>
              <w:t>6,644</w:t>
            </w:r>
          </w:p>
        </w:tc>
        <w:tc>
          <w:tcPr>
            <w:tcW w:w="480" w:type="dxa"/>
            <w:vAlign w:val="bottom"/>
          </w:tcPr>
          <w:p>
            <w:pPr>
              <w:spacing w:after="0"/>
              <w:rPr>
                <w:sz w:val="13"/>
                <w:szCs w:val="13"/>
                <w:color w:val="auto"/>
              </w:rPr>
            </w:pPr>
          </w:p>
        </w:tc>
        <w:tc>
          <w:tcPr>
            <w:tcW w:w="920" w:type="dxa"/>
            <w:vAlign w:val="bottom"/>
            <w:gridSpan w:val="2"/>
          </w:tcPr>
          <w:p>
            <w:pPr>
              <w:jc w:val="right"/>
              <w:ind w:right="80"/>
              <w:spacing w:after="0" w:line="151"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0"/>
        </w:trPr>
        <w:tc>
          <w:tcPr>
            <w:tcW w:w="3400" w:type="dxa"/>
            <w:vAlign w:val="bottom"/>
            <w:gridSpan w:val="3"/>
            <w:vMerge w:val="restart"/>
            <w:shd w:val="clear" w:color="auto" w:fill="CFF0FC"/>
          </w:tcPr>
          <w:p>
            <w:pPr>
              <w:spacing w:after="0"/>
              <w:rPr>
                <w:sz w:val="20"/>
                <w:szCs w:val="20"/>
                <w:color w:val="auto"/>
              </w:rPr>
            </w:pPr>
            <w:r>
              <w:rPr>
                <w:rFonts w:ascii="Arial" w:cs="Arial" w:eastAsia="Arial" w:hAnsi="Arial"/>
                <w:sz w:val="14"/>
                <w:szCs w:val="14"/>
                <w:color w:val="auto"/>
              </w:rPr>
              <w:t>Total commercial real estate</w:t>
            </w: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80" w:type="dxa"/>
            <w:vAlign w:val="bottom"/>
            <w:vMerge w:val="restart"/>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00" w:type="dxa"/>
            <w:vAlign w:val="bottom"/>
            <w:vMerge w:val="restart"/>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400" w:type="dxa"/>
            <w:vAlign w:val="bottom"/>
            <w:gridSpan w:val="3"/>
            <w:vMerge w:val="continue"/>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rPr>
              <w:t>8,920</w:t>
            </w:r>
          </w:p>
        </w:tc>
        <w:tc>
          <w:tcPr>
            <w:tcW w:w="300" w:type="dxa"/>
            <w:vAlign w:val="bottom"/>
            <w:shd w:val="clear" w:color="auto" w:fill="CFF0FC"/>
          </w:tcPr>
          <w:p>
            <w:pPr>
              <w:spacing w:after="0"/>
              <w:rPr>
                <w:sz w:val="13"/>
                <w:szCs w:val="13"/>
                <w:color w:val="auto"/>
              </w:rPr>
            </w:pPr>
          </w:p>
        </w:tc>
        <w:tc>
          <w:tcPr>
            <w:tcW w:w="180" w:type="dxa"/>
            <w:vAlign w:val="bottom"/>
            <w:vMerge w:val="continue"/>
            <w:shd w:val="clear" w:color="auto" w:fill="CFF0FC"/>
          </w:tcPr>
          <w:p>
            <w:pPr>
              <w:spacing w:after="0"/>
              <w:rPr>
                <w:sz w:val="13"/>
                <w:szCs w:val="13"/>
                <w:color w:val="auto"/>
              </w:rPr>
            </w:pPr>
          </w:p>
        </w:tc>
        <w:tc>
          <w:tcPr>
            <w:tcW w:w="220" w:type="dxa"/>
            <w:vAlign w:val="bottom"/>
            <w:shd w:val="clear" w:color="auto" w:fill="CFF0FC"/>
          </w:tcPr>
          <w:p>
            <w:pPr>
              <w:jc w:val="right"/>
              <w:ind w:right="110"/>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rPr>
              <w:t>5,660</w:t>
            </w:r>
          </w:p>
        </w:tc>
        <w:tc>
          <w:tcPr>
            <w:tcW w:w="48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rPr>
              <w:t>4,390</w:t>
            </w:r>
          </w:p>
        </w:tc>
        <w:tc>
          <w:tcPr>
            <w:tcW w:w="180" w:type="dxa"/>
            <w:vAlign w:val="bottom"/>
            <w:shd w:val="clear" w:color="auto" w:fill="CFF0FC"/>
          </w:tcPr>
          <w:p>
            <w:pPr>
              <w:spacing w:after="0"/>
              <w:rPr>
                <w:sz w:val="13"/>
                <w:szCs w:val="13"/>
                <w:color w:val="auto"/>
              </w:rPr>
            </w:pPr>
          </w:p>
        </w:tc>
        <w:tc>
          <w:tcPr>
            <w:tcW w:w="300" w:type="dxa"/>
            <w:vAlign w:val="bottom"/>
            <w:vMerge w:val="continue"/>
            <w:shd w:val="clear" w:color="auto" w:fill="CFF0FC"/>
          </w:tcPr>
          <w:p>
            <w:pPr>
              <w:spacing w:after="0"/>
              <w:rPr>
                <w:sz w:val="13"/>
                <w:szCs w:val="13"/>
                <w:color w:val="auto"/>
              </w:rPr>
            </w:pPr>
          </w:p>
        </w:tc>
        <w:tc>
          <w:tcPr>
            <w:tcW w:w="8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rPr>
              <w:t>9,368</w:t>
            </w:r>
          </w:p>
        </w:tc>
        <w:tc>
          <w:tcPr>
            <w:tcW w:w="360" w:type="dxa"/>
            <w:vAlign w:val="bottom"/>
            <w:shd w:val="clear" w:color="auto" w:fill="CFF0FC"/>
          </w:tcPr>
          <w:p>
            <w:pPr>
              <w:spacing w:after="0"/>
              <w:rPr>
                <w:sz w:val="13"/>
                <w:szCs w:val="13"/>
                <w:color w:val="auto"/>
              </w:rPr>
            </w:pPr>
          </w:p>
        </w:tc>
        <w:tc>
          <w:tcPr>
            <w:tcW w:w="100" w:type="dxa"/>
            <w:vAlign w:val="bottom"/>
            <w:vMerge w:val="continue"/>
            <w:shd w:val="clear" w:color="auto" w:fill="CFF0FC"/>
          </w:tcPr>
          <w:p>
            <w:pPr>
              <w:spacing w:after="0"/>
              <w:rPr>
                <w:sz w:val="13"/>
                <w:szCs w:val="13"/>
                <w:color w:val="auto"/>
              </w:rPr>
            </w:pPr>
          </w:p>
        </w:tc>
        <w:tc>
          <w:tcPr>
            <w:tcW w:w="160" w:type="dxa"/>
            <w:vAlign w:val="bottom"/>
            <w:shd w:val="clear" w:color="auto" w:fill="CFF0FC"/>
          </w:tcPr>
          <w:p>
            <w:pPr>
              <w:jc w:val="right"/>
              <w:ind w:right="10"/>
              <w:spacing w:after="0" w:line="151"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rPr>
              <w:t>5,028</w:t>
            </w:r>
          </w:p>
        </w:tc>
        <w:tc>
          <w:tcPr>
            <w:tcW w:w="46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30"/>
              <w:spacing w:after="0" w:line="151"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rPr>
              <w:t>33,366</w:t>
            </w:r>
          </w:p>
        </w:tc>
        <w:tc>
          <w:tcPr>
            <w:tcW w:w="48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80"/>
              <w:spacing w:after="0" w:line="151"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
        </w:trPr>
        <w:tc>
          <w:tcPr>
            <w:tcW w:w="3400" w:type="dxa"/>
            <w:vAlign w:val="bottom"/>
            <w:tcBorders>
              <w:top w:val="single" w:sz="8" w:color="CFF0FC"/>
              <w:bottom w:val="single" w:sz="8" w:color="CFF0FC"/>
            </w:tcBorders>
            <w:gridSpan w:val="3"/>
            <w:vMerge w:val="restart"/>
          </w:tcPr>
          <w:p>
            <w:pPr>
              <w:spacing w:after="0"/>
              <w:rPr>
                <w:sz w:val="20"/>
                <w:szCs w:val="20"/>
                <w:color w:val="auto"/>
              </w:rPr>
            </w:pPr>
            <w:r>
              <w:rPr>
                <w:rFonts w:ascii="Arial" w:cs="Arial" w:eastAsia="Arial" w:hAnsi="Arial"/>
                <w:sz w:val="14"/>
                <w:szCs w:val="14"/>
                <w:color w:val="auto"/>
              </w:rPr>
              <w:t>Percent of total</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40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180"/>
              <w:spacing w:after="0" w:line="137" w:lineRule="exact"/>
              <w:rPr>
                <w:sz w:val="20"/>
                <w:szCs w:val="20"/>
                <w:color w:val="auto"/>
              </w:rPr>
            </w:pPr>
            <w:r>
              <w:rPr>
                <w:rFonts w:ascii="Arial" w:cs="Arial" w:eastAsia="Arial" w:hAnsi="Arial"/>
                <w:sz w:val="14"/>
                <w:szCs w:val="14"/>
                <w:color w:val="auto"/>
              </w:rPr>
              <w:t>27%</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gridSpan w:val="2"/>
          </w:tcPr>
          <w:p>
            <w:pPr>
              <w:jc w:val="right"/>
              <w:ind w:right="360"/>
              <w:spacing w:after="0" w:line="137" w:lineRule="exact"/>
              <w:rPr>
                <w:sz w:val="20"/>
                <w:szCs w:val="20"/>
                <w:color w:val="auto"/>
              </w:rPr>
            </w:pPr>
            <w:r>
              <w:rPr>
                <w:rFonts w:ascii="Arial" w:cs="Arial" w:eastAsia="Arial" w:hAnsi="Arial"/>
                <w:sz w:val="14"/>
                <w:szCs w:val="14"/>
                <w:color w:val="auto"/>
              </w:rPr>
              <w:t>17%</w:t>
            </w:r>
          </w:p>
        </w:tc>
        <w:tc>
          <w:tcPr>
            <w:tcW w:w="120" w:type="dxa"/>
            <w:vAlign w:val="bottom"/>
          </w:tcPr>
          <w:p>
            <w:pPr>
              <w:spacing w:after="0"/>
              <w:rPr>
                <w:sz w:val="15"/>
                <w:szCs w:val="15"/>
                <w:color w:val="auto"/>
              </w:rPr>
            </w:pPr>
          </w:p>
        </w:tc>
        <w:tc>
          <w:tcPr>
            <w:tcW w:w="760" w:type="dxa"/>
            <w:vAlign w:val="bottom"/>
            <w:gridSpan w:val="2"/>
          </w:tcPr>
          <w:p>
            <w:pPr>
              <w:jc w:val="right"/>
              <w:ind w:right="60"/>
              <w:spacing w:after="0" w:line="137" w:lineRule="exact"/>
              <w:rPr>
                <w:sz w:val="20"/>
                <w:szCs w:val="20"/>
                <w:color w:val="auto"/>
              </w:rPr>
            </w:pPr>
            <w:r>
              <w:rPr>
                <w:rFonts w:ascii="Arial" w:cs="Arial" w:eastAsia="Arial" w:hAnsi="Arial"/>
                <w:sz w:val="14"/>
                <w:szCs w:val="14"/>
                <w:color w:val="auto"/>
              </w:rPr>
              <w:t>13%</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right"/>
              <w:ind w:right="260"/>
              <w:spacing w:after="0" w:line="137" w:lineRule="exact"/>
              <w:rPr>
                <w:sz w:val="20"/>
                <w:szCs w:val="20"/>
                <w:color w:val="auto"/>
              </w:rPr>
            </w:pPr>
            <w:r>
              <w:rPr>
                <w:rFonts w:ascii="Arial" w:cs="Arial" w:eastAsia="Arial" w:hAnsi="Arial"/>
                <w:sz w:val="14"/>
                <w:szCs w:val="14"/>
                <w:color w:val="auto"/>
              </w:rPr>
              <w:t>28%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right"/>
              <w:ind w:right="340"/>
              <w:spacing w:after="0" w:line="137" w:lineRule="exact"/>
              <w:rPr>
                <w:sz w:val="20"/>
                <w:szCs w:val="20"/>
                <w:color w:val="auto"/>
              </w:rPr>
            </w:pPr>
            <w:r>
              <w:rPr>
                <w:rFonts w:ascii="Arial" w:cs="Arial" w:eastAsia="Arial" w:hAnsi="Arial"/>
                <w:sz w:val="14"/>
                <w:szCs w:val="14"/>
                <w:color w:val="auto"/>
              </w:rPr>
              <w:t>15%</w:t>
            </w:r>
          </w:p>
        </w:tc>
        <w:tc>
          <w:tcPr>
            <w:tcW w:w="180" w:type="dxa"/>
            <w:vAlign w:val="bottom"/>
          </w:tcPr>
          <w:p>
            <w:pPr>
              <w:spacing w:after="0"/>
              <w:rPr>
                <w:sz w:val="15"/>
                <w:szCs w:val="15"/>
                <w:color w:val="auto"/>
              </w:rPr>
            </w:pPr>
          </w:p>
        </w:tc>
        <w:tc>
          <w:tcPr>
            <w:tcW w:w="1020" w:type="dxa"/>
            <w:vAlign w:val="bottom"/>
            <w:gridSpan w:val="2"/>
          </w:tcPr>
          <w:p>
            <w:pPr>
              <w:jc w:val="right"/>
              <w:ind w:right="360"/>
              <w:spacing w:after="0" w:line="137" w:lineRule="exact"/>
              <w:rPr>
                <w:sz w:val="20"/>
                <w:szCs w:val="20"/>
                <w:color w:val="auto"/>
              </w:rPr>
            </w:pPr>
            <w:r>
              <w:rPr>
                <w:rFonts w:ascii="Arial" w:cs="Arial" w:eastAsia="Arial" w:hAnsi="Arial"/>
                <w:sz w:val="14"/>
                <w:szCs w:val="14"/>
                <w:color w:val="auto"/>
              </w:rPr>
              <w:t>100%</w:t>
            </w: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3400" w:type="dxa"/>
            <w:vAlign w:val="bottom"/>
            <w:tcBorders>
              <w:top w:val="single" w:sz="8" w:color="CFF0FC"/>
            </w:tcBorders>
            <w:gridSpan w:val="3"/>
            <w:shd w:val="clear" w:color="auto" w:fill="CFF0FC"/>
          </w:tcPr>
          <w:p>
            <w:pPr>
              <w:spacing w:after="0" w:line="119" w:lineRule="exact"/>
              <w:rPr>
                <w:sz w:val="20"/>
                <w:szCs w:val="20"/>
                <w:color w:val="auto"/>
              </w:rPr>
            </w:pPr>
            <w:r>
              <w:rPr>
                <w:rFonts w:ascii="Arial" w:cs="Arial" w:eastAsia="Arial" w:hAnsi="Arial"/>
                <w:sz w:val="13"/>
                <w:szCs w:val="13"/>
                <w:color w:val="auto"/>
              </w:rPr>
              <w:t>Percent of dollars outstanding by</w:t>
            </w:r>
          </w:p>
        </w:tc>
        <w:tc>
          <w:tcPr>
            <w:tcW w:w="80" w:type="dxa"/>
            <w:vAlign w:val="bottom"/>
            <w:tcBorders>
              <w:top w:val="single" w:sz="8" w:color="auto"/>
            </w:tcBorders>
            <w:shd w:val="clear" w:color="auto" w:fill="CFF0FC"/>
          </w:tcPr>
          <w:p>
            <w:pPr>
              <w:spacing w:after="0"/>
              <w:rPr>
                <w:sz w:val="10"/>
                <w:szCs w:val="10"/>
                <w:color w:val="auto"/>
              </w:rPr>
            </w:pPr>
          </w:p>
        </w:tc>
        <w:tc>
          <w:tcPr>
            <w:tcW w:w="620" w:type="dxa"/>
            <w:vAlign w:val="bottom"/>
            <w:tcBorders>
              <w:top w:val="single" w:sz="8" w:color="auto"/>
            </w:tcBorders>
            <w:shd w:val="clear" w:color="auto" w:fill="CFF0FC"/>
          </w:tcPr>
          <w:p>
            <w:pPr>
              <w:spacing w:after="0"/>
              <w:rPr>
                <w:sz w:val="10"/>
                <w:szCs w:val="10"/>
                <w:color w:val="auto"/>
              </w:rPr>
            </w:pPr>
          </w:p>
        </w:tc>
        <w:tc>
          <w:tcPr>
            <w:tcW w:w="300" w:type="dxa"/>
            <w:vAlign w:val="bottom"/>
            <w:tcBorders>
              <w:top w:val="single" w:sz="8" w:color="CFF0FC"/>
            </w:tcBorders>
            <w:shd w:val="clear" w:color="auto" w:fill="CFF0FC"/>
          </w:tcPr>
          <w:p>
            <w:pPr>
              <w:spacing w:after="0"/>
              <w:rPr>
                <w:sz w:val="10"/>
                <w:szCs w:val="10"/>
                <w:color w:val="auto"/>
              </w:rPr>
            </w:pPr>
          </w:p>
        </w:tc>
        <w:tc>
          <w:tcPr>
            <w:tcW w:w="180" w:type="dxa"/>
            <w:vAlign w:val="bottom"/>
            <w:tcBorders>
              <w:top w:val="single" w:sz="8" w:color="CFF0FC"/>
            </w:tcBorders>
            <w:shd w:val="clear" w:color="auto" w:fill="CFF0FC"/>
          </w:tcPr>
          <w:p>
            <w:pPr>
              <w:spacing w:after="0"/>
              <w:rPr>
                <w:sz w:val="10"/>
                <w:szCs w:val="10"/>
                <w:color w:val="auto"/>
              </w:rPr>
            </w:pPr>
          </w:p>
        </w:tc>
        <w:tc>
          <w:tcPr>
            <w:tcW w:w="220" w:type="dxa"/>
            <w:vAlign w:val="bottom"/>
            <w:tcBorders>
              <w:top w:val="single" w:sz="8" w:color="auto"/>
            </w:tcBorders>
            <w:shd w:val="clear" w:color="auto" w:fill="CFF0FC"/>
          </w:tcPr>
          <w:p>
            <w:pPr>
              <w:spacing w:after="0"/>
              <w:rPr>
                <w:sz w:val="10"/>
                <w:szCs w:val="10"/>
                <w:color w:val="auto"/>
              </w:rPr>
            </w:pPr>
          </w:p>
        </w:tc>
        <w:tc>
          <w:tcPr>
            <w:tcW w:w="480" w:type="dxa"/>
            <w:vAlign w:val="bottom"/>
            <w:tcBorders>
              <w:top w:val="single" w:sz="8" w:color="auto"/>
            </w:tcBorders>
            <w:shd w:val="clear" w:color="auto" w:fill="CFF0FC"/>
          </w:tcPr>
          <w:p>
            <w:pPr>
              <w:spacing w:after="0"/>
              <w:rPr>
                <w:sz w:val="10"/>
                <w:szCs w:val="10"/>
                <w:color w:val="auto"/>
              </w:rPr>
            </w:pPr>
          </w:p>
        </w:tc>
        <w:tc>
          <w:tcPr>
            <w:tcW w:w="48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580" w:type="dxa"/>
            <w:vAlign w:val="bottom"/>
            <w:tcBorders>
              <w:top w:val="single" w:sz="8" w:color="auto"/>
            </w:tcBorders>
            <w:shd w:val="clear" w:color="auto" w:fill="CFF0FC"/>
          </w:tcPr>
          <w:p>
            <w:pPr>
              <w:spacing w:after="0"/>
              <w:rPr>
                <w:sz w:val="10"/>
                <w:szCs w:val="10"/>
                <w:color w:val="auto"/>
              </w:rPr>
            </w:pPr>
          </w:p>
        </w:tc>
        <w:tc>
          <w:tcPr>
            <w:tcW w:w="180" w:type="dxa"/>
            <w:vAlign w:val="bottom"/>
            <w:tcBorders>
              <w:top w:val="single" w:sz="8" w:color="CFF0FC"/>
            </w:tcBorders>
            <w:shd w:val="clear" w:color="auto" w:fill="CFF0FC"/>
          </w:tcPr>
          <w:p>
            <w:pPr>
              <w:spacing w:after="0"/>
              <w:rPr>
                <w:sz w:val="10"/>
                <w:szCs w:val="10"/>
                <w:color w:val="auto"/>
              </w:rPr>
            </w:pPr>
          </w:p>
        </w:tc>
        <w:tc>
          <w:tcPr>
            <w:tcW w:w="30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640" w:type="dxa"/>
            <w:vAlign w:val="bottom"/>
            <w:tcBorders>
              <w:top w:val="single" w:sz="8" w:color="auto"/>
            </w:tcBorders>
            <w:shd w:val="clear" w:color="auto" w:fill="CFF0FC"/>
          </w:tcPr>
          <w:p>
            <w:pPr>
              <w:spacing w:after="0"/>
              <w:rPr>
                <w:sz w:val="10"/>
                <w:szCs w:val="10"/>
                <w:color w:val="auto"/>
              </w:rPr>
            </w:pPr>
          </w:p>
        </w:tc>
        <w:tc>
          <w:tcPr>
            <w:tcW w:w="36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160" w:type="dxa"/>
            <w:vAlign w:val="bottom"/>
            <w:tcBorders>
              <w:top w:val="single" w:sz="8" w:color="auto"/>
            </w:tcBorders>
            <w:shd w:val="clear" w:color="auto" w:fill="CFF0FC"/>
          </w:tcPr>
          <w:p>
            <w:pPr>
              <w:spacing w:after="0"/>
              <w:rPr>
                <w:sz w:val="10"/>
                <w:szCs w:val="10"/>
                <w:color w:val="auto"/>
              </w:rPr>
            </w:pPr>
          </w:p>
        </w:tc>
        <w:tc>
          <w:tcPr>
            <w:tcW w:w="560" w:type="dxa"/>
            <w:vAlign w:val="bottom"/>
            <w:tcBorders>
              <w:top w:val="single" w:sz="8" w:color="auto"/>
            </w:tcBorders>
            <w:shd w:val="clear" w:color="auto" w:fill="CFF0FC"/>
          </w:tcPr>
          <w:p>
            <w:pPr>
              <w:spacing w:after="0"/>
              <w:rPr>
                <w:sz w:val="10"/>
                <w:szCs w:val="10"/>
                <w:color w:val="auto"/>
              </w:rPr>
            </w:pPr>
          </w:p>
        </w:tc>
        <w:tc>
          <w:tcPr>
            <w:tcW w:w="460" w:type="dxa"/>
            <w:vAlign w:val="bottom"/>
            <w:tcBorders>
              <w:top w:val="single" w:sz="8" w:color="CFF0FC"/>
            </w:tcBorders>
            <w:shd w:val="clear" w:color="auto" w:fill="CFF0FC"/>
          </w:tcPr>
          <w:p>
            <w:pPr>
              <w:spacing w:after="0"/>
              <w:rPr>
                <w:sz w:val="10"/>
                <w:szCs w:val="10"/>
                <w:color w:val="auto"/>
              </w:rPr>
            </w:pPr>
          </w:p>
        </w:tc>
        <w:tc>
          <w:tcPr>
            <w:tcW w:w="180" w:type="dxa"/>
            <w:vAlign w:val="bottom"/>
            <w:tcBorders>
              <w:top w:val="single" w:sz="8" w:color="auto"/>
            </w:tcBorders>
            <w:shd w:val="clear" w:color="auto" w:fill="CFF0FC"/>
          </w:tcPr>
          <w:p>
            <w:pPr>
              <w:spacing w:after="0"/>
              <w:rPr>
                <w:sz w:val="10"/>
                <w:szCs w:val="10"/>
                <w:color w:val="auto"/>
              </w:rPr>
            </w:pPr>
          </w:p>
        </w:tc>
        <w:tc>
          <w:tcPr>
            <w:tcW w:w="540" w:type="dxa"/>
            <w:vAlign w:val="bottom"/>
            <w:tcBorders>
              <w:top w:val="single" w:sz="8" w:color="auto"/>
            </w:tcBorders>
            <w:shd w:val="clear" w:color="auto" w:fill="CFF0FC"/>
          </w:tcPr>
          <w:p>
            <w:pPr>
              <w:spacing w:after="0"/>
              <w:rPr>
                <w:sz w:val="10"/>
                <w:szCs w:val="10"/>
                <w:color w:val="auto"/>
              </w:rPr>
            </w:pPr>
          </w:p>
        </w:tc>
        <w:tc>
          <w:tcPr>
            <w:tcW w:w="480" w:type="dxa"/>
            <w:vAlign w:val="bottom"/>
            <w:tcBorders>
              <w:top w:val="single" w:sz="8" w:color="CFF0FC"/>
            </w:tcBorders>
            <w:shd w:val="clear" w:color="auto" w:fill="CFF0FC"/>
          </w:tcPr>
          <w:p>
            <w:pPr>
              <w:spacing w:after="0"/>
              <w:rPr>
                <w:sz w:val="10"/>
                <w:szCs w:val="10"/>
                <w:color w:val="auto"/>
              </w:rPr>
            </w:pPr>
          </w:p>
        </w:tc>
        <w:tc>
          <w:tcPr>
            <w:tcW w:w="720" w:type="dxa"/>
            <w:vAlign w:val="bottom"/>
            <w:tcBorders>
              <w:top w:val="single" w:sz="8" w:color="CFF0FC"/>
            </w:tcBorders>
            <w:shd w:val="clear" w:color="auto" w:fill="CFF0FC"/>
          </w:tcPr>
          <w:p>
            <w:pPr>
              <w:spacing w:after="0"/>
              <w:rPr>
                <w:sz w:val="10"/>
                <w:szCs w:val="10"/>
                <w:color w:val="auto"/>
              </w:rPr>
            </w:pPr>
          </w:p>
        </w:tc>
        <w:tc>
          <w:tcPr>
            <w:tcW w:w="20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3400" w:type="dxa"/>
            <w:vAlign w:val="bottom"/>
            <w:gridSpan w:val="3"/>
            <w:shd w:val="clear" w:color="auto" w:fill="CFF0FC"/>
          </w:tcPr>
          <w:p>
            <w:pPr>
              <w:ind w:left="120"/>
              <w:spacing w:after="0"/>
              <w:rPr>
                <w:sz w:val="20"/>
                <w:szCs w:val="20"/>
                <w:color w:val="auto"/>
              </w:rPr>
            </w:pPr>
            <w:r>
              <w:rPr>
                <w:rFonts w:ascii="Arial" w:cs="Arial" w:eastAsia="Arial" w:hAnsi="Arial"/>
                <w:sz w:val="14"/>
                <w:szCs w:val="14"/>
                <w:color w:val="auto"/>
              </w:rPr>
              <w:t>size of loan</w:t>
            </w: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400" w:type="dxa"/>
            <w:vAlign w:val="bottom"/>
            <w:gridSpan w:val="3"/>
          </w:tcPr>
          <w:p>
            <w:pPr>
              <w:spacing w:after="0" w:line="158" w:lineRule="exact"/>
              <w:rPr>
                <w:sz w:val="20"/>
                <w:szCs w:val="20"/>
                <w:color w:val="auto"/>
              </w:rPr>
            </w:pPr>
            <w:r>
              <w:rPr>
                <w:rFonts w:ascii="Arial" w:cs="Arial" w:eastAsia="Arial" w:hAnsi="Arial"/>
                <w:sz w:val="14"/>
                <w:szCs w:val="14"/>
                <w:color w:val="auto"/>
              </w:rPr>
              <w:t>Less than $1 million</w:t>
            </w:r>
          </w:p>
        </w:tc>
        <w:tc>
          <w:tcPr>
            <w:tcW w:w="80" w:type="dxa"/>
            <w:vAlign w:val="bottom"/>
          </w:tcPr>
          <w:p>
            <w:pPr>
              <w:spacing w:after="0"/>
              <w:rPr>
                <w:sz w:val="13"/>
                <w:szCs w:val="13"/>
                <w:color w:val="auto"/>
              </w:rPr>
            </w:pPr>
          </w:p>
        </w:tc>
        <w:tc>
          <w:tcPr>
            <w:tcW w:w="920" w:type="dxa"/>
            <w:vAlign w:val="bottom"/>
            <w:gridSpan w:val="2"/>
          </w:tcPr>
          <w:p>
            <w:pPr>
              <w:jc w:val="right"/>
              <w:ind w:right="180"/>
              <w:spacing w:after="0" w:line="158" w:lineRule="exact"/>
              <w:rPr>
                <w:sz w:val="20"/>
                <w:szCs w:val="20"/>
                <w:color w:val="auto"/>
              </w:rPr>
            </w:pPr>
            <w:r>
              <w:rPr>
                <w:rFonts w:ascii="Arial" w:cs="Arial" w:eastAsia="Arial" w:hAnsi="Arial"/>
                <w:sz w:val="14"/>
                <w:szCs w:val="14"/>
                <w:color w:val="auto"/>
              </w:rPr>
              <w:t>3%</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gridSpan w:val="2"/>
          </w:tcPr>
          <w:p>
            <w:pPr>
              <w:jc w:val="right"/>
              <w:ind w:right="360"/>
              <w:spacing w:after="0" w:line="158" w:lineRule="exact"/>
              <w:rPr>
                <w:sz w:val="20"/>
                <w:szCs w:val="20"/>
                <w:color w:val="auto"/>
              </w:rPr>
            </w:pPr>
            <w:r>
              <w:rPr>
                <w:rFonts w:ascii="Arial" w:cs="Arial" w:eastAsia="Arial" w:hAnsi="Arial"/>
                <w:sz w:val="14"/>
                <w:szCs w:val="14"/>
                <w:color w:val="auto"/>
              </w:rPr>
              <w:t>16%</w:t>
            </w:r>
          </w:p>
        </w:tc>
        <w:tc>
          <w:tcPr>
            <w:tcW w:w="120" w:type="dxa"/>
            <w:vAlign w:val="bottom"/>
          </w:tcPr>
          <w:p>
            <w:pPr>
              <w:spacing w:after="0"/>
              <w:rPr>
                <w:sz w:val="13"/>
                <w:szCs w:val="13"/>
                <w:color w:val="auto"/>
              </w:rPr>
            </w:pPr>
          </w:p>
        </w:tc>
        <w:tc>
          <w:tcPr>
            <w:tcW w:w="76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14%</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260"/>
              <w:spacing w:after="0" w:line="158" w:lineRule="exact"/>
              <w:rPr>
                <w:sz w:val="20"/>
                <w:szCs w:val="20"/>
                <w:color w:val="auto"/>
              </w:rPr>
            </w:pPr>
            <w:r>
              <w:rPr>
                <w:rFonts w:ascii="Arial" w:cs="Arial" w:eastAsia="Arial" w:hAnsi="Arial"/>
                <w:sz w:val="14"/>
                <w:szCs w:val="14"/>
                <w:color w:val="auto"/>
              </w:rPr>
              <w:t>10%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right"/>
              <w:ind w:right="340"/>
              <w:spacing w:after="0" w:line="158" w:lineRule="exact"/>
              <w:rPr>
                <w:sz w:val="20"/>
                <w:szCs w:val="20"/>
                <w:color w:val="auto"/>
              </w:rPr>
            </w:pPr>
            <w:r>
              <w:rPr>
                <w:rFonts w:ascii="Arial" w:cs="Arial" w:eastAsia="Arial" w:hAnsi="Arial"/>
                <w:sz w:val="14"/>
                <w:szCs w:val="14"/>
                <w:color w:val="auto"/>
              </w:rPr>
              <w:t>10%</w:t>
            </w:r>
          </w:p>
        </w:tc>
        <w:tc>
          <w:tcPr>
            <w:tcW w:w="180" w:type="dxa"/>
            <w:vAlign w:val="bottom"/>
          </w:tcPr>
          <w:p>
            <w:pPr>
              <w:spacing w:after="0"/>
              <w:rPr>
                <w:sz w:val="13"/>
                <w:szCs w:val="13"/>
                <w:color w:val="auto"/>
              </w:rPr>
            </w:pPr>
          </w:p>
        </w:tc>
        <w:tc>
          <w:tcPr>
            <w:tcW w:w="1020" w:type="dxa"/>
            <w:vAlign w:val="bottom"/>
            <w:gridSpan w:val="2"/>
          </w:tcPr>
          <w:p>
            <w:pPr>
              <w:jc w:val="right"/>
              <w:ind w:right="360"/>
              <w:spacing w:after="0" w:line="158" w:lineRule="exact"/>
              <w:rPr>
                <w:sz w:val="20"/>
                <w:szCs w:val="20"/>
                <w:color w:val="auto"/>
              </w:rPr>
            </w:pPr>
            <w:r>
              <w:rPr>
                <w:rFonts w:ascii="Arial" w:cs="Arial" w:eastAsia="Arial" w:hAnsi="Arial"/>
                <w:sz w:val="14"/>
                <w:szCs w:val="14"/>
                <w:color w:val="auto"/>
              </w:rPr>
              <w:t>10%</w:t>
            </w: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400" w:type="dxa"/>
            <w:vAlign w:val="bottom"/>
            <w:gridSpan w:val="3"/>
            <w:shd w:val="clear" w:color="auto" w:fill="CFF0FC"/>
          </w:tcPr>
          <w:p>
            <w:pPr>
              <w:spacing w:after="0" w:line="158" w:lineRule="exact"/>
              <w:rPr>
                <w:sz w:val="20"/>
                <w:szCs w:val="20"/>
                <w:color w:val="auto"/>
              </w:rPr>
            </w:pPr>
            <w:r>
              <w:rPr>
                <w:rFonts w:ascii="Arial" w:cs="Arial" w:eastAsia="Arial" w:hAnsi="Arial"/>
                <w:sz w:val="14"/>
                <w:szCs w:val="14"/>
                <w:color w:val="auto"/>
              </w:rPr>
              <w:t>$1 million to $5 million</w:t>
            </w: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16</w:t>
            </w:r>
          </w:p>
        </w:tc>
        <w:tc>
          <w:tcPr>
            <w:tcW w:w="3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29</w:t>
            </w:r>
          </w:p>
        </w:tc>
        <w:tc>
          <w:tcPr>
            <w:tcW w:w="4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25</w:t>
            </w:r>
          </w:p>
        </w:tc>
        <w:tc>
          <w:tcPr>
            <w:tcW w:w="1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20</w:t>
            </w:r>
          </w:p>
        </w:tc>
        <w:tc>
          <w:tcPr>
            <w:tcW w:w="3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15</w:t>
            </w:r>
          </w:p>
        </w:tc>
        <w:tc>
          <w:tcPr>
            <w:tcW w:w="4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20</w:t>
            </w:r>
          </w:p>
        </w:tc>
        <w:tc>
          <w:tcPr>
            <w:tcW w:w="4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400" w:type="dxa"/>
            <w:vAlign w:val="bottom"/>
            <w:gridSpan w:val="3"/>
          </w:tcPr>
          <w:p>
            <w:pPr>
              <w:spacing w:after="0" w:line="158" w:lineRule="exact"/>
              <w:rPr>
                <w:sz w:val="20"/>
                <w:szCs w:val="20"/>
                <w:color w:val="auto"/>
              </w:rPr>
            </w:pPr>
            <w:r>
              <w:rPr>
                <w:rFonts w:ascii="Arial" w:cs="Arial" w:eastAsia="Arial" w:hAnsi="Arial"/>
                <w:sz w:val="14"/>
                <w:szCs w:val="14"/>
                <w:color w:val="auto"/>
              </w:rPr>
              <w:t>$5 million to $10 million</w:t>
            </w:r>
          </w:p>
        </w:tc>
        <w:tc>
          <w:tcPr>
            <w:tcW w:w="80" w:type="dxa"/>
            <w:vAlign w:val="bottom"/>
          </w:tcPr>
          <w:p>
            <w:pPr>
              <w:spacing w:after="0"/>
              <w:rPr>
                <w:sz w:val="13"/>
                <w:szCs w:val="13"/>
                <w:color w:val="auto"/>
              </w:rPr>
            </w:pPr>
          </w:p>
        </w:tc>
        <w:tc>
          <w:tcPr>
            <w:tcW w:w="620" w:type="dxa"/>
            <w:vAlign w:val="bottom"/>
          </w:tcPr>
          <w:p>
            <w:pPr>
              <w:jc w:val="right"/>
              <w:spacing w:after="0" w:line="158" w:lineRule="exact"/>
              <w:rPr>
                <w:sz w:val="20"/>
                <w:szCs w:val="20"/>
                <w:color w:val="auto"/>
              </w:rPr>
            </w:pPr>
            <w:r>
              <w:rPr>
                <w:rFonts w:ascii="Arial" w:cs="Arial" w:eastAsia="Arial" w:hAnsi="Arial"/>
                <w:sz w:val="14"/>
                <w:szCs w:val="14"/>
                <w:color w:val="auto"/>
              </w:rPr>
              <w:t>14</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jc w:val="right"/>
              <w:spacing w:after="0" w:line="158" w:lineRule="exact"/>
              <w:rPr>
                <w:sz w:val="20"/>
                <w:szCs w:val="20"/>
                <w:color w:val="auto"/>
              </w:rPr>
            </w:pPr>
            <w:r>
              <w:rPr>
                <w:rFonts w:ascii="Arial" w:cs="Arial" w:eastAsia="Arial" w:hAnsi="Arial"/>
                <w:sz w:val="14"/>
                <w:szCs w:val="14"/>
                <w:color w:val="auto"/>
              </w:rPr>
              <w:t>19</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line="158" w:lineRule="exact"/>
              <w:rPr>
                <w:sz w:val="20"/>
                <w:szCs w:val="20"/>
                <w:color w:val="auto"/>
              </w:rPr>
            </w:pPr>
            <w:r>
              <w:rPr>
                <w:rFonts w:ascii="Arial" w:cs="Arial" w:eastAsia="Arial" w:hAnsi="Arial"/>
                <w:sz w:val="14"/>
                <w:szCs w:val="14"/>
                <w:color w:val="auto"/>
              </w:rPr>
              <w:t>19</w:t>
            </w: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line="158" w:lineRule="exact"/>
              <w:rPr>
                <w:sz w:val="20"/>
                <w:szCs w:val="20"/>
                <w:color w:val="auto"/>
              </w:rPr>
            </w:pPr>
            <w:r>
              <w:rPr>
                <w:rFonts w:ascii="Arial" w:cs="Arial" w:eastAsia="Arial" w:hAnsi="Arial"/>
                <w:sz w:val="14"/>
                <w:szCs w:val="14"/>
                <w:color w:val="auto"/>
              </w:rPr>
              <w:t>16</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line="158" w:lineRule="exact"/>
              <w:rPr>
                <w:sz w:val="20"/>
                <w:szCs w:val="20"/>
                <w:color w:val="auto"/>
              </w:rPr>
            </w:pPr>
            <w:r>
              <w:rPr>
                <w:rFonts w:ascii="Arial" w:cs="Arial" w:eastAsia="Arial" w:hAnsi="Arial"/>
                <w:sz w:val="14"/>
                <w:szCs w:val="14"/>
                <w:color w:val="auto"/>
              </w:rPr>
              <w:t>15</w:t>
            </w: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jc w:val="right"/>
              <w:spacing w:after="0" w:line="158" w:lineRule="exact"/>
              <w:rPr>
                <w:sz w:val="20"/>
                <w:szCs w:val="20"/>
                <w:color w:val="auto"/>
              </w:rPr>
            </w:pPr>
            <w:r>
              <w:rPr>
                <w:rFonts w:ascii="Arial" w:cs="Arial" w:eastAsia="Arial" w:hAnsi="Arial"/>
                <w:sz w:val="14"/>
                <w:szCs w:val="14"/>
                <w:color w:val="auto"/>
              </w:rPr>
              <w:t>16</w:t>
            </w:r>
          </w:p>
        </w:tc>
        <w:tc>
          <w:tcPr>
            <w:tcW w:w="4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400" w:type="dxa"/>
            <w:vAlign w:val="bottom"/>
            <w:gridSpan w:val="3"/>
            <w:shd w:val="clear" w:color="auto" w:fill="CFF0FC"/>
          </w:tcPr>
          <w:p>
            <w:pPr>
              <w:spacing w:after="0" w:line="158" w:lineRule="exact"/>
              <w:rPr>
                <w:sz w:val="20"/>
                <w:szCs w:val="20"/>
                <w:color w:val="auto"/>
              </w:rPr>
            </w:pPr>
            <w:r>
              <w:rPr>
                <w:rFonts w:ascii="Arial" w:cs="Arial" w:eastAsia="Arial" w:hAnsi="Arial"/>
                <w:sz w:val="14"/>
                <w:szCs w:val="14"/>
                <w:color w:val="auto"/>
              </w:rPr>
              <w:t>$10 million to $30 million</w:t>
            </w: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32</w:t>
            </w:r>
          </w:p>
        </w:tc>
        <w:tc>
          <w:tcPr>
            <w:tcW w:w="3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29</w:t>
            </w:r>
          </w:p>
        </w:tc>
        <w:tc>
          <w:tcPr>
            <w:tcW w:w="4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28</w:t>
            </w:r>
          </w:p>
        </w:tc>
        <w:tc>
          <w:tcPr>
            <w:tcW w:w="1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29</w:t>
            </w:r>
          </w:p>
        </w:tc>
        <w:tc>
          <w:tcPr>
            <w:tcW w:w="3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37</w:t>
            </w:r>
          </w:p>
        </w:tc>
        <w:tc>
          <w:tcPr>
            <w:tcW w:w="4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31</w:t>
            </w:r>
          </w:p>
        </w:tc>
        <w:tc>
          <w:tcPr>
            <w:tcW w:w="4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400" w:type="dxa"/>
            <w:vAlign w:val="bottom"/>
            <w:gridSpan w:val="3"/>
          </w:tcPr>
          <w:p>
            <w:pPr>
              <w:spacing w:after="0" w:line="158" w:lineRule="exact"/>
              <w:rPr>
                <w:sz w:val="20"/>
                <w:szCs w:val="20"/>
                <w:color w:val="auto"/>
              </w:rPr>
            </w:pPr>
            <w:r>
              <w:rPr>
                <w:rFonts w:ascii="Arial" w:cs="Arial" w:eastAsia="Arial" w:hAnsi="Arial"/>
                <w:sz w:val="14"/>
                <w:szCs w:val="14"/>
                <w:color w:val="auto"/>
              </w:rPr>
              <w:t>$30 million to $50 million</w:t>
            </w:r>
          </w:p>
        </w:tc>
        <w:tc>
          <w:tcPr>
            <w:tcW w:w="80" w:type="dxa"/>
            <w:vAlign w:val="bottom"/>
          </w:tcPr>
          <w:p>
            <w:pPr>
              <w:spacing w:after="0"/>
              <w:rPr>
                <w:sz w:val="13"/>
                <w:szCs w:val="13"/>
                <w:color w:val="auto"/>
              </w:rPr>
            </w:pPr>
          </w:p>
        </w:tc>
        <w:tc>
          <w:tcPr>
            <w:tcW w:w="620" w:type="dxa"/>
            <w:vAlign w:val="bottom"/>
          </w:tcPr>
          <w:p>
            <w:pPr>
              <w:jc w:val="right"/>
              <w:spacing w:after="0" w:line="158" w:lineRule="exact"/>
              <w:rPr>
                <w:sz w:val="20"/>
                <w:szCs w:val="20"/>
                <w:color w:val="auto"/>
              </w:rPr>
            </w:pPr>
            <w:r>
              <w:rPr>
                <w:rFonts w:ascii="Arial" w:cs="Arial" w:eastAsia="Arial" w:hAnsi="Arial"/>
                <w:sz w:val="14"/>
                <w:szCs w:val="14"/>
                <w:color w:val="auto"/>
              </w:rPr>
              <w:t>15</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jc w:val="right"/>
              <w:spacing w:after="0" w:line="158" w:lineRule="exact"/>
              <w:rPr>
                <w:sz w:val="20"/>
                <w:szCs w:val="20"/>
                <w:color w:val="auto"/>
              </w:rPr>
            </w:pPr>
            <w:r>
              <w:rPr>
                <w:rFonts w:ascii="Arial" w:cs="Arial" w:eastAsia="Arial" w:hAnsi="Arial"/>
                <w:sz w:val="14"/>
                <w:szCs w:val="14"/>
                <w:color w:val="auto"/>
              </w:rPr>
              <w:t>7</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line="158" w:lineRule="exact"/>
              <w:rPr>
                <w:sz w:val="20"/>
                <w:szCs w:val="20"/>
                <w:color w:val="auto"/>
              </w:rPr>
            </w:pPr>
            <w:r>
              <w:rPr>
                <w:rFonts w:ascii="Arial" w:cs="Arial" w:eastAsia="Arial" w:hAnsi="Arial"/>
                <w:sz w:val="14"/>
                <w:szCs w:val="14"/>
                <w:color w:val="auto"/>
              </w:rPr>
              <w:t>10</w:t>
            </w: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line="158" w:lineRule="exact"/>
              <w:rPr>
                <w:sz w:val="20"/>
                <w:szCs w:val="20"/>
                <w:color w:val="auto"/>
              </w:rPr>
            </w:pPr>
            <w:r>
              <w:rPr>
                <w:rFonts w:ascii="Arial" w:cs="Arial" w:eastAsia="Arial" w:hAnsi="Arial"/>
                <w:sz w:val="14"/>
                <w:szCs w:val="14"/>
                <w:color w:val="auto"/>
              </w:rPr>
              <w:t>16</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line="158" w:lineRule="exact"/>
              <w:rPr>
                <w:sz w:val="20"/>
                <w:szCs w:val="20"/>
                <w:color w:val="auto"/>
              </w:rPr>
            </w:pPr>
            <w:r>
              <w:rPr>
                <w:rFonts w:ascii="Arial" w:cs="Arial" w:eastAsia="Arial" w:hAnsi="Arial"/>
                <w:sz w:val="14"/>
                <w:szCs w:val="14"/>
                <w:color w:val="auto"/>
              </w:rPr>
              <w:t>16</w:t>
            </w: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jc w:val="right"/>
              <w:spacing w:after="0" w:line="158" w:lineRule="exact"/>
              <w:rPr>
                <w:sz w:val="20"/>
                <w:szCs w:val="20"/>
                <w:color w:val="auto"/>
              </w:rPr>
            </w:pPr>
            <w:r>
              <w:rPr>
                <w:rFonts w:ascii="Arial" w:cs="Arial" w:eastAsia="Arial" w:hAnsi="Arial"/>
                <w:sz w:val="14"/>
                <w:szCs w:val="14"/>
                <w:color w:val="auto"/>
              </w:rPr>
              <w:t>13</w:t>
            </w:r>
          </w:p>
        </w:tc>
        <w:tc>
          <w:tcPr>
            <w:tcW w:w="4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400" w:type="dxa"/>
            <w:vAlign w:val="bottom"/>
            <w:gridSpan w:val="3"/>
            <w:shd w:val="clear" w:color="auto" w:fill="CFF0FC"/>
          </w:tcPr>
          <w:p>
            <w:pPr>
              <w:spacing w:after="0" w:line="158" w:lineRule="exact"/>
              <w:rPr>
                <w:sz w:val="20"/>
                <w:szCs w:val="20"/>
                <w:color w:val="auto"/>
              </w:rPr>
            </w:pPr>
            <w:r>
              <w:rPr>
                <w:rFonts w:ascii="Arial" w:cs="Arial" w:eastAsia="Arial" w:hAnsi="Arial"/>
                <w:sz w:val="14"/>
                <w:szCs w:val="14"/>
                <w:color w:val="auto"/>
              </w:rPr>
              <w:t>$50 million to $100 million</w:t>
            </w: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18</w:t>
            </w:r>
          </w:p>
        </w:tc>
        <w:tc>
          <w:tcPr>
            <w:tcW w:w="3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480"/>
              <w:spacing w:after="0" w:line="158"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4</w:t>
            </w:r>
          </w:p>
        </w:tc>
        <w:tc>
          <w:tcPr>
            <w:tcW w:w="1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9</w:t>
            </w:r>
          </w:p>
        </w:tc>
        <w:tc>
          <w:tcPr>
            <w:tcW w:w="3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7</w:t>
            </w:r>
          </w:p>
        </w:tc>
        <w:tc>
          <w:tcPr>
            <w:tcW w:w="4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9</w:t>
            </w:r>
          </w:p>
        </w:tc>
        <w:tc>
          <w:tcPr>
            <w:tcW w:w="4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400" w:type="dxa"/>
            <w:vAlign w:val="bottom"/>
            <w:tcBorders>
              <w:bottom w:val="single" w:sz="8" w:color="CFF0FC"/>
            </w:tcBorders>
            <w:gridSpan w:val="3"/>
          </w:tcPr>
          <w:p>
            <w:pPr>
              <w:spacing w:after="0" w:line="158" w:lineRule="exact"/>
              <w:rPr>
                <w:sz w:val="20"/>
                <w:szCs w:val="20"/>
                <w:color w:val="auto"/>
              </w:rPr>
            </w:pPr>
            <w:r>
              <w:rPr>
                <w:rFonts w:ascii="Arial" w:cs="Arial" w:eastAsia="Arial" w:hAnsi="Arial"/>
                <w:sz w:val="14"/>
                <w:szCs w:val="14"/>
                <w:color w:val="auto"/>
              </w:rPr>
              <w:t>Greater than $100 million</w:t>
            </w: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2</w:t>
            </w:r>
          </w:p>
        </w:tc>
        <w:tc>
          <w:tcPr>
            <w:tcW w:w="30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w:t>
            </w:r>
          </w:p>
        </w:tc>
        <w:tc>
          <w:tcPr>
            <w:tcW w:w="48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CFF0FC"/>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w:t>
            </w:r>
          </w:p>
        </w:tc>
        <w:tc>
          <w:tcPr>
            <w:tcW w:w="3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w:t>
            </w:r>
          </w:p>
        </w:tc>
        <w:tc>
          <w:tcPr>
            <w:tcW w:w="46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1</w:t>
            </w:r>
          </w:p>
        </w:tc>
        <w:tc>
          <w:tcPr>
            <w:tcW w:w="480" w:type="dxa"/>
            <w:vAlign w:val="bottom"/>
            <w:tcBorders>
              <w:bottom w:val="single" w:sz="8" w:color="CFF0FC"/>
            </w:tcBorders>
          </w:tcPr>
          <w:p>
            <w:pPr>
              <w:spacing w:after="0"/>
              <w:rPr>
                <w:sz w:val="13"/>
                <w:szCs w:val="13"/>
                <w:color w:val="auto"/>
              </w:rPr>
            </w:pPr>
          </w:p>
        </w:tc>
        <w:tc>
          <w:tcPr>
            <w:tcW w:w="72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400" w:type="dxa"/>
            <w:vAlign w:val="bottom"/>
            <w:gridSpan w:val="3"/>
            <w:shd w:val="clear" w:color="auto" w:fill="CFF0FC"/>
          </w:tcPr>
          <w:p>
            <w:pPr>
              <w:spacing w:after="0" w:line="151" w:lineRule="exact"/>
              <w:rPr>
                <w:sz w:val="20"/>
                <w:szCs w:val="20"/>
                <w:color w:val="auto"/>
              </w:rPr>
            </w:pPr>
            <w:r>
              <w:rPr>
                <w:rFonts w:ascii="Arial" w:cs="Arial" w:eastAsia="Arial" w:hAnsi="Arial"/>
                <w:sz w:val="14"/>
                <w:szCs w:val="14"/>
                <w:color w:val="auto"/>
              </w:rPr>
              <w:t>Total</w:t>
            </w:r>
          </w:p>
        </w:tc>
        <w:tc>
          <w:tcPr>
            <w:tcW w:w="8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180"/>
              <w:spacing w:after="0" w:line="151" w:lineRule="exact"/>
              <w:rPr>
                <w:sz w:val="20"/>
                <w:szCs w:val="20"/>
                <w:color w:val="auto"/>
              </w:rPr>
            </w:pPr>
            <w:r>
              <w:rPr>
                <w:rFonts w:ascii="Arial" w:cs="Arial" w:eastAsia="Arial" w:hAnsi="Arial"/>
                <w:sz w:val="14"/>
                <w:szCs w:val="14"/>
                <w:color w:val="auto"/>
              </w:rPr>
              <w:t>100%</w:t>
            </w:r>
          </w:p>
        </w:tc>
        <w:tc>
          <w:tcPr>
            <w:tcW w:w="1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360"/>
              <w:spacing w:after="0" w:line="151" w:lineRule="exact"/>
              <w:rPr>
                <w:sz w:val="20"/>
                <w:szCs w:val="20"/>
                <w:color w:val="auto"/>
              </w:rPr>
            </w:pPr>
            <w:r>
              <w:rPr>
                <w:rFonts w:ascii="Arial" w:cs="Arial" w:eastAsia="Arial" w:hAnsi="Arial"/>
                <w:sz w:val="14"/>
                <w:szCs w:val="14"/>
                <w:color w:val="auto"/>
              </w:rPr>
              <w:t>100%</w:t>
            </w:r>
          </w:p>
        </w:tc>
        <w:tc>
          <w:tcPr>
            <w:tcW w:w="12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60"/>
              <w:spacing w:after="0" w:line="151" w:lineRule="exact"/>
              <w:rPr>
                <w:sz w:val="20"/>
                <w:szCs w:val="20"/>
                <w:color w:val="auto"/>
              </w:rPr>
            </w:pPr>
            <w:r>
              <w:rPr>
                <w:rFonts w:ascii="Arial" w:cs="Arial" w:eastAsia="Arial" w:hAnsi="Arial"/>
                <w:sz w:val="14"/>
                <w:szCs w:val="14"/>
                <w:color w:val="auto"/>
              </w:rPr>
              <w:t>100%</w:t>
            </w:r>
          </w:p>
        </w:tc>
        <w:tc>
          <w:tcPr>
            <w:tcW w:w="3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260"/>
              <w:spacing w:after="0" w:line="151" w:lineRule="exact"/>
              <w:rPr>
                <w:sz w:val="20"/>
                <w:szCs w:val="20"/>
                <w:color w:val="auto"/>
              </w:rPr>
            </w:pPr>
            <w:r>
              <w:rPr>
                <w:rFonts w:ascii="Arial" w:cs="Arial" w:eastAsia="Arial" w:hAnsi="Arial"/>
                <w:sz w:val="14"/>
                <w:szCs w:val="14"/>
                <w:color w:val="auto"/>
              </w:rPr>
              <w:t>100%</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340"/>
              <w:spacing w:after="0" w:line="151" w:lineRule="exact"/>
              <w:rPr>
                <w:sz w:val="20"/>
                <w:szCs w:val="20"/>
                <w:color w:val="auto"/>
              </w:rPr>
            </w:pPr>
            <w:r>
              <w:rPr>
                <w:rFonts w:ascii="Arial" w:cs="Arial" w:eastAsia="Arial" w:hAnsi="Arial"/>
                <w:sz w:val="14"/>
                <w:szCs w:val="14"/>
                <w:color w:val="auto"/>
              </w:rPr>
              <w:t>100%</w:t>
            </w:r>
          </w:p>
        </w:tc>
        <w:tc>
          <w:tcPr>
            <w:tcW w:w="18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360"/>
              <w:spacing w:after="0" w:line="151" w:lineRule="exact"/>
              <w:rPr>
                <w:sz w:val="20"/>
                <w:szCs w:val="20"/>
                <w:color w:val="auto"/>
              </w:rPr>
            </w:pPr>
            <w:r>
              <w:rPr>
                <w:rFonts w:ascii="Arial" w:cs="Arial" w:eastAsia="Arial" w:hAnsi="Arial"/>
                <w:sz w:val="14"/>
                <w:szCs w:val="14"/>
                <w:color w:val="auto"/>
              </w:rPr>
              <w:t>100%</w:t>
            </w:r>
          </w:p>
        </w:tc>
        <w:tc>
          <w:tcPr>
            <w:tcW w:w="7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140" w:type="dxa"/>
            <w:vAlign w:val="bottom"/>
            <w:tcBorders>
              <w:top w:val="single" w:sz="8" w:color="CFF0FC"/>
            </w:tcBorders>
          </w:tcPr>
          <w:p>
            <w:pPr>
              <w:spacing w:after="0" w:line="20" w:lineRule="exact"/>
              <w:rPr>
                <w:sz w:val="1"/>
                <w:szCs w:val="1"/>
                <w:color w:val="auto"/>
              </w:rPr>
            </w:pPr>
          </w:p>
        </w:tc>
        <w:tc>
          <w:tcPr>
            <w:tcW w:w="11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140" w:type="dxa"/>
            <w:vAlign w:val="bottom"/>
            <w:tcBorders>
              <w:bottom w:val="single" w:sz="8" w:color="auto"/>
            </w:tcBorders>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600" w:hanging="595"/>
        <w:spacing w:after="0"/>
        <w:tabs>
          <w:tab w:leader="none" w:pos="600" w:val="left"/>
        </w:tabs>
        <w:numPr>
          <w:ilvl w:val="0"/>
          <w:numId w:val="26"/>
        </w:numPr>
        <w:rPr>
          <w:rFonts w:ascii="Arial" w:cs="Arial" w:eastAsia="Arial" w:hAnsi="Arial"/>
          <w:sz w:val="14"/>
          <w:szCs w:val="14"/>
          <w:i w:val="1"/>
          <w:iCs w:val="1"/>
          <w:color w:val="auto"/>
        </w:rPr>
      </w:pPr>
      <w:r>
        <w:rPr>
          <w:rFonts w:ascii="Arial" w:cs="Arial" w:eastAsia="Arial" w:hAnsi="Arial"/>
          <w:sz w:val="14"/>
          <w:szCs w:val="14"/>
          <w:i w:val="1"/>
          <w:iCs w:val="1"/>
          <w:color w:val="auto"/>
        </w:rPr>
        <w:t>Includes Delaware, Maryland, New Jersey, Virginia, West Virginia and the District of Columbia.</w:t>
      </w:r>
    </w:p>
    <w:p>
      <w:pPr>
        <w:ind w:left="600" w:hanging="595"/>
        <w:spacing w:after="0"/>
        <w:tabs>
          <w:tab w:leader="none" w:pos="600" w:val="left"/>
        </w:tabs>
        <w:numPr>
          <w:ilvl w:val="0"/>
          <w:numId w:val="26"/>
        </w:numPr>
        <w:rPr>
          <w:rFonts w:ascii="Arial" w:cs="Arial" w:eastAsia="Arial" w:hAnsi="Arial"/>
          <w:sz w:val="14"/>
          <w:szCs w:val="14"/>
          <w:i w:val="1"/>
          <w:iCs w:val="1"/>
          <w:color w:val="auto"/>
        </w:rPr>
      </w:pPr>
      <w:r>
        <w:rPr>
          <w:rFonts w:ascii="Arial" w:cs="Arial" w:eastAsia="Arial" w:hAnsi="Arial"/>
          <w:sz w:val="14"/>
          <w:szCs w:val="14"/>
          <w:i w:val="1"/>
          <w:iCs w:val="1"/>
          <w:color w:val="auto"/>
        </w:rPr>
        <w:t>Includes $337 million of construction loans.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648" w:right="239" w:bottom="1440" w:gutter="0" w:footer="0" w:header="0"/>
        </w:sectPr>
      </w:pPr>
    </w:p>
    <w:bookmarkStart w:id="59" w:name="page60"/>
    <w:bookmarkEnd w:id="59"/>
    <w:p>
      <w:pPr>
        <w:ind w:right="60" w:firstLine="598"/>
        <w:spacing w:after="0" w:line="263" w:lineRule="auto"/>
        <w:rPr>
          <w:sz w:val="20"/>
          <w:szCs w:val="20"/>
          <w:color w:val="auto"/>
        </w:rPr>
      </w:pPr>
      <w:r>
        <w:rPr>
          <w:rFonts w:ascii="Arial" w:cs="Arial" w:eastAsia="Arial" w:hAnsi="Arial"/>
          <w:sz w:val="19"/>
          <w:szCs w:val="19"/>
          <w:color w:val="auto"/>
        </w:rPr>
        <w:t>Commercial real estate loans secured by properties located in other parts of New York State, Pennsylvania and the Mid-Atlantic area tend to have a greater diversity of collateral types and include a significant amount of lending to customers who use the mortgaged property in their trade or business (owner-occupied). Approximately 64% of the aggregate dollar amount of commercial real estate loans in New York State secured by properties located outside of the New York City area were for loans with outstanding balances of $10 million or less. Of the outstanding balances of commercial real estate loans in Pennsylvania and the Mid-Atlantic area, approximately 58% and 46%, respectively, were for loans with outstanding balances of $10 million or less.</w:t>
      </w:r>
    </w:p>
    <w:p>
      <w:pPr>
        <w:ind w:right="600" w:firstLine="598"/>
        <w:spacing w:after="0" w:line="246" w:lineRule="auto"/>
        <w:rPr>
          <w:sz w:val="20"/>
          <w:szCs w:val="20"/>
          <w:color w:val="auto"/>
        </w:rPr>
      </w:pPr>
      <w:r>
        <w:rPr>
          <w:rFonts w:ascii="Arial" w:cs="Arial" w:eastAsia="Arial" w:hAnsi="Arial"/>
          <w:sz w:val="20"/>
          <w:szCs w:val="20"/>
          <w:color w:val="auto"/>
        </w:rPr>
        <w:t>Commercial real estate loans secured by properties located outside of Pennsylvania, the Mid-Atlantic area and New York State comprised 15% of total commercial real estate loans as of December 31, 2017.</w:t>
      </w:r>
    </w:p>
    <w:p>
      <w:pPr>
        <w:spacing w:after="0" w:line="2" w:lineRule="exact"/>
        <w:rPr>
          <w:sz w:val="20"/>
          <w:szCs w:val="20"/>
          <w:color w:val="auto"/>
        </w:rPr>
      </w:pPr>
    </w:p>
    <w:p>
      <w:pPr>
        <w:ind w:left="600"/>
        <w:spacing w:after="0"/>
        <w:rPr>
          <w:sz w:val="20"/>
          <w:szCs w:val="20"/>
          <w:color w:val="auto"/>
        </w:rPr>
      </w:pPr>
      <w:r>
        <w:rPr>
          <w:rFonts w:ascii="Arial" w:cs="Arial" w:eastAsia="Arial" w:hAnsi="Arial"/>
          <w:sz w:val="20"/>
          <w:szCs w:val="20"/>
          <w:color w:val="auto"/>
        </w:rPr>
        <w:t>Commercial real estate construction and development loans made to investors presented in table 6 totaled $7.7 billion at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or 9% of total loans and leases. Approximately 99% of those construction loans had adjustable interest rates. Included in</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such loans at the 2017 year-end were $1.6 billion of loans to builders and developers of residential real estate properties. The remainder of</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the commercial real estate construction loan portfolio was comprised of loans made for various purposes, including the construction of office</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buildings, multifamily residential housing, retail space and other commercial development.</w:t>
      </w:r>
    </w:p>
    <w:p>
      <w:pPr>
        <w:spacing w:after="0" w:line="7" w:lineRule="exact"/>
        <w:rPr>
          <w:sz w:val="20"/>
          <w:szCs w:val="20"/>
          <w:color w:val="auto"/>
        </w:rPr>
      </w:pPr>
    </w:p>
    <w:p>
      <w:pPr>
        <w:ind w:firstLine="598"/>
        <w:spacing w:after="0" w:line="259" w:lineRule="auto"/>
        <w:rPr>
          <w:sz w:val="20"/>
          <w:szCs w:val="20"/>
          <w:color w:val="auto"/>
        </w:rPr>
      </w:pPr>
      <w:r>
        <w:rPr>
          <w:rFonts w:ascii="Arial" w:cs="Arial" w:eastAsia="Arial" w:hAnsi="Arial"/>
          <w:sz w:val="19"/>
          <w:szCs w:val="19"/>
          <w:color w:val="auto"/>
        </w:rPr>
        <w:t>M&amp;T Realty Capital Corporation, a commercial real estate lending subsidiary of M&amp;T Bank, participates in the Delegated Underwriting and Servicing (“DUS”) program of Fannie Mae, pursuant to which commercial real estate loans are originated in accordance with terms and conditions specified by Fannie Mae and sold. Under this program, loans are sold with partial credit recourse to M&amp;T Realty Capital Corporation. The amount of recourse is generally limited to one-third of any credit loss incurred by the purchaser on an individual loan, although in some cases the recourse amount is less than one-third of the outstanding principal balance. The Company’s maximum credit risk for recourse associated with sold commercial real estate loans was approximately $3.3 billion and $2.8 billion at December 31, 2017 and 2016, respectively. There have been no material losses incurred as a result of those recourse arrangements. Commercial real estate loans held for sale at December 31, 2017 and 2016 aggregated $22 million and $643 million, respectively. At December 31, 2017 and 2016, commercial real estate loans serviced by the Company for other investors were $16.2 billion and $11.8 billion, respectively. Those serviced loans are not included in the Company’s consolidated balance sheet. In January 2017, M&amp;T Realty Capital Corporation began sub-servicing a commercial mortgage loan portfolio and obtained other assets increasing loans serviced for others by $2.7 billion. The assets acquired were not material to the Company’s consolidated financial position.</w:t>
      </w:r>
    </w:p>
    <w:p>
      <w:pPr>
        <w:spacing w:after="0" w:line="9" w:lineRule="exact"/>
        <w:rPr>
          <w:sz w:val="20"/>
          <w:szCs w:val="20"/>
          <w:color w:val="auto"/>
        </w:rPr>
      </w:pPr>
    </w:p>
    <w:p>
      <w:pPr>
        <w:ind w:right="120" w:firstLine="598"/>
        <w:spacing w:after="0" w:line="278" w:lineRule="auto"/>
        <w:rPr>
          <w:sz w:val="20"/>
          <w:szCs w:val="20"/>
          <w:color w:val="auto"/>
        </w:rPr>
      </w:pPr>
      <w:r>
        <w:rPr>
          <w:rFonts w:ascii="Arial" w:cs="Arial" w:eastAsia="Arial" w:hAnsi="Arial"/>
          <w:sz w:val="18"/>
          <w:szCs w:val="18"/>
          <w:color w:val="auto"/>
        </w:rPr>
        <w:t>Real estate loans secured by one-to-four family residential properties were $19.6 billion at December 31, 2017, including approximately 35% secured by properties located in New York State, 8% secured by properties located in Pennsylvania, 28% secured by properties in New Jersey and 11% secured by properties located in other Mid-Atlantic areas. The Company’s portfolio of alternative (“Alt-A”) residential real estate loans (referred to as “limited documentation loans”) held for investment decreased by $571 million to $3.0 billion at December 31, 2017 from $3.6 billion at December 31, 2016. A portfolio of limited documentation loans acquired with the Hudson City transaction totaled $2.8 billion and $3.3 billion at December 31, 2017 and 2016, respectively. Alt-A loans represent loans that at origination typically included some form of limited borrower documentation requirements as compared with more traditional residential real estate loans. Hudson City loans that were eligible for limited documentation processing were available in amounts up to 65% of the lower of the appraised value or purchase price of the property. Hudson City discontinued its limited documentation loan program in January 2014. Loans in the Company’s Alt-A portfolio prior to the Hudson City transaction were originated by the Company prior to 2008. Loans to</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46" w:right="239" w:bottom="1440" w:gutter="0" w:footer="0" w:header="0"/>
        </w:sectPr>
      </w:pPr>
    </w:p>
    <w:bookmarkStart w:id="60" w:name="page61"/>
    <w:bookmarkEnd w:id="60"/>
    <w:p>
      <w:pPr>
        <w:ind w:right="80"/>
        <w:spacing w:after="0" w:line="253" w:lineRule="auto"/>
        <w:rPr>
          <w:sz w:val="20"/>
          <w:szCs w:val="20"/>
          <w:color w:val="auto"/>
        </w:rPr>
      </w:pPr>
      <w:r>
        <w:rPr>
          <w:rFonts w:ascii="Arial" w:cs="Arial" w:eastAsia="Arial" w:hAnsi="Arial"/>
          <w:sz w:val="20"/>
          <w:szCs w:val="20"/>
          <w:color w:val="auto"/>
        </w:rPr>
        <w:t>individuals to finance the construction of one-to-four family residential properties totaled $22 million at December 31, 2017 and $21 million at December 31, 2016, or less than .1% of total loans and leases at each of those dates. Information about the credit performance of the Company’s residential real estate loans is included herein under the heading “Provision For Credit Losses.”</w:t>
      </w:r>
    </w:p>
    <w:p>
      <w:pPr>
        <w:ind w:right="80" w:firstLine="598"/>
        <w:spacing w:after="0" w:line="274" w:lineRule="auto"/>
        <w:rPr>
          <w:sz w:val="20"/>
          <w:szCs w:val="20"/>
          <w:color w:val="auto"/>
        </w:rPr>
      </w:pPr>
      <w:r>
        <w:rPr>
          <w:rFonts w:ascii="Arial" w:cs="Arial" w:eastAsia="Arial" w:hAnsi="Arial"/>
          <w:sz w:val="18"/>
          <w:szCs w:val="18"/>
          <w:color w:val="auto"/>
        </w:rPr>
        <w:t>Consumer loans comprised approximately 15% and 13% of total loans and leases at December 31, 2017 and 2016, respectively. Outstanding balances of home equity loans and lines of credit represent the largest component of the consumer loan portfolio. Such balances represented approximately 6% of total loans and leases at each of December 31, 2017 and December 31, 2016. Approximately 40% of home equity loans and lines of credit outstanding at December 31, 2017 were secured by properties in New York State, 25% in Maryland, 21% in Pennsylvania and 3% in New Jersey. Outstanding automobile loan balances rose to $3.5 billion at December 31, 2017 from $2.9 billion at December 31, 2016. That increase reflects continued consumer demand for motor vehicles.</w:t>
      </w:r>
    </w:p>
    <w:p>
      <w:pPr>
        <w:spacing w:after="0" w:line="1" w:lineRule="exact"/>
        <w:rPr>
          <w:sz w:val="20"/>
          <w:szCs w:val="20"/>
          <w:color w:val="auto"/>
        </w:rPr>
      </w:pPr>
    </w:p>
    <w:p>
      <w:pPr>
        <w:ind w:right="440" w:firstLine="598"/>
        <w:spacing w:after="0" w:line="256" w:lineRule="auto"/>
        <w:rPr>
          <w:sz w:val="20"/>
          <w:szCs w:val="20"/>
          <w:color w:val="auto"/>
        </w:rPr>
      </w:pPr>
      <w:r>
        <w:rPr>
          <w:rFonts w:ascii="Arial" w:cs="Arial" w:eastAsia="Arial" w:hAnsi="Arial"/>
          <w:sz w:val="20"/>
          <w:szCs w:val="20"/>
          <w:color w:val="auto"/>
        </w:rPr>
        <w:t>Table 7 presents the composition of the Company’s loan and lease portfolio at the end of 2017, including outstanding balances to businesses and consumers in New York State, Pennsylvania, the Mid-Atlantic area and other states.</w:t>
      </w:r>
    </w:p>
    <w:p>
      <w:pPr>
        <w:spacing w:after="0" w:line="2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Table 7</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LOANS AND LEASES, NET OF UNEARNED DISCOUNT</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December 31, 2017</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9"/>
          </w:tcPr>
          <w:p>
            <w:pPr>
              <w:ind w:left="20"/>
              <w:spacing w:after="0"/>
              <w:rPr>
                <w:sz w:val="20"/>
                <w:szCs w:val="20"/>
                <w:color w:val="auto"/>
              </w:rPr>
            </w:pPr>
            <w:r>
              <w:rPr>
                <w:rFonts w:ascii="Arial" w:cs="Arial" w:eastAsia="Arial" w:hAnsi="Arial"/>
                <w:sz w:val="14"/>
                <w:szCs w:val="14"/>
                <w:b w:val="1"/>
                <w:bCs w:val="1"/>
                <w:color w:val="auto"/>
              </w:rPr>
              <w:t>Percent of Dollars Outstanding</w:t>
            </w:r>
          </w:p>
        </w:tc>
        <w:tc>
          <w:tcPr>
            <w:tcW w:w="4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4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4"/>
            <w:vMerge w:val="restart"/>
          </w:tcPr>
          <w:p>
            <w:pPr>
              <w:ind w:left="120"/>
              <w:spacing w:after="0"/>
              <w:rPr>
                <w:sz w:val="20"/>
                <w:szCs w:val="20"/>
                <w:color w:val="auto"/>
              </w:rPr>
            </w:pPr>
            <w:r>
              <w:rPr>
                <w:rFonts w:ascii="Arial" w:cs="Arial" w:eastAsia="Arial" w:hAnsi="Arial"/>
                <w:sz w:val="14"/>
                <w:szCs w:val="14"/>
                <w:b w:val="1"/>
                <w:bCs w:val="1"/>
                <w:color w:val="auto"/>
              </w:rPr>
              <w:t>New</w:t>
            </w:r>
          </w:p>
        </w:tc>
        <w:tc>
          <w:tcPr>
            <w:tcW w:w="1060" w:type="dxa"/>
            <w:vAlign w:val="bottom"/>
            <w:gridSpan w:val="3"/>
            <w:vMerge w:val="restart"/>
          </w:tcPr>
          <w:p>
            <w:pPr>
              <w:jc w:val="center"/>
              <w:ind w:right="340"/>
              <w:spacing w:after="0"/>
              <w:rPr>
                <w:sz w:val="20"/>
                <w:szCs w:val="20"/>
                <w:color w:val="auto"/>
              </w:rPr>
            </w:pPr>
            <w:r>
              <w:rPr>
                <w:rFonts w:ascii="Arial" w:cs="Arial" w:eastAsia="Arial" w:hAnsi="Arial"/>
                <w:sz w:val="14"/>
                <w:szCs w:val="14"/>
                <w:b w:val="1"/>
                <w:bCs w:val="1"/>
                <w:color w:val="auto"/>
                <w:w w:val="92"/>
              </w:rPr>
              <w:t>Penn-</w:t>
            </w: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6"/>
          </w:tcPr>
          <w:p>
            <w:pPr>
              <w:ind w:left="180"/>
              <w:spacing w:after="0" w:line="151" w:lineRule="exact"/>
              <w:rPr>
                <w:sz w:val="20"/>
                <w:szCs w:val="20"/>
                <w:color w:val="auto"/>
              </w:rPr>
            </w:pPr>
            <w:r>
              <w:rPr>
                <w:rFonts w:ascii="Arial" w:cs="Arial" w:eastAsia="Arial" w:hAnsi="Arial"/>
                <w:sz w:val="14"/>
                <w:szCs w:val="14"/>
                <w:b w:val="1"/>
                <w:bCs w:val="1"/>
                <w:color w:val="auto"/>
              </w:rPr>
              <w:t>Mid-Atlantic</w:t>
            </w:r>
          </w:p>
        </w:tc>
        <w:tc>
          <w:tcPr>
            <w:tcW w:w="4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4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4"/>
            <w:vMerge w:val="continue"/>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4"/>
          </w:tcPr>
          <w:p>
            <w:pPr>
              <w:jc w:val="center"/>
              <w:ind w:right="380"/>
              <w:spacing w:after="0" w:line="141" w:lineRule="exact"/>
              <w:rPr>
                <w:sz w:val="20"/>
                <w:szCs w:val="20"/>
                <w:color w:val="auto"/>
              </w:rPr>
            </w:pPr>
            <w:r>
              <w:rPr>
                <w:rFonts w:ascii="Arial" w:cs="Arial" w:eastAsia="Arial" w:hAnsi="Arial"/>
                <w:sz w:val="14"/>
                <w:szCs w:val="14"/>
                <w:b w:val="1"/>
                <w:bCs w:val="1"/>
                <w:color w:val="auto"/>
                <w:w w:val="90"/>
              </w:rPr>
              <w:t>New</w:t>
            </w: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Outstandings</w:t>
            </w:r>
          </w:p>
        </w:tc>
        <w:tc>
          <w:tcPr>
            <w:tcW w:w="920" w:type="dxa"/>
            <w:vAlign w:val="bottom"/>
            <w:gridSpan w:val="4"/>
          </w:tcPr>
          <w:p>
            <w:pPr>
              <w:ind w:left="120"/>
              <w:spacing w:after="0"/>
              <w:rPr>
                <w:sz w:val="20"/>
                <w:szCs w:val="20"/>
                <w:color w:val="auto"/>
              </w:rPr>
            </w:pPr>
            <w:r>
              <w:rPr>
                <w:rFonts w:ascii="Arial" w:cs="Arial" w:eastAsia="Arial" w:hAnsi="Arial"/>
                <w:sz w:val="14"/>
                <w:szCs w:val="14"/>
                <w:b w:val="1"/>
                <w:bCs w:val="1"/>
                <w:color w:val="auto"/>
              </w:rPr>
              <w:t>York</w:t>
            </w:r>
          </w:p>
        </w:tc>
        <w:tc>
          <w:tcPr>
            <w:tcW w:w="106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6"/>
              </w:rPr>
              <w:t>sylvania</w:t>
            </w:r>
          </w:p>
        </w:tc>
        <w:tc>
          <w:tcPr>
            <w:tcW w:w="8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Maryland</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85"/>
              </w:rPr>
              <w:t>Jersey</w:t>
            </w:r>
          </w:p>
        </w:tc>
        <w:tc>
          <w:tcPr>
            <w:tcW w:w="1100" w:type="dxa"/>
            <w:vAlign w:val="bottom"/>
            <w:gridSpan w:val="4"/>
          </w:tcPr>
          <w:p>
            <w:pPr>
              <w:ind w:left="40"/>
              <w:spacing w:after="0"/>
              <w:rPr>
                <w:sz w:val="20"/>
                <w:szCs w:val="20"/>
                <w:color w:val="auto"/>
              </w:rPr>
            </w:pPr>
            <w:r>
              <w:rPr>
                <w:rFonts w:ascii="Arial" w:cs="Arial" w:eastAsia="Arial" w:hAnsi="Arial"/>
                <w:sz w:val="14"/>
                <w:szCs w:val="14"/>
                <w:b w:val="1"/>
                <w:bCs w:val="1"/>
                <w:color w:val="auto"/>
              </w:rPr>
              <w:t>Other(a)</w:t>
            </w:r>
          </w:p>
        </w:tc>
        <w:tc>
          <w:tcPr>
            <w:tcW w:w="6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76"/>
        </w:trPr>
        <w:tc>
          <w:tcPr>
            <w:tcW w:w="4060" w:type="dxa"/>
            <w:vAlign w:val="bottom"/>
            <w:vMerge w:val="restart"/>
          </w:tcPr>
          <w:p>
            <w:pPr>
              <w:spacing w:after="0"/>
              <w:rPr>
                <w:sz w:val="20"/>
                <w:szCs w:val="20"/>
                <w:color w:val="auto"/>
              </w:rPr>
            </w:pPr>
            <w:r>
              <w:rPr>
                <w:rFonts w:ascii="Arial" w:cs="Arial" w:eastAsia="Arial" w:hAnsi="Arial"/>
                <w:sz w:val="20"/>
                <w:szCs w:val="20"/>
                <w:color w:val="auto"/>
              </w:rPr>
              <w:t>Real estate</w:t>
            </w:r>
          </w:p>
        </w:tc>
        <w:tc>
          <w:tcPr>
            <w:tcW w:w="1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ind w:right="64"/>
              <w:spacing w:after="0"/>
              <w:rPr>
                <w:sz w:val="20"/>
                <w:szCs w:val="20"/>
                <w:color w:val="auto"/>
              </w:rPr>
            </w:pPr>
            <w:r>
              <w:rPr>
                <w:rFonts w:ascii="Arial" w:cs="Arial" w:eastAsia="Arial" w:hAnsi="Arial"/>
                <w:sz w:val="14"/>
                <w:szCs w:val="14"/>
                <w:b w:val="1"/>
                <w:bCs w:val="1"/>
                <w:color w:val="auto"/>
                <w:w w:val="96"/>
              </w:rPr>
              <w:t>(In millions)</w:t>
            </w:r>
          </w:p>
        </w:tc>
        <w:tc>
          <w:tcPr>
            <w:tcW w:w="3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0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060" w:type="dxa"/>
            <w:vAlign w:val="bottom"/>
            <w:shd w:val="clear" w:color="auto" w:fill="CFF0FC"/>
          </w:tcPr>
          <w:p>
            <w:pPr>
              <w:ind w:left="240"/>
              <w:spacing w:after="0"/>
              <w:rPr>
                <w:sz w:val="20"/>
                <w:szCs w:val="20"/>
                <w:color w:val="auto"/>
              </w:rPr>
            </w:pPr>
            <w:r>
              <w:rPr>
                <w:rFonts w:ascii="Arial" w:cs="Arial" w:eastAsia="Arial" w:hAnsi="Arial"/>
                <w:sz w:val="20"/>
                <w:szCs w:val="20"/>
                <w:color w:val="auto"/>
              </w:rPr>
              <w:t>Residential</w:t>
            </w:r>
          </w:p>
        </w:tc>
        <w:tc>
          <w:tcPr>
            <w:tcW w:w="10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19,613</w:t>
            </w:r>
          </w:p>
        </w:tc>
        <w:tc>
          <w:tcPr>
            <w:tcW w:w="3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620" w:type="dxa"/>
            <w:vAlign w:val="bottom"/>
            <w:gridSpan w:val="2"/>
            <w:shd w:val="clear" w:color="auto" w:fill="CFF0FC"/>
          </w:tcPr>
          <w:p>
            <w:pPr>
              <w:ind w:left="140"/>
              <w:spacing w:after="0"/>
              <w:rPr>
                <w:sz w:val="20"/>
                <w:szCs w:val="20"/>
                <w:color w:val="auto"/>
              </w:rPr>
            </w:pPr>
            <w:r>
              <w:rPr>
                <w:rFonts w:ascii="Arial" w:cs="Arial" w:eastAsia="Arial" w:hAnsi="Arial"/>
                <w:sz w:val="20"/>
                <w:szCs w:val="20"/>
                <w:color w:val="auto"/>
              </w:rPr>
              <w:t>35%</w:t>
            </w:r>
          </w:p>
        </w:tc>
        <w:tc>
          <w:tcPr>
            <w:tcW w:w="2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8%</w:t>
            </w:r>
          </w:p>
        </w:tc>
        <w:tc>
          <w:tcPr>
            <w:tcW w:w="260" w:type="dxa"/>
            <w:vAlign w:val="bottom"/>
            <w:shd w:val="clear" w:color="auto" w:fill="CFF0FC"/>
          </w:tcPr>
          <w:p>
            <w:pPr>
              <w:spacing w:after="0"/>
              <w:rPr>
                <w:sz w:val="21"/>
                <w:szCs w:val="21"/>
                <w:color w:val="auto"/>
              </w:rPr>
            </w:pPr>
          </w:p>
        </w:tc>
        <w:tc>
          <w:tcPr>
            <w:tcW w:w="880" w:type="dxa"/>
            <w:vAlign w:val="bottom"/>
            <w:gridSpan w:val="3"/>
            <w:shd w:val="clear" w:color="auto" w:fill="CFF0FC"/>
          </w:tcPr>
          <w:p>
            <w:pPr>
              <w:jc w:val="right"/>
              <w:ind w:right="80"/>
              <w:spacing w:after="0"/>
              <w:rPr>
                <w:sz w:val="20"/>
                <w:szCs w:val="20"/>
                <w:color w:val="auto"/>
              </w:rPr>
            </w:pPr>
            <w:r>
              <w:rPr>
                <w:rFonts w:ascii="Arial" w:cs="Arial" w:eastAsia="Arial" w:hAnsi="Arial"/>
                <w:sz w:val="20"/>
                <w:szCs w:val="20"/>
                <w:color w:val="auto"/>
              </w:rPr>
              <w:t>6%</w:t>
            </w:r>
          </w:p>
        </w:tc>
        <w:tc>
          <w:tcPr>
            <w:tcW w:w="1020" w:type="dxa"/>
            <w:vAlign w:val="bottom"/>
            <w:gridSpan w:val="4"/>
            <w:shd w:val="clear" w:color="auto" w:fill="CFF0FC"/>
          </w:tcPr>
          <w:p>
            <w:pPr>
              <w:jc w:val="right"/>
              <w:ind w:right="100"/>
              <w:spacing w:after="0"/>
              <w:rPr>
                <w:sz w:val="20"/>
                <w:szCs w:val="20"/>
                <w:color w:val="auto"/>
              </w:rPr>
            </w:pPr>
            <w:r>
              <w:rPr>
                <w:rFonts w:ascii="Arial" w:cs="Arial" w:eastAsia="Arial" w:hAnsi="Arial"/>
                <w:sz w:val="20"/>
                <w:szCs w:val="20"/>
                <w:color w:val="auto"/>
              </w:rPr>
              <w:t>28%</w:t>
            </w:r>
          </w:p>
        </w:tc>
        <w:tc>
          <w:tcPr>
            <w:tcW w:w="2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5%</w:t>
            </w:r>
          </w:p>
        </w:tc>
        <w:tc>
          <w:tcPr>
            <w:tcW w:w="3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18%</w:t>
            </w:r>
          </w:p>
        </w:tc>
        <w:tc>
          <w:tcPr>
            <w:tcW w:w="0" w:type="dxa"/>
            <w:vAlign w:val="bottom"/>
          </w:tcPr>
          <w:p>
            <w:pPr>
              <w:spacing w:after="0"/>
              <w:rPr>
                <w:sz w:val="1"/>
                <w:szCs w:val="1"/>
                <w:color w:val="auto"/>
              </w:rPr>
            </w:pPr>
          </w:p>
        </w:tc>
      </w:tr>
      <w:tr>
        <w:trPr>
          <w:trHeight w:val="250"/>
        </w:trPr>
        <w:tc>
          <w:tcPr>
            <w:tcW w:w="4060" w:type="dxa"/>
            <w:vAlign w:val="bottom"/>
            <w:tcBorders>
              <w:bottom w:val="single" w:sz="8" w:color="CFF0FC"/>
            </w:tcBorders>
          </w:tcPr>
          <w:p>
            <w:pPr>
              <w:ind w:left="240"/>
              <w:spacing w:after="0"/>
              <w:rPr>
                <w:sz w:val="20"/>
                <w:szCs w:val="20"/>
                <w:color w:val="auto"/>
              </w:rPr>
            </w:pPr>
            <w:r>
              <w:rPr>
                <w:rFonts w:ascii="Arial" w:cs="Arial" w:eastAsia="Arial" w:hAnsi="Arial"/>
                <w:sz w:val="20"/>
                <w:szCs w:val="20"/>
                <w:color w:val="auto"/>
              </w:rPr>
              <w:t>Commercial</w:t>
            </w:r>
          </w:p>
        </w:tc>
        <w:tc>
          <w:tcPr>
            <w:tcW w:w="1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33,366</w:t>
            </w:r>
          </w:p>
        </w:tc>
        <w:tc>
          <w:tcPr>
            <w:tcW w:w="3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360" w:type="dxa"/>
            <w:vAlign w:val="bottom"/>
            <w:tcBorders>
              <w:bottom w:val="single" w:sz="8" w:color="auto"/>
            </w:tcBorders>
          </w:tcPr>
          <w:p>
            <w:pPr>
              <w:ind w:left="140"/>
              <w:spacing w:after="0"/>
              <w:rPr>
                <w:sz w:val="20"/>
                <w:szCs w:val="20"/>
                <w:color w:val="auto"/>
              </w:rPr>
            </w:pPr>
            <w:r>
              <w:rPr>
                <w:rFonts w:ascii="Arial" w:cs="Arial" w:eastAsia="Arial" w:hAnsi="Arial"/>
                <w:sz w:val="20"/>
                <w:szCs w:val="20"/>
                <w:color w:val="auto"/>
                <w:w w:val="89"/>
              </w:rPr>
              <w:t>44</w:t>
            </w:r>
          </w:p>
        </w:tc>
        <w:tc>
          <w:tcPr>
            <w:tcW w:w="260" w:type="dxa"/>
            <w:vAlign w:val="bottom"/>
            <w:tcBorders>
              <w:bottom w:val="single" w:sz="8" w:color="CFF0FC"/>
            </w:tcBorders>
          </w:tcPr>
          <w:p>
            <w:pPr>
              <w:spacing w:after="0"/>
              <w:rPr>
                <w:sz w:val="21"/>
                <w:szCs w:val="21"/>
                <w:color w:val="auto"/>
              </w:rPr>
            </w:pPr>
          </w:p>
        </w:tc>
        <w:tc>
          <w:tcPr>
            <w:tcW w:w="22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w:t>
            </w:r>
          </w:p>
        </w:tc>
        <w:tc>
          <w:tcPr>
            <w:tcW w:w="260" w:type="dxa"/>
            <w:vAlign w:val="bottom"/>
            <w:tcBorders>
              <w:bottom w:val="single" w:sz="8" w:color="CFF0FC"/>
            </w:tcBorders>
          </w:tcPr>
          <w:p>
            <w:pPr>
              <w:spacing w:after="0"/>
              <w:rPr>
                <w:sz w:val="21"/>
                <w:szCs w:val="21"/>
                <w:color w:val="auto"/>
              </w:rPr>
            </w:pPr>
          </w:p>
        </w:tc>
        <w:tc>
          <w:tcPr>
            <w:tcW w:w="2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w:t>
            </w:r>
          </w:p>
        </w:tc>
        <w:tc>
          <w:tcPr>
            <w:tcW w:w="260" w:type="dxa"/>
            <w:vAlign w:val="bottom"/>
            <w:tcBorders>
              <w:bottom w:val="single" w:sz="8" w:color="CFF0FC"/>
            </w:tcBorders>
          </w:tcPr>
          <w:p>
            <w:pPr>
              <w:spacing w:after="0"/>
              <w:rPr>
                <w:sz w:val="21"/>
                <w:szCs w:val="21"/>
                <w:color w:val="auto"/>
              </w:rPr>
            </w:pPr>
          </w:p>
        </w:tc>
        <w:tc>
          <w:tcPr>
            <w:tcW w:w="400" w:type="dxa"/>
            <w:vAlign w:val="bottom"/>
            <w:tcBorders>
              <w:bottom w:val="single" w:sz="8" w:color="CFF0FC"/>
            </w:tcBorders>
            <w:gridSpan w:val="2"/>
          </w:tcPr>
          <w:p>
            <w:pPr>
              <w:spacing w:after="0"/>
              <w:rPr>
                <w:sz w:val="21"/>
                <w:szCs w:val="21"/>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w:t>
            </w:r>
          </w:p>
        </w:tc>
        <w:tc>
          <w:tcPr>
            <w:tcW w:w="260" w:type="dxa"/>
            <w:vAlign w:val="bottom"/>
            <w:tcBorders>
              <w:bottom w:val="single" w:sz="8" w:color="CFF0FC"/>
            </w:tcBorders>
          </w:tcPr>
          <w:p>
            <w:pPr>
              <w:spacing w:after="0"/>
              <w:rPr>
                <w:sz w:val="21"/>
                <w:szCs w:val="21"/>
                <w:color w:val="auto"/>
              </w:rPr>
            </w:pPr>
          </w:p>
        </w:tc>
        <w:tc>
          <w:tcPr>
            <w:tcW w:w="22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w:t>
            </w:r>
          </w:p>
        </w:tc>
        <w:tc>
          <w:tcPr>
            <w:tcW w:w="260" w:type="dxa"/>
            <w:vAlign w:val="bottom"/>
            <w:tcBorders>
              <w:bottom w:val="single" w:sz="8" w:color="CFF0FC"/>
            </w:tcBorders>
          </w:tcPr>
          <w:p>
            <w:pPr>
              <w:spacing w:after="0"/>
              <w:rPr>
                <w:sz w:val="21"/>
                <w:szCs w:val="21"/>
                <w:color w:val="auto"/>
              </w:rPr>
            </w:pPr>
          </w:p>
        </w:tc>
        <w:tc>
          <w:tcPr>
            <w:tcW w:w="32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w:t>
            </w:r>
          </w:p>
        </w:tc>
        <w:tc>
          <w:tcPr>
            <w:tcW w:w="26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60" w:type="dxa"/>
            <w:vAlign w:val="bottom"/>
            <w:shd w:val="clear" w:color="auto" w:fill="CFF0FC"/>
          </w:tcPr>
          <w:p>
            <w:pPr>
              <w:ind w:left="480"/>
              <w:spacing w:after="0"/>
              <w:rPr>
                <w:sz w:val="20"/>
                <w:szCs w:val="20"/>
                <w:color w:val="auto"/>
              </w:rPr>
            </w:pPr>
            <w:r>
              <w:rPr>
                <w:rFonts w:ascii="Arial" w:cs="Arial" w:eastAsia="Arial" w:hAnsi="Arial"/>
                <w:sz w:val="20"/>
                <w:szCs w:val="20"/>
                <w:color w:val="auto"/>
              </w:rPr>
              <w:t>Total real estate</w:t>
            </w:r>
          </w:p>
        </w:tc>
        <w:tc>
          <w:tcPr>
            <w:tcW w:w="1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52,979</w:t>
            </w:r>
          </w:p>
        </w:tc>
        <w:tc>
          <w:tcPr>
            <w:tcW w:w="3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620" w:type="dxa"/>
            <w:vAlign w:val="bottom"/>
            <w:gridSpan w:val="2"/>
            <w:shd w:val="clear" w:color="auto" w:fill="CFF0FC"/>
          </w:tcPr>
          <w:p>
            <w:pPr>
              <w:ind w:left="140"/>
              <w:spacing w:after="0"/>
              <w:rPr>
                <w:sz w:val="20"/>
                <w:szCs w:val="20"/>
                <w:color w:val="auto"/>
              </w:rPr>
            </w:pPr>
            <w:r>
              <w:rPr>
                <w:rFonts w:ascii="Arial" w:cs="Arial" w:eastAsia="Arial" w:hAnsi="Arial"/>
                <w:sz w:val="20"/>
                <w:szCs w:val="20"/>
                <w:color w:val="auto"/>
              </w:rPr>
              <w:t>41%</w:t>
            </w:r>
          </w:p>
        </w:tc>
        <w:tc>
          <w:tcPr>
            <w:tcW w:w="2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11%</w:t>
            </w:r>
          </w:p>
        </w:tc>
        <w:tc>
          <w:tcPr>
            <w:tcW w:w="2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20"/>
                <w:szCs w:val="20"/>
                <w:color w:val="auto"/>
              </w:rPr>
              <w:t>10%</w:t>
            </w:r>
          </w:p>
        </w:tc>
        <w:tc>
          <w:tcPr>
            <w:tcW w:w="3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14%</w:t>
            </w:r>
          </w:p>
        </w:tc>
        <w:tc>
          <w:tcPr>
            <w:tcW w:w="2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8%</w:t>
            </w:r>
          </w:p>
        </w:tc>
        <w:tc>
          <w:tcPr>
            <w:tcW w:w="3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16%</w:t>
            </w:r>
          </w:p>
        </w:tc>
        <w:tc>
          <w:tcPr>
            <w:tcW w:w="0" w:type="dxa"/>
            <w:vAlign w:val="bottom"/>
          </w:tcPr>
          <w:p>
            <w:pPr>
              <w:spacing w:after="0"/>
              <w:rPr>
                <w:sz w:val="1"/>
                <w:szCs w:val="1"/>
                <w:color w:val="auto"/>
              </w:rPr>
            </w:pPr>
          </w:p>
        </w:tc>
      </w:tr>
      <w:tr>
        <w:trPr>
          <w:trHeight w:val="20"/>
        </w:trPr>
        <w:tc>
          <w:tcPr>
            <w:tcW w:w="4060" w:type="dxa"/>
            <w:vAlign w:val="bottom"/>
            <w:vMerge w:val="restart"/>
          </w:tcPr>
          <w:p>
            <w:pPr>
              <w:spacing w:after="0"/>
              <w:rPr>
                <w:sz w:val="20"/>
                <w:szCs w:val="20"/>
                <w:color w:val="auto"/>
              </w:rPr>
            </w:pPr>
            <w:r>
              <w:rPr>
                <w:rFonts w:ascii="Arial" w:cs="Arial" w:eastAsia="Arial" w:hAnsi="Arial"/>
                <w:sz w:val="20"/>
                <w:szCs w:val="20"/>
                <w:color w:val="auto"/>
              </w:rPr>
              <w:t>Commercial, financial, etc.</w:t>
            </w: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0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20,463</w:t>
            </w: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gridSpan w:val="2"/>
          </w:tcPr>
          <w:p>
            <w:pPr>
              <w:ind w:left="140"/>
              <w:spacing w:after="0"/>
              <w:rPr>
                <w:sz w:val="20"/>
                <w:szCs w:val="20"/>
                <w:color w:val="auto"/>
              </w:rPr>
            </w:pPr>
            <w:r>
              <w:rPr>
                <w:rFonts w:ascii="Arial" w:cs="Arial" w:eastAsia="Arial" w:hAnsi="Arial"/>
                <w:sz w:val="20"/>
                <w:szCs w:val="20"/>
                <w:color w:val="auto"/>
              </w:rPr>
              <w:t>39%</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20"/>
                <w:szCs w:val="20"/>
                <w:color w:val="auto"/>
              </w:rPr>
              <w:t>24%</w:t>
            </w:r>
          </w:p>
        </w:tc>
        <w:tc>
          <w:tcPr>
            <w:tcW w:w="260" w:type="dxa"/>
            <w:vAlign w:val="bottom"/>
          </w:tcPr>
          <w:p>
            <w:pPr>
              <w:spacing w:after="0"/>
              <w:rPr>
                <w:sz w:val="21"/>
                <w:szCs w:val="21"/>
                <w:color w:val="auto"/>
              </w:rPr>
            </w:pPr>
          </w:p>
        </w:tc>
        <w:tc>
          <w:tcPr>
            <w:tcW w:w="80" w:type="dxa"/>
            <w:vAlign w:val="bottom"/>
            <w:vMerge w:val="continue"/>
          </w:tcPr>
          <w:p>
            <w:pPr>
              <w:spacing w:after="0"/>
              <w:rPr>
                <w:sz w:val="21"/>
                <w:szCs w:val="21"/>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20"/>
                <w:szCs w:val="20"/>
                <w:color w:val="auto"/>
              </w:rPr>
              <w:t>12%</w:t>
            </w:r>
          </w:p>
        </w:tc>
        <w:tc>
          <w:tcPr>
            <w:tcW w:w="320" w:type="dxa"/>
            <w:vAlign w:val="bottom"/>
            <w:vMerge w:val="continue"/>
          </w:tcPr>
          <w:p>
            <w:pPr>
              <w:spacing w:after="0"/>
              <w:rPr>
                <w:sz w:val="21"/>
                <w:szCs w:val="21"/>
                <w:color w:val="auto"/>
              </w:rPr>
            </w:pPr>
          </w:p>
        </w:tc>
        <w:tc>
          <w:tcPr>
            <w:tcW w:w="80" w:type="dxa"/>
            <w:vAlign w:val="bottom"/>
            <w:vMerge w:val="continue"/>
          </w:tcPr>
          <w:p>
            <w:pPr>
              <w:spacing w:after="0"/>
              <w:rPr>
                <w:sz w:val="21"/>
                <w:szCs w:val="21"/>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20"/>
                <w:szCs w:val="20"/>
                <w:color w:val="auto"/>
              </w:rPr>
              <w:t>6%</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20"/>
                <w:szCs w:val="20"/>
                <w:color w:val="auto"/>
              </w:rPr>
              <w:t>6%</w:t>
            </w: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20"/>
                <w:szCs w:val="20"/>
                <w:color w:val="auto"/>
              </w:rPr>
              <w:t>13%</w:t>
            </w:r>
          </w:p>
        </w:tc>
        <w:tc>
          <w:tcPr>
            <w:tcW w:w="0" w:type="dxa"/>
            <w:vAlign w:val="bottom"/>
          </w:tcPr>
          <w:p>
            <w:pPr>
              <w:spacing w:after="0"/>
              <w:rPr>
                <w:sz w:val="1"/>
                <w:szCs w:val="1"/>
                <w:color w:val="auto"/>
              </w:rPr>
            </w:pPr>
          </w:p>
        </w:tc>
      </w:tr>
      <w:tr>
        <w:trPr>
          <w:trHeight w:val="250"/>
        </w:trPr>
        <w:tc>
          <w:tcPr>
            <w:tcW w:w="4060" w:type="dxa"/>
            <w:vAlign w:val="bottom"/>
            <w:shd w:val="clear" w:color="auto" w:fill="CFF0FC"/>
          </w:tcPr>
          <w:p>
            <w:pPr>
              <w:spacing w:after="0"/>
              <w:rPr>
                <w:sz w:val="20"/>
                <w:szCs w:val="20"/>
                <w:color w:val="auto"/>
              </w:rPr>
            </w:pPr>
            <w:r>
              <w:rPr>
                <w:rFonts w:ascii="Arial" w:cs="Arial" w:eastAsia="Arial" w:hAnsi="Arial"/>
                <w:sz w:val="20"/>
                <w:szCs w:val="20"/>
                <w:color w:val="auto"/>
              </w:rPr>
              <w:t>Consumer</w:t>
            </w:r>
          </w:p>
        </w:tc>
        <w:tc>
          <w:tcPr>
            <w:tcW w:w="1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060" w:type="dxa"/>
            <w:vAlign w:val="bottom"/>
          </w:tcPr>
          <w:p>
            <w:pPr>
              <w:ind w:left="240"/>
              <w:spacing w:after="0"/>
              <w:rPr>
                <w:sz w:val="20"/>
                <w:szCs w:val="20"/>
                <w:color w:val="auto"/>
              </w:rPr>
            </w:pPr>
            <w:r>
              <w:rPr>
                <w:rFonts w:ascii="Arial" w:cs="Arial" w:eastAsia="Arial" w:hAnsi="Arial"/>
                <w:sz w:val="20"/>
                <w:szCs w:val="20"/>
                <w:color w:val="auto"/>
              </w:rPr>
              <w:t>Home equity lines and loans</w:t>
            </w: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5,294</w:t>
            </w: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gridSpan w:val="2"/>
          </w:tcPr>
          <w:p>
            <w:pPr>
              <w:ind w:left="140"/>
              <w:spacing w:after="0"/>
              <w:rPr>
                <w:sz w:val="20"/>
                <w:szCs w:val="20"/>
                <w:color w:val="auto"/>
              </w:rPr>
            </w:pPr>
            <w:r>
              <w:rPr>
                <w:rFonts w:ascii="Arial" w:cs="Arial" w:eastAsia="Arial" w:hAnsi="Arial"/>
                <w:sz w:val="20"/>
                <w:szCs w:val="20"/>
                <w:color w:val="auto"/>
              </w:rPr>
              <w:t>40%</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20"/>
                <w:szCs w:val="20"/>
                <w:color w:val="auto"/>
              </w:rPr>
              <w:t>21%</w:t>
            </w:r>
          </w:p>
        </w:tc>
        <w:tc>
          <w:tcPr>
            <w:tcW w:w="260" w:type="dxa"/>
            <w:vAlign w:val="bottom"/>
          </w:tcPr>
          <w:p>
            <w:pPr>
              <w:spacing w:after="0"/>
              <w:rPr>
                <w:sz w:val="21"/>
                <w:szCs w:val="21"/>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20"/>
                <w:szCs w:val="20"/>
                <w:color w:val="auto"/>
              </w:rPr>
              <w:t>25%</w:t>
            </w:r>
          </w:p>
        </w:tc>
        <w:tc>
          <w:tcPr>
            <w:tcW w:w="1020" w:type="dxa"/>
            <w:vAlign w:val="bottom"/>
            <w:gridSpan w:val="4"/>
          </w:tcPr>
          <w:p>
            <w:pPr>
              <w:jc w:val="right"/>
              <w:ind w:right="100"/>
              <w:spacing w:after="0"/>
              <w:rPr>
                <w:sz w:val="20"/>
                <w:szCs w:val="20"/>
                <w:color w:val="auto"/>
              </w:rPr>
            </w:pPr>
            <w:r>
              <w:rPr>
                <w:rFonts w:ascii="Arial" w:cs="Arial" w:eastAsia="Arial" w:hAnsi="Arial"/>
                <w:sz w:val="20"/>
                <w:szCs w:val="20"/>
                <w:color w:val="auto"/>
              </w:rPr>
              <w:t>3%</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20"/>
                <w:szCs w:val="20"/>
                <w:color w:val="auto"/>
              </w:rPr>
              <w:t>10%</w:t>
            </w: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250"/>
        </w:trPr>
        <w:tc>
          <w:tcPr>
            <w:tcW w:w="4060" w:type="dxa"/>
            <w:vAlign w:val="bottom"/>
            <w:shd w:val="clear" w:color="auto" w:fill="CFF0FC"/>
          </w:tcPr>
          <w:p>
            <w:pPr>
              <w:ind w:left="240"/>
              <w:spacing w:after="0"/>
              <w:rPr>
                <w:sz w:val="20"/>
                <w:szCs w:val="20"/>
                <w:color w:val="auto"/>
              </w:rPr>
            </w:pPr>
            <w:r>
              <w:rPr>
                <w:rFonts w:ascii="Arial" w:cs="Arial" w:eastAsia="Arial" w:hAnsi="Arial"/>
                <w:sz w:val="20"/>
                <w:szCs w:val="20"/>
                <w:color w:val="auto"/>
              </w:rPr>
              <w:t>Automobile</w:t>
            </w:r>
          </w:p>
        </w:tc>
        <w:tc>
          <w:tcPr>
            <w:tcW w:w="1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3,544</w:t>
            </w:r>
          </w:p>
        </w:tc>
        <w:tc>
          <w:tcPr>
            <w:tcW w:w="3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60" w:type="dxa"/>
            <w:vAlign w:val="bottom"/>
            <w:shd w:val="clear" w:color="auto" w:fill="CFF0FC"/>
          </w:tcPr>
          <w:p>
            <w:pPr>
              <w:ind w:left="140"/>
              <w:spacing w:after="0"/>
              <w:rPr>
                <w:sz w:val="20"/>
                <w:szCs w:val="20"/>
                <w:color w:val="auto"/>
              </w:rPr>
            </w:pPr>
            <w:r>
              <w:rPr>
                <w:rFonts w:ascii="Arial" w:cs="Arial" w:eastAsia="Arial" w:hAnsi="Arial"/>
                <w:sz w:val="20"/>
                <w:szCs w:val="20"/>
                <w:color w:val="auto"/>
                <w:w w:val="89"/>
              </w:rPr>
              <w:t>26</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19</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9</w:t>
            </w:r>
          </w:p>
        </w:tc>
        <w:tc>
          <w:tcPr>
            <w:tcW w:w="260" w:type="dxa"/>
            <w:vAlign w:val="bottom"/>
            <w:shd w:val="clear" w:color="auto" w:fill="CFF0FC"/>
          </w:tcPr>
          <w:p>
            <w:pPr>
              <w:spacing w:after="0"/>
              <w:rPr>
                <w:sz w:val="21"/>
                <w:szCs w:val="21"/>
                <w:color w:val="auto"/>
              </w:rPr>
            </w:pPr>
          </w:p>
        </w:tc>
        <w:tc>
          <w:tcPr>
            <w:tcW w:w="760" w:type="dxa"/>
            <w:vAlign w:val="bottom"/>
            <w:gridSpan w:val="3"/>
            <w:shd w:val="clear" w:color="auto" w:fill="CFF0FC"/>
          </w:tcPr>
          <w:p>
            <w:pPr>
              <w:jc w:val="right"/>
              <w:spacing w:after="0"/>
              <w:rPr>
                <w:sz w:val="20"/>
                <w:szCs w:val="20"/>
                <w:color w:val="auto"/>
              </w:rPr>
            </w:pPr>
            <w:r>
              <w:rPr>
                <w:rFonts w:ascii="Arial" w:cs="Arial" w:eastAsia="Arial" w:hAnsi="Arial"/>
                <w:sz w:val="20"/>
                <w:szCs w:val="20"/>
                <w:color w:val="auto"/>
              </w:rPr>
              <w:t>7</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13</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26</w:t>
            </w:r>
          </w:p>
        </w:tc>
        <w:tc>
          <w:tcPr>
            <w:tcW w:w="2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060" w:type="dxa"/>
            <w:vAlign w:val="bottom"/>
          </w:tcPr>
          <w:p>
            <w:pPr>
              <w:ind w:left="240"/>
              <w:spacing w:after="0"/>
              <w:rPr>
                <w:sz w:val="20"/>
                <w:szCs w:val="20"/>
                <w:color w:val="auto"/>
              </w:rPr>
            </w:pPr>
            <w:r>
              <w:rPr>
                <w:rFonts w:ascii="Arial" w:cs="Arial" w:eastAsia="Arial" w:hAnsi="Arial"/>
                <w:sz w:val="20"/>
                <w:szCs w:val="20"/>
                <w:color w:val="auto"/>
              </w:rPr>
              <w:t>Other secured or guaranteed</w:t>
            </w: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3,581</w:t>
            </w: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ind w:left="140"/>
              <w:spacing w:after="0"/>
              <w:rPr>
                <w:sz w:val="20"/>
                <w:szCs w:val="20"/>
                <w:color w:val="auto"/>
              </w:rPr>
            </w:pPr>
            <w:r>
              <w:rPr>
                <w:rFonts w:ascii="Arial" w:cs="Arial" w:eastAsia="Arial" w:hAnsi="Arial"/>
                <w:sz w:val="20"/>
                <w:szCs w:val="20"/>
                <w:color w:val="auto"/>
                <w:w w:val="89"/>
              </w:rPr>
              <w:t>18</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20"/>
                <w:szCs w:val="20"/>
                <w:color w:val="auto"/>
              </w:rPr>
              <w:t>9</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Arial" w:cs="Arial" w:eastAsia="Arial" w:hAnsi="Arial"/>
                <w:sz w:val="20"/>
                <w:szCs w:val="20"/>
                <w:color w:val="auto"/>
              </w:rPr>
              <w:t>6</w:t>
            </w:r>
          </w:p>
        </w:tc>
        <w:tc>
          <w:tcPr>
            <w:tcW w:w="260" w:type="dxa"/>
            <w:vAlign w:val="bottom"/>
          </w:tcPr>
          <w:p>
            <w:pPr>
              <w:spacing w:after="0"/>
              <w:rPr>
                <w:sz w:val="21"/>
                <w:szCs w:val="21"/>
                <w:color w:val="auto"/>
              </w:rPr>
            </w:pPr>
          </w:p>
        </w:tc>
        <w:tc>
          <w:tcPr>
            <w:tcW w:w="760" w:type="dxa"/>
            <w:vAlign w:val="bottom"/>
            <w:gridSpan w:val="3"/>
          </w:tcPr>
          <w:p>
            <w:pPr>
              <w:jc w:val="right"/>
              <w:spacing w:after="0"/>
              <w:rPr>
                <w:sz w:val="20"/>
                <w:szCs w:val="20"/>
                <w:color w:val="auto"/>
              </w:rPr>
            </w:pPr>
            <w:r>
              <w:rPr>
                <w:rFonts w:ascii="Arial" w:cs="Arial" w:eastAsia="Arial" w:hAnsi="Arial"/>
                <w:sz w:val="20"/>
                <w:szCs w:val="20"/>
                <w:color w:val="auto"/>
              </w:rPr>
              <w:t>6</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20"/>
                <w:szCs w:val="20"/>
                <w:color w:val="auto"/>
              </w:rPr>
              <w:t>7</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20"/>
                <w:szCs w:val="20"/>
                <w:color w:val="auto"/>
              </w:rPr>
              <w:t>54</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060" w:type="dxa"/>
            <w:vAlign w:val="bottom"/>
            <w:shd w:val="clear" w:color="auto" w:fill="CFF0FC"/>
          </w:tcPr>
          <w:p>
            <w:pPr>
              <w:ind w:left="240"/>
              <w:spacing w:after="0"/>
              <w:rPr>
                <w:sz w:val="20"/>
                <w:szCs w:val="20"/>
                <w:color w:val="auto"/>
              </w:rPr>
            </w:pPr>
            <w:r>
              <w:rPr>
                <w:rFonts w:ascii="Arial" w:cs="Arial" w:eastAsia="Arial" w:hAnsi="Arial"/>
                <w:sz w:val="20"/>
                <w:szCs w:val="20"/>
                <w:color w:val="auto"/>
              </w:rPr>
              <w:t>Other unsecured</w:t>
            </w:r>
          </w:p>
        </w:tc>
        <w:tc>
          <w:tcPr>
            <w:tcW w:w="1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848</w:t>
            </w:r>
          </w:p>
        </w:tc>
        <w:tc>
          <w:tcPr>
            <w:tcW w:w="3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ind w:left="140"/>
              <w:spacing w:after="0"/>
              <w:rPr>
                <w:sz w:val="20"/>
                <w:szCs w:val="20"/>
                <w:color w:val="auto"/>
              </w:rPr>
            </w:pPr>
            <w:r>
              <w:rPr>
                <w:rFonts w:ascii="Arial" w:cs="Arial" w:eastAsia="Arial" w:hAnsi="Arial"/>
                <w:sz w:val="20"/>
                <w:szCs w:val="20"/>
                <w:color w:val="auto"/>
                <w:w w:val="89"/>
              </w:rPr>
              <w:t>40</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21</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24</w:t>
            </w:r>
          </w:p>
        </w:tc>
        <w:tc>
          <w:tcPr>
            <w:tcW w:w="260" w:type="dxa"/>
            <w:vAlign w:val="bottom"/>
            <w:shd w:val="clear" w:color="auto" w:fill="CFF0FC"/>
          </w:tcPr>
          <w:p>
            <w:pPr>
              <w:spacing w:after="0"/>
              <w:rPr>
                <w:sz w:val="21"/>
                <w:szCs w:val="21"/>
                <w:color w:val="auto"/>
              </w:rPr>
            </w:pPr>
          </w:p>
        </w:tc>
        <w:tc>
          <w:tcPr>
            <w:tcW w:w="400" w:type="dxa"/>
            <w:vAlign w:val="bottom"/>
            <w:gridSpan w:val="2"/>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10</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w:t>
            </w:r>
          </w:p>
        </w:tc>
        <w:tc>
          <w:tcPr>
            <w:tcW w:w="2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60" w:type="dxa"/>
            <w:vAlign w:val="bottom"/>
          </w:tcPr>
          <w:p>
            <w:pPr>
              <w:ind w:left="480"/>
              <w:spacing w:after="0"/>
              <w:rPr>
                <w:sz w:val="20"/>
                <w:szCs w:val="20"/>
                <w:color w:val="auto"/>
              </w:rPr>
            </w:pPr>
            <w:r>
              <w:rPr>
                <w:rFonts w:ascii="Arial" w:cs="Arial" w:eastAsia="Arial" w:hAnsi="Arial"/>
                <w:sz w:val="20"/>
                <w:szCs w:val="20"/>
                <w:color w:val="auto"/>
              </w:rPr>
              <w:t>Total consumer</w:t>
            </w: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13,267</w:t>
            </w: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gridSpan w:val="2"/>
          </w:tcPr>
          <w:p>
            <w:pPr>
              <w:ind w:left="140"/>
              <w:spacing w:after="0"/>
              <w:rPr>
                <w:sz w:val="20"/>
                <w:szCs w:val="20"/>
                <w:color w:val="auto"/>
              </w:rPr>
            </w:pPr>
            <w:r>
              <w:rPr>
                <w:rFonts w:ascii="Arial" w:cs="Arial" w:eastAsia="Arial" w:hAnsi="Arial"/>
                <w:sz w:val="20"/>
                <w:szCs w:val="20"/>
                <w:color w:val="auto"/>
              </w:rPr>
              <w:t>30%</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20"/>
                <w:szCs w:val="20"/>
                <w:color w:val="auto"/>
              </w:rPr>
              <w:t>17%</w:t>
            </w: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20"/>
                <w:szCs w:val="20"/>
                <w:color w:val="auto"/>
              </w:rPr>
              <w:t>16%</w:t>
            </w: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20"/>
                <w:szCs w:val="20"/>
                <w:color w:val="auto"/>
              </w:rPr>
              <w:t>5%</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20"/>
                <w:szCs w:val="20"/>
                <w:color w:val="auto"/>
              </w:rPr>
              <w:t>10%</w:t>
            </w: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20"/>
                <w:szCs w:val="20"/>
                <w:color w:val="auto"/>
              </w:rPr>
              <w:t>22%</w:t>
            </w:r>
          </w:p>
        </w:tc>
        <w:tc>
          <w:tcPr>
            <w:tcW w:w="0" w:type="dxa"/>
            <w:vAlign w:val="bottom"/>
          </w:tcPr>
          <w:p>
            <w:pPr>
              <w:spacing w:after="0"/>
              <w:rPr>
                <w:sz w:val="1"/>
                <w:szCs w:val="1"/>
                <w:color w:val="auto"/>
              </w:rPr>
            </w:pPr>
          </w:p>
        </w:tc>
      </w:tr>
      <w:tr>
        <w:trPr>
          <w:trHeight w:val="20"/>
        </w:trPr>
        <w:tc>
          <w:tcPr>
            <w:tcW w:w="4060" w:type="dxa"/>
            <w:vAlign w:val="bottom"/>
            <w:vMerge w:val="restart"/>
            <w:shd w:val="clear" w:color="auto" w:fill="CFF0FC"/>
          </w:tcPr>
          <w:p>
            <w:pPr>
              <w:ind w:left="720"/>
              <w:spacing w:after="0"/>
              <w:rPr>
                <w:sz w:val="20"/>
                <w:szCs w:val="20"/>
                <w:color w:val="auto"/>
              </w:rPr>
            </w:pPr>
            <w:r>
              <w:rPr>
                <w:rFonts w:ascii="Arial" w:cs="Arial" w:eastAsia="Arial" w:hAnsi="Arial"/>
                <w:sz w:val="20"/>
                <w:szCs w:val="20"/>
                <w:color w:val="auto"/>
              </w:rPr>
              <w:t>Total loans</w:t>
            </w: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vMerge w:val="restart"/>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060" w:type="dxa"/>
            <w:vAlign w:val="bottom"/>
            <w:vMerge w:val="continue"/>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86,709</w:t>
            </w:r>
          </w:p>
        </w:tc>
        <w:tc>
          <w:tcPr>
            <w:tcW w:w="3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620" w:type="dxa"/>
            <w:vAlign w:val="bottom"/>
            <w:gridSpan w:val="2"/>
            <w:shd w:val="clear" w:color="auto" w:fill="CFF0FC"/>
          </w:tcPr>
          <w:p>
            <w:pPr>
              <w:ind w:left="140"/>
              <w:spacing w:after="0"/>
              <w:rPr>
                <w:sz w:val="20"/>
                <w:szCs w:val="20"/>
                <w:color w:val="auto"/>
              </w:rPr>
            </w:pPr>
            <w:r>
              <w:rPr>
                <w:rFonts w:ascii="Arial" w:cs="Arial" w:eastAsia="Arial" w:hAnsi="Arial"/>
                <w:sz w:val="20"/>
                <w:szCs w:val="20"/>
                <w:color w:val="auto"/>
              </w:rPr>
              <w:t>39%</w:t>
            </w:r>
          </w:p>
        </w:tc>
        <w:tc>
          <w:tcPr>
            <w:tcW w:w="2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15%</w:t>
            </w:r>
          </w:p>
        </w:tc>
        <w:tc>
          <w:tcPr>
            <w:tcW w:w="260" w:type="dxa"/>
            <w:vAlign w:val="bottom"/>
            <w:shd w:val="clear" w:color="auto" w:fill="CFF0FC"/>
          </w:tcPr>
          <w:p>
            <w:pPr>
              <w:spacing w:after="0"/>
              <w:rPr>
                <w:sz w:val="21"/>
                <w:szCs w:val="21"/>
                <w:color w:val="auto"/>
              </w:rPr>
            </w:pPr>
          </w:p>
        </w:tc>
        <w:tc>
          <w:tcPr>
            <w:tcW w:w="80" w:type="dxa"/>
            <w:vAlign w:val="bottom"/>
            <w:vMerge w:val="continue"/>
            <w:shd w:val="clear" w:color="auto" w:fill="CFF0FC"/>
          </w:tcPr>
          <w:p>
            <w:pPr>
              <w:spacing w:after="0"/>
              <w:rPr>
                <w:sz w:val="21"/>
                <w:szCs w:val="21"/>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20"/>
                <w:szCs w:val="20"/>
                <w:color w:val="auto"/>
              </w:rPr>
              <w:t>11%</w:t>
            </w:r>
          </w:p>
        </w:tc>
        <w:tc>
          <w:tcPr>
            <w:tcW w:w="320" w:type="dxa"/>
            <w:vAlign w:val="bottom"/>
            <w:vMerge w:val="continue"/>
            <w:shd w:val="clear" w:color="auto" w:fill="CFF0FC"/>
          </w:tcPr>
          <w:p>
            <w:pPr>
              <w:spacing w:after="0"/>
              <w:rPr>
                <w:sz w:val="21"/>
                <w:szCs w:val="21"/>
                <w:color w:val="auto"/>
              </w:rPr>
            </w:pPr>
          </w:p>
        </w:tc>
        <w:tc>
          <w:tcPr>
            <w:tcW w:w="80" w:type="dxa"/>
            <w:vAlign w:val="bottom"/>
            <w:vMerge w:val="continue"/>
            <w:shd w:val="clear" w:color="auto" w:fill="CFF0FC"/>
          </w:tcPr>
          <w:p>
            <w:pPr>
              <w:spacing w:after="0"/>
              <w:rPr>
                <w:sz w:val="21"/>
                <w:szCs w:val="21"/>
                <w:color w:val="auto"/>
              </w:rPr>
            </w:pP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11%</w:t>
            </w:r>
          </w:p>
        </w:tc>
        <w:tc>
          <w:tcPr>
            <w:tcW w:w="2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8%</w:t>
            </w:r>
          </w:p>
        </w:tc>
        <w:tc>
          <w:tcPr>
            <w:tcW w:w="3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16%</w:t>
            </w:r>
          </w:p>
        </w:tc>
        <w:tc>
          <w:tcPr>
            <w:tcW w:w="0" w:type="dxa"/>
            <w:vAlign w:val="bottom"/>
          </w:tcPr>
          <w:p>
            <w:pPr>
              <w:spacing w:after="0"/>
              <w:rPr>
                <w:sz w:val="1"/>
                <w:szCs w:val="1"/>
                <w:color w:val="auto"/>
              </w:rPr>
            </w:pPr>
          </w:p>
        </w:tc>
      </w:tr>
      <w:tr>
        <w:trPr>
          <w:trHeight w:val="20"/>
        </w:trPr>
        <w:tc>
          <w:tcPr>
            <w:tcW w:w="4060" w:type="dxa"/>
            <w:vAlign w:val="bottom"/>
            <w:vMerge w:val="restart"/>
          </w:tcPr>
          <w:p>
            <w:pPr>
              <w:spacing w:after="0"/>
              <w:rPr>
                <w:sz w:val="20"/>
                <w:szCs w:val="20"/>
                <w:color w:val="auto"/>
              </w:rPr>
            </w:pPr>
            <w:r>
              <w:rPr>
                <w:rFonts w:ascii="Arial" w:cs="Arial" w:eastAsia="Arial" w:hAnsi="Arial"/>
                <w:sz w:val="20"/>
                <w:szCs w:val="20"/>
                <w:color w:val="auto"/>
              </w:rPr>
              <w:t>Commercial leases</w:t>
            </w: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0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1,280</w:t>
            </w: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gridSpan w:val="2"/>
          </w:tcPr>
          <w:p>
            <w:pPr>
              <w:ind w:left="140"/>
              <w:spacing w:after="0"/>
              <w:rPr>
                <w:sz w:val="20"/>
                <w:szCs w:val="20"/>
                <w:color w:val="auto"/>
              </w:rPr>
            </w:pPr>
            <w:r>
              <w:rPr>
                <w:rFonts w:ascii="Arial" w:cs="Arial" w:eastAsia="Arial" w:hAnsi="Arial"/>
                <w:sz w:val="20"/>
                <w:szCs w:val="20"/>
                <w:color w:val="auto"/>
              </w:rPr>
              <w:t>47%</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20"/>
                <w:szCs w:val="20"/>
                <w:color w:val="auto"/>
              </w:rPr>
              <w:t>18%</w:t>
            </w:r>
          </w:p>
        </w:tc>
        <w:tc>
          <w:tcPr>
            <w:tcW w:w="260" w:type="dxa"/>
            <w:vAlign w:val="bottom"/>
          </w:tcPr>
          <w:p>
            <w:pPr>
              <w:spacing w:after="0"/>
              <w:rPr>
                <w:sz w:val="21"/>
                <w:szCs w:val="21"/>
                <w:color w:val="auto"/>
              </w:rPr>
            </w:pPr>
          </w:p>
        </w:tc>
        <w:tc>
          <w:tcPr>
            <w:tcW w:w="80" w:type="dxa"/>
            <w:vAlign w:val="bottom"/>
            <w:vMerge w:val="continue"/>
          </w:tcPr>
          <w:p>
            <w:pPr>
              <w:spacing w:after="0"/>
              <w:rPr>
                <w:sz w:val="21"/>
                <w:szCs w:val="21"/>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20"/>
                <w:szCs w:val="20"/>
                <w:color w:val="auto"/>
              </w:rPr>
              <w:t>9%</w:t>
            </w:r>
          </w:p>
        </w:tc>
        <w:tc>
          <w:tcPr>
            <w:tcW w:w="320" w:type="dxa"/>
            <w:vAlign w:val="bottom"/>
            <w:vMerge w:val="continue"/>
          </w:tcPr>
          <w:p>
            <w:pPr>
              <w:spacing w:after="0"/>
              <w:rPr>
                <w:sz w:val="21"/>
                <w:szCs w:val="21"/>
                <w:color w:val="auto"/>
              </w:rPr>
            </w:pPr>
          </w:p>
        </w:tc>
        <w:tc>
          <w:tcPr>
            <w:tcW w:w="80" w:type="dxa"/>
            <w:vAlign w:val="bottom"/>
            <w:vMerge w:val="continue"/>
          </w:tcPr>
          <w:p>
            <w:pPr>
              <w:spacing w:after="0"/>
              <w:rPr>
                <w:sz w:val="21"/>
                <w:szCs w:val="21"/>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20"/>
                <w:szCs w:val="20"/>
                <w:color w:val="auto"/>
              </w:rPr>
              <w:t>3%</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20"/>
                <w:szCs w:val="20"/>
                <w:color w:val="auto"/>
              </w:rPr>
              <w:t>2%</w:t>
            </w: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20"/>
                <w:szCs w:val="20"/>
                <w:color w:val="auto"/>
              </w:rPr>
              <w:t>21%</w:t>
            </w:r>
          </w:p>
        </w:tc>
        <w:tc>
          <w:tcPr>
            <w:tcW w:w="0" w:type="dxa"/>
            <w:vAlign w:val="bottom"/>
          </w:tcPr>
          <w:p>
            <w:pPr>
              <w:spacing w:after="0"/>
              <w:rPr>
                <w:sz w:val="1"/>
                <w:szCs w:val="1"/>
                <w:color w:val="auto"/>
              </w:rPr>
            </w:pPr>
          </w:p>
        </w:tc>
      </w:tr>
      <w:tr>
        <w:trPr>
          <w:trHeight w:val="20"/>
        </w:trPr>
        <w:tc>
          <w:tcPr>
            <w:tcW w:w="4060" w:type="dxa"/>
            <w:vAlign w:val="bottom"/>
            <w:vMerge w:val="restart"/>
            <w:shd w:val="clear" w:color="auto" w:fill="CFF0FC"/>
          </w:tcPr>
          <w:p>
            <w:pPr>
              <w:ind w:left="720"/>
              <w:spacing w:after="0"/>
              <w:rPr>
                <w:sz w:val="20"/>
                <w:szCs w:val="20"/>
                <w:color w:val="auto"/>
              </w:rPr>
            </w:pPr>
            <w:r>
              <w:rPr>
                <w:rFonts w:ascii="Arial" w:cs="Arial" w:eastAsia="Arial" w:hAnsi="Arial"/>
                <w:sz w:val="20"/>
                <w:szCs w:val="20"/>
                <w:color w:val="auto"/>
              </w:rPr>
              <w:t>Total loans and leases</w:t>
            </w: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vMerge w:val="restart"/>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060" w:type="dxa"/>
            <w:vAlign w:val="bottom"/>
            <w:vMerge w:val="continue"/>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87,989</w:t>
            </w:r>
          </w:p>
        </w:tc>
        <w:tc>
          <w:tcPr>
            <w:tcW w:w="3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620" w:type="dxa"/>
            <w:vAlign w:val="bottom"/>
            <w:gridSpan w:val="2"/>
            <w:shd w:val="clear" w:color="auto" w:fill="CFF0FC"/>
          </w:tcPr>
          <w:p>
            <w:pPr>
              <w:ind w:left="140"/>
              <w:spacing w:after="0"/>
              <w:rPr>
                <w:sz w:val="20"/>
                <w:szCs w:val="20"/>
                <w:color w:val="auto"/>
              </w:rPr>
            </w:pPr>
            <w:r>
              <w:rPr>
                <w:rFonts w:ascii="Arial" w:cs="Arial" w:eastAsia="Arial" w:hAnsi="Arial"/>
                <w:sz w:val="20"/>
                <w:szCs w:val="20"/>
                <w:color w:val="auto"/>
              </w:rPr>
              <w:t>38%</w:t>
            </w:r>
          </w:p>
        </w:tc>
        <w:tc>
          <w:tcPr>
            <w:tcW w:w="2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15%</w:t>
            </w:r>
          </w:p>
        </w:tc>
        <w:tc>
          <w:tcPr>
            <w:tcW w:w="260" w:type="dxa"/>
            <w:vAlign w:val="bottom"/>
            <w:shd w:val="clear" w:color="auto" w:fill="CFF0FC"/>
          </w:tcPr>
          <w:p>
            <w:pPr>
              <w:spacing w:after="0"/>
              <w:rPr>
                <w:sz w:val="21"/>
                <w:szCs w:val="21"/>
                <w:color w:val="auto"/>
              </w:rPr>
            </w:pPr>
          </w:p>
        </w:tc>
        <w:tc>
          <w:tcPr>
            <w:tcW w:w="80" w:type="dxa"/>
            <w:vAlign w:val="bottom"/>
            <w:vMerge w:val="continue"/>
            <w:shd w:val="clear" w:color="auto" w:fill="CFF0FC"/>
          </w:tcPr>
          <w:p>
            <w:pPr>
              <w:spacing w:after="0"/>
              <w:rPr>
                <w:sz w:val="21"/>
                <w:szCs w:val="21"/>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20"/>
                <w:szCs w:val="20"/>
                <w:color w:val="auto"/>
              </w:rPr>
              <w:t>11%</w:t>
            </w:r>
          </w:p>
        </w:tc>
        <w:tc>
          <w:tcPr>
            <w:tcW w:w="320" w:type="dxa"/>
            <w:vAlign w:val="bottom"/>
            <w:vMerge w:val="continue"/>
            <w:shd w:val="clear" w:color="auto" w:fill="CFF0FC"/>
          </w:tcPr>
          <w:p>
            <w:pPr>
              <w:spacing w:after="0"/>
              <w:rPr>
                <w:sz w:val="21"/>
                <w:szCs w:val="21"/>
                <w:color w:val="auto"/>
              </w:rPr>
            </w:pPr>
          </w:p>
        </w:tc>
        <w:tc>
          <w:tcPr>
            <w:tcW w:w="80" w:type="dxa"/>
            <w:vAlign w:val="bottom"/>
            <w:vMerge w:val="continue"/>
            <w:shd w:val="clear" w:color="auto" w:fill="CFF0FC"/>
          </w:tcPr>
          <w:p>
            <w:pPr>
              <w:spacing w:after="0"/>
              <w:rPr>
                <w:sz w:val="21"/>
                <w:szCs w:val="21"/>
                <w:color w:val="auto"/>
              </w:rPr>
            </w:pP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11%</w:t>
            </w:r>
          </w:p>
        </w:tc>
        <w:tc>
          <w:tcPr>
            <w:tcW w:w="2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8%</w:t>
            </w:r>
          </w:p>
        </w:tc>
        <w:tc>
          <w:tcPr>
            <w:tcW w:w="3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17%</w:t>
            </w:r>
          </w:p>
        </w:tc>
        <w:tc>
          <w:tcPr>
            <w:tcW w:w="0" w:type="dxa"/>
            <w:vAlign w:val="bottom"/>
          </w:tcPr>
          <w:p>
            <w:pPr>
              <w:spacing w:after="0"/>
              <w:rPr>
                <w:sz w:val="1"/>
                <w:szCs w:val="1"/>
                <w:color w:val="auto"/>
              </w:rPr>
            </w:pPr>
          </w:p>
        </w:tc>
      </w:tr>
      <w:tr>
        <w:trPr>
          <w:trHeight w:val="20"/>
        </w:trPr>
        <w:tc>
          <w:tcPr>
            <w:tcW w:w="40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136017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150" w:lineRule="exact"/>
        <w:rPr>
          <w:sz w:val="20"/>
          <w:szCs w:val="20"/>
          <w:color w:val="auto"/>
        </w:rPr>
      </w:pPr>
    </w:p>
    <w:p>
      <w:pPr>
        <w:ind w:left="600" w:hanging="595"/>
        <w:spacing w:after="0"/>
        <w:tabs>
          <w:tab w:leader="none" w:pos="600" w:val="left"/>
        </w:tabs>
        <w:numPr>
          <w:ilvl w:val="0"/>
          <w:numId w:val="27"/>
        </w:numPr>
        <w:rPr>
          <w:rFonts w:ascii="Arial" w:cs="Arial" w:eastAsia="Arial" w:hAnsi="Arial"/>
          <w:sz w:val="20"/>
          <w:szCs w:val="20"/>
          <w:i w:val="1"/>
          <w:iCs w:val="1"/>
          <w:color w:val="auto"/>
        </w:rPr>
      </w:pPr>
      <w:r>
        <w:rPr>
          <w:rFonts w:ascii="Arial" w:cs="Arial" w:eastAsia="Arial" w:hAnsi="Arial"/>
          <w:sz w:val="20"/>
          <w:szCs w:val="20"/>
          <w:i w:val="1"/>
          <w:iCs w:val="1"/>
          <w:color w:val="auto"/>
        </w:rPr>
        <w:t>Includes Delaware, Virginia, West Virginia and the District of Columbia.</w:t>
      </w:r>
    </w:p>
    <w:p>
      <w:pPr>
        <w:spacing w:after="0" w:line="230" w:lineRule="exact"/>
        <w:rPr>
          <w:sz w:val="20"/>
          <w:szCs w:val="20"/>
          <w:color w:val="auto"/>
        </w:rPr>
      </w:pPr>
    </w:p>
    <w:p>
      <w:pPr>
        <w:ind w:right="100" w:firstLine="598"/>
        <w:spacing w:after="0" w:line="256" w:lineRule="auto"/>
        <w:rPr>
          <w:sz w:val="20"/>
          <w:szCs w:val="20"/>
          <w:color w:val="auto"/>
        </w:rPr>
      </w:pPr>
      <w:r>
        <w:rPr>
          <w:rFonts w:ascii="Arial" w:cs="Arial" w:eastAsia="Arial" w:hAnsi="Arial"/>
          <w:sz w:val="20"/>
          <w:szCs w:val="20"/>
          <w:color w:val="auto"/>
        </w:rPr>
        <w:t>The investment securities portfolio averaged $15.5 billion in 2017, up from $15.0 billion and $14.5 billion in 2016 and 2015, respectively. The changes in the average balances reflect the net effect of purchases, offset by maturities and pay downs of mortgage-backed securities. During 2017, the Company purchased $1.4 billion of mortgage-backed securities, predominantly Ginnie Mae and Freddie Mac securities, and $219 million of U.S. Treasury notes. The Company sold $512 million of</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61" w:name="page62"/>
    <w:bookmarkEnd w:id="61"/>
    <w:p>
      <w:pPr>
        <w:spacing w:after="0" w:line="262" w:lineRule="auto"/>
        <w:rPr>
          <w:sz w:val="20"/>
          <w:szCs w:val="20"/>
          <w:color w:val="auto"/>
        </w:rPr>
      </w:pPr>
      <w:r>
        <w:rPr>
          <w:rFonts w:ascii="Arial" w:cs="Arial" w:eastAsia="Arial" w:hAnsi="Arial"/>
          <w:sz w:val="19"/>
          <w:szCs w:val="19"/>
          <w:color w:val="auto"/>
        </w:rPr>
        <w:t>available-for-sale Fannie Mae and Freddie Mac mortgage-backed securities during 2017 largely due to the limitations on the amount of those type of securities that are permitted to be included in the highest tier of “high quality liquid assets” for the Liquidity Coverage Ratio (“LCR”) calculation. The Company also sold a portion of its holdings of Fannie Mae and Freddie Mac preferred stock during December 2017 for a gain of $18 million. The preferred stock sold had a cost basis (after previous write-downs) of $3 million. During 2016, the Company sold all of its collateralized debt obligations that were held in the available-for-sale investment securities portfolio for a gain of approximately $30 million. Those securities were sold in large part in response to the provisions of the so-called Volcker Rule included in the Dodd-Frank Wall Street Reform and Consumer Protection Act (“Dodd-Frank Act”).</w:t>
      </w:r>
    </w:p>
    <w:p>
      <w:pPr>
        <w:spacing w:after="0" w:line="4" w:lineRule="exact"/>
        <w:rPr>
          <w:sz w:val="20"/>
          <w:szCs w:val="20"/>
          <w:color w:val="auto"/>
        </w:rPr>
      </w:pPr>
    </w:p>
    <w:p>
      <w:pPr>
        <w:ind w:firstLine="598"/>
        <w:spacing w:after="0" w:line="274" w:lineRule="auto"/>
        <w:rPr>
          <w:sz w:val="20"/>
          <w:szCs w:val="20"/>
          <w:color w:val="auto"/>
        </w:rPr>
      </w:pPr>
      <w:r>
        <w:rPr>
          <w:rFonts w:ascii="Arial" w:cs="Arial" w:eastAsia="Arial" w:hAnsi="Arial"/>
          <w:sz w:val="18"/>
          <w:szCs w:val="18"/>
          <w:color w:val="auto"/>
        </w:rPr>
        <w:t>The investment securities portfolio is largely comprised of residential mortgage-backed securities, debt securities issued by municipalities, trust preferred securities issued by certain financial institutions, and shorter-term U.S. Treasury and federal agency notes. When purchasing investment securities, the Company considers its liquidity position and its overall interest-rate risk profile as well as the adequacy of expected returns relative to risks assumed, including prepayments. The Company manages its investment securities portfolio, in part, to satisfy the requirements of the LCR that became effective in January 2016. The LCR is intended to ensure that banks hold a sufficient amount of “high quality liquid assets” to cover the anticipated net cash outflows during a hypothetical acute 30-day stress scenario. For additional information concerning the LCR rules, refer to Part I, Item 1 of this Form 10-K under the heading “Liquidity.”</w:t>
      </w:r>
    </w:p>
    <w:p>
      <w:pPr>
        <w:spacing w:after="0" w:line="1" w:lineRule="exact"/>
        <w:rPr>
          <w:sz w:val="20"/>
          <w:szCs w:val="20"/>
          <w:color w:val="auto"/>
        </w:rPr>
      </w:pPr>
    </w:p>
    <w:p>
      <w:pPr>
        <w:ind w:right="60" w:firstLine="598"/>
        <w:spacing w:after="0" w:line="259" w:lineRule="auto"/>
        <w:rPr>
          <w:sz w:val="20"/>
          <w:szCs w:val="20"/>
          <w:color w:val="auto"/>
        </w:rPr>
      </w:pPr>
      <w:r>
        <w:rPr>
          <w:rFonts w:ascii="Arial" w:cs="Arial" w:eastAsia="Arial" w:hAnsi="Arial"/>
          <w:sz w:val="19"/>
          <w:szCs w:val="19"/>
          <w:color w:val="auto"/>
        </w:rPr>
        <w:t>In addition to the sales noted above, the Company may occasionally sell investment securities as a result of changes in interest rates and spreads, actual or anticipated prepayments, credit risk associated with a particular security, or as a result of restructuring its investment securities portfolio in connection with a business combination. The amounts of investment securities held by the Company are influenced by such factors as demand for loans, which generally yield more than investment securities, ongoing repayments, the levels of deposits, and management of liquidity (including the LCR) and balance sheet size and resulting capital ratios.</w:t>
      </w:r>
    </w:p>
    <w:p>
      <w:pPr>
        <w:spacing w:after="0" w:line="4" w:lineRule="exact"/>
        <w:rPr>
          <w:sz w:val="20"/>
          <w:szCs w:val="20"/>
          <w:color w:val="auto"/>
        </w:rPr>
      </w:pPr>
    </w:p>
    <w:p>
      <w:pPr>
        <w:ind w:right="40" w:firstLine="598"/>
        <w:spacing w:after="0" w:line="259" w:lineRule="auto"/>
        <w:rPr>
          <w:sz w:val="20"/>
          <w:szCs w:val="20"/>
          <w:color w:val="auto"/>
        </w:rPr>
      </w:pPr>
      <w:r>
        <w:rPr>
          <w:rFonts w:ascii="Arial" w:cs="Arial" w:eastAsia="Arial" w:hAnsi="Arial"/>
          <w:sz w:val="19"/>
          <w:szCs w:val="19"/>
          <w:color w:val="auto"/>
        </w:rPr>
        <w:t>The Company regularly reviews its investment securities for declines in value below amortized cost that might be characterized as “other than temporary.” There were no other-than-temporary impairment charges recognized in 2017, 2016 or 2015. Based on management’s assessment of future cash flows associated with individual investment securities as of December 31, 2017, the Company concluded that declines in value below amortized cost associated with the investment securities portfolio were temporary in nature. A further discussion of fair values of investment securities is included herein under the heading “Capital.” Additional information about the investment securities portfolio is included in notes 3 and 20 of Notes to Financial Statements.</w:t>
      </w:r>
    </w:p>
    <w:p>
      <w:pPr>
        <w:spacing w:after="0" w:line="4" w:lineRule="exact"/>
        <w:rPr>
          <w:sz w:val="20"/>
          <w:szCs w:val="20"/>
          <w:color w:val="auto"/>
        </w:rPr>
      </w:pPr>
    </w:p>
    <w:p>
      <w:pPr>
        <w:ind w:right="100" w:firstLine="598"/>
        <w:spacing w:after="0" w:line="274" w:lineRule="auto"/>
        <w:rPr>
          <w:sz w:val="20"/>
          <w:szCs w:val="20"/>
          <w:color w:val="auto"/>
        </w:rPr>
      </w:pPr>
      <w:r>
        <w:rPr>
          <w:rFonts w:ascii="Arial" w:cs="Arial" w:eastAsia="Arial" w:hAnsi="Arial"/>
          <w:sz w:val="18"/>
          <w:szCs w:val="18"/>
          <w:color w:val="auto"/>
        </w:rPr>
        <w:t>Other earning assets include interest-bearing deposits at the Federal Reserve Bank of New York and other banks, trading account assets and federal funds sold. Those other earning assets in the aggregate averaged $5.6 billion in 2017, $8.9 billion in 2016 and $5.9 billion in 2015. Interest-bearing deposits at banks averaged $5.6 billion in 2017, compared with $8.8 billion and $5.8 billion in 2016 and 2015, respectively. The amounts of interest-bearing deposits at banks at the respective dates were predominantly comprised of deposits held at the Federal Reserve Bank of New York. The levels of those deposits often fluctuate due to changes in trust-related deposits of commercial entities, purchases or maturities of investment securities, or borrowings to manage the Company’s liquidity.</w:t>
      </w:r>
    </w:p>
    <w:p>
      <w:pPr>
        <w:spacing w:after="0" w:line="1" w:lineRule="exact"/>
        <w:rPr>
          <w:sz w:val="20"/>
          <w:szCs w:val="20"/>
          <w:color w:val="auto"/>
        </w:rPr>
      </w:pPr>
    </w:p>
    <w:p>
      <w:pPr>
        <w:ind w:right="220" w:firstLine="598"/>
        <w:spacing w:after="0" w:line="283" w:lineRule="auto"/>
        <w:rPr>
          <w:sz w:val="20"/>
          <w:szCs w:val="20"/>
          <w:color w:val="auto"/>
        </w:rPr>
      </w:pPr>
      <w:r>
        <w:rPr>
          <w:rFonts w:ascii="Arial" w:cs="Arial" w:eastAsia="Arial" w:hAnsi="Arial"/>
          <w:sz w:val="18"/>
          <w:szCs w:val="18"/>
          <w:color w:val="auto"/>
        </w:rPr>
        <w:t>The most significant source of funding for the Company is core deposits. The Company considers noninterest-bearing deposits, interest-bearing transaction accounts, savings deposits and time deposits of $250,000 or less as core deposits. The Company’s branch network is its principal source of core deposits, which generally carry lower interest rates than wholesale funds of comparable maturities. Average core deposits totaled $92.1 billion in 2017, compared with $92.2 billion in 2016 and $74.2 billion in 2015. The decline in average core deposits in 2017 as compared with 2016 reflected a $3.6 billion, or 33%, decrease in time deposits, predominantly related to</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00"/>
          </w:cols>
          <w:pgMar w:left="240" w:top="546" w:right="259" w:bottom="1440" w:gutter="0" w:footer="0" w:header="0"/>
        </w:sectPr>
      </w:pPr>
    </w:p>
    <w:bookmarkStart w:id="62" w:name="page63"/>
    <w:bookmarkEnd w:id="62"/>
    <w:p>
      <w:pPr>
        <w:ind w:right="100"/>
        <w:spacing w:after="0" w:line="283" w:lineRule="auto"/>
        <w:rPr>
          <w:sz w:val="20"/>
          <w:szCs w:val="20"/>
          <w:color w:val="auto"/>
        </w:rPr>
      </w:pPr>
      <w:r>
        <w:rPr>
          <w:rFonts w:ascii="Arial" w:cs="Arial" w:eastAsia="Arial" w:hAnsi="Arial"/>
          <w:sz w:val="18"/>
          <w:szCs w:val="18"/>
          <w:color w:val="auto"/>
        </w:rPr>
        <w:t>maturities of relatively high-rate deposits obtained in the acquisition of Hudson City, partially offset by growth in noninterest-bearing deposits, in part reflecting balances associated with trust customers. The higher average core deposits in 2016 as compared with 2015 were predominantly reflective of the impact of the merger with Hudson City. The Hudson City acquisition added approximately $17.0 billion of core deposits on November 1, 2015, including $9.7 billion of time deposits, $6.6 billion of savings deposits and $691 million of noninterest-bearing deposits. Funding provided by core deposits represented 84% of average earning assets in 2017, compared with 82% and 81% in 2016 and 2015, respectively. Table 8 summarizes average core deposits in 2017 and percentage changes in the components of such deposits over the past two years. Core deposits totaled $90.4 billion and $93.1 billion at December 31, 2017 and 2016, respectively.</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Table 8</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AVERAGE CORE DEPOSITS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920" w:type="dxa"/>
            <w:vAlign w:val="bottom"/>
            <w:gridSpan w:val="4"/>
          </w:tcPr>
          <w:p>
            <w:pPr>
              <w:jc w:val="center"/>
              <w:ind w:right="36"/>
              <w:spacing w:after="0"/>
              <w:rPr>
                <w:sz w:val="20"/>
                <w:szCs w:val="20"/>
                <w:color w:val="auto"/>
              </w:rPr>
            </w:pPr>
            <w:r>
              <w:rPr>
                <w:rFonts w:ascii="Arial" w:cs="Arial" w:eastAsia="Arial" w:hAnsi="Arial"/>
                <w:sz w:val="14"/>
                <w:szCs w:val="14"/>
                <w:b w:val="1"/>
                <w:bCs w:val="1"/>
                <w:color w:val="auto"/>
                <w:w w:val="89"/>
              </w:rPr>
              <w:t>Percent Increase</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vMerge w:val="restart"/>
          </w:tcPr>
          <w:p>
            <w:pPr>
              <w:jc w:val="right"/>
              <w:ind w:right="498"/>
              <w:spacing w:after="0"/>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4"/>
                <w:szCs w:val="14"/>
                <w:color w:val="auto"/>
              </w:rPr>
            </w:pPr>
          </w:p>
        </w:tc>
        <w:tc>
          <w:tcPr>
            <w:tcW w:w="2920" w:type="dxa"/>
            <w:vAlign w:val="bottom"/>
            <w:tcBorders>
              <w:bottom w:val="single" w:sz="8" w:color="auto"/>
            </w:tcBorders>
            <w:gridSpan w:val="4"/>
          </w:tcPr>
          <w:p>
            <w:pPr>
              <w:jc w:val="center"/>
              <w:ind w:right="36"/>
              <w:spacing w:after="0"/>
              <w:rPr>
                <w:sz w:val="20"/>
                <w:szCs w:val="20"/>
                <w:color w:val="auto"/>
              </w:rPr>
            </w:pPr>
            <w:r>
              <w:rPr>
                <w:rFonts w:ascii="Arial" w:cs="Arial" w:eastAsia="Arial" w:hAnsi="Arial"/>
                <w:sz w:val="14"/>
                <w:szCs w:val="14"/>
                <w:b w:val="1"/>
                <w:bCs w:val="1"/>
                <w:color w:val="auto"/>
                <w:w w:val="90"/>
              </w:rPr>
              <w:t>(Decrease) from</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66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vMerge w:val="continue"/>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tcBorders>
              <w:bottom w:val="single" w:sz="8" w:color="auto"/>
            </w:tcBorders>
          </w:tcPr>
          <w:p>
            <w:pPr>
              <w:jc w:val="right"/>
              <w:ind w:right="240"/>
              <w:spacing w:after="0" w:line="151" w:lineRule="exact"/>
              <w:rPr>
                <w:sz w:val="20"/>
                <w:szCs w:val="20"/>
                <w:color w:val="auto"/>
              </w:rPr>
            </w:pPr>
            <w:r>
              <w:rPr>
                <w:rFonts w:ascii="Arial" w:cs="Arial" w:eastAsia="Arial" w:hAnsi="Arial"/>
                <w:sz w:val="14"/>
                <w:szCs w:val="14"/>
                <w:b w:val="1"/>
                <w:bCs w:val="1"/>
                <w:color w:val="auto"/>
              </w:rPr>
              <w:t>2016 to 2017</w:t>
            </w:r>
          </w:p>
        </w:tc>
        <w:tc>
          <w:tcPr>
            <w:tcW w:w="2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Borders>
              <w:bottom w:val="single" w:sz="8" w:color="auto"/>
            </w:tcBorders>
          </w:tcPr>
          <w:p>
            <w:pPr>
              <w:jc w:val="right"/>
              <w:ind w:right="256"/>
              <w:spacing w:after="0" w:line="151" w:lineRule="exact"/>
              <w:rPr>
                <w:sz w:val="20"/>
                <w:szCs w:val="20"/>
                <w:color w:val="auto"/>
              </w:rPr>
            </w:pPr>
            <w:r>
              <w:rPr>
                <w:rFonts w:ascii="Arial" w:cs="Arial" w:eastAsia="Arial" w:hAnsi="Arial"/>
                <w:sz w:val="14"/>
                <w:szCs w:val="14"/>
                <w:b w:val="1"/>
                <w:bCs w:val="1"/>
                <w:color w:val="auto"/>
              </w:rPr>
              <w:t>2015 to 2016</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6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ind w:left="80"/>
              <w:spacing w:after="0"/>
              <w:rPr>
                <w:sz w:val="20"/>
                <w:szCs w:val="20"/>
                <w:color w:val="auto"/>
              </w:rPr>
            </w:pPr>
            <w:r>
              <w:rPr>
                <w:rFonts w:ascii="Arial" w:cs="Arial" w:eastAsia="Arial" w:hAnsi="Arial"/>
                <w:sz w:val="14"/>
                <w:szCs w:val="14"/>
                <w:b w:val="1"/>
                <w:bCs w:val="1"/>
                <w:color w:val="auto"/>
              </w:rPr>
              <w:t>(In millions)</w:t>
            </w: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6620" w:type="dxa"/>
            <w:vAlign w:val="bottom"/>
          </w:tcPr>
          <w:p>
            <w:pPr>
              <w:spacing w:after="0"/>
              <w:rPr>
                <w:sz w:val="20"/>
                <w:szCs w:val="20"/>
                <w:color w:val="auto"/>
              </w:rPr>
            </w:pPr>
            <w:r>
              <w:rPr>
                <w:rFonts w:ascii="Arial" w:cs="Arial" w:eastAsia="Arial" w:hAnsi="Arial"/>
                <w:sz w:val="18"/>
                <w:szCs w:val="18"/>
                <w:color w:val="auto"/>
              </w:rPr>
              <w:t>Savings and interest-checking deposits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8"/>
              <w:spacing w:after="0"/>
              <w:rPr>
                <w:sz w:val="20"/>
                <w:szCs w:val="20"/>
                <w:color w:val="auto"/>
              </w:rPr>
            </w:pPr>
            <w:r>
              <w:rPr>
                <w:rFonts w:ascii="Arial" w:cs="Arial" w:eastAsia="Arial" w:hAnsi="Arial"/>
                <w:sz w:val="18"/>
                <w:szCs w:val="18"/>
                <w:color w:val="auto"/>
              </w:rPr>
              <w:t>52,210</w:t>
            </w:r>
          </w:p>
        </w:tc>
        <w:tc>
          <w:tcPr>
            <w:tcW w:w="280" w:type="dxa"/>
            <w:vAlign w:val="bottom"/>
          </w:tcPr>
          <w:p>
            <w:pPr>
              <w:spacing w:after="0"/>
              <w:rPr>
                <w:sz w:val="24"/>
                <w:szCs w:val="24"/>
                <w:color w:val="auto"/>
              </w:rPr>
            </w:pPr>
          </w:p>
        </w:tc>
        <w:tc>
          <w:tcPr>
            <w:tcW w:w="1300" w:type="dxa"/>
            <w:vAlign w:val="bottom"/>
          </w:tcPr>
          <w:p>
            <w:pPr>
              <w:jc w:val="right"/>
              <w:ind w:right="20"/>
              <w:spacing w:after="0"/>
              <w:rPr>
                <w:sz w:val="20"/>
                <w:szCs w:val="20"/>
                <w:color w:val="auto"/>
              </w:rPr>
            </w:pPr>
            <w:r>
              <w:rPr>
                <w:rFonts w:ascii="Arial" w:cs="Arial" w:eastAsia="Arial" w:hAnsi="Arial"/>
                <w:sz w:val="18"/>
                <w:szCs w:val="18"/>
                <w:color w:val="auto"/>
              </w:rPr>
              <w:t>2</w:t>
            </w:r>
          </w:p>
        </w:tc>
        <w:tc>
          <w:tcPr>
            <w:tcW w:w="28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6"/>
              <w:spacing w:after="0"/>
              <w:rPr>
                <w:sz w:val="20"/>
                <w:szCs w:val="20"/>
                <w:color w:val="auto"/>
              </w:rPr>
            </w:pPr>
            <w:r>
              <w:rPr>
                <w:rFonts w:ascii="Arial" w:cs="Arial" w:eastAsia="Arial" w:hAnsi="Arial"/>
                <w:sz w:val="18"/>
                <w:szCs w:val="18"/>
                <w:color w:val="auto"/>
              </w:rPr>
              <w:t>19</w:t>
            </w:r>
          </w:p>
        </w:tc>
        <w:tc>
          <w:tcPr>
            <w:tcW w:w="280" w:type="dxa"/>
            <w:vAlign w:val="bottom"/>
          </w:tcPr>
          <w:p>
            <w:pPr>
              <w:jc w:val="right"/>
              <w:ind w:right="32"/>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24"/>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Time deposits</w:t>
            </w: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7,327</w:t>
            </w: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167</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Noninterest-bearing deposits</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32,520</w:t>
            </w:r>
          </w:p>
        </w:tc>
        <w:tc>
          <w:tcPr>
            <w:tcW w:w="280" w:type="dxa"/>
            <w:vAlign w:val="bottom"/>
            <w:tcBorders>
              <w:bottom w:val="single" w:sz="8" w:color="CFF0FC"/>
            </w:tcBorders>
          </w:tcPr>
          <w:p>
            <w:pPr>
              <w:spacing w:after="0"/>
              <w:rPr>
                <w:sz w:val="19"/>
                <w:szCs w:val="19"/>
                <w:color w:val="auto"/>
              </w:rPr>
            </w:pPr>
          </w:p>
        </w:tc>
        <w:tc>
          <w:tcPr>
            <w:tcW w:w="130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8</w:t>
            </w: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13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10</w:t>
            </w:r>
          </w:p>
        </w:tc>
        <w:tc>
          <w:tcPr>
            <w:tcW w:w="2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92,057</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FF0FC"/>
          </w:tcPr>
          <w:p>
            <w:pPr>
              <w:jc w:val="center"/>
              <w:ind w:right="8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24</w:t>
            </w:r>
          </w:p>
        </w:tc>
        <w:tc>
          <w:tcPr>
            <w:tcW w:w="2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66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left="600"/>
        <w:spacing w:after="0"/>
        <w:rPr>
          <w:sz w:val="20"/>
          <w:szCs w:val="20"/>
          <w:color w:val="auto"/>
        </w:rPr>
      </w:pPr>
      <w:r>
        <w:rPr>
          <w:rFonts w:ascii="Arial" w:cs="Arial" w:eastAsia="Arial" w:hAnsi="Arial"/>
          <w:sz w:val="19"/>
          <w:szCs w:val="19"/>
          <w:color w:val="auto"/>
        </w:rPr>
        <w:t>The Company also receives funding from other deposit sources, including branch-related time deposits over $250,000, deposits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associated with the Company’s Cayman Islands office, and brokered deposits. Time deposits over $250,000, excluding brokered deposits,</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averaged $775 million in 2017, $1.2 billion in 2016 and $501 million in 2015. The decline in such deposits in 2017 from 2016 was</w:t>
      </w:r>
    </w:p>
    <w:p>
      <w:pPr>
        <w:spacing w:after="0" w:line="7" w:lineRule="exact"/>
        <w:rPr>
          <w:sz w:val="20"/>
          <w:szCs w:val="20"/>
          <w:color w:val="auto"/>
        </w:rPr>
      </w:pPr>
    </w:p>
    <w:p>
      <w:pPr>
        <w:spacing w:after="0"/>
        <w:rPr>
          <w:sz w:val="20"/>
          <w:szCs w:val="20"/>
          <w:color w:val="auto"/>
        </w:rPr>
      </w:pPr>
      <w:r>
        <w:rPr>
          <w:rFonts w:ascii="Arial" w:cs="Arial" w:eastAsia="Arial" w:hAnsi="Arial"/>
          <w:sz w:val="19"/>
          <w:szCs w:val="19"/>
          <w:color w:val="auto"/>
        </w:rPr>
        <w:t>predominantly the result of maturities of time deposits obtained in the Hudson City acquisition. The higher level of time deposits over</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$250,000 in 2016 as compared with 2015 was due to the full-year impact of deposits obtained in the acquisition of Hudson City. Cayman</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Islands office deposits averaged $185 million in 2017, $199 million in 2016 and $216 million in 2015. Brokered time deposits averaged $59</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million in each of 2017 and 2016 and $37 million in 2015. The Company also had brokered savings and interest-bearing transaction accounts</w:t>
      </w:r>
    </w:p>
    <w:p>
      <w:pPr>
        <w:spacing w:after="0" w:line="30" w:lineRule="exact"/>
        <w:rPr>
          <w:sz w:val="20"/>
          <w:szCs w:val="20"/>
          <w:color w:val="auto"/>
        </w:rPr>
      </w:pPr>
    </w:p>
    <w:p>
      <w:pPr>
        <w:spacing w:after="0"/>
        <w:rPr>
          <w:sz w:val="20"/>
          <w:szCs w:val="20"/>
          <w:color w:val="auto"/>
        </w:rPr>
      </w:pPr>
      <w:r>
        <w:rPr>
          <w:rFonts w:ascii="Arial" w:cs="Arial" w:eastAsia="Arial" w:hAnsi="Arial"/>
          <w:sz w:val="19"/>
          <w:szCs w:val="19"/>
          <w:color w:val="auto"/>
        </w:rPr>
        <w:t>that averaged $1.2 billion in 2017 and $1.1 billion in each of 2016 and 2015. Additional amounts of Cayman Islands office deposits or</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brokered deposits may be added in the future depending on market conditions, including demand by customers and other investors for those</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deposits, and the cost of funds available from alternative sources at the time.</w:t>
      </w:r>
    </w:p>
    <w:p>
      <w:pPr>
        <w:spacing w:after="0" w:line="7" w:lineRule="exact"/>
        <w:rPr>
          <w:sz w:val="20"/>
          <w:szCs w:val="20"/>
          <w:color w:val="auto"/>
        </w:rPr>
      </w:pPr>
    </w:p>
    <w:p>
      <w:pPr>
        <w:ind w:right="80" w:firstLine="598"/>
        <w:spacing w:after="0" w:line="280" w:lineRule="auto"/>
        <w:rPr>
          <w:sz w:val="20"/>
          <w:szCs w:val="20"/>
          <w:color w:val="auto"/>
        </w:rPr>
      </w:pPr>
      <w:r>
        <w:rPr>
          <w:rFonts w:ascii="Arial" w:cs="Arial" w:eastAsia="Arial" w:hAnsi="Arial"/>
          <w:sz w:val="18"/>
          <w:szCs w:val="18"/>
          <w:color w:val="auto"/>
        </w:rPr>
        <w:t>The Company also uses borrowings from banks, securities dealers, various Federal Home Loan Banks, the Federal Reserve Bank of New York and others as sources of funding. Short-term borrowings represent borrowing arrangements that at the time they were entered into had a contractual maturity of one year or less. Average short-term borrowings were $205 million in 2017, $894 million in 2016 and $548 million in 2015. The higher levels of such borrowings in 2016 and 2015 were predominantly due to short-term borrowings from the Federal Home Loan Bank (“FHLB”) of New York assumed in the Hudson City acquisition. Those short-term fixed rate borrowings matured throughout 2016. Also included in short-term borrowings were unsecured federal funds borrowings, which generally mature on the next business day, that averaged $132 million, $151 million and $138 million in 2017, 2016 and 2015, respectively. Overnight federal</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63" w:name="page64"/>
    <w:bookmarkEnd w:id="63"/>
    <w:p>
      <w:pPr>
        <w:spacing w:after="0"/>
        <w:rPr>
          <w:sz w:val="20"/>
          <w:szCs w:val="20"/>
          <w:color w:val="auto"/>
        </w:rPr>
      </w:pPr>
      <w:r>
        <w:rPr>
          <w:rFonts w:ascii="Arial" w:cs="Arial" w:eastAsia="Arial" w:hAnsi="Arial"/>
          <w:sz w:val="20"/>
          <w:szCs w:val="20"/>
          <w:color w:val="auto"/>
        </w:rPr>
        <w:t>funds borrowings totaled $125 million at December 31, 2017 and $112 million at December 31, 2016.</w:t>
      </w:r>
    </w:p>
    <w:p>
      <w:pPr>
        <w:spacing w:after="0" w:line="25" w:lineRule="exact"/>
        <w:rPr>
          <w:sz w:val="20"/>
          <w:szCs w:val="20"/>
          <w:color w:val="auto"/>
        </w:rPr>
      </w:pPr>
    </w:p>
    <w:p>
      <w:pPr>
        <w:ind w:right="100" w:firstLine="598"/>
        <w:spacing w:after="0" w:line="274" w:lineRule="auto"/>
        <w:rPr>
          <w:sz w:val="20"/>
          <w:szCs w:val="20"/>
          <w:color w:val="auto"/>
        </w:rPr>
      </w:pPr>
      <w:r>
        <w:rPr>
          <w:rFonts w:ascii="Arial" w:cs="Arial" w:eastAsia="Arial" w:hAnsi="Arial"/>
          <w:sz w:val="18"/>
          <w:szCs w:val="18"/>
          <w:color w:val="auto"/>
        </w:rPr>
        <w:t>Long-term borrowings averaged $8.3 billion in 2017, $10.3 billion in 2016 and $10.2 billion in 2015. M&amp;T Bank has a Bank Note Program whereby M&amp;T Bank may offer unsecured senior and subordinated notes. Unsecured senior notes issued under that program totaled $5.0 billion and $5.2 billion at December 31, 2017 and 2016, respectively. Average balances of outstanding senior notes issued under that program were $4.8 billion in 2017, compared with $5.3 billion in each of 2016 and 2015. The lower average balances of the senior notes in 2017 resulted from redemptions and maturities that exceeded new issuances under the Bank Note Program. Also included in average long-term borrowings were amounts borrowed from the Federal Home Loan Banks of New York, Atlanta and Pittsburgh of $820 million in 2017, compared with $1.2 billion in each of 2016 and 2015, and subordinated capital notes of $1.7 billion in 2017, compared with $1.5 billion in each of 2016 and 2015. During 2017, in accordance with M&amp;T’s 2017 Capital Plan M&amp;T Bank issued $500 million of fixed rate subordinated capital notes that mature in 2027. Junior subordinated debentures associated with trust preferred securities that were included in average long-term borrowings were $518 million in 2017, $515 million in 2016 and $605 million in 2015. In accordance with its 2015 capital plan, on April 15, 2015 M&amp;T redeemed the junior subordinated debentures associated with the $310 million of trust preferred securities of M&amp;T Capital Trusts I, II and III. Those borrowings had a weighted-average interest rate of 8.24%. Also included in long-term borrowings were agreements to repurchase securities, which averaged $490 million in 2017, $1.8 billion in 2016 and $1.5 billion during 2015. Agreements to repurchase securities assumed in connection with the Hudson City acquisition totaled $6.9 billion at November 1,</w:t>
      </w:r>
    </w:p>
    <w:p>
      <w:pPr>
        <w:spacing w:after="0" w:line="3" w:lineRule="exact"/>
        <w:rPr>
          <w:sz w:val="20"/>
          <w:szCs w:val="20"/>
          <w:color w:val="auto"/>
        </w:rPr>
      </w:pPr>
    </w:p>
    <w:p>
      <w:pPr>
        <w:ind w:right="20"/>
        <w:spacing w:after="0" w:line="274" w:lineRule="auto"/>
        <w:rPr>
          <w:sz w:val="20"/>
          <w:szCs w:val="20"/>
          <w:color w:val="auto"/>
        </w:rPr>
      </w:pPr>
      <w:r>
        <w:rPr>
          <w:rFonts w:ascii="Arial" w:cs="Arial" w:eastAsia="Arial" w:hAnsi="Arial"/>
          <w:sz w:val="18"/>
          <w:szCs w:val="18"/>
          <w:color w:val="auto"/>
        </w:rPr>
        <w:t>2015. Immediately following the November 1, 2015 Hudson City acquisition date the balance sheet was restructured and $6.4 billion of the assumed repurchase agreements were repaid. Matured repurchase agreements totaled $650 million and $800 million during 2017 and 2016, respectively. The repurchase agreements held at December 31, 2017 totaled $422 million and have various repurchase dates through 2020, however, the contractual maturities of the underlying securities extend beyond such repurchase dates. Additional information regarding long-term borrowings, including information regarding contractual maturities of such borrowings, is provided in note 9 of Notes to Financial Statements. The Company has utilized interest rate swap agreements to modify the repricing characteristics of certain components of long-term debt. As of December 31, 2017, interest rate swap agreements were used to hedge approximately $4.6 billion of outstanding fixed rate long-term borrowings. Further information on interest rate swap agreements is provided in note 18 of Notes to Financial Statements.</w:t>
      </w:r>
    </w:p>
    <w:p>
      <w:pPr>
        <w:spacing w:after="0" w:line="2" w:lineRule="exact"/>
        <w:rPr>
          <w:sz w:val="20"/>
          <w:szCs w:val="20"/>
          <w:color w:val="auto"/>
        </w:rPr>
      </w:pPr>
    </w:p>
    <w:p>
      <w:pPr>
        <w:ind w:firstLine="598"/>
        <w:spacing w:after="0" w:line="274" w:lineRule="auto"/>
        <w:rPr>
          <w:sz w:val="20"/>
          <w:szCs w:val="20"/>
          <w:color w:val="auto"/>
        </w:rPr>
      </w:pPr>
      <w:r>
        <w:rPr>
          <w:rFonts w:ascii="Arial" w:cs="Arial" w:eastAsia="Arial" w:hAnsi="Arial"/>
          <w:sz w:val="18"/>
          <w:szCs w:val="18"/>
          <w:color w:val="auto"/>
        </w:rPr>
        <w:t>Changes in the composition of the Company’s earning assets and interest-bearing liabilities, as discussed herein, as well as changes in interest rates and spreads, can impact net interest income. Net interest spread, or the difference between the taxable-equivalent yield on earning assets and the rate paid on interest-bearing liabilities, was 3.27% in 2017, compared with 2.93% in 2016 and 2.95% in 2015. The yield on the Company’s earning assets increased 33 basis points to 3.82% in 2017 from 3.49% in 2016, while the rate paid on interest-bearing liabilities decreased one basis point to .55% in 2017 from .56% in 2016. The widening of the net interest spread in 2017 as compared with 2016 was predominantly due to the effect of increases in short-term interest rates initiated by the Federal Reserve during late 2016 and 2017 that contributed most significantly to higher yields on loans and leases. The slight narrowing of the net interest spread in 2016 as compared with 2015 reflected the ongoing impact of the low interest rate environment in those years on the yields earned on investment securities, higher rates paid on interest-bearing deposits (largely associated with time deposits obtained in the Hudson City acquisition) and higher amounts of relatively low yielding balances held at the Federal Reserve Bank of New York.</w:t>
      </w:r>
    </w:p>
    <w:p>
      <w:pPr>
        <w:spacing w:after="0" w:line="2" w:lineRule="exact"/>
        <w:rPr>
          <w:sz w:val="20"/>
          <w:szCs w:val="20"/>
          <w:color w:val="auto"/>
        </w:rPr>
      </w:pPr>
    </w:p>
    <w:p>
      <w:pPr>
        <w:ind w:right="540" w:firstLine="598"/>
        <w:spacing w:after="0" w:line="256" w:lineRule="auto"/>
        <w:rPr>
          <w:sz w:val="20"/>
          <w:szCs w:val="20"/>
          <w:color w:val="auto"/>
        </w:rPr>
      </w:pPr>
      <w:r>
        <w:rPr>
          <w:rFonts w:ascii="Arial" w:cs="Arial" w:eastAsia="Arial" w:hAnsi="Arial"/>
          <w:sz w:val="20"/>
          <w:szCs w:val="20"/>
          <w:color w:val="auto"/>
        </w:rPr>
        <w:t>Net interest-free funds consist largely of noninterest-bearing demand deposits and shareholders’ equity, partially offset by bank owned life insurance and non-earning assets, including goodwill and</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00"/>
          </w:cols>
          <w:pgMar w:left="240" w:top="336" w:right="259" w:bottom="1440" w:gutter="0" w:footer="0" w:header="0"/>
        </w:sectPr>
      </w:pPr>
    </w:p>
    <w:bookmarkStart w:id="64" w:name="page65"/>
    <w:bookmarkEnd w:id="64"/>
    <w:p>
      <w:pPr>
        <w:spacing w:after="0"/>
        <w:rPr>
          <w:sz w:val="20"/>
          <w:szCs w:val="20"/>
          <w:color w:val="auto"/>
        </w:rPr>
      </w:pPr>
      <w:r>
        <w:rPr>
          <w:rFonts w:ascii="Arial" w:cs="Arial" w:eastAsia="Arial" w:hAnsi="Arial"/>
          <w:sz w:val="19"/>
          <w:szCs w:val="19"/>
          <w:color w:val="auto"/>
        </w:rPr>
        <w:t>core deposit and other intangible assets. Net interest-free funds averaged $39.7 billion in 2017, compared with $36.8 billion in 2016 and</w:t>
      </w:r>
    </w:p>
    <w:p>
      <w:pPr>
        <w:spacing w:after="0" w:line="36" w:lineRule="exact"/>
        <w:rPr>
          <w:sz w:val="20"/>
          <w:szCs w:val="20"/>
          <w:color w:val="auto"/>
        </w:rPr>
      </w:pPr>
    </w:p>
    <w:p>
      <w:pPr>
        <w:ind w:right="40"/>
        <w:spacing w:after="0" w:line="274" w:lineRule="auto"/>
        <w:rPr>
          <w:sz w:val="20"/>
          <w:szCs w:val="20"/>
          <w:color w:val="auto"/>
        </w:rPr>
      </w:pPr>
      <w:r>
        <w:rPr>
          <w:rFonts w:ascii="Arial" w:cs="Arial" w:eastAsia="Arial" w:hAnsi="Arial"/>
          <w:sz w:val="18"/>
          <w:szCs w:val="18"/>
          <w:color w:val="auto"/>
        </w:rPr>
        <w:t>$31.7 billion in 2015. The increases in average net interest-free funds in 2017 from 2016 and in 2016 as compared with 2015 reflect higher balances of noninterest-bearing deposits. Those deposits averaged $32.5 billion in 2017, $30.2 billion in 2016 and $27.3 billion in 2015. The growth in average noninterest-bearing deposits in 2017 as compared with 2016 reflects higher levels of deposits of trust customers. In connection with the November 1, 2015 acquisition of Hudson City, the Company added noninterest-bearing deposits of $691 million at the acquisition date. In addition to the impact of the Hudson City acquisition, growth in noninterest-bearing deposits in 2016 as compared with 2015 reflected an increase in commercial and trust customer deposits. Shareholders’ equity averaged $16.3 billion, $16.4 billion and $13.2 billion in 2017, 2016 and 2015, respectively. The rise in shareholders’ equity from 2015 to 2016 reflected $3.1 billion of common equity issued in connection with the acquisition of Hudson City, as well as net retained earnings. Goodwill and core deposit and other intangible assets averaged $4.7 billion in each of 2017 and 2016, compared with $3.7 billion in 2015. Goodwill of $1.1 billion and core deposit intangible of $132 million resulted from the November 1, 2015 Hudson City acquisition. The cash surrender value of bank owned life insurance averaged $1.8 billion in 2017, compared with $1.7 billion in each of 2016 and 2015. Increases in the cash surrender value of bank owned life insurance are not included in interest income, but rather are recorded in “other revenues from operations.” The contribution of net interest-free funds to net interest margin was .20% in 2017, .18% in 2016 and .19% in 2015.</w:t>
      </w:r>
    </w:p>
    <w:p>
      <w:pPr>
        <w:spacing w:after="0" w:line="3" w:lineRule="exact"/>
        <w:rPr>
          <w:sz w:val="20"/>
          <w:szCs w:val="20"/>
          <w:color w:val="auto"/>
        </w:rPr>
      </w:pPr>
    </w:p>
    <w:p>
      <w:pPr>
        <w:ind w:right="40" w:firstLine="598"/>
        <w:spacing w:after="0" w:line="246" w:lineRule="auto"/>
        <w:rPr>
          <w:sz w:val="20"/>
          <w:szCs w:val="20"/>
          <w:color w:val="auto"/>
        </w:rPr>
      </w:pPr>
      <w:r>
        <w:rPr>
          <w:rFonts w:ascii="Arial" w:cs="Arial" w:eastAsia="Arial" w:hAnsi="Arial"/>
          <w:sz w:val="20"/>
          <w:szCs w:val="20"/>
          <w:color w:val="auto"/>
        </w:rPr>
        <w:t>Reflecting the changes to the net interest spread and the contribution of net interest-free funds as described herein, the Company’s net interest margin was 3.47% in 2017, 3.11% in 2016 and 3.14% in 2015. Future changes in market interest rates or spreads, as well as changes in the composition of the Company’s portfolios of earning assets and interest-bearing liabilities that result in reductions in spreads, could adversely impact the Company’s net interest income and net interest margin.</w:t>
      </w:r>
    </w:p>
    <w:p>
      <w:pPr>
        <w:spacing w:after="0" w:line="3" w:lineRule="exact"/>
        <w:rPr>
          <w:sz w:val="20"/>
          <w:szCs w:val="20"/>
          <w:color w:val="auto"/>
        </w:rPr>
      </w:pPr>
    </w:p>
    <w:p>
      <w:pPr>
        <w:ind w:firstLine="598"/>
        <w:spacing w:after="0" w:line="278" w:lineRule="auto"/>
        <w:rPr>
          <w:sz w:val="20"/>
          <w:szCs w:val="20"/>
          <w:color w:val="auto"/>
        </w:rPr>
      </w:pPr>
      <w:r>
        <w:rPr>
          <w:rFonts w:ascii="Arial" w:cs="Arial" w:eastAsia="Arial" w:hAnsi="Arial"/>
          <w:sz w:val="18"/>
          <w:szCs w:val="18"/>
          <w:color w:val="auto"/>
        </w:rPr>
        <w:t>Management assesses the potential impact of future changes in interest rates and spreads by projecting net interest income under several interest rate scenarios. In managing interest rate risk, the Company has utilized interest rate swap agreements to modify the repricing characteristics of certain portions of its earnings assets and interest-bearing liabilities. Periodic settlement amounts arising from these agreements are reflected in either the yields on earning assets or the rates paid on interest-bearing liabilities. The notional amount of interest rate swap agreements entered into for interest rate risk management purposes was $7.4 billion (excluding $2.0 billion of forward-starting swap agreements) at December 31, 2017 and $900 million at December 31, 2016. Under the terms of those interest rate swap agreements, the Company received payments based on the outstanding notional amount at fixed rates and made payments at variable rates. The $6.5 billion increase in notional amount from December 31, 2016 reflects additions of $2.9 billion of interest rate swap agreements designated as cash flow hedges of variable rate commercial real estate loans and $3.6 billion of interest rate swap agreements designated as fair value hedges of fixed rate long-term borrowings. There were no interest rate swap agreements designated as cash flow hedges at December 31, 2016.</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00"/>
          </w:cols>
          <w:pgMar w:left="240" w:top="336" w:right="259" w:bottom="1440" w:gutter="0" w:footer="0" w:header="0"/>
        </w:sectPr>
      </w:pPr>
    </w:p>
    <w:bookmarkStart w:id="65" w:name="page66"/>
    <w:bookmarkEnd w:id="65"/>
    <w:p>
      <w:pPr>
        <w:ind w:right="20" w:firstLine="598"/>
        <w:spacing w:after="0" w:line="278" w:lineRule="auto"/>
        <w:rPr>
          <w:sz w:val="20"/>
          <w:szCs w:val="20"/>
          <w:color w:val="auto"/>
        </w:rPr>
      </w:pPr>
      <w:r>
        <w:rPr>
          <w:rFonts w:ascii="Arial" w:cs="Arial" w:eastAsia="Arial" w:hAnsi="Arial"/>
          <w:sz w:val="18"/>
          <w:szCs w:val="18"/>
          <w:color w:val="auto"/>
        </w:rPr>
        <w:t>In a fair value hedge, the fair value of the derivative (the interest rate swap agreement) and changes in the fair value of the hedged item are recorded in the Company’s consolidated balance sheet with the corresponding gain or loss recognized in current earnings. The difference between changes in the fair value of the interest rate swap agreements and the hedged items represents hedge ineffectiveness and is recorded in “other revenues from operations” in the Company’s consolidated statement of income. In a cash flow hedge, unlike in a fair value hedge, the effective portion of the derivative’s gain or loss is initially reported as a component of other comprehensive income and subsequently reclassified into earnings when the forecasted transaction affects earnings. The ineffective portion of the gain or loss is reported in “other revenues from operations” immediately. The amounts of hedge ineffectiveness recognized in 2017, 2016 and 2015 were not material to the Company’s consolidated results of operations. Information regarding the fair value of interest rate swap agreements and hedge ineffectiveness is presented in note 18 of Notes to Financial Statements. Information regarding the effective portion of cash flow hedges is presented in note 15 of Notes to Financial Statements. The changes in the fair values of the interest rate swap agreements and the hedged items primarily result from the effects of changing interest rates and spreads. The Company’s credit exposure as of December 31, 2017 with respect to the estimated fair value of interest rate swap agreements used for managing interest rate risk has been substantially mitigated through master netting arrangements with trading account interest rate contracts with the same counterparty as well as counterparty postings of $12 million of collateral with the Company. The average notional amounts of interest rate swap agreements entered into for interest rate risk management purposes, the related effect on net interest income and margin, and the weighted-average interest rates paid or received on those swap agreements are presented in table 9.</w:t>
      </w: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Table 9</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INTEREST RATE SWAP AGREEMENTS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4"/>
          </w:tcPr>
          <w:p>
            <w:pPr>
              <w:jc w:val="center"/>
              <w:ind w:right="600"/>
              <w:spacing w:after="0"/>
              <w:rPr>
                <w:sz w:val="20"/>
                <w:szCs w:val="20"/>
                <w:color w:val="auto"/>
              </w:rPr>
            </w:pPr>
            <w:r>
              <w:rPr>
                <w:rFonts w:ascii="Arial" w:cs="Arial" w:eastAsia="Arial" w:hAnsi="Arial"/>
                <w:sz w:val="14"/>
                <w:szCs w:val="14"/>
                <w:b w:val="1"/>
                <w:bCs w:val="1"/>
                <w:color w:val="auto"/>
                <w:w w:val="90"/>
              </w:rPr>
              <w:t>Year Ended December 31</w:t>
            </w: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1"/>
        </w:trPr>
        <w:tc>
          <w:tcPr>
            <w:tcW w:w="2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2"/>
          </w:tcPr>
          <w:p>
            <w:pPr>
              <w:jc w:val="right"/>
              <w:ind w:right="140"/>
              <w:spacing w:after="0" w:line="151" w:lineRule="exact"/>
              <w:rPr>
                <w:sz w:val="20"/>
                <w:szCs w:val="20"/>
                <w:color w:val="auto"/>
              </w:rPr>
            </w:pPr>
            <w:r>
              <w:rPr>
                <w:rFonts w:ascii="Arial" w:cs="Arial" w:eastAsia="Arial" w:hAnsi="Arial"/>
                <w:sz w:val="14"/>
                <w:szCs w:val="14"/>
                <w:b w:val="1"/>
                <w:bCs w:val="1"/>
                <w:color w:val="auto"/>
              </w:rPr>
              <w:t>2017</w:t>
            </w:r>
          </w:p>
        </w:tc>
        <w:tc>
          <w:tcPr>
            <w:tcW w:w="86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2"/>
          </w:tcPr>
          <w:p>
            <w:pPr>
              <w:jc w:val="center"/>
              <w:ind w:left="575"/>
              <w:spacing w:after="0" w:line="151" w:lineRule="exact"/>
              <w:rPr>
                <w:sz w:val="20"/>
                <w:szCs w:val="20"/>
                <w:color w:val="auto"/>
              </w:rPr>
            </w:pPr>
            <w:r>
              <w:rPr>
                <w:rFonts w:ascii="Arial" w:cs="Arial" w:eastAsia="Arial" w:hAnsi="Arial"/>
                <w:sz w:val="14"/>
                <w:szCs w:val="14"/>
                <w:b w:val="1"/>
                <w:bCs w:val="1"/>
                <w:color w:val="auto"/>
                <w:w w:val="89"/>
              </w:rPr>
              <w:t>2016</w:t>
            </w:r>
          </w:p>
        </w:tc>
        <w:tc>
          <w:tcPr>
            <w:tcW w:w="840" w:type="dxa"/>
            <w:vAlign w:val="bottom"/>
            <w:tcBorders>
              <w:bottom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2"/>
          </w:tcPr>
          <w:p>
            <w:pPr>
              <w:jc w:val="right"/>
              <w:ind w:right="140"/>
              <w:spacing w:after="0" w:line="151" w:lineRule="exact"/>
              <w:rPr>
                <w:sz w:val="20"/>
                <w:szCs w:val="20"/>
                <w:color w:val="auto"/>
              </w:rPr>
            </w:pPr>
            <w:r>
              <w:rPr>
                <w:rFonts w:ascii="Arial" w:cs="Arial" w:eastAsia="Arial" w:hAnsi="Arial"/>
                <w:sz w:val="14"/>
                <w:szCs w:val="14"/>
                <w:b w:val="1"/>
                <w:bCs w:val="1"/>
                <w:color w:val="auto"/>
              </w:rPr>
              <w:t>2015</w:t>
            </w:r>
          </w:p>
        </w:tc>
        <w:tc>
          <w:tcPr>
            <w:tcW w:w="86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151"/>
        </w:trPr>
        <w:tc>
          <w:tcPr>
            <w:tcW w:w="2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2"/>
          </w:tcPr>
          <w:p>
            <w:pPr>
              <w:jc w:val="right"/>
              <w:ind w:right="620"/>
              <w:spacing w:after="0" w:line="151" w:lineRule="exact"/>
              <w:rPr>
                <w:sz w:val="20"/>
                <w:szCs w:val="20"/>
                <w:color w:val="auto"/>
              </w:rPr>
            </w:pPr>
            <w:r>
              <w:rPr>
                <w:rFonts w:ascii="Arial" w:cs="Arial" w:eastAsia="Arial" w:hAnsi="Arial"/>
                <w:sz w:val="14"/>
                <w:szCs w:val="14"/>
                <w:b w:val="1"/>
                <w:bCs w:val="1"/>
                <w:color w:val="auto"/>
              </w:rPr>
              <w:t>Amount</w:t>
            </w:r>
          </w:p>
        </w:tc>
        <w:tc>
          <w:tcPr>
            <w:tcW w:w="860" w:type="dxa"/>
            <w:vAlign w:val="bottom"/>
            <w:tcBorders>
              <w:bottom w:val="single" w:sz="8" w:color="auto"/>
            </w:tcBorders>
          </w:tcPr>
          <w:p>
            <w:pPr>
              <w:ind w:left="200"/>
              <w:spacing w:after="0" w:line="151" w:lineRule="exact"/>
              <w:rPr>
                <w:sz w:val="20"/>
                <w:szCs w:val="20"/>
                <w:color w:val="auto"/>
              </w:rPr>
            </w:pPr>
            <w:r>
              <w:rPr>
                <w:rFonts w:ascii="Arial" w:cs="Arial" w:eastAsia="Arial" w:hAnsi="Arial"/>
                <w:sz w:val="14"/>
                <w:szCs w:val="14"/>
                <w:b w:val="1"/>
                <w:bCs w:val="1"/>
                <w:color w:val="auto"/>
              </w:rPr>
              <w:t>Rate(a)</w:t>
            </w:r>
          </w:p>
        </w:tc>
        <w:tc>
          <w:tcPr>
            <w:tcW w:w="4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2"/>
          </w:tcPr>
          <w:p>
            <w:pPr>
              <w:jc w:val="right"/>
              <w:ind w:right="640"/>
              <w:spacing w:after="0" w:line="151" w:lineRule="exact"/>
              <w:rPr>
                <w:sz w:val="20"/>
                <w:szCs w:val="20"/>
                <w:color w:val="auto"/>
              </w:rPr>
            </w:pPr>
            <w:r>
              <w:rPr>
                <w:rFonts w:ascii="Arial" w:cs="Arial" w:eastAsia="Arial" w:hAnsi="Arial"/>
                <w:sz w:val="14"/>
                <w:szCs w:val="14"/>
                <w:b w:val="1"/>
                <w:bCs w:val="1"/>
                <w:color w:val="auto"/>
              </w:rPr>
              <w:t>Amount</w:t>
            </w:r>
          </w:p>
        </w:tc>
        <w:tc>
          <w:tcPr>
            <w:tcW w:w="840" w:type="dxa"/>
            <w:vAlign w:val="bottom"/>
            <w:tcBorders>
              <w:bottom w:val="single" w:sz="8" w:color="auto"/>
            </w:tcBorders>
          </w:tcPr>
          <w:p>
            <w:pPr>
              <w:ind w:left="180"/>
              <w:spacing w:after="0" w:line="151" w:lineRule="exact"/>
              <w:rPr>
                <w:sz w:val="20"/>
                <w:szCs w:val="20"/>
                <w:color w:val="auto"/>
              </w:rPr>
            </w:pPr>
            <w:r>
              <w:rPr>
                <w:rFonts w:ascii="Arial" w:cs="Arial" w:eastAsia="Arial" w:hAnsi="Arial"/>
                <w:sz w:val="14"/>
                <w:szCs w:val="14"/>
                <w:b w:val="1"/>
                <w:bCs w:val="1"/>
                <w:color w:val="auto"/>
              </w:rPr>
              <w:t>Rate(a)</w:t>
            </w:r>
          </w:p>
        </w:tc>
        <w:tc>
          <w:tcPr>
            <w:tcW w:w="4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2"/>
          </w:tcPr>
          <w:p>
            <w:pPr>
              <w:jc w:val="right"/>
              <w:ind w:right="620"/>
              <w:spacing w:after="0" w:line="151" w:lineRule="exact"/>
              <w:rPr>
                <w:sz w:val="20"/>
                <w:szCs w:val="20"/>
                <w:color w:val="auto"/>
              </w:rPr>
            </w:pPr>
            <w:r>
              <w:rPr>
                <w:rFonts w:ascii="Arial" w:cs="Arial" w:eastAsia="Arial" w:hAnsi="Arial"/>
                <w:sz w:val="14"/>
                <w:szCs w:val="14"/>
                <w:b w:val="1"/>
                <w:bCs w:val="1"/>
                <w:color w:val="auto"/>
              </w:rPr>
              <w:t>Amount</w:t>
            </w:r>
          </w:p>
        </w:tc>
        <w:tc>
          <w:tcPr>
            <w:tcW w:w="860" w:type="dxa"/>
            <w:vAlign w:val="bottom"/>
            <w:tcBorders>
              <w:bottom w:val="single" w:sz="8" w:color="auto"/>
            </w:tcBorders>
          </w:tcPr>
          <w:p>
            <w:pPr>
              <w:ind w:left="200"/>
              <w:spacing w:after="0" w:line="151" w:lineRule="exact"/>
              <w:rPr>
                <w:sz w:val="20"/>
                <w:szCs w:val="20"/>
                <w:color w:val="auto"/>
              </w:rPr>
            </w:pPr>
            <w:r>
              <w:rPr>
                <w:rFonts w:ascii="Arial" w:cs="Arial" w:eastAsia="Arial" w:hAnsi="Arial"/>
                <w:sz w:val="14"/>
                <w:szCs w:val="14"/>
                <w:b w:val="1"/>
                <w:bCs w:val="1"/>
                <w:color w:val="auto"/>
              </w:rPr>
              <w:t>Rate(a)</w:t>
            </w:r>
          </w:p>
        </w:tc>
        <w:tc>
          <w:tcPr>
            <w:tcW w:w="180" w:type="dxa"/>
            <w:vAlign w:val="bottom"/>
          </w:tcPr>
          <w:p>
            <w:pPr>
              <w:spacing w:after="0"/>
              <w:rPr>
                <w:sz w:val="13"/>
                <w:szCs w:val="13"/>
                <w:color w:val="auto"/>
              </w:rPr>
            </w:pPr>
          </w:p>
        </w:tc>
      </w:tr>
      <w:tr>
        <w:trPr>
          <w:trHeight w:val="151"/>
        </w:trPr>
        <w:tc>
          <w:tcPr>
            <w:tcW w:w="2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80" w:type="dxa"/>
            <w:vAlign w:val="bottom"/>
            <w:gridSpan w:val="4"/>
          </w:tcPr>
          <w:p>
            <w:pPr>
              <w:jc w:val="center"/>
              <w:ind w:right="600"/>
              <w:spacing w:after="0" w:line="151" w:lineRule="exact"/>
              <w:rPr>
                <w:sz w:val="20"/>
                <w:szCs w:val="20"/>
                <w:color w:val="auto"/>
              </w:rPr>
            </w:pPr>
            <w:r>
              <w:rPr>
                <w:rFonts w:ascii="Arial" w:cs="Arial" w:eastAsia="Arial" w:hAnsi="Arial"/>
                <w:sz w:val="14"/>
                <w:szCs w:val="14"/>
                <w:b w:val="1"/>
                <w:bCs w:val="1"/>
                <w:color w:val="auto"/>
                <w:w w:val="89"/>
              </w:rPr>
              <w:t>(Dollars in thousands)</w:t>
            </w: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50"/>
        </w:trPr>
        <w:tc>
          <w:tcPr>
            <w:tcW w:w="298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Increase (decrease) in:</w:t>
            </w:r>
          </w:p>
        </w:tc>
        <w:tc>
          <w:tcPr>
            <w:tcW w:w="7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r>
      <w:tr>
        <w:trPr>
          <w:trHeight w:val="250"/>
        </w:trPr>
        <w:tc>
          <w:tcPr>
            <w:tcW w:w="2980" w:type="dxa"/>
            <w:vAlign w:val="bottom"/>
            <w:gridSpan w:val="2"/>
          </w:tcPr>
          <w:p>
            <w:pPr>
              <w:ind w:left="240"/>
              <w:spacing w:after="0"/>
              <w:rPr>
                <w:sz w:val="20"/>
                <w:szCs w:val="20"/>
                <w:color w:val="auto"/>
              </w:rPr>
            </w:pPr>
            <w:r>
              <w:rPr>
                <w:rFonts w:ascii="Arial" w:cs="Arial" w:eastAsia="Arial" w:hAnsi="Arial"/>
                <w:sz w:val="20"/>
                <w:szCs w:val="20"/>
                <w:color w:val="auto"/>
              </w:rPr>
              <w:t>Interest income</w:t>
            </w:r>
          </w:p>
        </w:tc>
        <w:tc>
          <w:tcPr>
            <w:tcW w:w="8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3,916</w:t>
            </w:r>
          </w:p>
        </w:tc>
        <w:tc>
          <w:tcPr>
            <w:tcW w:w="340" w:type="dxa"/>
            <w:vAlign w:val="bottom"/>
          </w:tcPr>
          <w:p>
            <w:pPr>
              <w:spacing w:after="0"/>
              <w:rPr>
                <w:sz w:val="21"/>
                <w:szCs w:val="21"/>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18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220" w:type="dxa"/>
            <w:vAlign w:val="bottom"/>
            <w:gridSpan w:val="2"/>
          </w:tcPr>
          <w:p>
            <w:pPr>
              <w:jc w:val="right"/>
              <w:ind w:right="360"/>
              <w:spacing w:after="0"/>
              <w:rPr>
                <w:sz w:val="20"/>
                <w:szCs w:val="20"/>
                <w:color w:val="auto"/>
              </w:rPr>
            </w:pPr>
            <w:r>
              <w:rPr>
                <w:rFonts w:ascii="Arial" w:cs="Arial" w:eastAsia="Arial" w:hAnsi="Arial"/>
                <w:sz w:val="20"/>
                <w:szCs w:val="20"/>
                <w:color w:val="auto"/>
              </w:rPr>
              <w:t>—</w:t>
            </w:r>
          </w:p>
        </w:tc>
        <w:tc>
          <w:tcPr>
            <w:tcW w:w="126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16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220" w:type="dxa"/>
            <w:vAlign w:val="bottom"/>
            <w:gridSpan w:val="2"/>
          </w:tcPr>
          <w:p>
            <w:pPr>
              <w:jc w:val="right"/>
              <w:ind w:right="340"/>
              <w:spacing w:after="0"/>
              <w:rPr>
                <w:sz w:val="20"/>
                <w:szCs w:val="20"/>
                <w:color w:val="auto"/>
              </w:rPr>
            </w:pPr>
            <w:r>
              <w:rPr>
                <w:rFonts w:ascii="Arial" w:cs="Arial" w:eastAsia="Arial" w:hAnsi="Arial"/>
                <w:sz w:val="20"/>
                <w:szCs w:val="20"/>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r>
      <w:tr>
        <w:trPr>
          <w:trHeight w:val="250"/>
        </w:trPr>
        <w:tc>
          <w:tcPr>
            <w:tcW w:w="2980" w:type="dxa"/>
            <w:vAlign w:val="bottom"/>
            <w:gridSpan w:val="2"/>
            <w:shd w:val="clear" w:color="auto" w:fill="CFF0FC"/>
          </w:tcPr>
          <w:p>
            <w:pPr>
              <w:ind w:left="240"/>
              <w:spacing w:after="0"/>
              <w:rPr>
                <w:sz w:val="20"/>
                <w:szCs w:val="20"/>
                <w:color w:val="auto"/>
              </w:rPr>
            </w:pPr>
            <w:r>
              <w:rPr>
                <w:rFonts w:ascii="Arial" w:cs="Arial" w:eastAsia="Arial" w:hAnsi="Arial"/>
                <w:sz w:val="20"/>
                <w:szCs w:val="20"/>
                <w:color w:val="auto"/>
              </w:rPr>
              <w:t>Interest expense</w:t>
            </w:r>
          </w:p>
        </w:tc>
        <w:tc>
          <w:tcPr>
            <w:tcW w:w="7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20"/>
                <w:szCs w:val="20"/>
                <w:color w:val="auto"/>
              </w:rPr>
              <w:t>(20,966)</w:t>
            </w:r>
          </w:p>
        </w:tc>
        <w:tc>
          <w:tcPr>
            <w:tcW w:w="1260" w:type="dxa"/>
            <w:vAlign w:val="bottom"/>
            <w:gridSpan w:val="2"/>
            <w:shd w:val="clear" w:color="auto" w:fill="CFF0FC"/>
          </w:tcPr>
          <w:p>
            <w:pPr>
              <w:jc w:val="right"/>
              <w:ind w:right="340"/>
              <w:spacing w:after="0"/>
              <w:rPr>
                <w:sz w:val="20"/>
                <w:szCs w:val="20"/>
                <w:color w:val="auto"/>
              </w:rPr>
            </w:pPr>
            <w:r>
              <w:rPr>
                <w:rFonts w:ascii="Arial" w:cs="Arial" w:eastAsia="Arial" w:hAnsi="Arial"/>
                <w:sz w:val="20"/>
                <w:szCs w:val="20"/>
                <w:color w:val="auto"/>
              </w:rPr>
              <w:t>(.03)</w:t>
            </w:r>
          </w:p>
        </w:tc>
        <w:tc>
          <w:tcPr>
            <w:tcW w:w="18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280"/>
              <w:spacing w:after="0"/>
              <w:rPr>
                <w:sz w:val="20"/>
                <w:szCs w:val="20"/>
                <w:color w:val="auto"/>
              </w:rPr>
            </w:pPr>
            <w:r>
              <w:rPr>
                <w:rFonts w:ascii="Arial" w:cs="Arial" w:eastAsia="Arial" w:hAnsi="Arial"/>
                <w:sz w:val="20"/>
                <w:szCs w:val="20"/>
                <w:color w:val="auto"/>
              </w:rPr>
              <w:t>(36,866)</w:t>
            </w:r>
          </w:p>
        </w:tc>
        <w:tc>
          <w:tcPr>
            <w:tcW w:w="1260" w:type="dxa"/>
            <w:vAlign w:val="bottom"/>
            <w:gridSpan w:val="2"/>
            <w:shd w:val="clear" w:color="auto" w:fill="CFF0FC"/>
          </w:tcPr>
          <w:p>
            <w:pPr>
              <w:jc w:val="right"/>
              <w:ind w:right="340"/>
              <w:spacing w:after="0"/>
              <w:rPr>
                <w:sz w:val="20"/>
                <w:szCs w:val="20"/>
                <w:color w:val="auto"/>
              </w:rPr>
            </w:pPr>
            <w:r>
              <w:rPr>
                <w:rFonts w:ascii="Arial" w:cs="Arial" w:eastAsia="Arial" w:hAnsi="Arial"/>
                <w:sz w:val="20"/>
                <w:szCs w:val="20"/>
                <w:color w:val="auto"/>
              </w:rPr>
              <w:t>(.05)</w:t>
            </w:r>
          </w:p>
        </w:tc>
        <w:tc>
          <w:tcPr>
            <w:tcW w:w="16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20"/>
                <w:szCs w:val="20"/>
                <w:color w:val="auto"/>
              </w:rPr>
              <w:t>(44,219)</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(.07)</w:t>
            </w:r>
          </w:p>
        </w:tc>
      </w:tr>
      <w:tr>
        <w:trPr>
          <w:trHeight w:val="229"/>
        </w:trPr>
        <w:tc>
          <w:tcPr>
            <w:tcW w:w="2980" w:type="dxa"/>
            <w:vAlign w:val="bottom"/>
            <w:gridSpan w:val="2"/>
          </w:tcPr>
          <w:p>
            <w:pPr>
              <w:ind w:left="240"/>
              <w:spacing w:after="0"/>
              <w:rPr>
                <w:sz w:val="20"/>
                <w:szCs w:val="20"/>
                <w:color w:val="auto"/>
              </w:rPr>
            </w:pPr>
            <w:r>
              <w:rPr>
                <w:rFonts w:ascii="Arial" w:cs="Arial" w:eastAsia="Arial" w:hAnsi="Arial"/>
                <w:sz w:val="20"/>
                <w:szCs w:val="20"/>
                <w:color w:val="auto"/>
              </w:rPr>
              <w:t>Net interest</w:t>
            </w:r>
          </w:p>
        </w:tc>
        <w:tc>
          <w:tcPr>
            <w:tcW w:w="7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290"/>
        </w:trPr>
        <w:tc>
          <w:tcPr>
            <w:tcW w:w="2980" w:type="dxa"/>
            <w:vAlign w:val="bottom"/>
            <w:gridSpan w:val="2"/>
          </w:tcPr>
          <w:p>
            <w:pPr>
              <w:ind w:left="400"/>
              <w:spacing w:after="0"/>
              <w:rPr>
                <w:sz w:val="20"/>
                <w:szCs w:val="20"/>
                <w:color w:val="auto"/>
              </w:rPr>
            </w:pPr>
            <w:r>
              <w:rPr>
                <w:rFonts w:ascii="Arial" w:cs="Arial" w:eastAsia="Arial" w:hAnsi="Arial"/>
                <w:sz w:val="20"/>
                <w:szCs w:val="20"/>
                <w:color w:val="auto"/>
              </w:rPr>
              <w:t>income/margin</w:t>
            </w:r>
          </w:p>
        </w:tc>
        <w:tc>
          <w:tcPr>
            <w:tcW w:w="8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24,882</w:t>
            </w:r>
          </w:p>
        </w:tc>
        <w:tc>
          <w:tcPr>
            <w:tcW w:w="340" w:type="dxa"/>
            <w:vAlign w:val="bottom"/>
          </w:tcPr>
          <w:p>
            <w:pPr>
              <w:spacing w:after="0"/>
              <w:rPr>
                <w:sz w:val="24"/>
                <w:szCs w:val="24"/>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20"/>
                <w:szCs w:val="20"/>
                <w:color w:val="auto"/>
              </w:rPr>
              <w:t>.02%</w:t>
            </w:r>
          </w:p>
        </w:tc>
        <w:tc>
          <w:tcPr>
            <w:tcW w:w="18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36,866</w:t>
            </w:r>
          </w:p>
        </w:tc>
        <w:tc>
          <w:tcPr>
            <w:tcW w:w="340" w:type="dxa"/>
            <w:vAlign w:val="bottom"/>
          </w:tcPr>
          <w:p>
            <w:pPr>
              <w:spacing w:after="0"/>
              <w:rPr>
                <w:sz w:val="24"/>
                <w:szCs w:val="24"/>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20"/>
                <w:szCs w:val="20"/>
                <w:color w:val="auto"/>
              </w:rPr>
              <w:t>.04%</w:t>
            </w:r>
          </w:p>
        </w:tc>
        <w:tc>
          <w:tcPr>
            <w:tcW w:w="16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44,219</w:t>
            </w:r>
          </w:p>
        </w:tc>
        <w:tc>
          <w:tcPr>
            <w:tcW w:w="320" w:type="dxa"/>
            <w:vAlign w:val="bottom"/>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20"/>
                <w:szCs w:val="20"/>
                <w:color w:val="auto"/>
              </w:rPr>
              <w:t>.04%</w:t>
            </w:r>
          </w:p>
        </w:tc>
      </w:tr>
      <w:tr>
        <w:trPr>
          <w:trHeight w:val="229"/>
        </w:trPr>
        <w:tc>
          <w:tcPr>
            <w:tcW w:w="29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20"/>
                <w:szCs w:val="20"/>
                <w:color w:val="auto"/>
              </w:rPr>
              <w:t>Average notional amount(c)</w:t>
            </w:r>
          </w:p>
        </w:tc>
        <w:tc>
          <w:tcPr>
            <w:tcW w:w="7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96"/>
              </w:rPr>
              <w:t>4,766,575</w:t>
            </w:r>
          </w:p>
        </w:tc>
        <w:tc>
          <w:tcPr>
            <w:tcW w:w="34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4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94"/>
              </w:rPr>
              <w:t>1,357,650</w:t>
            </w:r>
          </w:p>
        </w:tc>
        <w:tc>
          <w:tcPr>
            <w:tcW w:w="34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96"/>
              </w:rPr>
              <w:t>1,412,340</w:t>
            </w:r>
          </w:p>
        </w:tc>
        <w:tc>
          <w:tcPr>
            <w:tcW w:w="32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r>
      <w:tr>
        <w:trPr>
          <w:trHeight w:val="250"/>
        </w:trPr>
        <w:tc>
          <w:tcPr>
            <w:tcW w:w="2980" w:type="dxa"/>
            <w:vAlign w:val="bottom"/>
            <w:gridSpan w:val="2"/>
          </w:tcPr>
          <w:p>
            <w:pPr>
              <w:spacing w:after="0"/>
              <w:rPr>
                <w:sz w:val="20"/>
                <w:szCs w:val="20"/>
                <w:color w:val="auto"/>
              </w:rPr>
            </w:pPr>
            <w:r>
              <w:rPr>
                <w:rFonts w:ascii="Arial" w:cs="Arial" w:eastAsia="Arial" w:hAnsi="Arial"/>
                <w:sz w:val="20"/>
                <w:szCs w:val="20"/>
                <w:color w:val="auto"/>
              </w:rPr>
              <w:t>Rate received(b)</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20"/>
                <w:szCs w:val="20"/>
                <w:color w:val="auto"/>
              </w:rPr>
              <w:t>2.30%</w:t>
            </w: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20"/>
                <w:szCs w:val="20"/>
                <w:color w:val="auto"/>
              </w:rPr>
              <w:t>4.39%</w:t>
            </w: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20"/>
                <w:szCs w:val="20"/>
                <w:color w:val="auto"/>
              </w:rPr>
              <w:t>4.42%</w:t>
            </w:r>
          </w:p>
        </w:tc>
      </w:tr>
      <w:tr>
        <w:trPr>
          <w:trHeight w:val="250"/>
        </w:trPr>
        <w:tc>
          <w:tcPr>
            <w:tcW w:w="298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Rate paid(b)</w:t>
            </w:r>
          </w:p>
        </w:tc>
        <w:tc>
          <w:tcPr>
            <w:tcW w:w="7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20"/>
                <w:szCs w:val="20"/>
                <w:color w:val="auto"/>
              </w:rPr>
              <w:t>1.79%</w:t>
            </w: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20"/>
                <w:szCs w:val="20"/>
                <w:color w:val="auto"/>
              </w:rPr>
              <w:t>1.64%</w:t>
            </w:r>
          </w:p>
        </w:tc>
        <w:tc>
          <w:tcPr>
            <w:tcW w:w="1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1.28%</w:t>
            </w:r>
          </w:p>
        </w:tc>
      </w:tr>
      <w:tr>
        <w:trPr>
          <w:trHeight w:val="145"/>
        </w:trPr>
        <w:tc>
          <w:tcPr>
            <w:tcW w:w="2140" w:type="dxa"/>
            <w:vAlign w:val="bottom"/>
            <w:tcBorders>
              <w:bottom w:val="single" w:sz="8" w:color="auto"/>
            </w:tcBorders>
          </w:tcPr>
          <w:p>
            <w:pPr>
              <w:spacing w:after="0"/>
              <w:rPr>
                <w:sz w:val="12"/>
                <w:szCs w:val="12"/>
                <w:color w:val="auto"/>
              </w:rPr>
            </w:pPr>
          </w:p>
        </w:tc>
        <w:tc>
          <w:tcPr>
            <w:tcW w:w="8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r>
    </w:tbl>
    <w:p>
      <w:pPr>
        <w:spacing w:after="0" w:line="92" w:lineRule="exact"/>
        <w:rPr>
          <w:sz w:val="20"/>
          <w:szCs w:val="20"/>
          <w:color w:val="auto"/>
        </w:rPr>
      </w:pPr>
    </w:p>
    <w:p>
      <w:pPr>
        <w:ind w:left="600" w:hanging="595"/>
        <w:spacing w:after="0"/>
        <w:tabs>
          <w:tab w:leader="none" w:pos="600" w:val="left"/>
        </w:tabs>
        <w:numPr>
          <w:ilvl w:val="0"/>
          <w:numId w:val="28"/>
        </w:numPr>
        <w:rPr>
          <w:rFonts w:ascii="Arial" w:cs="Arial" w:eastAsia="Arial" w:hAnsi="Arial"/>
          <w:sz w:val="20"/>
          <w:szCs w:val="20"/>
          <w:i w:val="1"/>
          <w:iCs w:val="1"/>
          <w:color w:val="auto"/>
        </w:rPr>
      </w:pPr>
      <w:r>
        <w:rPr>
          <w:rFonts w:ascii="Arial" w:cs="Arial" w:eastAsia="Arial" w:hAnsi="Arial"/>
          <w:sz w:val="20"/>
          <w:szCs w:val="20"/>
          <w:i w:val="1"/>
          <w:iCs w:val="1"/>
          <w:color w:val="auto"/>
        </w:rPr>
        <w:t>Computed as a percentage of average earning assets or interest-bearing liabilities.</w:t>
      </w:r>
    </w:p>
    <w:p>
      <w:pPr>
        <w:spacing w:after="0" w:line="24" w:lineRule="exact"/>
        <w:rPr>
          <w:rFonts w:ascii="Arial" w:cs="Arial" w:eastAsia="Arial" w:hAnsi="Arial"/>
          <w:sz w:val="20"/>
          <w:szCs w:val="20"/>
          <w:i w:val="1"/>
          <w:iCs w:val="1"/>
          <w:color w:val="auto"/>
        </w:rPr>
      </w:pPr>
    </w:p>
    <w:p>
      <w:pPr>
        <w:ind w:left="600" w:hanging="595"/>
        <w:spacing w:after="0"/>
        <w:tabs>
          <w:tab w:leader="none" w:pos="600" w:val="left"/>
        </w:tabs>
        <w:numPr>
          <w:ilvl w:val="0"/>
          <w:numId w:val="28"/>
        </w:numPr>
        <w:rPr>
          <w:rFonts w:ascii="Arial" w:cs="Arial" w:eastAsia="Arial" w:hAnsi="Arial"/>
          <w:sz w:val="20"/>
          <w:szCs w:val="20"/>
          <w:i w:val="1"/>
          <w:iCs w:val="1"/>
          <w:color w:val="auto"/>
        </w:rPr>
      </w:pPr>
      <w:r>
        <w:rPr>
          <w:rFonts w:ascii="Arial" w:cs="Arial" w:eastAsia="Arial" w:hAnsi="Arial"/>
          <w:sz w:val="20"/>
          <w:szCs w:val="20"/>
          <w:i w:val="1"/>
          <w:iCs w:val="1"/>
          <w:color w:val="auto"/>
        </w:rPr>
        <w:t>Weighted-average rate paid or received on interest rate swap agreements in effect during year.</w:t>
      </w:r>
    </w:p>
    <w:p>
      <w:pPr>
        <w:spacing w:after="0" w:line="6" w:lineRule="exact"/>
        <w:rPr>
          <w:rFonts w:ascii="Arial" w:cs="Arial" w:eastAsia="Arial" w:hAnsi="Arial"/>
          <w:sz w:val="20"/>
          <w:szCs w:val="20"/>
          <w:i w:val="1"/>
          <w:iCs w:val="1"/>
          <w:color w:val="auto"/>
        </w:rPr>
      </w:pPr>
    </w:p>
    <w:p>
      <w:pPr>
        <w:ind w:left="600" w:hanging="595"/>
        <w:spacing w:after="0"/>
        <w:tabs>
          <w:tab w:leader="none" w:pos="600" w:val="left"/>
        </w:tabs>
        <w:numPr>
          <w:ilvl w:val="0"/>
          <w:numId w:val="28"/>
        </w:numPr>
        <w:rPr>
          <w:rFonts w:ascii="Arial" w:cs="Arial" w:eastAsia="Arial" w:hAnsi="Arial"/>
          <w:sz w:val="20"/>
          <w:szCs w:val="20"/>
          <w:i w:val="1"/>
          <w:iCs w:val="1"/>
          <w:color w:val="auto"/>
        </w:rPr>
      </w:pPr>
      <w:r>
        <w:rPr>
          <w:rFonts w:ascii="Arial" w:cs="Arial" w:eastAsia="Arial" w:hAnsi="Arial"/>
          <w:sz w:val="20"/>
          <w:szCs w:val="20"/>
          <w:i w:val="1"/>
          <w:iCs w:val="1"/>
          <w:color w:val="auto"/>
        </w:rPr>
        <w:t>Excludes forward-starting interest rate swap agreements not in effect during the year.</w:t>
      </w:r>
    </w:p>
    <w:p>
      <w:pPr>
        <w:spacing w:after="0" w:line="186" w:lineRule="exact"/>
        <w:rPr>
          <w:sz w:val="20"/>
          <w:szCs w:val="20"/>
          <w:color w:val="auto"/>
        </w:rPr>
      </w:pPr>
    </w:p>
    <w:p>
      <w:pPr>
        <w:ind w:firstLine="878"/>
        <w:spacing w:after="0" w:line="256" w:lineRule="auto"/>
        <w:rPr>
          <w:sz w:val="20"/>
          <w:szCs w:val="20"/>
          <w:color w:val="auto"/>
        </w:rPr>
      </w:pPr>
      <w:r>
        <w:rPr>
          <w:rFonts w:ascii="Arial" w:cs="Arial" w:eastAsia="Arial" w:hAnsi="Arial"/>
          <w:sz w:val="20"/>
          <w:szCs w:val="20"/>
          <w:color w:val="auto"/>
        </w:rPr>
        <w:t>In addition to interest rate swap agreements, the Company has entered into interest rate floor agreements that are not accounted for as hedging instruments but, nevertheless, provide the Company with protection against the possibility of future declines in interest rates on its earning assets. At December 31, 2017, outstanding notional amounts of such agreements totaled $6.3 billion. There were no similar agreements at December 31, 2016. The fair value of those interest rate floor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66" w:name="page67"/>
    <w:bookmarkEnd w:id="66"/>
    <w:p>
      <w:pPr>
        <w:ind w:right="40"/>
        <w:spacing w:after="0" w:line="275" w:lineRule="auto"/>
        <w:rPr>
          <w:sz w:val="20"/>
          <w:szCs w:val="20"/>
          <w:color w:val="auto"/>
        </w:rPr>
      </w:pPr>
      <w:r>
        <w:rPr>
          <w:rFonts w:ascii="Arial" w:cs="Arial" w:eastAsia="Arial" w:hAnsi="Arial"/>
          <w:sz w:val="20"/>
          <w:szCs w:val="20"/>
          <w:color w:val="auto"/>
        </w:rPr>
        <w:t>agreements was $3.7 million and was included in trading account assets at December 31, 2017. Changes in the fair value of those agreements are recorded as “trading account and foreign exchange gains” in the consolidated statement of income.</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Provision for Credit Losses</w:t>
      </w:r>
    </w:p>
    <w:p>
      <w:pPr>
        <w:spacing w:after="0" w:line="29" w:lineRule="exact"/>
        <w:rPr>
          <w:sz w:val="20"/>
          <w:szCs w:val="20"/>
          <w:color w:val="auto"/>
        </w:rPr>
      </w:pPr>
    </w:p>
    <w:p>
      <w:pPr>
        <w:ind w:right="60"/>
        <w:spacing w:after="0" w:line="281" w:lineRule="auto"/>
        <w:rPr>
          <w:sz w:val="20"/>
          <w:szCs w:val="20"/>
          <w:color w:val="auto"/>
        </w:rPr>
      </w:pPr>
      <w:r>
        <w:rPr>
          <w:rFonts w:ascii="Arial" w:cs="Arial" w:eastAsia="Arial" w:hAnsi="Arial"/>
          <w:sz w:val="18"/>
          <w:szCs w:val="18"/>
          <w:color w:val="auto"/>
        </w:rPr>
        <w:t>The Company maintains an allowance for credit losses that in management’s judgment appropriately reflects losses inherent in the loan and lease portfolio. A provision for credit losses is recorded to adjust the level of the allowance as deemed necessary by management. The provision for credit losses was $168 million in 2017, compared with $190 million in 2016 and $170 million in 2015. Net charge-offs of loans were $140 million in 2017, $157 million in 2016 and $134 million in 2015. Net charge-offs as a percentage of average loans and leases outstanding were .16% in 2017, compared with .18% in 2016 and .19% in 2015. A summary of the Company’s loan charge-offs, provision and allowance for credit losses is presented in table 10 and in note 5 of Notes to Financial Statements.</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Table 10</w:t>
      </w: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LOAN CHARGE-OFFS, PROVISION AND ALLOWANCE FOR CREDIT LOSSES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42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60" w:type="dxa"/>
            <w:vAlign w:val="bottom"/>
            <w:gridSpan w:val="5"/>
          </w:tcPr>
          <w:p>
            <w:pPr>
              <w:jc w:val="right"/>
              <w:ind w:right="80"/>
              <w:spacing w:after="0" w:line="151" w:lineRule="exact"/>
              <w:rPr>
                <w:sz w:val="20"/>
                <w:szCs w:val="20"/>
                <w:color w:val="auto"/>
              </w:rPr>
            </w:pPr>
            <w:r>
              <w:rPr>
                <w:rFonts w:ascii="Arial" w:cs="Arial" w:eastAsia="Arial" w:hAnsi="Arial"/>
                <w:sz w:val="14"/>
                <w:szCs w:val="14"/>
                <w:b w:val="1"/>
                <w:bCs w:val="1"/>
                <w:color w:val="auto"/>
                <w:w w:val="91"/>
              </w:rPr>
              <w:t>(Dollars in thousands)</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4200" w:type="dxa"/>
            <w:vAlign w:val="bottom"/>
            <w:shd w:val="clear" w:color="auto" w:fill="CFF0FC"/>
          </w:tcPr>
          <w:p>
            <w:pPr>
              <w:spacing w:after="0" w:line="201" w:lineRule="exact"/>
              <w:rPr>
                <w:sz w:val="20"/>
                <w:szCs w:val="20"/>
                <w:color w:val="auto"/>
              </w:rPr>
            </w:pPr>
            <w:r>
              <w:rPr>
                <w:rFonts w:ascii="Arial" w:cs="Arial" w:eastAsia="Arial" w:hAnsi="Arial"/>
                <w:sz w:val="18"/>
                <w:szCs w:val="18"/>
                <w:color w:val="auto"/>
              </w:rPr>
              <w:t>Allowance for credit losses beginning</w:t>
            </w:r>
          </w:p>
        </w:tc>
        <w:tc>
          <w:tcPr>
            <w:tcW w:w="1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42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balance</w:t>
            </w:r>
          </w:p>
        </w:tc>
        <w:tc>
          <w:tcPr>
            <w:tcW w:w="1540" w:type="dxa"/>
            <w:vAlign w:val="bottom"/>
            <w:gridSpan w:val="2"/>
            <w:shd w:val="clear" w:color="auto" w:fill="CFF0FC"/>
          </w:tcPr>
          <w:p>
            <w:pPr>
              <w:ind w:left="142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988,997</w:t>
            </w: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8"/>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955,992</w:t>
            </w:r>
          </w:p>
        </w:tc>
        <w:tc>
          <w:tcPr>
            <w:tcW w:w="220" w:type="dxa"/>
            <w:vAlign w:val="bottom"/>
            <w:shd w:val="clear" w:color="auto" w:fill="CFF0FC"/>
          </w:tcPr>
          <w:p>
            <w:pPr>
              <w:spacing w:after="0"/>
              <w:rPr>
                <w:sz w:val="20"/>
                <w:szCs w:val="20"/>
                <w:color w:val="auto"/>
              </w:rPr>
            </w:pPr>
          </w:p>
        </w:tc>
        <w:tc>
          <w:tcPr>
            <w:tcW w:w="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919,562</w:t>
            </w: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8"/>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916,676</w:t>
            </w:r>
          </w:p>
        </w:tc>
        <w:tc>
          <w:tcPr>
            <w:tcW w:w="220" w:type="dxa"/>
            <w:vAlign w:val="bottom"/>
            <w:shd w:val="clear" w:color="auto" w:fill="CFF0FC"/>
          </w:tcPr>
          <w:p>
            <w:pPr>
              <w:spacing w:after="0"/>
              <w:rPr>
                <w:sz w:val="20"/>
                <w:szCs w:val="20"/>
                <w:color w:val="auto"/>
              </w:rPr>
            </w:pPr>
          </w:p>
        </w:tc>
        <w:tc>
          <w:tcPr>
            <w:tcW w:w="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925,860</w:t>
            </w:r>
          </w:p>
        </w:tc>
        <w:tc>
          <w:tcPr>
            <w:tcW w:w="16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00" w:type="dxa"/>
            <w:vAlign w:val="bottom"/>
          </w:tcPr>
          <w:p>
            <w:pPr>
              <w:spacing w:after="0"/>
              <w:rPr>
                <w:sz w:val="20"/>
                <w:szCs w:val="20"/>
                <w:color w:val="auto"/>
              </w:rPr>
            </w:pPr>
            <w:r>
              <w:rPr>
                <w:rFonts w:ascii="Arial" w:cs="Arial" w:eastAsia="Arial" w:hAnsi="Arial"/>
                <w:sz w:val="18"/>
                <w:szCs w:val="18"/>
                <w:color w:val="auto"/>
              </w:rPr>
              <w:t>Charge-offs during year</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4200" w:type="dxa"/>
            <w:vAlign w:val="bottom"/>
            <w:shd w:val="clear" w:color="auto" w:fill="CFF0FC"/>
          </w:tcPr>
          <w:p>
            <w:pPr>
              <w:ind w:left="240"/>
              <w:spacing w:after="0" w:line="201" w:lineRule="exact"/>
              <w:rPr>
                <w:sz w:val="20"/>
                <w:szCs w:val="20"/>
                <w:color w:val="auto"/>
              </w:rPr>
            </w:pPr>
            <w:r>
              <w:rPr>
                <w:rFonts w:ascii="Arial" w:cs="Arial" w:eastAsia="Arial" w:hAnsi="Arial"/>
                <w:sz w:val="18"/>
                <w:szCs w:val="18"/>
                <w:color w:val="auto"/>
              </w:rPr>
              <w:t>Commercial, financial,</w:t>
            </w:r>
          </w:p>
        </w:tc>
        <w:tc>
          <w:tcPr>
            <w:tcW w:w="1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42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leasing, etc.</w:t>
            </w:r>
          </w:p>
        </w:tc>
        <w:tc>
          <w:tcPr>
            <w:tcW w:w="14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64,941</w:t>
            </w: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59,244</w:t>
            </w:r>
          </w:p>
        </w:tc>
        <w:tc>
          <w:tcPr>
            <w:tcW w:w="2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60,983</w:t>
            </w: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58,943</w:t>
            </w:r>
          </w:p>
        </w:tc>
        <w:tc>
          <w:tcPr>
            <w:tcW w:w="2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109,329</w:t>
            </w:r>
          </w:p>
        </w:tc>
        <w:tc>
          <w:tcPr>
            <w:tcW w:w="16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00" w:type="dxa"/>
            <w:vAlign w:val="bottom"/>
          </w:tcPr>
          <w:p>
            <w:pPr>
              <w:ind w:left="240"/>
              <w:spacing w:after="0"/>
              <w:rPr>
                <w:sz w:val="20"/>
                <w:szCs w:val="20"/>
                <w:color w:val="auto"/>
              </w:rPr>
            </w:pPr>
            <w:r>
              <w:rPr>
                <w:rFonts w:ascii="Arial" w:cs="Arial" w:eastAsia="Arial" w:hAnsi="Arial"/>
                <w:sz w:val="18"/>
                <w:szCs w:val="18"/>
                <w:color w:val="auto"/>
              </w:rPr>
              <w:t>Real estate — construction</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267</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137</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3,221</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1,882</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9,137</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Real estate — mortgage</w:t>
            </w:r>
          </w:p>
        </w:tc>
        <w:tc>
          <w:tcPr>
            <w:tcW w:w="1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28,463</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30,801</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26,382</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33,527</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49,079</w:t>
            </w:r>
          </w:p>
        </w:tc>
        <w:tc>
          <w:tcPr>
            <w:tcW w:w="16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Consumer</w:t>
            </w:r>
          </w:p>
        </w:tc>
        <w:tc>
          <w:tcPr>
            <w:tcW w:w="14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130,927</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141,073</w:t>
            </w:r>
          </w:p>
        </w:tc>
        <w:tc>
          <w:tcPr>
            <w:tcW w:w="2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107,787</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84,390</w:t>
            </w:r>
          </w:p>
        </w:tc>
        <w:tc>
          <w:tcPr>
            <w:tcW w:w="2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85,965</w:t>
            </w:r>
          </w:p>
        </w:tc>
        <w:tc>
          <w:tcPr>
            <w:tcW w:w="16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2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charge-offs</w:t>
            </w:r>
          </w:p>
        </w:tc>
        <w:tc>
          <w:tcPr>
            <w:tcW w:w="14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224,598</w:t>
            </w:r>
          </w:p>
        </w:tc>
        <w:tc>
          <w:tcPr>
            <w:tcW w:w="28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231,255</w:t>
            </w: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198,373</w:t>
            </w:r>
          </w:p>
        </w:tc>
        <w:tc>
          <w:tcPr>
            <w:tcW w:w="28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178,742</w:t>
            </w: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253,510</w:t>
            </w:r>
          </w:p>
        </w:tc>
        <w:tc>
          <w:tcPr>
            <w:tcW w:w="16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200" w:type="dxa"/>
            <w:vAlign w:val="bottom"/>
          </w:tcPr>
          <w:p>
            <w:pPr>
              <w:spacing w:after="0"/>
              <w:rPr>
                <w:sz w:val="20"/>
                <w:szCs w:val="20"/>
                <w:color w:val="auto"/>
              </w:rPr>
            </w:pPr>
            <w:r>
              <w:rPr>
                <w:rFonts w:ascii="Arial" w:cs="Arial" w:eastAsia="Arial" w:hAnsi="Arial"/>
                <w:sz w:val="18"/>
                <w:szCs w:val="18"/>
                <w:color w:val="auto"/>
              </w:rPr>
              <w:t>Recoveries during year</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4200" w:type="dxa"/>
            <w:vAlign w:val="bottom"/>
            <w:shd w:val="clear" w:color="auto" w:fill="CFF0FC"/>
          </w:tcPr>
          <w:p>
            <w:pPr>
              <w:ind w:left="240"/>
              <w:spacing w:after="0" w:line="201" w:lineRule="exact"/>
              <w:rPr>
                <w:sz w:val="20"/>
                <w:szCs w:val="20"/>
                <w:color w:val="auto"/>
              </w:rPr>
            </w:pPr>
            <w:r>
              <w:rPr>
                <w:rFonts w:ascii="Arial" w:cs="Arial" w:eastAsia="Arial" w:hAnsi="Arial"/>
                <w:sz w:val="18"/>
                <w:szCs w:val="18"/>
                <w:color w:val="auto"/>
              </w:rPr>
              <w:t>Commercial, financial,</w:t>
            </w:r>
          </w:p>
        </w:tc>
        <w:tc>
          <w:tcPr>
            <w:tcW w:w="1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42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leasing, etc.</w:t>
            </w:r>
          </w:p>
        </w:tc>
        <w:tc>
          <w:tcPr>
            <w:tcW w:w="14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21,196</w:t>
            </w: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30,167</w:t>
            </w:r>
          </w:p>
        </w:tc>
        <w:tc>
          <w:tcPr>
            <w:tcW w:w="2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30,284</w:t>
            </w: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22,188</w:t>
            </w:r>
          </w:p>
        </w:tc>
        <w:tc>
          <w:tcPr>
            <w:tcW w:w="2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11,773</w:t>
            </w:r>
          </w:p>
        </w:tc>
        <w:tc>
          <w:tcPr>
            <w:tcW w:w="16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00" w:type="dxa"/>
            <w:vAlign w:val="bottom"/>
          </w:tcPr>
          <w:p>
            <w:pPr>
              <w:ind w:left="240"/>
              <w:spacing w:after="0"/>
              <w:rPr>
                <w:sz w:val="20"/>
                <w:szCs w:val="20"/>
                <w:color w:val="auto"/>
              </w:rPr>
            </w:pPr>
            <w:r>
              <w:rPr>
                <w:rFonts w:ascii="Arial" w:cs="Arial" w:eastAsia="Arial" w:hAnsi="Arial"/>
                <w:sz w:val="18"/>
                <w:szCs w:val="18"/>
                <w:color w:val="auto"/>
              </w:rPr>
              <w:t>Real estate — construction</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8,894</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4,062</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6,308</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4,725</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18,800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Real estate — mortgage</w:t>
            </w:r>
          </w:p>
        </w:tc>
        <w:tc>
          <w:tcPr>
            <w:tcW w:w="1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12,671</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11,124</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7,626</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14,640</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13,718</w:t>
            </w:r>
          </w:p>
        </w:tc>
        <w:tc>
          <w:tcPr>
            <w:tcW w:w="16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Consumer</w:t>
            </w:r>
          </w:p>
        </w:tc>
        <w:tc>
          <w:tcPr>
            <w:tcW w:w="14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42,038</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28,907</w:t>
            </w:r>
          </w:p>
        </w:tc>
        <w:tc>
          <w:tcPr>
            <w:tcW w:w="2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20,585</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16,075</w:t>
            </w:r>
          </w:p>
        </w:tc>
        <w:tc>
          <w:tcPr>
            <w:tcW w:w="2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26,035</w:t>
            </w:r>
          </w:p>
        </w:tc>
        <w:tc>
          <w:tcPr>
            <w:tcW w:w="16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2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recoveries</w:t>
            </w:r>
          </w:p>
        </w:tc>
        <w:tc>
          <w:tcPr>
            <w:tcW w:w="14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84,799</w:t>
            </w:r>
          </w:p>
        </w:tc>
        <w:tc>
          <w:tcPr>
            <w:tcW w:w="28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74,260</w:t>
            </w: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64,803</w:t>
            </w:r>
          </w:p>
        </w:tc>
        <w:tc>
          <w:tcPr>
            <w:tcW w:w="28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57,628</w:t>
            </w: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70,326</w:t>
            </w:r>
          </w:p>
        </w:tc>
        <w:tc>
          <w:tcPr>
            <w:tcW w:w="16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200" w:type="dxa"/>
            <w:vAlign w:val="bottom"/>
          </w:tcPr>
          <w:p>
            <w:pPr>
              <w:spacing w:after="0"/>
              <w:rPr>
                <w:sz w:val="20"/>
                <w:szCs w:val="20"/>
                <w:color w:val="auto"/>
              </w:rPr>
            </w:pPr>
            <w:r>
              <w:rPr>
                <w:rFonts w:ascii="Arial" w:cs="Arial" w:eastAsia="Arial" w:hAnsi="Arial"/>
                <w:sz w:val="18"/>
                <w:szCs w:val="18"/>
                <w:color w:val="auto"/>
              </w:rPr>
              <w:t>Net charge-offs</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139,799</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156,995</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133,570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121,114</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183,184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Provision for credit losses</w:t>
            </w:r>
          </w:p>
        </w:tc>
        <w:tc>
          <w:tcPr>
            <w:tcW w:w="1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168,000</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190,000</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170,000</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124,000</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185,000</w:t>
            </w:r>
          </w:p>
        </w:tc>
        <w:tc>
          <w:tcPr>
            <w:tcW w:w="16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4200" w:type="dxa"/>
            <w:vAlign w:val="bottom"/>
          </w:tcPr>
          <w:p>
            <w:pPr>
              <w:spacing w:after="0" w:line="201" w:lineRule="exact"/>
              <w:rPr>
                <w:sz w:val="20"/>
                <w:szCs w:val="20"/>
                <w:color w:val="auto"/>
              </w:rPr>
            </w:pPr>
            <w:r>
              <w:rPr>
                <w:rFonts w:ascii="Arial" w:cs="Arial" w:eastAsia="Arial" w:hAnsi="Arial"/>
                <w:sz w:val="18"/>
                <w:szCs w:val="18"/>
                <w:color w:val="auto"/>
              </w:rPr>
              <w:t>Allowance related to loans sold or</w:t>
            </w: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4200" w:type="dxa"/>
            <w:vAlign w:val="bottom"/>
          </w:tcPr>
          <w:p>
            <w:pPr>
              <w:ind w:left="140"/>
              <w:spacing w:after="0"/>
              <w:rPr>
                <w:sz w:val="20"/>
                <w:szCs w:val="20"/>
                <w:color w:val="auto"/>
              </w:rPr>
            </w:pPr>
            <w:r>
              <w:rPr>
                <w:rFonts w:ascii="Arial" w:cs="Arial" w:eastAsia="Arial" w:hAnsi="Arial"/>
                <w:sz w:val="18"/>
                <w:szCs w:val="18"/>
                <w:color w:val="auto"/>
              </w:rPr>
              <w:t>securitized</w:t>
            </w: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(11,000)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420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rPr>
              <w:t>Allowance for credit losses ending</w:t>
            </w:r>
          </w:p>
        </w:tc>
        <w:tc>
          <w:tcPr>
            <w:tcW w:w="142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780" w:type="dxa"/>
            <w:vAlign w:val="bottom"/>
            <w:tcBorders>
              <w:top w:val="single" w:sz="8" w:color="auto"/>
            </w:tcBorders>
            <w:shd w:val="clear" w:color="auto" w:fill="CFF0FC"/>
          </w:tcPr>
          <w:p>
            <w:pPr>
              <w:spacing w:after="0"/>
              <w:rPr>
                <w:sz w:val="16"/>
                <w:szCs w:val="16"/>
                <w:color w:val="auto"/>
              </w:rPr>
            </w:pPr>
          </w:p>
        </w:tc>
        <w:tc>
          <w:tcPr>
            <w:tcW w:w="28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6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spacing w:after="0"/>
              <w:rPr>
                <w:sz w:val="16"/>
                <w:szCs w:val="16"/>
                <w:color w:val="auto"/>
              </w:rPr>
            </w:pPr>
          </w:p>
        </w:tc>
        <w:tc>
          <w:tcPr>
            <w:tcW w:w="28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6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72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42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balance</w:t>
            </w:r>
          </w:p>
        </w:tc>
        <w:tc>
          <w:tcPr>
            <w:tcW w:w="1540" w:type="dxa"/>
            <w:vAlign w:val="bottom"/>
            <w:gridSpan w:val="2"/>
            <w:shd w:val="clear" w:color="auto" w:fill="CFF0FC"/>
          </w:tcPr>
          <w:p>
            <w:pPr>
              <w:ind w:left="142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1,017,198</w:t>
            </w: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8"/>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988,997</w:t>
            </w:r>
          </w:p>
        </w:tc>
        <w:tc>
          <w:tcPr>
            <w:tcW w:w="220" w:type="dxa"/>
            <w:vAlign w:val="bottom"/>
            <w:shd w:val="clear" w:color="auto" w:fill="CFF0FC"/>
          </w:tcPr>
          <w:p>
            <w:pPr>
              <w:spacing w:after="0"/>
              <w:rPr>
                <w:sz w:val="20"/>
                <w:szCs w:val="20"/>
                <w:color w:val="auto"/>
              </w:rPr>
            </w:pPr>
          </w:p>
        </w:tc>
        <w:tc>
          <w:tcPr>
            <w:tcW w:w="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955,992</w:t>
            </w: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8"/>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919,562</w:t>
            </w:r>
          </w:p>
        </w:tc>
        <w:tc>
          <w:tcPr>
            <w:tcW w:w="220" w:type="dxa"/>
            <w:vAlign w:val="bottom"/>
            <w:shd w:val="clear" w:color="auto" w:fill="CFF0FC"/>
          </w:tcPr>
          <w:p>
            <w:pPr>
              <w:spacing w:after="0"/>
              <w:rPr>
                <w:sz w:val="20"/>
                <w:szCs w:val="20"/>
                <w:color w:val="auto"/>
              </w:rPr>
            </w:pPr>
          </w:p>
        </w:tc>
        <w:tc>
          <w:tcPr>
            <w:tcW w:w="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916,676</w:t>
            </w:r>
          </w:p>
        </w:tc>
        <w:tc>
          <w:tcPr>
            <w:tcW w:w="16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Net charge-offs as a percent of:</w:t>
            </w:r>
          </w:p>
        </w:tc>
        <w:tc>
          <w:tcPr>
            <w:tcW w:w="14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200" w:type="dxa"/>
            <w:vAlign w:val="bottom"/>
            <w:vMerge w:val="continue"/>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Provision for credit losses</w:t>
            </w:r>
          </w:p>
        </w:tc>
        <w:tc>
          <w:tcPr>
            <w:tcW w:w="1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83.21%</w:t>
            </w: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82.63%</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78.57%</w:t>
            </w: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97.67%</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99.02%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4200" w:type="dxa"/>
            <w:vAlign w:val="bottom"/>
          </w:tcPr>
          <w:p>
            <w:pPr>
              <w:ind w:left="240"/>
              <w:spacing w:after="0" w:line="201" w:lineRule="exact"/>
              <w:rPr>
                <w:sz w:val="20"/>
                <w:szCs w:val="20"/>
                <w:color w:val="auto"/>
              </w:rPr>
            </w:pPr>
            <w:r>
              <w:rPr>
                <w:rFonts w:ascii="Arial" w:cs="Arial" w:eastAsia="Arial" w:hAnsi="Arial"/>
                <w:sz w:val="18"/>
                <w:szCs w:val="18"/>
                <w:color w:val="auto"/>
              </w:rPr>
              <w:t>Average loans and leases, net of</w:t>
            </w: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4200" w:type="dxa"/>
            <w:vAlign w:val="bottom"/>
          </w:tcPr>
          <w:p>
            <w:pPr>
              <w:ind w:left="380"/>
              <w:spacing w:after="0"/>
              <w:rPr>
                <w:sz w:val="20"/>
                <w:szCs w:val="20"/>
                <w:color w:val="auto"/>
              </w:rPr>
            </w:pPr>
            <w:r>
              <w:rPr>
                <w:rFonts w:ascii="Arial" w:cs="Arial" w:eastAsia="Arial" w:hAnsi="Arial"/>
                <w:sz w:val="18"/>
                <w:szCs w:val="18"/>
                <w:color w:val="auto"/>
              </w:rPr>
              <w:t>unearned discount</w:t>
            </w: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4200" w:type="dxa"/>
            <w:vAlign w:val="bottom"/>
            <w:shd w:val="clear" w:color="auto" w:fill="CFF0FC"/>
          </w:tcPr>
          <w:p>
            <w:pPr>
              <w:spacing w:after="0" w:line="201" w:lineRule="exact"/>
              <w:rPr>
                <w:sz w:val="20"/>
                <w:szCs w:val="20"/>
                <w:color w:val="auto"/>
              </w:rPr>
            </w:pPr>
            <w:r>
              <w:rPr>
                <w:rFonts w:ascii="Arial" w:cs="Arial" w:eastAsia="Arial" w:hAnsi="Arial"/>
                <w:sz w:val="18"/>
                <w:szCs w:val="18"/>
                <w:color w:val="auto"/>
              </w:rPr>
              <w:t>Allowance for credit losses as a</w:t>
            </w:r>
          </w:p>
        </w:tc>
        <w:tc>
          <w:tcPr>
            <w:tcW w:w="1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2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percent of loans and leases, net of</w:t>
            </w: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2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unearned discount, at year-end</w:t>
            </w:r>
          </w:p>
        </w:tc>
        <w:tc>
          <w:tcPr>
            <w:tcW w:w="14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1.16%</w:t>
            </w:r>
          </w:p>
        </w:tc>
        <w:tc>
          <w:tcPr>
            <w:tcW w:w="20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1.09%</w:t>
            </w:r>
          </w:p>
        </w:tc>
        <w:tc>
          <w:tcPr>
            <w:tcW w:w="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1.09%</w:t>
            </w:r>
          </w:p>
        </w:tc>
        <w:tc>
          <w:tcPr>
            <w:tcW w:w="20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1.38%</w:t>
            </w:r>
          </w:p>
        </w:tc>
        <w:tc>
          <w:tcPr>
            <w:tcW w:w="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0"/>
        </w:trPr>
        <w:tc>
          <w:tcPr>
            <w:tcW w:w="4200" w:type="dxa"/>
            <w:vAlign w:val="bottom"/>
          </w:tcPr>
          <w:p>
            <w:pPr>
              <w:spacing w:after="0"/>
              <w:rPr>
                <w:sz w:val="24"/>
                <w:szCs w:val="24"/>
                <w:color w:val="auto"/>
              </w:rPr>
            </w:pPr>
          </w:p>
        </w:tc>
        <w:tc>
          <w:tcPr>
            <w:tcW w:w="2320" w:type="dxa"/>
            <w:vAlign w:val="bottom"/>
            <w:gridSpan w:val="3"/>
          </w:tcPr>
          <w:p>
            <w:pPr>
              <w:ind w:left="1420"/>
              <w:spacing w:after="0"/>
              <w:rPr>
                <w:sz w:val="20"/>
                <w:szCs w:val="20"/>
                <w:color w:val="auto"/>
              </w:rPr>
            </w:pPr>
            <w:r>
              <w:rPr>
                <w:rFonts w:ascii="Arial" w:cs="Arial" w:eastAsia="Arial" w:hAnsi="Arial"/>
                <w:sz w:val="18"/>
                <w:szCs w:val="18"/>
                <w:color w:val="auto"/>
              </w:rPr>
              <w:t>67</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20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336" w:right="219" w:bottom="1440" w:gutter="0" w:footer="0" w:header="0"/>
        </w:sectPr>
      </w:pPr>
    </w:p>
    <w:bookmarkStart w:id="67" w:name="page68"/>
    <w:bookmarkEnd w:id="67"/>
    <w:p>
      <w:pPr>
        <w:ind w:right="20" w:firstLine="598"/>
        <w:spacing w:after="0" w:line="276" w:lineRule="auto"/>
        <w:rPr>
          <w:sz w:val="20"/>
          <w:szCs w:val="20"/>
          <w:color w:val="auto"/>
        </w:rPr>
      </w:pPr>
      <w:r>
        <w:rPr>
          <w:rFonts w:ascii="Arial" w:cs="Arial" w:eastAsia="Arial" w:hAnsi="Arial"/>
          <w:sz w:val="18"/>
          <w:szCs w:val="18"/>
          <w:color w:val="auto"/>
        </w:rPr>
        <w:t>Loans acquired in connection with acquisition transactions subsequent to 2008 were recorded at fair value with no carry-over of any previously recorded allowance for credit losses. Determining the fair value of the acquired loans required estimating cash flows expected to be collected on the loans and discounting those cash flows at then-current interest rates. For acquired loans where fair value was less than outstanding principal as of the acquisition date and the resulting discount was due, at least in part, to credit deterioration, the excess of expected cash flows over the carrying value of the loans is recognized as interest income over the lives of the loans. The difference between contractually required payments and the cash flows expected to be collected is referred to as the nonaccretable balance and is not recorded on the consolidated balance sheet. The nonaccretable balance reflects estimated future credit losses and other contractually required payments that the Company does not expect to collect. The Company regularly evaluates the reasonableness of its cash flow projections associated with such loans, including its estimates of lifetime principal losses. Any decreases to the expected cash flows require the Company to evaluate the need for an additional allowance for credit losses and could lead to charge-offs of loan balances. Any significant increases in expected cash flows result in additional interest income to be recognized over the then-remaining lives of the loans. The carrying amount of loans acquired at a discount subsequent to 2008 and accounted for based on expected cash flows was $1.0 billion and $1.8 billion at December 31, 2017 and 2016, respectively. The nonaccretable balance related to remaining principal losses associated with loans acquired at a discount as of December 31, 2017 and 2016 is presented in table 11. During each of the last three years, based largely on improving economic conditions and borrower repayment performance, the Company’s estimates of cash flows expected to be generated by loans acquired at a discount and accounted for based on expected cash flows improved, resulting in increases in the accretable yield. In 2017, estimated cash flows expected to be generated by acquired loans increased by $66 million, or approximately 3%. That improvement reflected higher estimated principal, interest and other recoveries largely associated with purchased-impaired residential real estate loans acquired from Hudson City. In 2016, estimated cash flows expected to be generated by acquired loans increased by $50 million, or approximately 2%. That improvement reflected a lowering of estimated principal losses by approximately $33 million, primarily due to a $19 million decrease in expected principal losses in the commercial real estate loan portfolios, as well as interest and other recoveries. Similarly, in 2015, excluding expected cash flows on the purchased impaired loans acquired from Hudson City on November 1, 2015, estimated cash flows expected to be generated increased by $77 million, or approximately 3%. That improvement reflected a lowering of estimated principal losses by approximately $58 million, primarily due to a $42 million decrease in expected principal losses in the commercial real estate loan portfolios, as well as interest and other recoveries.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Table 11</w:t>
      </w: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NONACCRETABLE BALANCE — PRINCIPAL</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06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3"/>
          </w:tcPr>
          <w:p>
            <w:pPr>
              <w:jc w:val="center"/>
              <w:ind w:right="35"/>
              <w:spacing w:after="0"/>
              <w:rPr>
                <w:sz w:val="20"/>
                <w:szCs w:val="20"/>
                <w:color w:val="auto"/>
              </w:rPr>
            </w:pPr>
            <w:r>
              <w:rPr>
                <w:rFonts w:ascii="Arial" w:cs="Arial" w:eastAsia="Arial" w:hAnsi="Arial"/>
                <w:sz w:val="14"/>
                <w:szCs w:val="14"/>
                <w:b w:val="1"/>
                <w:bCs w:val="1"/>
                <w:color w:val="auto"/>
                <w:w w:val="89"/>
              </w:rPr>
              <w:t>Remaining balance</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406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December 31,</w:t>
            </w:r>
          </w:p>
        </w:tc>
        <w:tc>
          <w:tcPr>
            <w:tcW w:w="12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0"/>
              </w:rPr>
              <w:t>December 31, 2016</w:t>
            </w:r>
          </w:p>
        </w:tc>
        <w:tc>
          <w:tcPr>
            <w:tcW w:w="100" w:type="dxa"/>
            <w:vAlign w:val="bottom"/>
            <w:vMerge w:val="restart"/>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06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406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9"/>
              </w:rPr>
              <w:t>(In thousands)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406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Commercial, financial, leasing, etc.</w:t>
            </w:r>
          </w:p>
        </w:tc>
        <w:tc>
          <w:tcPr>
            <w:tcW w:w="45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3,586</w:t>
            </w:r>
          </w:p>
        </w:tc>
        <w:tc>
          <w:tcPr>
            <w:tcW w:w="5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60" w:type="dxa"/>
            <w:vAlign w:val="bottom"/>
          </w:tcPr>
          <w:p>
            <w:pPr>
              <w:spacing w:after="0"/>
              <w:rPr>
                <w:sz w:val="20"/>
                <w:szCs w:val="20"/>
                <w:color w:val="auto"/>
              </w:rPr>
            </w:pPr>
            <w:r>
              <w:rPr>
                <w:rFonts w:ascii="Arial" w:cs="Arial" w:eastAsia="Arial" w:hAnsi="Arial"/>
                <w:sz w:val="18"/>
                <w:szCs w:val="18"/>
                <w:color w:val="auto"/>
              </w:rPr>
              <w:t>Commercial real estate</w:t>
            </w:r>
          </w:p>
        </w:tc>
        <w:tc>
          <w:tcPr>
            <w:tcW w:w="4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28,783</w:t>
            </w:r>
          </w:p>
        </w:tc>
        <w:tc>
          <w:tcPr>
            <w:tcW w:w="5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39,867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Residential real estate</w:t>
            </w:r>
          </w:p>
        </w:tc>
        <w:tc>
          <w:tcPr>
            <w:tcW w:w="4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33,880</w:t>
            </w:r>
          </w:p>
        </w:tc>
        <w:tc>
          <w:tcPr>
            <w:tcW w:w="5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59,657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Consumer</w:t>
            </w:r>
          </w:p>
        </w:tc>
        <w:tc>
          <w:tcPr>
            <w:tcW w:w="44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7,482</w:t>
            </w:r>
          </w:p>
        </w:tc>
        <w:tc>
          <w:tcPr>
            <w:tcW w:w="520" w:type="dxa"/>
            <w:vAlign w:val="bottom"/>
            <w:tcBorders>
              <w:bottom w:val="single" w:sz="8" w:color="CFF0FC"/>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11,275</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45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73,731</w:t>
            </w:r>
          </w:p>
        </w:tc>
        <w:tc>
          <w:tcPr>
            <w:tcW w:w="5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115,593</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60" w:type="dxa"/>
            <w:vAlign w:val="bottom"/>
            <w:tcBorders>
              <w:top w:val="single" w:sz="8" w:color="CFF0FC"/>
            </w:tcBorders>
          </w:tcPr>
          <w:p>
            <w:pPr>
              <w:spacing w:after="0" w:line="20" w:lineRule="exact"/>
              <w:rPr>
                <w:sz w:val="1"/>
                <w:szCs w:val="1"/>
                <w:color w:val="auto"/>
              </w:rPr>
            </w:pPr>
          </w:p>
        </w:tc>
        <w:tc>
          <w:tcPr>
            <w:tcW w:w="4400" w:type="dxa"/>
            <w:vAlign w:val="bottom"/>
            <w:tcBorders>
              <w:top w:val="single" w:sz="8" w:color="CFF0FC"/>
              <w:bottom w:val="single" w:sz="8" w:color="CFF0FC"/>
            </w:tcBorders>
            <w:vMerge w:val="restart"/>
          </w:tcPr>
          <w:p>
            <w:pPr>
              <w:jc w:val="right"/>
              <w:ind w:right="2572"/>
              <w:spacing w:after="0"/>
              <w:rPr>
                <w:sz w:val="20"/>
                <w:szCs w:val="20"/>
                <w:color w:val="auto"/>
              </w:rPr>
            </w:pPr>
            <w:r>
              <w:rPr>
                <w:rFonts w:ascii="Arial" w:cs="Arial" w:eastAsia="Arial" w:hAnsi="Arial"/>
                <w:sz w:val="18"/>
                <w:szCs w:val="18"/>
                <w:color w:val="auto"/>
              </w:rPr>
              <w:t>68</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CFF0FC"/>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4060" w:type="dxa"/>
            <w:vAlign w:val="bottom"/>
          </w:tcPr>
          <w:p>
            <w:pPr>
              <w:spacing w:after="0"/>
              <w:rPr>
                <w:sz w:val="24"/>
                <w:szCs w:val="24"/>
                <w:color w:val="auto"/>
              </w:rPr>
            </w:pPr>
          </w:p>
        </w:tc>
        <w:tc>
          <w:tcPr>
            <w:tcW w:w="44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060" w:type="dxa"/>
            <w:vAlign w:val="bottom"/>
            <w:tcBorders>
              <w:bottom w:val="single" w:sz="8" w:color="9A9A9A"/>
            </w:tcBorders>
          </w:tcPr>
          <w:p>
            <w:pPr>
              <w:spacing w:after="0"/>
              <w:rPr>
                <w:sz w:val="9"/>
                <w:szCs w:val="9"/>
                <w:color w:val="auto"/>
              </w:rPr>
            </w:pPr>
          </w:p>
        </w:tc>
        <w:tc>
          <w:tcPr>
            <w:tcW w:w="44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376" w:right="219" w:bottom="1440" w:gutter="0" w:footer="0" w:header="0"/>
        </w:sectPr>
      </w:pPr>
    </w:p>
    <w:bookmarkStart w:id="68" w:name="page69"/>
    <w:bookmarkEnd w:id="68"/>
    <w:p>
      <w:pPr>
        <w:ind w:firstLine="598"/>
        <w:spacing w:after="0" w:line="275" w:lineRule="auto"/>
        <w:rPr>
          <w:sz w:val="20"/>
          <w:szCs w:val="20"/>
          <w:color w:val="auto"/>
        </w:rPr>
      </w:pPr>
      <w:r>
        <w:rPr>
          <w:rFonts w:ascii="Arial" w:cs="Arial" w:eastAsia="Arial" w:hAnsi="Arial"/>
          <w:sz w:val="18"/>
          <w:szCs w:val="18"/>
          <w:color w:val="auto"/>
        </w:rPr>
        <w:t>For acquired loans where the fair value exceeded the outstanding principal balance, the resulting premium is recognized as a reduction of interest income over the lives of the loans. Immediately following the acquisition date and thereafter, an allowance for credit losses is recorded for incurred losses inherent in the portfolio, consistent with the accounting for originated loans and leases. The carrying amount of Hudson City loans acquired at a premium totaled $11.5 billion and $14.2 billion at December 31, 2017 and December 31, 2016, respectively. GAAP does not allow the credit loss component of the net premium associated with those loans to be bifurcated and accounted for as a nonaccreting balance as is the case with purchased impaired loans and other loans acquired at a discount. Despite the fact that the determination of aggregate fair value reflects the impact of expected credit losses, GAAP provides that incurred losses in a portfolio of loans acquired at a premium be recognized even though in a relatively homogenous portfolio of residential mortgage loans the specific loans to which the losses relate cannot be individually identified at the acquisition date. As a result, in addition to the impact of estimated credit losses included in the determination of the fair value of loans acquired from Hudson City at a premium, the Company recorded a $21 million provision for credit losses in the fourth quarter of 2015 for incurred losses inherent in those loans at that time. Subsequent to the acquisition date, incurred losses associated with those loans are evaluated using methods consistent with those applied to originated loans and such losses are considered by management in evaluating the Company’s allowance for credit losses.</w:t>
      </w:r>
    </w:p>
    <w:p>
      <w:pPr>
        <w:spacing w:after="0" w:line="9" w:lineRule="exact"/>
        <w:rPr>
          <w:sz w:val="20"/>
          <w:szCs w:val="20"/>
          <w:color w:val="auto"/>
        </w:rPr>
      </w:pPr>
    </w:p>
    <w:p>
      <w:pPr>
        <w:ind w:right="100" w:firstLine="598"/>
        <w:spacing w:after="0" w:line="259" w:lineRule="auto"/>
        <w:rPr>
          <w:sz w:val="20"/>
          <w:szCs w:val="20"/>
          <w:color w:val="auto"/>
        </w:rPr>
      </w:pPr>
      <w:r>
        <w:rPr>
          <w:rFonts w:ascii="Arial" w:cs="Arial" w:eastAsia="Arial" w:hAnsi="Arial"/>
          <w:sz w:val="19"/>
          <w:szCs w:val="19"/>
          <w:color w:val="auto"/>
        </w:rPr>
        <w:t>Nonaccrual loans aggregated $883 million at December 31, 2017, compared with $920 million and $799 million at December 31, 2016 and 2015, respectively. As a percentage of total loans and leases outstanding, nonaccrual loans represented 1.00%, 1.01% and .91% at the end of 2017, 2016 and 2015, respectively. The lower level of nonaccrual loans at December 31, 2017 as compared with December 31, 2016 reflects the effects of borrower repayment performance and charge-offs. The increase in nonaccrual loans since the 2015 year-end reflected previously performing residential real estate loans obtained in the acquisition of Hudson City that subsequently became over 90 days past due and, as such, were not identifiable as purchased impaired as of the acquisition date. Those nonaccrual loans totaled $215 million and $190 million at December 31, 2017 and 2016, respectively. Following the acquisition accounting provisions of GAAP, Hudson City-related loans classified as nonaccrual were not significant at December 31, 2015.</w:t>
      </w:r>
    </w:p>
    <w:p>
      <w:pPr>
        <w:spacing w:after="0" w:line="6" w:lineRule="exact"/>
        <w:rPr>
          <w:sz w:val="20"/>
          <w:szCs w:val="20"/>
          <w:color w:val="auto"/>
        </w:rPr>
      </w:pPr>
    </w:p>
    <w:p>
      <w:pPr>
        <w:ind w:right="20" w:firstLine="598"/>
        <w:spacing w:after="0" w:line="262" w:lineRule="auto"/>
        <w:rPr>
          <w:sz w:val="20"/>
          <w:szCs w:val="20"/>
          <w:color w:val="auto"/>
        </w:rPr>
      </w:pPr>
      <w:r>
        <w:rPr>
          <w:rFonts w:ascii="Arial" w:cs="Arial" w:eastAsia="Arial" w:hAnsi="Arial"/>
          <w:sz w:val="19"/>
          <w:szCs w:val="19"/>
          <w:color w:val="auto"/>
        </w:rPr>
        <w:t>Accruing loans past due 90 days or more (excluding loans acquired at a discount) totaled $244 million or .28% of total loans and leases at December 31, 2017, compared with $301 million or .33% at December 31, 2016 and $317 million or .36% at December 31, 2015. Those amounts included loans guaranteed by government-related entities of $235 million, $283 million and $276 million at December 31, 2017, 2016 and 2015, respectively. Guaranteed loans included one-to-four family residential mortgage loans serviced by the Company that were repurchased to reduce associated servicing costs, including a requirement to advance principal and interest payments that had not been received from individual mortgagors. Despite the loans being purchased by the Company, the insurance or guarantee by the applicable government-related entity remains in force. The outstanding principal balances of the repurchased loans that are guaranteed by government-related entities totaled $207 million at December 31, 2017, $224 million at December 31, 2016 and $221 million at December 31, 2015. The remaining accruing loans past due 90 days or more not guaranteed by government-related entities were loans considered to be with creditworthy borrowers that were in the process of collection or renewal. A summary of nonperforming assets and certain past due, renegotiated and impaired loan data and credit quality ratios is presented in table 12.</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360"/>
          </w:cols>
          <w:pgMar w:left="240" w:top="376" w:right="299" w:bottom="1440" w:gutter="0" w:footer="0" w:header="0"/>
        </w:sectPr>
      </w:pPr>
    </w:p>
    <w:bookmarkStart w:id="69" w:name="page70"/>
    <w:bookmarkEnd w:id="69"/>
    <w:p>
      <w:pPr>
        <w:spacing w:after="0"/>
        <w:rPr>
          <w:sz w:val="20"/>
          <w:szCs w:val="20"/>
          <w:color w:val="auto"/>
        </w:rPr>
      </w:pPr>
      <w:r>
        <w:rPr>
          <w:rFonts w:ascii="Arial" w:cs="Arial" w:eastAsia="Arial" w:hAnsi="Arial"/>
          <w:sz w:val="20"/>
          <w:szCs w:val="20"/>
          <w:b w:val="1"/>
          <w:bCs w:val="1"/>
          <w:color w:val="auto"/>
        </w:rPr>
        <w:t>Table 12</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NONPERFORMING ASSET AND PAST DUE, RENEGOTIATED AND IMPAIRED LOAN DATA</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10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274"/>
              <w:spacing w:after="0"/>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ind w:right="274"/>
              <w:spacing w:after="0"/>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ind w:right="274"/>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274"/>
              <w:spacing w:after="0"/>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294"/>
              <w:spacing w:after="0"/>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780" w:type="dxa"/>
            <w:vAlign w:val="bottom"/>
            <w:tcBorders>
              <w:top w:val="single" w:sz="8" w:color="auto"/>
            </w:tcBorders>
          </w:tcPr>
          <w:p>
            <w:pPr>
              <w:spacing w:after="0"/>
              <w:rPr>
                <w:sz w:val="15"/>
                <w:szCs w:val="15"/>
                <w:color w:val="auto"/>
              </w:rPr>
            </w:pPr>
          </w:p>
        </w:tc>
        <w:tc>
          <w:tcPr>
            <w:tcW w:w="3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93"/>
              </w:rPr>
              <w:t>(Dollars in thousands)</w:t>
            </w:r>
          </w:p>
        </w:tc>
        <w:tc>
          <w:tcPr>
            <w:tcW w:w="6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6"/>
        </w:trPr>
        <w:tc>
          <w:tcPr>
            <w:tcW w:w="4100" w:type="dxa"/>
            <w:vAlign w:val="bottom"/>
            <w:gridSpan w:val="2"/>
          </w:tcPr>
          <w:p>
            <w:pPr>
              <w:spacing w:after="0"/>
              <w:rPr>
                <w:sz w:val="20"/>
                <w:szCs w:val="20"/>
                <w:color w:val="auto"/>
              </w:rPr>
            </w:pPr>
            <w:r>
              <w:rPr>
                <w:rFonts w:ascii="Arial" w:cs="Arial" w:eastAsia="Arial" w:hAnsi="Arial"/>
                <w:sz w:val="18"/>
                <w:szCs w:val="18"/>
                <w:color w:val="auto"/>
              </w:rPr>
              <w:t>Nonaccrual loans</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882,598</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920,015</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799,409</w:t>
            </w:r>
          </w:p>
        </w:tc>
        <w:tc>
          <w:tcPr>
            <w:tcW w:w="220" w:type="dxa"/>
            <w:vAlign w:val="bottom"/>
          </w:tcPr>
          <w:p>
            <w:pPr>
              <w:spacing w:after="0"/>
              <w:rPr>
                <w:sz w:val="24"/>
                <w:szCs w:val="24"/>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799,151</w:t>
            </w:r>
          </w:p>
        </w:tc>
        <w:tc>
          <w:tcPr>
            <w:tcW w:w="300" w:type="dxa"/>
            <w:vAlign w:val="bottom"/>
          </w:tcPr>
          <w:p>
            <w:pPr>
              <w:spacing w:after="0"/>
              <w:rPr>
                <w:sz w:val="24"/>
                <w:szCs w:val="24"/>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874,156</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1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Real estate and other foreclosed assets</w:t>
            </w:r>
          </w:p>
        </w:tc>
        <w:tc>
          <w:tcPr>
            <w:tcW w:w="10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111,910</w:t>
            </w:r>
          </w:p>
        </w:tc>
        <w:tc>
          <w:tcPr>
            <w:tcW w:w="3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139,206</w:t>
            </w:r>
          </w:p>
        </w:tc>
        <w:tc>
          <w:tcPr>
            <w:tcW w:w="3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195,085</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63,635</w:t>
            </w:r>
          </w:p>
        </w:tc>
        <w:tc>
          <w:tcPr>
            <w:tcW w:w="3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66,875</w:t>
            </w: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4100" w:type="dxa"/>
            <w:vAlign w:val="bottom"/>
            <w:gridSpan w:val="2"/>
          </w:tcPr>
          <w:p>
            <w:pPr>
              <w:spacing w:after="0"/>
              <w:rPr>
                <w:sz w:val="20"/>
                <w:szCs w:val="20"/>
                <w:color w:val="auto"/>
              </w:rPr>
            </w:pPr>
            <w:r>
              <w:rPr>
                <w:rFonts w:ascii="Arial" w:cs="Arial" w:eastAsia="Arial" w:hAnsi="Arial"/>
                <w:sz w:val="18"/>
                <w:szCs w:val="18"/>
                <w:color w:val="auto"/>
              </w:rPr>
              <w:t>Total nonperforming assets</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994,508</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1,059,221</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994,494</w:t>
            </w:r>
          </w:p>
        </w:tc>
        <w:tc>
          <w:tcPr>
            <w:tcW w:w="220" w:type="dxa"/>
            <w:vAlign w:val="bottom"/>
          </w:tcPr>
          <w:p>
            <w:pPr>
              <w:spacing w:after="0"/>
              <w:rPr>
                <w:sz w:val="22"/>
                <w:szCs w:val="22"/>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862,786</w:t>
            </w:r>
          </w:p>
        </w:tc>
        <w:tc>
          <w:tcPr>
            <w:tcW w:w="300" w:type="dxa"/>
            <w:vAlign w:val="bottom"/>
          </w:tcPr>
          <w:p>
            <w:pPr>
              <w:spacing w:after="0"/>
              <w:rPr>
                <w:sz w:val="22"/>
                <w:szCs w:val="22"/>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941,031</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780" w:type="dxa"/>
            <w:vAlign w:val="bottom"/>
            <w:tcBorders>
              <w:top w:val="single" w:sz="8" w:color="CFF0FC"/>
            </w:tcBorders>
            <w:shd w:val="clear" w:color="auto" w:fill="CFF0FC"/>
          </w:tcPr>
          <w:p>
            <w:pPr>
              <w:spacing w:after="0"/>
              <w:rPr>
                <w:sz w:val="17"/>
                <w:szCs w:val="17"/>
                <w:color w:val="auto"/>
              </w:rPr>
            </w:pPr>
          </w:p>
        </w:tc>
        <w:tc>
          <w:tcPr>
            <w:tcW w:w="3320" w:type="dxa"/>
            <w:vAlign w:val="bottom"/>
            <w:tcBorders>
              <w:top w:val="single" w:sz="8" w:color="CFF0FC"/>
            </w:tcBorders>
            <w:shd w:val="clear" w:color="auto" w:fill="CFF0FC"/>
          </w:tcPr>
          <w:p>
            <w:pPr>
              <w:spacing w:after="0"/>
              <w:rPr>
                <w:sz w:val="17"/>
                <w:szCs w:val="17"/>
                <w:color w:val="auto"/>
              </w:rPr>
            </w:pPr>
          </w:p>
        </w:tc>
        <w:tc>
          <w:tcPr>
            <w:tcW w:w="100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4100" w:type="dxa"/>
            <w:vAlign w:val="bottom"/>
            <w:gridSpan w:val="2"/>
          </w:tcPr>
          <w:p>
            <w:pPr>
              <w:spacing w:after="0"/>
              <w:rPr>
                <w:sz w:val="20"/>
                <w:szCs w:val="20"/>
                <w:color w:val="auto"/>
              </w:rPr>
            </w:pPr>
            <w:r>
              <w:rPr>
                <w:rFonts w:ascii="Arial" w:cs="Arial" w:eastAsia="Arial" w:hAnsi="Arial"/>
                <w:sz w:val="18"/>
                <w:szCs w:val="18"/>
                <w:color w:val="auto"/>
              </w:rPr>
              <w:t>Accruing loans past due 90 days or more(a)</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244,405</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300,659</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317,441</w:t>
            </w:r>
          </w:p>
        </w:tc>
        <w:tc>
          <w:tcPr>
            <w:tcW w:w="220" w:type="dxa"/>
            <w:vAlign w:val="bottom"/>
          </w:tcPr>
          <w:p>
            <w:pPr>
              <w:spacing w:after="0"/>
              <w:rPr>
                <w:sz w:val="22"/>
                <w:szCs w:val="22"/>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245,020</w:t>
            </w:r>
          </w:p>
        </w:tc>
        <w:tc>
          <w:tcPr>
            <w:tcW w:w="300" w:type="dxa"/>
            <w:vAlign w:val="bottom"/>
          </w:tcPr>
          <w:p>
            <w:pPr>
              <w:spacing w:after="0"/>
              <w:rPr>
                <w:sz w:val="22"/>
                <w:szCs w:val="22"/>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368,510</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4100" w:type="dxa"/>
            <w:vAlign w:val="bottom"/>
            <w:tcBorders>
              <w:top w:val="single" w:sz="8" w:color="CFF0FC"/>
            </w:tcBorders>
            <w:gridSpan w:val="2"/>
            <w:shd w:val="clear" w:color="auto" w:fill="CFF0FC"/>
          </w:tcPr>
          <w:p>
            <w:pPr>
              <w:spacing w:after="0" w:line="191" w:lineRule="exact"/>
              <w:rPr>
                <w:sz w:val="20"/>
                <w:szCs w:val="20"/>
                <w:color w:val="auto"/>
              </w:rPr>
            </w:pPr>
            <w:r>
              <w:rPr>
                <w:rFonts w:ascii="Arial" w:cs="Arial" w:eastAsia="Arial" w:hAnsi="Arial"/>
                <w:sz w:val="18"/>
                <w:szCs w:val="18"/>
                <w:color w:val="auto"/>
              </w:rPr>
              <w:t>Government guaranteed loans included</w:t>
            </w:r>
          </w:p>
        </w:tc>
        <w:tc>
          <w:tcPr>
            <w:tcW w:w="100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780" w:type="dxa"/>
            <w:vAlign w:val="bottom"/>
            <w:tcBorders>
              <w:top w:val="single" w:sz="8" w:color="auto"/>
            </w:tcBorders>
            <w:shd w:val="clear" w:color="auto" w:fill="CFF0FC"/>
          </w:tcPr>
          <w:p>
            <w:pPr>
              <w:spacing w:after="0"/>
              <w:rPr>
                <w:sz w:val="16"/>
                <w:szCs w:val="16"/>
                <w:color w:val="auto"/>
              </w:rPr>
            </w:pPr>
          </w:p>
        </w:tc>
        <w:tc>
          <w:tcPr>
            <w:tcW w:w="30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800" w:type="dxa"/>
            <w:vAlign w:val="bottom"/>
            <w:tcBorders>
              <w:top w:val="single" w:sz="8" w:color="auto"/>
            </w:tcBorders>
            <w:shd w:val="clear" w:color="auto" w:fill="CFF0FC"/>
          </w:tcPr>
          <w:p>
            <w:pPr>
              <w:spacing w:after="0"/>
              <w:rPr>
                <w:sz w:val="16"/>
                <w:szCs w:val="16"/>
                <w:color w:val="auto"/>
              </w:rPr>
            </w:pPr>
          </w:p>
        </w:tc>
        <w:tc>
          <w:tcPr>
            <w:tcW w:w="30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82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6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780" w:type="dxa"/>
            <w:vAlign w:val="bottom"/>
            <w:tcBorders>
              <w:top w:val="single" w:sz="8" w:color="auto"/>
            </w:tcBorders>
            <w:shd w:val="clear" w:color="auto" w:fill="CFF0FC"/>
          </w:tcPr>
          <w:p>
            <w:pPr>
              <w:spacing w:after="0"/>
              <w:rPr>
                <w:sz w:val="16"/>
                <w:szCs w:val="16"/>
                <w:color w:val="auto"/>
              </w:rPr>
            </w:pPr>
          </w:p>
        </w:tc>
        <w:tc>
          <w:tcPr>
            <w:tcW w:w="30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78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10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in totals above:</w:t>
            </w: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00" w:type="dxa"/>
            <w:vAlign w:val="bottom"/>
            <w:gridSpan w:val="2"/>
          </w:tcPr>
          <w:p>
            <w:pPr>
              <w:ind w:left="240"/>
              <w:spacing w:after="0"/>
              <w:rPr>
                <w:sz w:val="20"/>
                <w:szCs w:val="20"/>
                <w:color w:val="auto"/>
              </w:rPr>
            </w:pPr>
            <w:r>
              <w:rPr>
                <w:rFonts w:ascii="Arial" w:cs="Arial" w:eastAsia="Arial" w:hAnsi="Arial"/>
                <w:sz w:val="18"/>
                <w:szCs w:val="18"/>
                <w:color w:val="auto"/>
              </w:rPr>
              <w:t>Nonaccrual loans</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35,677</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40,610</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47,052</w:t>
            </w:r>
          </w:p>
        </w:tc>
        <w:tc>
          <w:tcPr>
            <w:tcW w:w="220" w:type="dxa"/>
            <w:vAlign w:val="bottom"/>
          </w:tcPr>
          <w:p>
            <w:pPr>
              <w:spacing w:after="0"/>
              <w:rPr>
                <w:sz w:val="19"/>
                <w:szCs w:val="19"/>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69,095</w:t>
            </w:r>
          </w:p>
        </w:tc>
        <w:tc>
          <w:tcPr>
            <w:tcW w:w="300" w:type="dxa"/>
            <w:vAlign w:val="bottom"/>
          </w:tcPr>
          <w:p>
            <w:pPr>
              <w:spacing w:after="0"/>
              <w:rPr>
                <w:sz w:val="19"/>
                <w:szCs w:val="19"/>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63,647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0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Accruing loans past due 90 days or more</w:t>
            </w:r>
          </w:p>
        </w:tc>
        <w:tc>
          <w:tcPr>
            <w:tcW w:w="10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235,489</w:t>
            </w:r>
          </w:p>
        </w:tc>
        <w:tc>
          <w:tcPr>
            <w:tcW w:w="3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282,659</w:t>
            </w:r>
          </w:p>
        </w:tc>
        <w:tc>
          <w:tcPr>
            <w:tcW w:w="3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276,285</w:t>
            </w:r>
          </w:p>
        </w:tc>
        <w:tc>
          <w:tcPr>
            <w:tcW w:w="22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217,822</w:t>
            </w:r>
          </w:p>
        </w:tc>
        <w:tc>
          <w:tcPr>
            <w:tcW w:w="3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297,918</w:t>
            </w:r>
          </w:p>
        </w:tc>
        <w:tc>
          <w:tcPr>
            <w:tcW w:w="1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8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1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Renegotiated loans</w:t>
            </w: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221,513</w:t>
            </w:r>
          </w:p>
        </w:tc>
        <w:tc>
          <w:tcPr>
            <w:tcW w:w="4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190,374</w:t>
            </w:r>
          </w:p>
        </w:tc>
        <w:tc>
          <w:tcPr>
            <w:tcW w:w="4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182,865</w:t>
            </w:r>
          </w:p>
        </w:tc>
        <w:tc>
          <w:tcPr>
            <w:tcW w:w="22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202,633</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257,092</w:t>
            </w: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00" w:type="dxa"/>
            <w:vAlign w:val="bottom"/>
            <w:tcBorders>
              <w:top w:val="single" w:sz="8" w:color="CFF0FC"/>
              <w:bottom w:val="single" w:sz="8" w:color="CFF0FC"/>
            </w:tcBorders>
            <w:gridSpan w:val="2"/>
            <w:vMerge w:val="restart"/>
          </w:tcPr>
          <w:p>
            <w:pPr>
              <w:spacing w:after="0"/>
              <w:rPr>
                <w:sz w:val="20"/>
                <w:szCs w:val="20"/>
                <w:color w:val="auto"/>
              </w:rPr>
            </w:pPr>
            <w:r>
              <w:rPr>
                <w:rFonts w:ascii="Arial" w:cs="Arial" w:eastAsia="Arial" w:hAnsi="Arial"/>
                <w:sz w:val="18"/>
                <w:szCs w:val="18"/>
                <w:color w:val="auto"/>
              </w:rPr>
              <w:t>Accruing loans acquired at a discount past</w:t>
            </w:r>
          </w:p>
        </w:tc>
        <w:tc>
          <w:tcPr>
            <w:tcW w:w="10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100" w:type="dxa"/>
            <w:vAlign w:val="bottom"/>
            <w:gridSpan w:val="2"/>
            <w:vMerge w:val="continue"/>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4100" w:type="dxa"/>
            <w:vAlign w:val="bottom"/>
            <w:gridSpan w:val="2"/>
          </w:tcPr>
          <w:p>
            <w:pPr>
              <w:ind w:left="140"/>
              <w:spacing w:after="0"/>
              <w:rPr>
                <w:sz w:val="20"/>
                <w:szCs w:val="20"/>
                <w:color w:val="auto"/>
              </w:rPr>
            </w:pPr>
            <w:r>
              <w:rPr>
                <w:rFonts w:ascii="Arial" w:cs="Arial" w:eastAsia="Arial" w:hAnsi="Arial"/>
                <w:sz w:val="18"/>
                <w:szCs w:val="18"/>
                <w:color w:val="auto"/>
              </w:rPr>
              <w:t>due 90 days or more(b)</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47,418</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61,144</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68,473</w:t>
            </w:r>
          </w:p>
        </w:tc>
        <w:tc>
          <w:tcPr>
            <w:tcW w:w="220" w:type="dxa"/>
            <w:vAlign w:val="bottom"/>
          </w:tcPr>
          <w:p>
            <w:pPr>
              <w:spacing w:after="0"/>
              <w:rPr>
                <w:sz w:val="22"/>
                <w:szCs w:val="22"/>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110,367</w:t>
            </w:r>
          </w:p>
        </w:tc>
        <w:tc>
          <w:tcPr>
            <w:tcW w:w="300" w:type="dxa"/>
            <w:vAlign w:val="bottom"/>
          </w:tcPr>
          <w:p>
            <w:pPr>
              <w:spacing w:after="0"/>
              <w:rPr>
                <w:sz w:val="22"/>
                <w:szCs w:val="22"/>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130,162</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4100" w:type="dxa"/>
            <w:vAlign w:val="bottom"/>
            <w:tcBorders>
              <w:top w:val="single" w:sz="8" w:color="CFF0FC"/>
            </w:tcBorders>
            <w:gridSpan w:val="2"/>
            <w:shd w:val="clear" w:color="auto" w:fill="CFF0FC"/>
          </w:tcPr>
          <w:p>
            <w:pPr>
              <w:spacing w:after="0" w:line="202" w:lineRule="exact"/>
              <w:rPr>
                <w:sz w:val="20"/>
                <w:szCs w:val="20"/>
                <w:color w:val="auto"/>
              </w:rPr>
            </w:pPr>
            <w:r>
              <w:rPr>
                <w:rFonts w:ascii="Arial" w:cs="Arial" w:eastAsia="Arial" w:hAnsi="Arial"/>
                <w:sz w:val="18"/>
                <w:szCs w:val="18"/>
                <w:color w:val="auto"/>
              </w:rPr>
              <w:t>Purchased impaired loans(c):</w:t>
            </w:r>
          </w:p>
        </w:tc>
        <w:tc>
          <w:tcPr>
            <w:tcW w:w="100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100" w:type="dxa"/>
            <w:vAlign w:val="bottom"/>
            <w:gridSpan w:val="2"/>
          </w:tcPr>
          <w:p>
            <w:pPr>
              <w:ind w:left="240"/>
              <w:spacing w:after="0"/>
              <w:rPr>
                <w:sz w:val="20"/>
                <w:szCs w:val="20"/>
                <w:color w:val="auto"/>
              </w:rPr>
            </w:pPr>
            <w:r>
              <w:rPr>
                <w:rFonts w:ascii="Arial" w:cs="Arial" w:eastAsia="Arial" w:hAnsi="Arial"/>
                <w:sz w:val="18"/>
                <w:szCs w:val="18"/>
                <w:color w:val="auto"/>
              </w:rPr>
              <w:t>Outstanding customer balance</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688,091</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927,446</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7"/>
              </w:rPr>
              <w:t>1,204,004</w:t>
            </w:r>
          </w:p>
        </w:tc>
        <w:tc>
          <w:tcPr>
            <w:tcW w:w="220" w:type="dxa"/>
            <w:vAlign w:val="bottom"/>
          </w:tcPr>
          <w:p>
            <w:pPr>
              <w:spacing w:after="0"/>
              <w:rPr>
                <w:sz w:val="19"/>
                <w:szCs w:val="19"/>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369,080</w:t>
            </w:r>
          </w:p>
        </w:tc>
        <w:tc>
          <w:tcPr>
            <w:tcW w:w="300" w:type="dxa"/>
            <w:vAlign w:val="bottom"/>
          </w:tcPr>
          <w:p>
            <w:pPr>
              <w:spacing w:after="0"/>
              <w:rPr>
                <w:sz w:val="19"/>
                <w:szCs w:val="19"/>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579,975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1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Carrying amount</w:t>
            </w: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410,015</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578,032</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768,329</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197,737</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330,792</w:t>
            </w: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20" w:type="dxa"/>
            <w:vAlign w:val="bottom"/>
          </w:tcPr>
          <w:p>
            <w:pPr>
              <w:spacing w:after="0"/>
              <w:rPr>
                <w:sz w:val="20"/>
                <w:szCs w:val="20"/>
                <w:color w:val="auto"/>
              </w:rPr>
            </w:pPr>
            <w:r>
              <w:rPr>
                <w:rFonts w:ascii="Arial" w:cs="Arial" w:eastAsia="Arial" w:hAnsi="Arial"/>
                <w:sz w:val="18"/>
                <w:szCs w:val="18"/>
                <w:color w:val="auto"/>
              </w:rPr>
              <w:t>Nonaccrual loans to total loans and leases,</w:t>
            </w:r>
          </w:p>
        </w:tc>
        <w:tc>
          <w:tcPr>
            <w:tcW w:w="2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4520" w:type="dxa"/>
            <w:vAlign w:val="bottom"/>
          </w:tcPr>
          <w:p>
            <w:pPr>
              <w:ind w:left="140"/>
              <w:spacing w:after="0"/>
              <w:rPr>
                <w:sz w:val="20"/>
                <w:szCs w:val="20"/>
                <w:color w:val="auto"/>
              </w:rPr>
            </w:pPr>
            <w:r>
              <w:rPr>
                <w:rFonts w:ascii="Arial" w:cs="Arial" w:eastAsia="Arial" w:hAnsi="Arial"/>
                <w:sz w:val="18"/>
                <w:szCs w:val="18"/>
                <w:color w:val="auto"/>
              </w:rPr>
              <w:t>net of unearned discount</w:t>
            </w:r>
          </w:p>
        </w:tc>
        <w:tc>
          <w:tcPr>
            <w:tcW w:w="2140" w:type="dxa"/>
            <w:vAlign w:val="bottom"/>
          </w:tcPr>
          <w:p>
            <w:pPr>
              <w:jc w:val="right"/>
              <w:ind w:right="332"/>
              <w:spacing w:after="0"/>
              <w:rPr>
                <w:sz w:val="20"/>
                <w:szCs w:val="20"/>
                <w:color w:val="auto"/>
              </w:rPr>
            </w:pPr>
            <w:r>
              <w:rPr>
                <w:rFonts w:ascii="Arial" w:cs="Arial" w:eastAsia="Arial" w:hAnsi="Arial"/>
                <w:sz w:val="18"/>
                <w:szCs w:val="18"/>
                <w:color w:val="auto"/>
              </w:rPr>
              <w:t>1.00%</w:t>
            </w:r>
          </w:p>
        </w:tc>
        <w:tc>
          <w:tcPr>
            <w:tcW w:w="1280" w:type="dxa"/>
            <w:vAlign w:val="bottom"/>
          </w:tcPr>
          <w:p>
            <w:pPr>
              <w:jc w:val="right"/>
              <w:ind w:right="312"/>
              <w:spacing w:after="0"/>
              <w:rPr>
                <w:sz w:val="20"/>
                <w:szCs w:val="20"/>
                <w:color w:val="auto"/>
              </w:rPr>
            </w:pPr>
            <w:r>
              <w:rPr>
                <w:rFonts w:ascii="Arial" w:cs="Arial" w:eastAsia="Arial" w:hAnsi="Arial"/>
                <w:sz w:val="18"/>
                <w:szCs w:val="18"/>
                <w:color w:val="auto"/>
              </w:rPr>
              <w:t>1.01%</w:t>
            </w:r>
          </w:p>
        </w:tc>
        <w:tc>
          <w:tcPr>
            <w:tcW w:w="1300" w:type="dxa"/>
            <w:vAlign w:val="bottom"/>
          </w:tcPr>
          <w:p>
            <w:pPr>
              <w:jc w:val="right"/>
              <w:ind w:right="332"/>
              <w:spacing w:after="0"/>
              <w:rPr>
                <w:sz w:val="20"/>
                <w:szCs w:val="20"/>
                <w:color w:val="auto"/>
              </w:rPr>
            </w:pPr>
            <w:r>
              <w:rPr>
                <w:rFonts w:ascii="Arial" w:cs="Arial" w:eastAsia="Arial" w:hAnsi="Arial"/>
                <w:sz w:val="18"/>
                <w:szCs w:val="18"/>
                <w:color w:val="auto"/>
              </w:rPr>
              <w:t>.91%</w:t>
            </w:r>
          </w:p>
        </w:tc>
        <w:tc>
          <w:tcPr>
            <w:tcW w:w="1280" w:type="dxa"/>
            <w:vAlign w:val="bottom"/>
          </w:tcPr>
          <w:p>
            <w:pPr>
              <w:jc w:val="right"/>
              <w:ind w:right="312"/>
              <w:spacing w:after="0"/>
              <w:rPr>
                <w:sz w:val="20"/>
                <w:szCs w:val="20"/>
                <w:color w:val="auto"/>
              </w:rPr>
            </w:pPr>
            <w:r>
              <w:rPr>
                <w:rFonts w:ascii="Arial" w:cs="Arial" w:eastAsia="Arial" w:hAnsi="Arial"/>
                <w:sz w:val="18"/>
                <w:szCs w:val="18"/>
                <w:color w:val="auto"/>
              </w:rPr>
              <w:t>1.20%</w:t>
            </w:r>
          </w:p>
        </w:tc>
        <w:tc>
          <w:tcPr>
            <w:tcW w:w="90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11"/>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Nonperforming assets to total net loans and</w:t>
            </w:r>
          </w:p>
        </w:tc>
        <w:tc>
          <w:tcPr>
            <w:tcW w:w="2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r>
      <w:tr>
        <w:trPr>
          <w:trHeight w:val="210"/>
        </w:trPr>
        <w:tc>
          <w:tcPr>
            <w:tcW w:w="45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leases and real estate and other foreclosed</w:t>
            </w:r>
          </w:p>
        </w:tc>
        <w:tc>
          <w:tcPr>
            <w:tcW w:w="2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r>
      <w:tr>
        <w:trPr>
          <w:trHeight w:val="223"/>
        </w:trPr>
        <w:tc>
          <w:tcPr>
            <w:tcW w:w="45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assets</w:t>
            </w:r>
          </w:p>
        </w:tc>
        <w:tc>
          <w:tcPr>
            <w:tcW w:w="2140" w:type="dxa"/>
            <w:vAlign w:val="bottom"/>
            <w:shd w:val="clear" w:color="auto" w:fill="CFF0FC"/>
          </w:tcPr>
          <w:p>
            <w:pPr>
              <w:jc w:val="right"/>
              <w:ind w:right="332"/>
              <w:spacing w:after="0"/>
              <w:rPr>
                <w:sz w:val="20"/>
                <w:szCs w:val="20"/>
                <w:color w:val="auto"/>
              </w:rPr>
            </w:pPr>
            <w:r>
              <w:rPr>
                <w:rFonts w:ascii="Arial" w:cs="Arial" w:eastAsia="Arial" w:hAnsi="Arial"/>
                <w:sz w:val="18"/>
                <w:szCs w:val="18"/>
                <w:color w:val="auto"/>
              </w:rPr>
              <w:t>1.13%</w:t>
            </w:r>
          </w:p>
        </w:tc>
        <w:tc>
          <w:tcPr>
            <w:tcW w:w="1280" w:type="dxa"/>
            <w:vAlign w:val="bottom"/>
            <w:shd w:val="clear" w:color="auto" w:fill="CFF0FC"/>
          </w:tcPr>
          <w:p>
            <w:pPr>
              <w:jc w:val="right"/>
              <w:ind w:right="312"/>
              <w:spacing w:after="0"/>
              <w:rPr>
                <w:sz w:val="20"/>
                <w:szCs w:val="20"/>
                <w:color w:val="auto"/>
              </w:rPr>
            </w:pPr>
            <w:r>
              <w:rPr>
                <w:rFonts w:ascii="Arial" w:cs="Arial" w:eastAsia="Arial" w:hAnsi="Arial"/>
                <w:sz w:val="18"/>
                <w:szCs w:val="18"/>
                <w:color w:val="auto"/>
              </w:rPr>
              <w:t>1.16%</w:t>
            </w:r>
          </w:p>
        </w:tc>
        <w:tc>
          <w:tcPr>
            <w:tcW w:w="1300" w:type="dxa"/>
            <w:vAlign w:val="bottom"/>
            <w:shd w:val="clear" w:color="auto" w:fill="CFF0FC"/>
          </w:tcPr>
          <w:p>
            <w:pPr>
              <w:jc w:val="right"/>
              <w:ind w:right="332"/>
              <w:spacing w:after="0"/>
              <w:rPr>
                <w:sz w:val="20"/>
                <w:szCs w:val="20"/>
                <w:color w:val="auto"/>
              </w:rPr>
            </w:pPr>
            <w:r>
              <w:rPr>
                <w:rFonts w:ascii="Arial" w:cs="Arial" w:eastAsia="Arial" w:hAnsi="Arial"/>
                <w:sz w:val="18"/>
                <w:szCs w:val="18"/>
                <w:color w:val="auto"/>
              </w:rPr>
              <w:t>1.13%</w:t>
            </w:r>
          </w:p>
        </w:tc>
        <w:tc>
          <w:tcPr>
            <w:tcW w:w="1280" w:type="dxa"/>
            <w:vAlign w:val="bottom"/>
            <w:shd w:val="clear" w:color="auto" w:fill="CFF0FC"/>
          </w:tcPr>
          <w:p>
            <w:pPr>
              <w:jc w:val="right"/>
              <w:ind w:right="312"/>
              <w:spacing w:after="0"/>
              <w:rPr>
                <w:sz w:val="20"/>
                <w:szCs w:val="20"/>
                <w:color w:val="auto"/>
              </w:rPr>
            </w:pPr>
            <w:r>
              <w:rPr>
                <w:rFonts w:ascii="Arial" w:cs="Arial" w:eastAsia="Arial" w:hAnsi="Arial"/>
                <w:sz w:val="18"/>
                <w:szCs w:val="18"/>
                <w:color w:val="auto"/>
              </w:rPr>
              <w:t>1.29%</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w:t>
            </w:r>
          </w:p>
        </w:tc>
      </w:tr>
      <w:tr>
        <w:trPr>
          <w:trHeight w:val="211"/>
        </w:trPr>
        <w:tc>
          <w:tcPr>
            <w:tcW w:w="4520" w:type="dxa"/>
            <w:vAlign w:val="bottom"/>
          </w:tcPr>
          <w:p>
            <w:pPr>
              <w:spacing w:after="0"/>
              <w:rPr>
                <w:sz w:val="20"/>
                <w:szCs w:val="20"/>
                <w:color w:val="auto"/>
              </w:rPr>
            </w:pPr>
            <w:r>
              <w:rPr>
                <w:rFonts w:ascii="Arial" w:cs="Arial" w:eastAsia="Arial" w:hAnsi="Arial"/>
                <w:sz w:val="18"/>
                <w:szCs w:val="18"/>
                <w:color w:val="auto"/>
              </w:rPr>
              <w:t>Accruing loans past due 90 days or more(a) to</w:t>
            </w:r>
          </w:p>
        </w:tc>
        <w:tc>
          <w:tcPr>
            <w:tcW w:w="2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0"/>
        </w:trPr>
        <w:tc>
          <w:tcPr>
            <w:tcW w:w="4520" w:type="dxa"/>
            <w:vAlign w:val="bottom"/>
          </w:tcPr>
          <w:p>
            <w:pPr>
              <w:ind w:left="140"/>
              <w:spacing w:after="0"/>
              <w:rPr>
                <w:sz w:val="20"/>
                <w:szCs w:val="20"/>
                <w:color w:val="auto"/>
              </w:rPr>
            </w:pPr>
            <w:r>
              <w:rPr>
                <w:rFonts w:ascii="Arial" w:cs="Arial" w:eastAsia="Arial" w:hAnsi="Arial"/>
                <w:sz w:val="18"/>
                <w:szCs w:val="18"/>
                <w:color w:val="auto"/>
              </w:rPr>
              <w:t>total loans and leases, net of unearned</w:t>
            </w:r>
          </w:p>
        </w:tc>
        <w:tc>
          <w:tcPr>
            <w:tcW w:w="2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4520" w:type="dxa"/>
            <w:vAlign w:val="bottom"/>
          </w:tcPr>
          <w:p>
            <w:pPr>
              <w:ind w:left="140"/>
              <w:spacing w:after="0"/>
              <w:rPr>
                <w:sz w:val="20"/>
                <w:szCs w:val="20"/>
                <w:color w:val="auto"/>
              </w:rPr>
            </w:pPr>
            <w:r>
              <w:rPr>
                <w:rFonts w:ascii="Arial" w:cs="Arial" w:eastAsia="Arial" w:hAnsi="Arial"/>
                <w:sz w:val="18"/>
                <w:szCs w:val="18"/>
                <w:color w:val="auto"/>
              </w:rPr>
              <w:t>discount</w:t>
            </w:r>
          </w:p>
        </w:tc>
        <w:tc>
          <w:tcPr>
            <w:tcW w:w="2140" w:type="dxa"/>
            <w:vAlign w:val="bottom"/>
          </w:tcPr>
          <w:p>
            <w:pPr>
              <w:jc w:val="right"/>
              <w:ind w:right="332"/>
              <w:spacing w:after="0"/>
              <w:rPr>
                <w:sz w:val="20"/>
                <w:szCs w:val="20"/>
                <w:color w:val="auto"/>
              </w:rPr>
            </w:pPr>
            <w:r>
              <w:rPr>
                <w:rFonts w:ascii="Arial" w:cs="Arial" w:eastAsia="Arial" w:hAnsi="Arial"/>
                <w:sz w:val="18"/>
                <w:szCs w:val="18"/>
                <w:color w:val="auto"/>
              </w:rPr>
              <w:t>.28%</w:t>
            </w:r>
          </w:p>
        </w:tc>
        <w:tc>
          <w:tcPr>
            <w:tcW w:w="1280" w:type="dxa"/>
            <w:vAlign w:val="bottom"/>
          </w:tcPr>
          <w:p>
            <w:pPr>
              <w:jc w:val="right"/>
              <w:ind w:right="312"/>
              <w:spacing w:after="0"/>
              <w:rPr>
                <w:sz w:val="20"/>
                <w:szCs w:val="20"/>
                <w:color w:val="auto"/>
              </w:rPr>
            </w:pPr>
            <w:r>
              <w:rPr>
                <w:rFonts w:ascii="Arial" w:cs="Arial" w:eastAsia="Arial" w:hAnsi="Arial"/>
                <w:sz w:val="18"/>
                <w:szCs w:val="18"/>
                <w:color w:val="auto"/>
              </w:rPr>
              <w:t>.33%</w:t>
            </w:r>
          </w:p>
        </w:tc>
        <w:tc>
          <w:tcPr>
            <w:tcW w:w="1300" w:type="dxa"/>
            <w:vAlign w:val="bottom"/>
          </w:tcPr>
          <w:p>
            <w:pPr>
              <w:jc w:val="right"/>
              <w:ind w:right="332"/>
              <w:spacing w:after="0"/>
              <w:rPr>
                <w:sz w:val="20"/>
                <w:szCs w:val="20"/>
                <w:color w:val="auto"/>
              </w:rPr>
            </w:pPr>
            <w:r>
              <w:rPr>
                <w:rFonts w:ascii="Arial" w:cs="Arial" w:eastAsia="Arial" w:hAnsi="Arial"/>
                <w:sz w:val="18"/>
                <w:szCs w:val="18"/>
                <w:color w:val="auto"/>
              </w:rPr>
              <w:t>.36%</w:t>
            </w:r>
          </w:p>
        </w:tc>
        <w:tc>
          <w:tcPr>
            <w:tcW w:w="1280" w:type="dxa"/>
            <w:vAlign w:val="bottom"/>
          </w:tcPr>
          <w:p>
            <w:pPr>
              <w:jc w:val="right"/>
              <w:ind w:right="312"/>
              <w:spacing w:after="0"/>
              <w:rPr>
                <w:sz w:val="20"/>
                <w:szCs w:val="20"/>
                <w:color w:val="auto"/>
              </w:rPr>
            </w:pPr>
            <w:r>
              <w:rPr>
                <w:rFonts w:ascii="Arial" w:cs="Arial" w:eastAsia="Arial" w:hAnsi="Arial"/>
                <w:sz w:val="18"/>
                <w:szCs w:val="18"/>
                <w:color w:val="auto"/>
              </w:rPr>
              <w:t>.37%</w:t>
            </w:r>
          </w:p>
        </w:tc>
        <w:tc>
          <w:tcPr>
            <w:tcW w:w="900" w:type="dxa"/>
            <w:vAlign w:val="bottom"/>
          </w:tcPr>
          <w:p>
            <w:pPr>
              <w:jc w:val="right"/>
              <w:spacing w:after="0"/>
              <w:rPr>
                <w:sz w:val="20"/>
                <w:szCs w:val="20"/>
                <w:color w:val="auto"/>
              </w:rPr>
            </w:pPr>
            <w:r>
              <w:rPr>
                <w:rFonts w:ascii="Arial" w:cs="Arial" w:eastAsia="Arial" w:hAnsi="Arial"/>
                <w:sz w:val="18"/>
                <w:szCs w:val="18"/>
                <w:color w:val="auto"/>
              </w:rPr>
              <w:t>.58%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136017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152" w:lineRule="exact"/>
        <w:rPr>
          <w:sz w:val="20"/>
          <w:szCs w:val="20"/>
          <w:color w:val="auto"/>
        </w:rPr>
      </w:pPr>
    </w:p>
    <w:p>
      <w:pPr>
        <w:ind w:left="600" w:hanging="595"/>
        <w:spacing w:after="0"/>
        <w:tabs>
          <w:tab w:leader="none" w:pos="600" w:val="left"/>
        </w:tabs>
        <w:numPr>
          <w:ilvl w:val="0"/>
          <w:numId w:val="29"/>
        </w:numPr>
        <w:rPr>
          <w:rFonts w:ascii="Arial" w:cs="Arial" w:eastAsia="Arial" w:hAnsi="Arial"/>
          <w:sz w:val="18"/>
          <w:szCs w:val="18"/>
          <w:i w:val="1"/>
          <w:iCs w:val="1"/>
          <w:color w:val="auto"/>
        </w:rPr>
      </w:pPr>
      <w:r>
        <w:rPr>
          <w:rFonts w:ascii="Arial" w:cs="Arial" w:eastAsia="Arial" w:hAnsi="Arial"/>
          <w:sz w:val="18"/>
          <w:szCs w:val="18"/>
          <w:i w:val="1"/>
          <w:iCs w:val="1"/>
          <w:color w:val="auto"/>
        </w:rPr>
        <w:t>Excludes loans acquired at a discount. Predominantly residential real estate loans.</w:t>
      </w:r>
    </w:p>
    <w:p>
      <w:pPr>
        <w:spacing w:after="0" w:line="16" w:lineRule="exact"/>
        <w:rPr>
          <w:rFonts w:ascii="Arial" w:cs="Arial" w:eastAsia="Arial" w:hAnsi="Arial"/>
          <w:sz w:val="18"/>
          <w:szCs w:val="18"/>
          <w:i w:val="1"/>
          <w:iCs w:val="1"/>
          <w:color w:val="auto"/>
        </w:rPr>
      </w:pPr>
    </w:p>
    <w:p>
      <w:pPr>
        <w:ind w:left="600" w:right="500" w:hanging="595"/>
        <w:spacing w:after="0" w:line="250" w:lineRule="auto"/>
        <w:tabs>
          <w:tab w:leader="none" w:pos="600" w:val="left"/>
        </w:tabs>
        <w:numPr>
          <w:ilvl w:val="0"/>
          <w:numId w:val="29"/>
        </w:numPr>
        <w:rPr>
          <w:rFonts w:ascii="Arial" w:cs="Arial" w:eastAsia="Arial" w:hAnsi="Arial"/>
          <w:sz w:val="18"/>
          <w:szCs w:val="18"/>
          <w:i w:val="1"/>
          <w:iCs w:val="1"/>
          <w:color w:val="auto"/>
        </w:rPr>
      </w:pPr>
      <w:r>
        <w:rPr>
          <w:rFonts w:ascii="Arial" w:cs="Arial" w:eastAsia="Arial" w:hAnsi="Arial"/>
          <w:sz w:val="18"/>
          <w:szCs w:val="18"/>
          <w:i w:val="1"/>
          <w:iCs w:val="1"/>
          <w:color w:val="auto"/>
        </w:rPr>
        <w:t>Loans acquired at a discount that were recorded at fair value at acquisition date. This category does not include purchased impaired loans that are presented separately.</w:t>
      </w:r>
    </w:p>
    <w:p>
      <w:pPr>
        <w:spacing w:after="0" w:line="1" w:lineRule="exact"/>
        <w:rPr>
          <w:rFonts w:ascii="Arial" w:cs="Arial" w:eastAsia="Arial" w:hAnsi="Arial"/>
          <w:sz w:val="18"/>
          <w:szCs w:val="18"/>
          <w:i w:val="1"/>
          <w:iCs w:val="1"/>
          <w:color w:val="auto"/>
        </w:rPr>
      </w:pPr>
    </w:p>
    <w:p>
      <w:pPr>
        <w:ind w:left="600" w:hanging="595"/>
        <w:spacing w:after="0"/>
        <w:tabs>
          <w:tab w:leader="none" w:pos="600" w:val="left"/>
        </w:tabs>
        <w:numPr>
          <w:ilvl w:val="0"/>
          <w:numId w:val="29"/>
        </w:numPr>
        <w:rPr>
          <w:rFonts w:ascii="Arial" w:cs="Arial" w:eastAsia="Arial" w:hAnsi="Arial"/>
          <w:sz w:val="18"/>
          <w:szCs w:val="18"/>
          <w:i w:val="1"/>
          <w:iCs w:val="1"/>
          <w:color w:val="auto"/>
        </w:rPr>
      </w:pPr>
      <w:r>
        <w:rPr>
          <w:rFonts w:ascii="Arial" w:cs="Arial" w:eastAsia="Arial" w:hAnsi="Arial"/>
          <w:sz w:val="18"/>
          <w:szCs w:val="18"/>
          <w:i w:val="1"/>
          <w:iCs w:val="1"/>
          <w:color w:val="auto"/>
        </w:rPr>
        <w:t>Accruing loans acquired at a discount that were impaired at acquisition date and recorded at fair value.</w:t>
      </w:r>
    </w:p>
    <w:p>
      <w:pPr>
        <w:spacing w:after="0" w:line="200" w:lineRule="exact"/>
        <w:rPr>
          <w:sz w:val="20"/>
          <w:szCs w:val="20"/>
          <w:color w:val="auto"/>
        </w:rPr>
      </w:pPr>
    </w:p>
    <w:p>
      <w:pPr>
        <w:ind w:firstLine="598"/>
        <w:spacing w:after="0" w:line="262" w:lineRule="auto"/>
        <w:rPr>
          <w:sz w:val="20"/>
          <w:szCs w:val="20"/>
          <w:color w:val="auto"/>
        </w:rPr>
      </w:pPr>
      <w:r>
        <w:rPr>
          <w:rFonts w:ascii="Arial" w:cs="Arial" w:eastAsia="Arial" w:hAnsi="Arial"/>
          <w:sz w:val="19"/>
          <w:szCs w:val="19"/>
          <w:color w:val="auto"/>
        </w:rPr>
        <w:t>Purchased impaired loans are loans obtained in acquisition transactions subsequent to 2008 that as of the acquisition date were specifically identified as displaying signs of credit deterioration and for which the Company did not expect to collect all contractually required principal and interest payments. Those loans were impaired at the date of acquisition, were recorded at estimated fair value and were generally delinquent in payments, but, in accordance with GAAP, the Company continues to accrue interest income on such loans based on the estimated expected cash flows associated with the loans. The carrying amount of such loans aggregated $410 million at December 31, 2017, or .5% of total loans. Of that amount, $378 million related to the Hudson City acquisition. Purchased impaired loans totaled $578 million at December 31, 2016, of which $512 million related to the acquisition of Hudson City.</w:t>
      </w:r>
    </w:p>
    <w:p>
      <w:pPr>
        <w:spacing w:after="0" w:line="4" w:lineRule="exact"/>
        <w:rPr>
          <w:sz w:val="20"/>
          <w:szCs w:val="20"/>
          <w:color w:val="auto"/>
        </w:rPr>
      </w:pPr>
    </w:p>
    <w:p>
      <w:pPr>
        <w:ind w:right="20" w:firstLine="598"/>
        <w:spacing w:after="0" w:line="250" w:lineRule="auto"/>
        <w:rPr>
          <w:sz w:val="20"/>
          <w:szCs w:val="20"/>
          <w:color w:val="auto"/>
        </w:rPr>
      </w:pPr>
      <w:r>
        <w:rPr>
          <w:rFonts w:ascii="Arial" w:cs="Arial" w:eastAsia="Arial" w:hAnsi="Arial"/>
          <w:sz w:val="20"/>
          <w:szCs w:val="20"/>
          <w:color w:val="auto"/>
        </w:rPr>
        <w:t>The Company modified the terms of select loans in an effort to assist borrowers. If the borrower was experiencing financial difficulty and a concession was granted, the Company considered such modifications as troubled debt restructurings. Loan modifications included such actions as the extension of loan maturity dates and the lowering of interest rates and monthly payments. The objective of the modifications was to increase loan repayments by customers and thereby reduce net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70" w:name="page71"/>
    <w:bookmarkEnd w:id="70"/>
    <w:p>
      <w:pPr>
        <w:ind w:right="120"/>
        <w:spacing w:after="0" w:line="253" w:lineRule="auto"/>
        <w:rPr>
          <w:sz w:val="20"/>
          <w:szCs w:val="20"/>
          <w:color w:val="auto"/>
        </w:rPr>
      </w:pPr>
      <w:r>
        <w:rPr>
          <w:rFonts w:ascii="Arial" w:cs="Arial" w:eastAsia="Arial" w:hAnsi="Arial"/>
          <w:sz w:val="20"/>
          <w:szCs w:val="20"/>
          <w:color w:val="auto"/>
        </w:rPr>
        <w:t>charge-offs. In accordance with GAAP, the modified loans are included in impaired loans for purposes of determining the level of the allowance for credit losses. Information about modifications of loans that are considered troubled debt restructurings is included in note 4 of Notes to Financial Statements.</w:t>
      </w:r>
    </w:p>
    <w:p>
      <w:pPr>
        <w:jc w:val="both"/>
        <w:ind w:right="180" w:firstLine="598"/>
        <w:spacing w:after="0" w:line="246" w:lineRule="auto"/>
        <w:rPr>
          <w:sz w:val="20"/>
          <w:szCs w:val="20"/>
          <w:color w:val="auto"/>
        </w:rPr>
      </w:pPr>
      <w:r>
        <w:rPr>
          <w:rFonts w:ascii="Arial" w:cs="Arial" w:eastAsia="Arial" w:hAnsi="Arial"/>
          <w:sz w:val="20"/>
          <w:szCs w:val="20"/>
          <w:color w:val="auto"/>
        </w:rPr>
        <w:t>Residential real estate loans modified under specified loss mitigation programs prescribed by government guarantors have not been included in renegotiated loans because the loan guarantee remains in full force and, accordingly, the Company has not granted a concession with respect to the ultimate collection of the original loan balance. Such loans totaled $189 million and $171 million at December 31, 2017 and December 31, 2016, respectively.</w:t>
      </w:r>
    </w:p>
    <w:p>
      <w:pPr>
        <w:spacing w:after="0" w:line="3" w:lineRule="exact"/>
        <w:rPr>
          <w:sz w:val="20"/>
          <w:szCs w:val="20"/>
          <w:color w:val="auto"/>
        </w:rPr>
      </w:pPr>
    </w:p>
    <w:p>
      <w:pPr>
        <w:ind w:firstLine="598"/>
        <w:spacing w:after="0" w:line="246" w:lineRule="auto"/>
        <w:rPr>
          <w:sz w:val="20"/>
          <w:szCs w:val="20"/>
          <w:color w:val="auto"/>
        </w:rPr>
      </w:pPr>
      <w:r>
        <w:rPr>
          <w:rFonts w:ascii="Arial" w:cs="Arial" w:eastAsia="Arial" w:hAnsi="Arial"/>
          <w:sz w:val="20"/>
          <w:szCs w:val="20"/>
          <w:color w:val="auto"/>
        </w:rPr>
        <w:t>Charge-offs of commercial loans and leases, net of recoveries, aggregated $44 million in 2017, $29 million in 2016 and $31 million in 2015. Commercial loans and leases in nonaccrual status were $241 million at December 31, 2017, $261 million at December 31, 2016 and $242 million at December 31, 2015.</w:t>
      </w:r>
    </w:p>
    <w:p>
      <w:pPr>
        <w:spacing w:after="0" w:line="2" w:lineRule="exact"/>
        <w:rPr>
          <w:sz w:val="20"/>
          <w:szCs w:val="20"/>
          <w:color w:val="auto"/>
        </w:rPr>
      </w:pPr>
    </w:p>
    <w:p>
      <w:pPr>
        <w:ind w:right="60" w:firstLine="598"/>
        <w:spacing w:after="0" w:line="246" w:lineRule="auto"/>
        <w:rPr>
          <w:sz w:val="20"/>
          <w:szCs w:val="20"/>
          <w:color w:val="auto"/>
        </w:rPr>
      </w:pPr>
      <w:r>
        <w:rPr>
          <w:rFonts w:ascii="Arial" w:cs="Arial" w:eastAsia="Arial" w:hAnsi="Arial"/>
          <w:sz w:val="20"/>
          <w:szCs w:val="20"/>
          <w:color w:val="auto"/>
        </w:rPr>
        <w:t>Net recoveries of previously charged-off commercial real estate loans during 2017 and 2016 were $5 million and $2 million, respectively, compared with net charge-offs of commercial real estate loans during 2015 of $7 million. Reflected in those amounts were net recoveries of $9 million in 2017, $4 million in 2016 and $2 million in 2015 of loans to residential real estate builders and developers. Commercial real estate loans classified as nonaccrual aggregated $202 million at December 31, 2017, compared with $211 million at December 31, 2016 and $224 million at December 31, 2015. Nonaccrual commercial real estate loans included construction-related loans of $17 million, $35 million and $45 million at the end of 2017, 2016 and 2015, respectively. Those nonaccrual construction loans included loans to residential builders and developers of $6 million at December 31, 2017, $17 million at December 31, 2016 and $28 million at December 31, 2015.</w:t>
      </w:r>
    </w:p>
    <w:p>
      <w:pPr>
        <w:spacing w:after="0" w:line="6" w:lineRule="exact"/>
        <w:rPr>
          <w:sz w:val="20"/>
          <w:szCs w:val="20"/>
          <w:color w:val="auto"/>
        </w:rPr>
      </w:pPr>
    </w:p>
    <w:p>
      <w:pPr>
        <w:ind w:right="300" w:firstLine="598"/>
        <w:spacing w:after="0" w:line="274" w:lineRule="auto"/>
        <w:rPr>
          <w:sz w:val="20"/>
          <w:szCs w:val="20"/>
          <w:color w:val="auto"/>
        </w:rPr>
      </w:pPr>
      <w:r>
        <w:rPr>
          <w:rFonts w:ascii="Arial" w:cs="Arial" w:eastAsia="Arial" w:hAnsi="Arial"/>
          <w:sz w:val="18"/>
          <w:szCs w:val="18"/>
          <w:color w:val="auto"/>
        </w:rPr>
        <w:t>Net charge-offs of residential real estate loans totaled $12 million in 2017, $18 million in 2016 and $9 million in 2015. Residential real estate loans in nonaccrual status at December 31, 2017 were $332 million, compared with $336 million and $215 million at December 31, 2016 and 2015, respectively. The higher levels of residential real estate loans classified as nonaccrual since 2015 reflect previously performing loans obtained in the acquisition of Hudson City that subsequently became more than 90 days delinquent after</w:t>
      </w:r>
    </w:p>
    <w:p>
      <w:pPr>
        <w:spacing w:after="0" w:line="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2015. Such nonaccrual residential real estate loans aggregated $215 million and $190 million at December 31, 2017 and 2016, respectively. Those loans could not be identified as purchased impaired loans at the acquisition date because the borrowers were making loan payments at the time and the loans were not recorded at a discount. Following the acquisition accounting provisions of GAAP, Hudson City-related nonaccrual residential real estate loans were not significant at December 31, 2015. Net charge-offs of limited documentation first mortgage loans aggregated $2 million in 2017, $4 million in 2016 and $1 million in 2015. Nonaccrual limited documentation first mortgage loans were $96 million at December 31, 2017 (including $65 million obtained in the acquisition of Hudson City), compared with $107 million (including $70 million obtained in the acquisition of Hudson City) and $62 million at December 31, 2016 and 2015, respectively. Residential real estate loans past due 90 days or more and accruing interest (excluding loans acquired at a discount) totaled $233 million (including $21 million obtained in the acquisition of Hudson City) at December 31, 2017, $281 million (including $49 million obtained in the acquisition of Hudson City) at December 31, 2016 and $284 million (including $44 million obtained in the acquisition of Hudson City) at December 31, 2015. A substantial portion of such amounts related to guaranteed loans repurchased from government-related entities. Information about the location of nonaccrual and charged-off residential real estate loans as of and for the year ended December 31, 2017 is presented in table 13.</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71" w:name="page72"/>
    <w:bookmarkEnd w:id="71"/>
    <w:p>
      <w:pPr>
        <w:spacing w:after="0"/>
        <w:rPr>
          <w:sz w:val="20"/>
          <w:szCs w:val="20"/>
          <w:color w:val="auto"/>
        </w:rPr>
      </w:pPr>
      <w:r>
        <w:rPr>
          <w:rFonts w:ascii="Arial" w:cs="Arial" w:eastAsia="Arial" w:hAnsi="Arial"/>
          <w:sz w:val="20"/>
          <w:szCs w:val="20"/>
          <w:b w:val="1"/>
          <w:bCs w:val="1"/>
          <w:color w:val="auto"/>
        </w:rPr>
        <w:t>Table 13</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SELECTED RESIDENTIAL REAL ESTATE-RELATED LOAN DATA</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320" w:type="dxa"/>
            <w:vAlign w:val="bottom"/>
            <w:gridSpan w:val="4"/>
          </w:tcPr>
          <w:p>
            <w:pPr>
              <w:jc w:val="center"/>
              <w:ind w:right="380"/>
              <w:spacing w:after="0"/>
              <w:rPr>
                <w:sz w:val="20"/>
                <w:szCs w:val="20"/>
                <w:color w:val="auto"/>
              </w:rPr>
            </w:pPr>
            <w:r>
              <w:rPr>
                <w:rFonts w:ascii="Arial" w:cs="Arial" w:eastAsia="Arial" w:hAnsi="Arial"/>
                <w:sz w:val="13"/>
                <w:szCs w:val="13"/>
                <w:b w:val="1"/>
                <w:bCs w:val="1"/>
                <w:color w:val="auto"/>
                <w:w w:val="92"/>
              </w:rPr>
              <w:t>Year Ended</w:t>
            </w:r>
          </w:p>
        </w:tc>
        <w:tc>
          <w:tcPr>
            <w:tcW w:w="0" w:type="dxa"/>
            <w:vAlign w:val="bottom"/>
          </w:tcPr>
          <w:p>
            <w:pPr>
              <w:spacing w:after="0"/>
              <w:rPr>
                <w:sz w:val="1"/>
                <w:szCs w:val="1"/>
                <w:color w:val="auto"/>
              </w:rPr>
            </w:pPr>
          </w:p>
        </w:tc>
      </w:tr>
      <w:tr>
        <w:trPr>
          <w:trHeight w:val="157"/>
        </w:trPr>
        <w:tc>
          <w:tcPr>
            <w:tcW w:w="50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4"/>
          </w:tcPr>
          <w:p>
            <w:pPr>
              <w:jc w:val="center"/>
              <w:ind w:left="131"/>
              <w:spacing w:after="0"/>
              <w:rPr>
                <w:sz w:val="20"/>
                <w:szCs w:val="20"/>
                <w:color w:val="auto"/>
              </w:rPr>
            </w:pPr>
            <w:r>
              <w:rPr>
                <w:rFonts w:ascii="Arial" w:cs="Arial" w:eastAsia="Arial" w:hAnsi="Arial"/>
                <w:sz w:val="13"/>
                <w:szCs w:val="13"/>
                <w:b w:val="1"/>
                <w:bCs w:val="1"/>
                <w:color w:val="auto"/>
                <w:w w:val="90"/>
              </w:rPr>
              <w:t>December 31, 2017</w:t>
            </w:r>
          </w:p>
        </w:tc>
        <w:tc>
          <w:tcPr>
            <w:tcW w:w="2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120" w:type="dxa"/>
            <w:vAlign w:val="bottom"/>
            <w:tcBorders>
              <w:bottom w:val="single" w:sz="8" w:color="auto"/>
            </w:tcBorders>
            <w:gridSpan w:val="3"/>
          </w:tcPr>
          <w:p>
            <w:pPr>
              <w:jc w:val="center"/>
              <w:ind w:right="110"/>
              <w:spacing w:after="0"/>
              <w:rPr>
                <w:sz w:val="20"/>
                <w:szCs w:val="20"/>
                <w:color w:val="auto"/>
              </w:rPr>
            </w:pPr>
            <w:r>
              <w:rPr>
                <w:rFonts w:ascii="Arial" w:cs="Arial" w:eastAsia="Arial" w:hAnsi="Arial"/>
                <w:sz w:val="13"/>
                <w:szCs w:val="13"/>
                <w:b w:val="1"/>
                <w:bCs w:val="1"/>
                <w:color w:val="auto"/>
                <w:w w:val="90"/>
              </w:rPr>
              <w:t>December 31, 2017</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5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gridSpan w:val="4"/>
          </w:tcPr>
          <w:p>
            <w:pPr>
              <w:jc w:val="right"/>
              <w:ind w:right="731"/>
              <w:spacing w:after="0"/>
              <w:rPr>
                <w:sz w:val="20"/>
                <w:szCs w:val="20"/>
                <w:color w:val="auto"/>
              </w:rPr>
            </w:pPr>
            <w:r>
              <w:rPr>
                <w:rFonts w:ascii="Arial" w:cs="Arial" w:eastAsia="Arial" w:hAnsi="Arial"/>
                <w:sz w:val="13"/>
                <w:szCs w:val="13"/>
                <w:b w:val="1"/>
                <w:bCs w:val="1"/>
                <w:color w:val="auto"/>
              </w:rPr>
              <w:t>Nonaccrual</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120" w:type="dxa"/>
            <w:vAlign w:val="bottom"/>
            <w:tcBorders>
              <w:bottom w:val="single" w:sz="8" w:color="auto"/>
            </w:tcBorders>
            <w:gridSpan w:val="3"/>
          </w:tcPr>
          <w:p>
            <w:pPr>
              <w:jc w:val="center"/>
              <w:ind w:right="110"/>
              <w:spacing w:after="0"/>
              <w:rPr>
                <w:sz w:val="20"/>
                <w:szCs w:val="20"/>
                <w:color w:val="auto"/>
              </w:rPr>
            </w:pPr>
            <w:r>
              <w:rPr>
                <w:rFonts w:ascii="Arial" w:cs="Arial" w:eastAsia="Arial" w:hAnsi="Arial"/>
                <w:sz w:val="13"/>
                <w:szCs w:val="13"/>
                <w:b w:val="1"/>
                <w:bCs w:val="1"/>
                <w:color w:val="auto"/>
                <w:w w:val="90"/>
              </w:rPr>
              <w:t>Net Charge-offs (Recoveries)</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5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1"/>
              </w:rPr>
              <w:t>Percent of</w:t>
            </w:r>
          </w:p>
        </w:tc>
        <w:tc>
          <w:tcPr>
            <w:tcW w:w="0" w:type="dxa"/>
            <w:vAlign w:val="bottom"/>
          </w:tcPr>
          <w:p>
            <w:pPr>
              <w:spacing w:after="0"/>
              <w:rPr>
                <w:sz w:val="1"/>
                <w:szCs w:val="1"/>
                <w:color w:val="auto"/>
              </w:rPr>
            </w:pPr>
          </w:p>
        </w:tc>
      </w:tr>
      <w:tr>
        <w:trPr>
          <w:trHeight w:val="158"/>
        </w:trPr>
        <w:tc>
          <w:tcPr>
            <w:tcW w:w="5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1"/>
              </w:rPr>
              <w:t>Percent of</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9"/>
              </w:rPr>
              <w:t>Average</w:t>
            </w:r>
          </w:p>
        </w:tc>
        <w:tc>
          <w:tcPr>
            <w:tcW w:w="0" w:type="dxa"/>
            <w:vAlign w:val="bottom"/>
          </w:tcPr>
          <w:p>
            <w:pPr>
              <w:spacing w:after="0"/>
              <w:rPr>
                <w:sz w:val="1"/>
                <w:szCs w:val="1"/>
                <w:color w:val="auto"/>
              </w:rPr>
            </w:pPr>
          </w:p>
        </w:tc>
      </w:tr>
      <w:tr>
        <w:trPr>
          <w:trHeight w:val="158"/>
        </w:trPr>
        <w:tc>
          <w:tcPr>
            <w:tcW w:w="5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ind w:right="70"/>
              <w:spacing w:after="0"/>
              <w:rPr>
                <w:sz w:val="20"/>
                <w:szCs w:val="20"/>
                <w:color w:val="auto"/>
              </w:rPr>
            </w:pPr>
            <w:r>
              <w:rPr>
                <w:rFonts w:ascii="Arial" w:cs="Arial" w:eastAsia="Arial" w:hAnsi="Arial"/>
                <w:sz w:val="13"/>
                <w:szCs w:val="13"/>
                <w:b w:val="1"/>
                <w:bCs w:val="1"/>
                <w:color w:val="auto"/>
                <w:w w:val="91"/>
              </w:rPr>
              <w:t>Outstanding</w:t>
            </w: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1"/>
              </w:rPr>
              <w:t>Outstanding</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1"/>
              </w:rPr>
              <w:t>Outstanding</w:t>
            </w:r>
          </w:p>
        </w:tc>
        <w:tc>
          <w:tcPr>
            <w:tcW w:w="0" w:type="dxa"/>
            <w:vAlign w:val="bottom"/>
          </w:tcPr>
          <w:p>
            <w:pPr>
              <w:spacing w:after="0"/>
              <w:rPr>
                <w:sz w:val="1"/>
                <w:szCs w:val="1"/>
                <w:color w:val="auto"/>
              </w:rPr>
            </w:pPr>
          </w:p>
        </w:tc>
      </w:tr>
      <w:tr>
        <w:trPr>
          <w:trHeight w:val="157"/>
        </w:trPr>
        <w:tc>
          <w:tcPr>
            <w:tcW w:w="5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ind w:right="170"/>
              <w:spacing w:after="0"/>
              <w:rPr>
                <w:sz w:val="20"/>
                <w:szCs w:val="20"/>
                <w:color w:val="auto"/>
              </w:rPr>
            </w:pPr>
            <w:r>
              <w:rPr>
                <w:rFonts w:ascii="Arial" w:cs="Arial" w:eastAsia="Arial" w:hAnsi="Arial"/>
                <w:sz w:val="13"/>
                <w:szCs w:val="13"/>
                <w:b w:val="1"/>
                <w:bCs w:val="1"/>
                <w:color w:val="auto"/>
              </w:rPr>
              <w:t>Balances</w:t>
            </w: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7"/>
              </w:rPr>
              <w:t>Balances</w:t>
            </w:r>
          </w:p>
        </w:tc>
        <w:tc>
          <w:tcPr>
            <w:tcW w:w="200" w:type="dxa"/>
            <w:vAlign w:val="bottom"/>
          </w:tcPr>
          <w:p>
            <w:pPr>
              <w:spacing w:after="0"/>
              <w:rPr>
                <w:sz w:val="13"/>
                <w:szCs w:val="13"/>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7"/>
              </w:rPr>
              <w:t>Balances</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3"/>
                <w:szCs w:val="13"/>
                <w:b w:val="1"/>
                <w:bCs w:val="1"/>
                <w:color w:val="auto"/>
                <w:w w:val="94"/>
              </w:rPr>
              <w:t>Balances</w:t>
            </w:r>
          </w:p>
        </w:tc>
        <w:tc>
          <w:tcPr>
            <w:tcW w:w="11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7"/>
              </w:rPr>
              <w:t>Balances</w:t>
            </w:r>
          </w:p>
        </w:tc>
        <w:tc>
          <w:tcPr>
            <w:tcW w:w="0" w:type="dxa"/>
            <w:vAlign w:val="bottom"/>
          </w:tcPr>
          <w:p>
            <w:pPr>
              <w:spacing w:after="0"/>
              <w:rPr>
                <w:sz w:val="1"/>
                <w:szCs w:val="1"/>
                <w:color w:val="auto"/>
              </w:rPr>
            </w:pPr>
          </w:p>
        </w:tc>
      </w:tr>
      <w:tr>
        <w:trPr>
          <w:trHeight w:val="163"/>
        </w:trPr>
        <w:tc>
          <w:tcPr>
            <w:tcW w:w="5040" w:type="dxa"/>
            <w:vAlign w:val="bottom"/>
            <w:vMerge w:val="restart"/>
          </w:tcPr>
          <w:p>
            <w:pPr>
              <w:spacing w:after="0"/>
              <w:rPr>
                <w:sz w:val="20"/>
                <w:szCs w:val="20"/>
                <w:color w:val="auto"/>
              </w:rPr>
            </w:pPr>
            <w:r>
              <w:rPr>
                <w:rFonts w:ascii="Arial" w:cs="Arial" w:eastAsia="Arial" w:hAnsi="Arial"/>
                <w:sz w:val="14"/>
                <w:szCs w:val="14"/>
                <w:color w:val="auto"/>
              </w:rPr>
              <w:t>Residential mortgages:</w:t>
            </w:r>
          </w:p>
        </w:tc>
        <w:tc>
          <w:tcPr>
            <w:tcW w:w="1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3"/>
                <w:szCs w:val="13"/>
                <w:b w:val="1"/>
                <w:bCs w:val="1"/>
                <w:color w:val="auto"/>
                <w:w w:val="94"/>
              </w:rPr>
              <w:t>(Dollars in thousands)</w:t>
            </w:r>
          </w:p>
        </w:tc>
        <w:tc>
          <w:tcPr>
            <w:tcW w:w="1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50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040" w:type="dxa"/>
            <w:vAlign w:val="bottom"/>
            <w:shd w:val="clear" w:color="auto" w:fill="CFF0FC"/>
          </w:tcPr>
          <w:p>
            <w:pPr>
              <w:ind w:left="240"/>
              <w:spacing w:after="0" w:line="158" w:lineRule="exact"/>
              <w:rPr>
                <w:sz w:val="20"/>
                <w:szCs w:val="20"/>
                <w:color w:val="auto"/>
              </w:rPr>
            </w:pPr>
            <w:r>
              <w:rPr>
                <w:rFonts w:ascii="Arial" w:cs="Arial" w:eastAsia="Arial" w:hAnsi="Arial"/>
                <w:sz w:val="14"/>
                <w:szCs w:val="14"/>
                <w:color w:val="auto"/>
              </w:rPr>
              <w:t>New York</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5,622,578</w:t>
            </w:r>
          </w:p>
        </w:tc>
        <w:tc>
          <w:tcPr>
            <w:tcW w:w="480" w:type="dxa"/>
            <w:vAlign w:val="bottom"/>
            <w:gridSpan w:val="2"/>
            <w:shd w:val="clear" w:color="auto" w:fill="CFF0FC"/>
          </w:tcPr>
          <w:p>
            <w:pPr>
              <w:jc w:val="right"/>
              <w:ind w:right="10"/>
              <w:spacing w:after="0" w:line="158" w:lineRule="exact"/>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73,684</w:t>
            </w:r>
          </w:p>
        </w:tc>
        <w:tc>
          <w:tcPr>
            <w:tcW w:w="140" w:type="dxa"/>
            <w:vAlign w:val="bottom"/>
            <w:shd w:val="clear" w:color="auto" w:fill="CFF0FC"/>
          </w:tcPr>
          <w:p>
            <w:pPr>
              <w:spacing w:after="0"/>
              <w:rPr>
                <w:sz w:val="13"/>
                <w:szCs w:val="13"/>
                <w:color w:val="auto"/>
              </w:rPr>
            </w:pPr>
          </w:p>
        </w:tc>
        <w:tc>
          <w:tcPr>
            <w:tcW w:w="1420" w:type="dxa"/>
            <w:vAlign w:val="bottom"/>
            <w:gridSpan w:val="3"/>
            <w:shd w:val="clear" w:color="auto" w:fill="CFF0FC"/>
          </w:tcPr>
          <w:p>
            <w:pPr>
              <w:jc w:val="right"/>
              <w:ind w:right="140"/>
              <w:spacing w:after="0" w:line="158" w:lineRule="exact"/>
              <w:rPr>
                <w:sz w:val="20"/>
                <w:szCs w:val="20"/>
                <w:color w:val="auto"/>
              </w:rPr>
            </w:pPr>
            <w:r>
              <w:rPr>
                <w:rFonts w:ascii="Arial" w:cs="Arial" w:eastAsia="Arial" w:hAnsi="Arial"/>
                <w:sz w:val="14"/>
                <w:szCs w:val="14"/>
                <w:color w:val="auto"/>
              </w:rPr>
              <w:t>1.31%</w:t>
            </w:r>
          </w:p>
        </w:tc>
        <w:tc>
          <w:tcPr>
            <w:tcW w:w="260" w:type="dxa"/>
            <w:vAlign w:val="bottom"/>
            <w:gridSpan w:val="2"/>
            <w:shd w:val="clear" w:color="auto" w:fill="CFF0FC"/>
          </w:tcPr>
          <w:p>
            <w:pPr>
              <w:jc w:val="right"/>
              <w:ind w:right="50"/>
              <w:spacing w:after="0" w:line="158" w:lineRule="exact"/>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4,606</w:t>
            </w:r>
          </w:p>
        </w:tc>
        <w:tc>
          <w:tcPr>
            <w:tcW w:w="32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80"/>
              <w:spacing w:after="0" w:line="158" w:lineRule="exact"/>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58"/>
        </w:trPr>
        <w:tc>
          <w:tcPr>
            <w:tcW w:w="5040" w:type="dxa"/>
            <w:vAlign w:val="bottom"/>
          </w:tcPr>
          <w:p>
            <w:pPr>
              <w:ind w:left="240"/>
              <w:spacing w:after="0" w:line="158" w:lineRule="exact"/>
              <w:rPr>
                <w:sz w:val="20"/>
                <w:szCs w:val="20"/>
                <w:color w:val="auto"/>
              </w:rPr>
            </w:pPr>
            <w:r>
              <w:rPr>
                <w:rFonts w:ascii="Arial" w:cs="Arial" w:eastAsia="Arial" w:hAnsi="Arial"/>
                <w:sz w:val="14"/>
                <w:szCs w:val="14"/>
                <w:color w:val="auto"/>
              </w:rPr>
              <w:t>Pennsylvania</w:t>
            </w:r>
          </w:p>
        </w:tc>
        <w:tc>
          <w:tcPr>
            <w:tcW w:w="100" w:type="dxa"/>
            <w:vAlign w:val="bottom"/>
          </w:tcPr>
          <w:p>
            <w:pPr>
              <w:spacing w:after="0"/>
              <w:rPr>
                <w:sz w:val="13"/>
                <w:szCs w:val="13"/>
                <w:color w:val="auto"/>
              </w:rPr>
            </w:pPr>
          </w:p>
        </w:tc>
        <w:tc>
          <w:tcPr>
            <w:tcW w:w="860" w:type="dxa"/>
            <w:vAlign w:val="bottom"/>
          </w:tcPr>
          <w:p>
            <w:pPr>
              <w:jc w:val="right"/>
              <w:spacing w:after="0" w:line="158" w:lineRule="exact"/>
              <w:rPr>
                <w:sz w:val="20"/>
                <w:szCs w:val="20"/>
                <w:color w:val="auto"/>
              </w:rPr>
            </w:pPr>
            <w:r>
              <w:rPr>
                <w:rFonts w:ascii="Arial" w:cs="Arial" w:eastAsia="Arial" w:hAnsi="Arial"/>
                <w:sz w:val="14"/>
                <w:szCs w:val="14"/>
                <w:color w:val="auto"/>
              </w:rPr>
              <w:t>1,396,890</w:t>
            </w: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spacing w:after="0" w:line="158" w:lineRule="exact"/>
              <w:rPr>
                <w:sz w:val="20"/>
                <w:szCs w:val="20"/>
                <w:color w:val="auto"/>
              </w:rPr>
            </w:pPr>
            <w:r>
              <w:rPr>
                <w:rFonts w:ascii="Arial" w:cs="Arial" w:eastAsia="Arial" w:hAnsi="Arial"/>
                <w:sz w:val="14"/>
                <w:szCs w:val="14"/>
                <w:color w:val="auto"/>
              </w:rPr>
              <w:t>15,681</w:t>
            </w:r>
          </w:p>
        </w:tc>
        <w:tc>
          <w:tcPr>
            <w:tcW w:w="140" w:type="dxa"/>
            <w:vAlign w:val="bottom"/>
          </w:tcPr>
          <w:p>
            <w:pPr>
              <w:spacing w:after="0"/>
              <w:rPr>
                <w:sz w:val="13"/>
                <w:szCs w:val="13"/>
                <w:color w:val="auto"/>
              </w:rPr>
            </w:pPr>
          </w:p>
        </w:tc>
        <w:tc>
          <w:tcPr>
            <w:tcW w:w="116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1.12</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right"/>
              <w:spacing w:after="0" w:line="158" w:lineRule="exact"/>
              <w:rPr>
                <w:sz w:val="20"/>
                <w:szCs w:val="20"/>
                <w:color w:val="auto"/>
              </w:rPr>
            </w:pPr>
            <w:r>
              <w:rPr>
                <w:rFonts w:ascii="Arial" w:cs="Arial" w:eastAsia="Arial" w:hAnsi="Arial"/>
                <w:sz w:val="14"/>
                <w:szCs w:val="14"/>
                <w:color w:val="auto"/>
              </w:rPr>
              <w:t>588</w:t>
            </w:r>
          </w:p>
        </w:tc>
        <w:tc>
          <w:tcPr>
            <w:tcW w:w="320" w:type="dxa"/>
            <w:vAlign w:val="bottom"/>
          </w:tcPr>
          <w:p>
            <w:pPr>
              <w:spacing w:after="0"/>
              <w:rPr>
                <w:sz w:val="13"/>
                <w:szCs w:val="13"/>
                <w:color w:val="auto"/>
              </w:rPr>
            </w:pPr>
          </w:p>
        </w:tc>
        <w:tc>
          <w:tcPr>
            <w:tcW w:w="980" w:type="dxa"/>
            <w:vAlign w:val="bottom"/>
          </w:tcPr>
          <w:p>
            <w:pPr>
              <w:jc w:val="right"/>
              <w:spacing w:after="0" w:line="158" w:lineRule="exact"/>
              <w:rPr>
                <w:sz w:val="20"/>
                <w:szCs w:val="20"/>
                <w:color w:val="auto"/>
              </w:rPr>
            </w:pPr>
            <w:r>
              <w:rPr>
                <w:rFonts w:ascii="Arial" w:cs="Arial" w:eastAsia="Arial" w:hAnsi="Arial"/>
                <w:sz w:val="14"/>
                <w:szCs w:val="14"/>
                <w:color w:val="auto"/>
              </w:rPr>
              <w:t>.04</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040" w:type="dxa"/>
            <w:vAlign w:val="bottom"/>
            <w:shd w:val="clear" w:color="auto" w:fill="CFF0FC"/>
          </w:tcPr>
          <w:p>
            <w:pPr>
              <w:ind w:left="240"/>
              <w:spacing w:after="0" w:line="158" w:lineRule="exact"/>
              <w:rPr>
                <w:sz w:val="20"/>
                <w:szCs w:val="20"/>
                <w:color w:val="auto"/>
              </w:rPr>
            </w:pPr>
            <w:r>
              <w:rPr>
                <w:rFonts w:ascii="Arial" w:cs="Arial" w:eastAsia="Arial" w:hAnsi="Arial"/>
                <w:sz w:val="14"/>
                <w:szCs w:val="14"/>
                <w:color w:val="auto"/>
              </w:rPr>
              <w:t>Maryland</w:t>
            </w:r>
          </w:p>
        </w:tc>
        <w:tc>
          <w:tcPr>
            <w:tcW w:w="10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1,134,921</w:t>
            </w:r>
          </w:p>
        </w:tc>
        <w:tc>
          <w:tcPr>
            <w:tcW w:w="3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11,414</w:t>
            </w:r>
          </w:p>
        </w:tc>
        <w:tc>
          <w:tcPr>
            <w:tcW w:w="14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spacing w:after="0" w:line="158" w:lineRule="exact"/>
              <w:rPr>
                <w:sz w:val="20"/>
                <w:szCs w:val="20"/>
                <w:color w:val="auto"/>
              </w:rPr>
            </w:pPr>
            <w:r>
              <w:rPr>
                <w:rFonts w:ascii="Arial" w:cs="Arial" w:eastAsia="Arial" w:hAnsi="Arial"/>
                <w:sz w:val="14"/>
                <w:szCs w:val="14"/>
                <w:color w:val="auto"/>
              </w:rPr>
              <w:t>1.01</w:t>
            </w: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280"/>
              <w:spacing w:after="0" w:line="158" w:lineRule="exact"/>
              <w:rPr>
                <w:sz w:val="20"/>
                <w:szCs w:val="20"/>
                <w:color w:val="auto"/>
              </w:rPr>
            </w:pPr>
            <w:r>
              <w:rPr>
                <w:rFonts w:ascii="Arial" w:cs="Arial" w:eastAsia="Arial" w:hAnsi="Arial"/>
                <w:sz w:val="14"/>
                <w:szCs w:val="14"/>
                <w:color w:val="auto"/>
              </w:rPr>
              <w:t>(505)</w:t>
            </w:r>
          </w:p>
        </w:tc>
        <w:tc>
          <w:tcPr>
            <w:tcW w:w="1180" w:type="dxa"/>
            <w:vAlign w:val="bottom"/>
            <w:gridSpan w:val="2"/>
            <w:shd w:val="clear" w:color="auto" w:fill="CFF0FC"/>
          </w:tcPr>
          <w:p>
            <w:pPr>
              <w:jc w:val="right"/>
              <w:ind w:right="140"/>
              <w:spacing w:after="0" w:line="158" w:lineRule="exact"/>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58"/>
        </w:trPr>
        <w:tc>
          <w:tcPr>
            <w:tcW w:w="5040" w:type="dxa"/>
            <w:vAlign w:val="bottom"/>
          </w:tcPr>
          <w:p>
            <w:pPr>
              <w:ind w:left="240"/>
              <w:spacing w:after="0" w:line="158" w:lineRule="exact"/>
              <w:rPr>
                <w:sz w:val="20"/>
                <w:szCs w:val="20"/>
                <w:color w:val="auto"/>
              </w:rPr>
            </w:pPr>
            <w:r>
              <w:rPr>
                <w:rFonts w:ascii="Arial" w:cs="Arial" w:eastAsia="Arial" w:hAnsi="Arial"/>
                <w:sz w:val="14"/>
                <w:szCs w:val="14"/>
                <w:color w:val="auto"/>
              </w:rPr>
              <w:t>New Jersey</w:t>
            </w:r>
          </w:p>
        </w:tc>
        <w:tc>
          <w:tcPr>
            <w:tcW w:w="100" w:type="dxa"/>
            <w:vAlign w:val="bottom"/>
          </w:tcPr>
          <w:p>
            <w:pPr>
              <w:spacing w:after="0"/>
              <w:rPr>
                <w:sz w:val="13"/>
                <w:szCs w:val="13"/>
                <w:color w:val="auto"/>
              </w:rPr>
            </w:pPr>
          </w:p>
        </w:tc>
        <w:tc>
          <w:tcPr>
            <w:tcW w:w="860" w:type="dxa"/>
            <w:vAlign w:val="bottom"/>
          </w:tcPr>
          <w:p>
            <w:pPr>
              <w:jc w:val="right"/>
              <w:spacing w:after="0" w:line="158" w:lineRule="exact"/>
              <w:rPr>
                <w:sz w:val="20"/>
                <w:szCs w:val="20"/>
                <w:color w:val="auto"/>
              </w:rPr>
            </w:pPr>
            <w:r>
              <w:rPr>
                <w:rFonts w:ascii="Arial" w:cs="Arial" w:eastAsia="Arial" w:hAnsi="Arial"/>
                <w:sz w:val="14"/>
                <w:szCs w:val="14"/>
                <w:color w:val="auto"/>
              </w:rPr>
              <w:t>4,250,083</w:t>
            </w: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spacing w:after="0" w:line="158" w:lineRule="exact"/>
              <w:rPr>
                <w:sz w:val="20"/>
                <w:szCs w:val="20"/>
                <w:color w:val="auto"/>
              </w:rPr>
            </w:pPr>
            <w:r>
              <w:rPr>
                <w:rFonts w:ascii="Arial" w:cs="Arial" w:eastAsia="Arial" w:hAnsi="Arial"/>
                <w:sz w:val="14"/>
                <w:szCs w:val="14"/>
                <w:color w:val="auto"/>
              </w:rPr>
              <w:t>61,159</w:t>
            </w:r>
          </w:p>
        </w:tc>
        <w:tc>
          <w:tcPr>
            <w:tcW w:w="140" w:type="dxa"/>
            <w:vAlign w:val="bottom"/>
          </w:tcPr>
          <w:p>
            <w:pPr>
              <w:spacing w:after="0"/>
              <w:rPr>
                <w:sz w:val="13"/>
                <w:szCs w:val="13"/>
                <w:color w:val="auto"/>
              </w:rPr>
            </w:pPr>
          </w:p>
        </w:tc>
        <w:tc>
          <w:tcPr>
            <w:tcW w:w="116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1.44</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right"/>
              <w:spacing w:after="0" w:line="158" w:lineRule="exact"/>
              <w:rPr>
                <w:sz w:val="20"/>
                <w:szCs w:val="20"/>
                <w:color w:val="auto"/>
              </w:rPr>
            </w:pPr>
            <w:r>
              <w:rPr>
                <w:rFonts w:ascii="Arial" w:cs="Arial" w:eastAsia="Arial" w:hAnsi="Arial"/>
                <w:sz w:val="14"/>
                <w:szCs w:val="14"/>
                <w:color w:val="auto"/>
              </w:rPr>
              <w:t>2,887</w:t>
            </w:r>
          </w:p>
        </w:tc>
        <w:tc>
          <w:tcPr>
            <w:tcW w:w="320" w:type="dxa"/>
            <w:vAlign w:val="bottom"/>
          </w:tcPr>
          <w:p>
            <w:pPr>
              <w:spacing w:after="0"/>
              <w:rPr>
                <w:sz w:val="13"/>
                <w:szCs w:val="13"/>
                <w:color w:val="auto"/>
              </w:rPr>
            </w:pPr>
          </w:p>
        </w:tc>
        <w:tc>
          <w:tcPr>
            <w:tcW w:w="980" w:type="dxa"/>
            <w:vAlign w:val="bottom"/>
          </w:tcPr>
          <w:p>
            <w:pPr>
              <w:jc w:val="right"/>
              <w:spacing w:after="0" w:line="158" w:lineRule="exact"/>
              <w:rPr>
                <w:sz w:val="20"/>
                <w:szCs w:val="20"/>
                <w:color w:val="auto"/>
              </w:rPr>
            </w:pPr>
            <w:r>
              <w:rPr>
                <w:rFonts w:ascii="Arial" w:cs="Arial" w:eastAsia="Arial" w:hAnsi="Arial"/>
                <w:sz w:val="14"/>
                <w:szCs w:val="14"/>
                <w:color w:val="auto"/>
              </w:rPr>
              <w:t>.06</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040" w:type="dxa"/>
            <w:vAlign w:val="bottom"/>
            <w:shd w:val="clear" w:color="auto" w:fill="CFF0FC"/>
          </w:tcPr>
          <w:p>
            <w:pPr>
              <w:ind w:left="240"/>
              <w:spacing w:after="0" w:line="158" w:lineRule="exact"/>
              <w:rPr>
                <w:sz w:val="20"/>
                <w:szCs w:val="20"/>
                <w:color w:val="auto"/>
              </w:rPr>
            </w:pPr>
            <w:r>
              <w:rPr>
                <w:rFonts w:ascii="Arial" w:cs="Arial" w:eastAsia="Arial" w:hAnsi="Arial"/>
                <w:sz w:val="14"/>
                <w:szCs w:val="14"/>
                <w:color w:val="auto"/>
              </w:rPr>
              <w:t>Other Mid-Atlantic (a)</w:t>
            </w:r>
          </w:p>
        </w:tc>
        <w:tc>
          <w:tcPr>
            <w:tcW w:w="10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1,011,467</w:t>
            </w:r>
          </w:p>
        </w:tc>
        <w:tc>
          <w:tcPr>
            <w:tcW w:w="3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9,301</w:t>
            </w:r>
          </w:p>
        </w:tc>
        <w:tc>
          <w:tcPr>
            <w:tcW w:w="14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spacing w:after="0" w:line="158" w:lineRule="exact"/>
              <w:rPr>
                <w:sz w:val="20"/>
                <w:szCs w:val="20"/>
                <w:color w:val="auto"/>
              </w:rPr>
            </w:pPr>
            <w:r>
              <w:rPr>
                <w:rFonts w:ascii="Arial" w:cs="Arial" w:eastAsia="Arial" w:hAnsi="Arial"/>
                <w:sz w:val="14"/>
                <w:szCs w:val="14"/>
                <w:color w:val="auto"/>
              </w:rPr>
              <w:t>.92</w:t>
            </w: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227</w:t>
            </w:r>
          </w:p>
        </w:tc>
        <w:tc>
          <w:tcPr>
            <w:tcW w:w="32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.02</w:t>
            </w:r>
          </w:p>
        </w:tc>
        <w:tc>
          <w:tcPr>
            <w:tcW w:w="2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040" w:type="dxa"/>
            <w:vAlign w:val="bottom"/>
            <w:tcBorders>
              <w:bottom w:val="single" w:sz="8" w:color="CFF0FC"/>
            </w:tcBorders>
          </w:tcPr>
          <w:p>
            <w:pPr>
              <w:ind w:left="240"/>
              <w:spacing w:after="0" w:line="158" w:lineRule="exact"/>
              <w:rPr>
                <w:sz w:val="20"/>
                <w:szCs w:val="20"/>
                <w:color w:val="auto"/>
              </w:rPr>
            </w:pPr>
            <w:r>
              <w:rPr>
                <w:rFonts w:ascii="Arial" w:cs="Arial" w:eastAsia="Arial" w:hAnsi="Arial"/>
                <w:sz w:val="14"/>
                <w:szCs w:val="14"/>
                <w:color w:val="auto"/>
              </w:rPr>
              <w:t>Other</w:t>
            </w: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3,172,459</w:t>
            </w:r>
          </w:p>
        </w:tc>
        <w:tc>
          <w:tcPr>
            <w:tcW w:w="32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64,180</w:t>
            </w:r>
          </w:p>
        </w:tc>
        <w:tc>
          <w:tcPr>
            <w:tcW w:w="14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2.02</w:t>
            </w:r>
          </w:p>
        </w:tc>
        <w:tc>
          <w:tcPr>
            <w:tcW w:w="2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2,288</w:t>
            </w:r>
          </w:p>
        </w:tc>
        <w:tc>
          <w:tcPr>
            <w:tcW w:w="32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.07</w:t>
            </w:r>
          </w:p>
        </w:tc>
        <w:tc>
          <w:tcPr>
            <w:tcW w:w="2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5040" w:type="dxa"/>
            <w:vAlign w:val="bottom"/>
            <w:shd w:val="clear" w:color="auto" w:fill="CFF0FC"/>
          </w:tcPr>
          <w:p>
            <w:pPr>
              <w:ind w:left="240"/>
              <w:spacing w:after="0" w:line="151" w:lineRule="exact"/>
              <w:rPr>
                <w:sz w:val="20"/>
                <w:szCs w:val="20"/>
                <w:color w:val="auto"/>
              </w:rPr>
            </w:pPr>
            <w:r>
              <w:rPr>
                <w:rFonts w:ascii="Arial" w:cs="Arial" w:eastAsia="Arial" w:hAnsi="Arial"/>
                <w:sz w:val="14"/>
                <w:szCs w:val="14"/>
                <w:color w:val="auto"/>
              </w:rPr>
              <w:t>Total</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rPr>
              <w:t>16,588,398</w:t>
            </w:r>
          </w:p>
        </w:tc>
        <w:tc>
          <w:tcPr>
            <w:tcW w:w="32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10"/>
              <w:spacing w:after="0" w:line="151"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rPr>
              <w:t>235,419</w:t>
            </w:r>
          </w:p>
        </w:tc>
        <w:tc>
          <w:tcPr>
            <w:tcW w:w="1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140"/>
              <w:spacing w:after="0" w:line="151" w:lineRule="exact"/>
              <w:rPr>
                <w:sz w:val="20"/>
                <w:szCs w:val="20"/>
                <w:color w:val="auto"/>
              </w:rPr>
            </w:pPr>
            <w:r>
              <w:rPr>
                <w:rFonts w:ascii="Arial" w:cs="Arial" w:eastAsia="Arial" w:hAnsi="Arial"/>
                <w:sz w:val="14"/>
                <w:szCs w:val="14"/>
                <w:color w:val="auto"/>
              </w:rPr>
              <w:t>1.42%</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50"/>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rPr>
              <w:t>10,091</w:t>
            </w:r>
          </w:p>
        </w:tc>
        <w:tc>
          <w:tcPr>
            <w:tcW w:w="32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80"/>
              <w:spacing w:after="0" w:line="151" w:lineRule="exact"/>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20"/>
        </w:trPr>
        <w:tc>
          <w:tcPr>
            <w:tcW w:w="50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4"/>
                <w:szCs w:val="14"/>
                <w:color w:val="auto"/>
              </w:rPr>
              <w:t>Residential construction loans: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50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5040" w:type="dxa"/>
            <w:vAlign w:val="bottom"/>
            <w:shd w:val="clear" w:color="auto" w:fill="CFF0FC"/>
          </w:tcPr>
          <w:p>
            <w:pPr>
              <w:ind w:left="240"/>
              <w:spacing w:after="0" w:line="158" w:lineRule="exact"/>
              <w:rPr>
                <w:sz w:val="20"/>
                <w:szCs w:val="20"/>
                <w:color w:val="auto"/>
              </w:rPr>
            </w:pPr>
            <w:r>
              <w:rPr>
                <w:rFonts w:ascii="Arial" w:cs="Arial" w:eastAsia="Arial" w:hAnsi="Arial"/>
                <w:sz w:val="14"/>
                <w:szCs w:val="14"/>
                <w:color w:val="auto"/>
              </w:rPr>
              <w:t>New York</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6,254</w:t>
            </w:r>
          </w:p>
        </w:tc>
        <w:tc>
          <w:tcPr>
            <w:tcW w:w="480" w:type="dxa"/>
            <w:vAlign w:val="bottom"/>
            <w:gridSpan w:val="2"/>
            <w:shd w:val="clear" w:color="auto" w:fill="CFF0FC"/>
          </w:tcPr>
          <w:p>
            <w:pPr>
              <w:jc w:val="right"/>
              <w:ind w:right="10"/>
              <w:spacing w:after="0" w:line="158"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FF0FC"/>
          </w:tcPr>
          <w:p>
            <w:pPr>
              <w:jc w:val="right"/>
              <w:ind w:right="140"/>
              <w:spacing w:after="0" w:line="158" w:lineRule="exact"/>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140"/>
              <w:spacing w:after="0" w:line="158"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FF0FC"/>
          </w:tcPr>
          <w:p>
            <w:pPr>
              <w:jc w:val="right"/>
              <w:ind w:right="50"/>
              <w:spacing w:after="0" w:line="158"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FF0FC"/>
          </w:tcPr>
          <w:p>
            <w:pPr>
              <w:jc w:val="right"/>
              <w:ind w:right="280"/>
              <w:spacing w:after="0" w:line="158" w:lineRule="exact"/>
              <w:rPr>
                <w:sz w:val="20"/>
                <w:szCs w:val="20"/>
                <w:color w:val="auto"/>
              </w:rPr>
            </w:pPr>
            <w:r>
              <w:rPr>
                <w:rFonts w:ascii="Arial" w:cs="Arial" w:eastAsia="Arial" w:hAnsi="Arial"/>
                <w:sz w:val="14"/>
                <w:szCs w:val="14"/>
                <w:color w:val="auto"/>
              </w:rPr>
              <w:t>(48)</w:t>
            </w:r>
          </w:p>
        </w:tc>
        <w:tc>
          <w:tcPr>
            <w:tcW w:w="1180" w:type="dxa"/>
            <w:vAlign w:val="bottom"/>
            <w:gridSpan w:val="2"/>
            <w:shd w:val="clear" w:color="auto" w:fill="CFF0FC"/>
          </w:tcPr>
          <w:p>
            <w:pPr>
              <w:jc w:val="right"/>
              <w:ind w:right="40"/>
              <w:spacing w:after="0" w:line="158" w:lineRule="exact"/>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158"/>
        </w:trPr>
        <w:tc>
          <w:tcPr>
            <w:tcW w:w="5040" w:type="dxa"/>
            <w:vAlign w:val="bottom"/>
          </w:tcPr>
          <w:p>
            <w:pPr>
              <w:ind w:left="240"/>
              <w:spacing w:after="0" w:line="158" w:lineRule="exact"/>
              <w:rPr>
                <w:sz w:val="20"/>
                <w:szCs w:val="20"/>
                <w:color w:val="auto"/>
              </w:rPr>
            </w:pPr>
            <w:r>
              <w:rPr>
                <w:rFonts w:ascii="Arial" w:cs="Arial" w:eastAsia="Arial" w:hAnsi="Arial"/>
                <w:sz w:val="14"/>
                <w:szCs w:val="14"/>
                <w:color w:val="auto"/>
              </w:rPr>
              <w:t>Pennsylvania</w:t>
            </w:r>
          </w:p>
        </w:tc>
        <w:tc>
          <w:tcPr>
            <w:tcW w:w="100" w:type="dxa"/>
            <w:vAlign w:val="bottom"/>
          </w:tcPr>
          <w:p>
            <w:pPr>
              <w:spacing w:after="0"/>
              <w:rPr>
                <w:sz w:val="13"/>
                <w:szCs w:val="13"/>
                <w:color w:val="auto"/>
              </w:rPr>
            </w:pPr>
          </w:p>
        </w:tc>
        <w:tc>
          <w:tcPr>
            <w:tcW w:w="860" w:type="dxa"/>
            <w:vAlign w:val="bottom"/>
          </w:tcPr>
          <w:p>
            <w:pPr>
              <w:jc w:val="right"/>
              <w:spacing w:after="0" w:line="158" w:lineRule="exact"/>
              <w:rPr>
                <w:sz w:val="20"/>
                <w:szCs w:val="20"/>
                <w:color w:val="auto"/>
              </w:rPr>
            </w:pPr>
            <w:r>
              <w:rPr>
                <w:rFonts w:ascii="Arial" w:cs="Arial" w:eastAsia="Arial" w:hAnsi="Arial"/>
                <w:sz w:val="14"/>
                <w:szCs w:val="14"/>
                <w:color w:val="auto"/>
              </w:rPr>
              <w:t>2,689</w:t>
            </w: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spacing w:after="0" w:line="158" w:lineRule="exact"/>
              <w:rPr>
                <w:sz w:val="20"/>
                <w:szCs w:val="20"/>
                <w:color w:val="auto"/>
              </w:rPr>
            </w:pPr>
            <w:r>
              <w:rPr>
                <w:rFonts w:ascii="Arial" w:cs="Arial" w:eastAsia="Arial" w:hAnsi="Arial"/>
                <w:sz w:val="14"/>
                <w:szCs w:val="14"/>
                <w:color w:val="auto"/>
              </w:rPr>
              <w:t>344</w:t>
            </w:r>
          </w:p>
        </w:tc>
        <w:tc>
          <w:tcPr>
            <w:tcW w:w="140" w:type="dxa"/>
            <w:vAlign w:val="bottom"/>
          </w:tcPr>
          <w:p>
            <w:pPr>
              <w:spacing w:after="0"/>
              <w:rPr>
                <w:sz w:val="13"/>
                <w:szCs w:val="13"/>
                <w:color w:val="auto"/>
              </w:rPr>
            </w:pPr>
          </w:p>
        </w:tc>
        <w:tc>
          <w:tcPr>
            <w:tcW w:w="116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12.77</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right"/>
              <w:ind w:right="280"/>
              <w:spacing w:after="0" w:line="158" w:lineRule="exact"/>
              <w:rPr>
                <w:sz w:val="20"/>
                <w:szCs w:val="20"/>
                <w:color w:val="auto"/>
              </w:rPr>
            </w:pPr>
            <w:r>
              <w:rPr>
                <w:rFonts w:ascii="Arial" w:cs="Arial" w:eastAsia="Arial" w:hAnsi="Arial"/>
                <w:sz w:val="14"/>
                <w:szCs w:val="14"/>
                <w:color w:val="auto"/>
              </w:rPr>
              <w:t>(62)</w:t>
            </w:r>
          </w:p>
        </w:tc>
        <w:tc>
          <w:tcPr>
            <w:tcW w:w="118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(3.19)</w:t>
            </w:r>
          </w:p>
        </w:tc>
        <w:tc>
          <w:tcPr>
            <w:tcW w:w="0" w:type="dxa"/>
            <w:vAlign w:val="bottom"/>
          </w:tcPr>
          <w:p>
            <w:pPr>
              <w:spacing w:after="0"/>
              <w:rPr>
                <w:sz w:val="1"/>
                <w:szCs w:val="1"/>
                <w:color w:val="auto"/>
              </w:rPr>
            </w:pPr>
          </w:p>
        </w:tc>
      </w:tr>
      <w:tr>
        <w:trPr>
          <w:trHeight w:val="158"/>
        </w:trPr>
        <w:tc>
          <w:tcPr>
            <w:tcW w:w="5040" w:type="dxa"/>
            <w:vAlign w:val="bottom"/>
            <w:shd w:val="clear" w:color="auto" w:fill="CFF0FC"/>
          </w:tcPr>
          <w:p>
            <w:pPr>
              <w:ind w:left="240"/>
              <w:spacing w:after="0" w:line="158" w:lineRule="exact"/>
              <w:rPr>
                <w:sz w:val="20"/>
                <w:szCs w:val="20"/>
                <w:color w:val="auto"/>
              </w:rPr>
            </w:pPr>
            <w:r>
              <w:rPr>
                <w:rFonts w:ascii="Arial" w:cs="Arial" w:eastAsia="Arial" w:hAnsi="Arial"/>
                <w:sz w:val="14"/>
                <w:szCs w:val="14"/>
                <w:color w:val="auto"/>
              </w:rPr>
              <w:t>Maryland</w:t>
            </w:r>
          </w:p>
        </w:tc>
        <w:tc>
          <w:tcPr>
            <w:tcW w:w="10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1,611</w:t>
            </w:r>
          </w:p>
        </w:tc>
        <w:tc>
          <w:tcPr>
            <w:tcW w:w="3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140"/>
              <w:spacing w:after="0" w:line="158" w:lineRule="exact"/>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260"/>
              <w:spacing w:after="0" w:line="158"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340"/>
              <w:spacing w:after="0" w:line="158"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FF0FC"/>
          </w:tcPr>
          <w:p>
            <w:pPr>
              <w:jc w:val="right"/>
              <w:ind w:right="200"/>
              <w:spacing w:after="0" w:line="15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8"/>
        </w:trPr>
        <w:tc>
          <w:tcPr>
            <w:tcW w:w="5040" w:type="dxa"/>
            <w:vAlign w:val="bottom"/>
          </w:tcPr>
          <w:p>
            <w:pPr>
              <w:ind w:left="240"/>
              <w:spacing w:after="0" w:line="158" w:lineRule="exact"/>
              <w:rPr>
                <w:sz w:val="20"/>
                <w:szCs w:val="20"/>
                <w:color w:val="auto"/>
              </w:rPr>
            </w:pPr>
            <w:r>
              <w:rPr>
                <w:rFonts w:ascii="Arial" w:cs="Arial" w:eastAsia="Arial" w:hAnsi="Arial"/>
                <w:sz w:val="14"/>
                <w:szCs w:val="14"/>
                <w:color w:val="auto"/>
              </w:rPr>
              <w:t>New Jersey</w:t>
            </w:r>
          </w:p>
        </w:tc>
        <w:tc>
          <w:tcPr>
            <w:tcW w:w="100" w:type="dxa"/>
            <w:vAlign w:val="bottom"/>
          </w:tcPr>
          <w:p>
            <w:pPr>
              <w:spacing w:after="0"/>
              <w:rPr>
                <w:sz w:val="13"/>
                <w:szCs w:val="13"/>
                <w:color w:val="auto"/>
              </w:rPr>
            </w:pPr>
          </w:p>
        </w:tc>
        <w:tc>
          <w:tcPr>
            <w:tcW w:w="860" w:type="dxa"/>
            <w:vAlign w:val="bottom"/>
          </w:tcPr>
          <w:p>
            <w:pPr>
              <w:jc w:val="right"/>
              <w:spacing w:after="0" w:line="158" w:lineRule="exact"/>
              <w:rPr>
                <w:sz w:val="20"/>
                <w:szCs w:val="20"/>
                <w:color w:val="auto"/>
              </w:rPr>
            </w:pPr>
            <w:r>
              <w:rPr>
                <w:rFonts w:ascii="Arial" w:cs="Arial" w:eastAsia="Arial" w:hAnsi="Arial"/>
                <w:sz w:val="14"/>
                <w:szCs w:val="14"/>
                <w:color w:val="auto"/>
              </w:rPr>
              <w:t>1,491</w:t>
            </w: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220" w:type="dxa"/>
            <w:vAlign w:val="bottom"/>
            <w:gridSpan w:val="2"/>
          </w:tcPr>
          <w:p>
            <w:pPr>
              <w:jc w:val="right"/>
              <w:ind w:right="260"/>
              <w:spacing w:after="0" w:line="15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right"/>
              <w:ind w:right="340"/>
              <w:spacing w:after="0" w:line="158"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00"/>
              <w:spacing w:after="0" w:line="15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8"/>
        </w:trPr>
        <w:tc>
          <w:tcPr>
            <w:tcW w:w="5040" w:type="dxa"/>
            <w:vAlign w:val="bottom"/>
            <w:shd w:val="clear" w:color="auto" w:fill="CFF0FC"/>
          </w:tcPr>
          <w:p>
            <w:pPr>
              <w:ind w:left="240"/>
              <w:spacing w:after="0" w:line="158" w:lineRule="exact"/>
              <w:rPr>
                <w:sz w:val="20"/>
                <w:szCs w:val="20"/>
                <w:color w:val="auto"/>
              </w:rPr>
            </w:pPr>
            <w:r>
              <w:rPr>
                <w:rFonts w:ascii="Arial" w:cs="Arial" w:eastAsia="Arial" w:hAnsi="Arial"/>
                <w:sz w:val="14"/>
                <w:szCs w:val="14"/>
                <w:color w:val="auto"/>
              </w:rPr>
              <w:t>Other Mid-Atlantic (a)</w:t>
            </w:r>
          </w:p>
        </w:tc>
        <w:tc>
          <w:tcPr>
            <w:tcW w:w="10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4,018</w:t>
            </w:r>
          </w:p>
        </w:tc>
        <w:tc>
          <w:tcPr>
            <w:tcW w:w="3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140"/>
              <w:spacing w:after="0" w:line="158" w:lineRule="exact"/>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260"/>
              <w:spacing w:after="0" w:line="158"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340"/>
              <w:spacing w:after="0" w:line="158"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FF0FC"/>
          </w:tcPr>
          <w:p>
            <w:pPr>
              <w:jc w:val="right"/>
              <w:ind w:right="200"/>
              <w:spacing w:after="0" w:line="15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8"/>
        </w:trPr>
        <w:tc>
          <w:tcPr>
            <w:tcW w:w="5040" w:type="dxa"/>
            <w:vAlign w:val="bottom"/>
          </w:tcPr>
          <w:p>
            <w:pPr>
              <w:ind w:left="240"/>
              <w:spacing w:after="0" w:line="158" w:lineRule="exact"/>
              <w:rPr>
                <w:sz w:val="20"/>
                <w:szCs w:val="20"/>
                <w:color w:val="auto"/>
              </w:rPr>
            </w:pPr>
            <w:r>
              <w:rPr>
                <w:rFonts w:ascii="Arial" w:cs="Arial" w:eastAsia="Arial" w:hAnsi="Arial"/>
                <w:sz w:val="14"/>
                <w:szCs w:val="14"/>
                <w:color w:val="auto"/>
              </w:rPr>
              <w:t>Other</w:t>
            </w:r>
          </w:p>
        </w:tc>
        <w:tc>
          <w:tcPr>
            <w:tcW w:w="100" w:type="dxa"/>
            <w:vAlign w:val="bottom"/>
          </w:tcPr>
          <w:p>
            <w:pPr>
              <w:spacing w:after="0"/>
              <w:rPr>
                <w:sz w:val="13"/>
                <w:szCs w:val="13"/>
                <w:color w:val="auto"/>
              </w:rPr>
            </w:pPr>
          </w:p>
        </w:tc>
        <w:tc>
          <w:tcPr>
            <w:tcW w:w="860" w:type="dxa"/>
            <w:vAlign w:val="bottom"/>
          </w:tcPr>
          <w:p>
            <w:pPr>
              <w:jc w:val="right"/>
              <w:spacing w:after="0" w:line="158" w:lineRule="exact"/>
              <w:rPr>
                <w:sz w:val="20"/>
                <w:szCs w:val="20"/>
                <w:color w:val="auto"/>
              </w:rPr>
            </w:pPr>
            <w:r>
              <w:rPr>
                <w:rFonts w:ascii="Arial" w:cs="Arial" w:eastAsia="Arial" w:hAnsi="Arial"/>
                <w:sz w:val="14"/>
                <w:szCs w:val="14"/>
                <w:color w:val="auto"/>
              </w:rPr>
              <w:t>5,625</w:t>
            </w: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spacing w:after="0" w:line="158" w:lineRule="exact"/>
              <w:rPr>
                <w:sz w:val="20"/>
                <w:szCs w:val="20"/>
                <w:color w:val="auto"/>
              </w:rPr>
            </w:pPr>
            <w:r>
              <w:rPr>
                <w:rFonts w:ascii="Arial" w:cs="Arial" w:eastAsia="Arial" w:hAnsi="Arial"/>
                <w:sz w:val="14"/>
                <w:szCs w:val="14"/>
                <w:color w:val="auto"/>
              </w:rPr>
              <w:t>71</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jc w:val="right"/>
              <w:spacing w:after="0" w:line="158" w:lineRule="exact"/>
              <w:rPr>
                <w:sz w:val="20"/>
                <w:szCs w:val="20"/>
                <w:color w:val="auto"/>
              </w:rPr>
            </w:pPr>
            <w:r>
              <w:rPr>
                <w:rFonts w:ascii="Arial" w:cs="Arial" w:eastAsia="Arial" w:hAnsi="Arial"/>
                <w:sz w:val="14"/>
                <w:szCs w:val="14"/>
                <w:color w:val="auto"/>
              </w:rPr>
              <w:t>1.27</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right"/>
              <w:ind w:right="280"/>
              <w:spacing w:after="0" w:line="158" w:lineRule="exact"/>
              <w:rPr>
                <w:sz w:val="20"/>
                <w:szCs w:val="20"/>
                <w:color w:val="auto"/>
              </w:rPr>
            </w:pPr>
            <w:r>
              <w:rPr>
                <w:rFonts w:ascii="Arial" w:cs="Arial" w:eastAsia="Arial" w:hAnsi="Arial"/>
                <w:sz w:val="14"/>
                <w:szCs w:val="14"/>
                <w:color w:val="auto"/>
              </w:rPr>
              <w:t>(18)</w:t>
            </w:r>
          </w:p>
        </w:tc>
        <w:tc>
          <w:tcPr>
            <w:tcW w:w="118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0"/>
        </w:trPr>
        <w:tc>
          <w:tcPr>
            <w:tcW w:w="5040" w:type="dxa"/>
            <w:vAlign w:val="bottom"/>
            <w:vMerge w:val="restart"/>
            <w:shd w:val="clear" w:color="auto" w:fill="CFF0FC"/>
          </w:tcPr>
          <w:p>
            <w:pPr>
              <w:ind w:left="240"/>
              <w:spacing w:after="0"/>
              <w:rPr>
                <w:sz w:val="20"/>
                <w:szCs w:val="20"/>
                <w:color w:val="auto"/>
              </w:rPr>
            </w:pPr>
            <w:r>
              <w:rPr>
                <w:rFonts w:ascii="Arial" w:cs="Arial" w:eastAsia="Arial" w:hAnsi="Arial"/>
                <w:sz w:val="14"/>
                <w:szCs w:val="14"/>
                <w:color w:val="auto"/>
              </w:rPr>
              <w:t>Total</w:t>
            </w: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04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rPr>
              <w:t>21,688</w:t>
            </w:r>
          </w:p>
        </w:tc>
        <w:tc>
          <w:tcPr>
            <w:tcW w:w="320" w:type="dxa"/>
            <w:vAlign w:val="bottom"/>
            <w:vMerge w:val="continue"/>
            <w:shd w:val="clear" w:color="auto" w:fill="CFF0FC"/>
          </w:tcPr>
          <w:p>
            <w:pPr>
              <w:spacing w:after="0"/>
              <w:rPr>
                <w:sz w:val="13"/>
                <w:szCs w:val="13"/>
                <w:color w:val="auto"/>
              </w:rPr>
            </w:pPr>
          </w:p>
        </w:tc>
        <w:tc>
          <w:tcPr>
            <w:tcW w:w="160" w:type="dxa"/>
            <w:vAlign w:val="bottom"/>
            <w:shd w:val="clear" w:color="auto" w:fill="CFF0FC"/>
          </w:tcPr>
          <w:p>
            <w:pPr>
              <w:jc w:val="right"/>
              <w:ind w:right="10"/>
              <w:spacing w:after="0" w:line="151"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rPr>
              <w:t>415</w:t>
            </w:r>
          </w:p>
        </w:tc>
        <w:tc>
          <w:tcPr>
            <w:tcW w:w="140" w:type="dxa"/>
            <w:vAlign w:val="bottom"/>
            <w:shd w:val="clear" w:color="auto" w:fill="CFF0FC"/>
          </w:tcPr>
          <w:p>
            <w:pPr>
              <w:spacing w:after="0"/>
              <w:rPr>
                <w:sz w:val="13"/>
                <w:szCs w:val="13"/>
                <w:color w:val="auto"/>
              </w:rPr>
            </w:pPr>
          </w:p>
        </w:tc>
        <w:tc>
          <w:tcPr>
            <w:tcW w:w="200" w:type="dxa"/>
            <w:vAlign w:val="bottom"/>
            <w:vMerge w:val="continue"/>
            <w:shd w:val="clear" w:color="auto" w:fill="CFF0FC"/>
          </w:tcPr>
          <w:p>
            <w:pPr>
              <w:spacing w:after="0"/>
              <w:rPr>
                <w:sz w:val="13"/>
                <w:szCs w:val="13"/>
                <w:color w:val="auto"/>
              </w:rPr>
            </w:pPr>
          </w:p>
        </w:tc>
        <w:tc>
          <w:tcPr>
            <w:tcW w:w="1220" w:type="dxa"/>
            <w:vAlign w:val="bottom"/>
            <w:gridSpan w:val="2"/>
            <w:shd w:val="clear" w:color="auto" w:fill="CFF0FC"/>
          </w:tcPr>
          <w:p>
            <w:pPr>
              <w:jc w:val="right"/>
              <w:ind w:right="140"/>
              <w:spacing w:after="0" w:line="151" w:lineRule="exact"/>
              <w:rPr>
                <w:sz w:val="20"/>
                <w:szCs w:val="20"/>
                <w:color w:val="auto"/>
              </w:rPr>
            </w:pPr>
            <w:r>
              <w:rPr>
                <w:rFonts w:ascii="Arial" w:cs="Arial" w:eastAsia="Arial" w:hAnsi="Arial"/>
                <w:sz w:val="14"/>
                <w:szCs w:val="14"/>
                <w:color w:val="auto"/>
              </w:rPr>
              <w:t>1.91%</w:t>
            </w:r>
          </w:p>
        </w:tc>
        <w:tc>
          <w:tcPr>
            <w:tcW w:w="100" w:type="dxa"/>
            <w:vAlign w:val="bottom"/>
            <w:vMerge w:val="continue"/>
            <w:shd w:val="clear" w:color="auto" w:fill="CFF0FC"/>
          </w:tcPr>
          <w:p>
            <w:pPr>
              <w:spacing w:after="0"/>
              <w:rPr>
                <w:sz w:val="13"/>
                <w:szCs w:val="13"/>
                <w:color w:val="auto"/>
              </w:rPr>
            </w:pPr>
          </w:p>
        </w:tc>
        <w:tc>
          <w:tcPr>
            <w:tcW w:w="160" w:type="dxa"/>
            <w:vAlign w:val="bottom"/>
            <w:shd w:val="clear" w:color="auto" w:fill="CFF0FC"/>
          </w:tcPr>
          <w:p>
            <w:pPr>
              <w:jc w:val="right"/>
              <w:ind w:right="50"/>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rPr>
              <w:t>(128)</w:t>
            </w:r>
          </w:p>
        </w:tc>
        <w:tc>
          <w:tcPr>
            <w:tcW w:w="320" w:type="dxa"/>
            <w:vAlign w:val="bottom"/>
            <w:vMerge w:val="continue"/>
            <w:shd w:val="clear" w:color="auto" w:fill="CFF0FC"/>
          </w:tcPr>
          <w:p>
            <w:pPr>
              <w:spacing w:after="0"/>
              <w:rPr>
                <w:sz w:val="13"/>
                <w:szCs w:val="13"/>
                <w:color w:val="auto"/>
              </w:rPr>
            </w:pPr>
          </w:p>
        </w:tc>
        <w:tc>
          <w:tcPr>
            <w:tcW w:w="1180" w:type="dxa"/>
            <w:vAlign w:val="bottom"/>
            <w:gridSpan w:val="2"/>
            <w:shd w:val="clear" w:color="auto" w:fill="CFF0FC"/>
          </w:tcPr>
          <w:p>
            <w:pPr>
              <w:jc w:val="right"/>
              <w:ind w:right="40"/>
              <w:spacing w:after="0" w:line="151" w:lineRule="exact"/>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20"/>
        </w:trPr>
        <w:tc>
          <w:tcPr>
            <w:tcW w:w="50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4"/>
                <w:szCs w:val="14"/>
                <w:color w:val="auto"/>
              </w:rPr>
              <w:t>Limited documentation first mortgages: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50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5040" w:type="dxa"/>
            <w:vAlign w:val="bottom"/>
            <w:shd w:val="clear" w:color="auto" w:fill="CFF0FC"/>
          </w:tcPr>
          <w:p>
            <w:pPr>
              <w:ind w:left="240"/>
              <w:spacing w:after="0" w:line="158" w:lineRule="exact"/>
              <w:rPr>
                <w:sz w:val="20"/>
                <w:szCs w:val="20"/>
                <w:color w:val="auto"/>
              </w:rPr>
            </w:pPr>
            <w:r>
              <w:rPr>
                <w:rFonts w:ascii="Arial" w:cs="Arial" w:eastAsia="Arial" w:hAnsi="Arial"/>
                <w:sz w:val="14"/>
                <w:szCs w:val="14"/>
                <w:color w:val="auto"/>
              </w:rPr>
              <w:t>New York</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1,303,392</w:t>
            </w:r>
          </w:p>
        </w:tc>
        <w:tc>
          <w:tcPr>
            <w:tcW w:w="480" w:type="dxa"/>
            <w:vAlign w:val="bottom"/>
            <w:gridSpan w:val="2"/>
            <w:shd w:val="clear" w:color="auto" w:fill="CFF0FC"/>
          </w:tcPr>
          <w:p>
            <w:pPr>
              <w:jc w:val="right"/>
              <w:ind w:right="10"/>
              <w:spacing w:after="0" w:line="158" w:lineRule="exact"/>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40,451</w:t>
            </w:r>
          </w:p>
        </w:tc>
        <w:tc>
          <w:tcPr>
            <w:tcW w:w="140" w:type="dxa"/>
            <w:vAlign w:val="bottom"/>
            <w:shd w:val="clear" w:color="auto" w:fill="CFF0FC"/>
          </w:tcPr>
          <w:p>
            <w:pPr>
              <w:spacing w:after="0"/>
              <w:rPr>
                <w:sz w:val="13"/>
                <w:szCs w:val="13"/>
                <w:color w:val="auto"/>
              </w:rPr>
            </w:pPr>
          </w:p>
        </w:tc>
        <w:tc>
          <w:tcPr>
            <w:tcW w:w="1420" w:type="dxa"/>
            <w:vAlign w:val="bottom"/>
            <w:gridSpan w:val="3"/>
            <w:shd w:val="clear" w:color="auto" w:fill="CFF0FC"/>
          </w:tcPr>
          <w:p>
            <w:pPr>
              <w:jc w:val="right"/>
              <w:ind w:right="140"/>
              <w:spacing w:after="0" w:line="158" w:lineRule="exact"/>
              <w:rPr>
                <w:sz w:val="20"/>
                <w:szCs w:val="20"/>
                <w:color w:val="auto"/>
              </w:rPr>
            </w:pPr>
            <w:r>
              <w:rPr>
                <w:rFonts w:ascii="Arial" w:cs="Arial" w:eastAsia="Arial" w:hAnsi="Arial"/>
                <w:sz w:val="14"/>
                <w:szCs w:val="14"/>
                <w:color w:val="auto"/>
              </w:rPr>
              <w:t>3.10%</w:t>
            </w:r>
          </w:p>
        </w:tc>
        <w:tc>
          <w:tcPr>
            <w:tcW w:w="260" w:type="dxa"/>
            <w:vAlign w:val="bottom"/>
            <w:gridSpan w:val="2"/>
            <w:shd w:val="clear" w:color="auto" w:fill="CFF0FC"/>
          </w:tcPr>
          <w:p>
            <w:pPr>
              <w:jc w:val="right"/>
              <w:ind w:right="50"/>
              <w:spacing w:after="0" w:line="158" w:lineRule="exact"/>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1,041</w:t>
            </w:r>
          </w:p>
        </w:tc>
        <w:tc>
          <w:tcPr>
            <w:tcW w:w="32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80"/>
              <w:spacing w:after="0" w:line="158" w:lineRule="exact"/>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58"/>
        </w:trPr>
        <w:tc>
          <w:tcPr>
            <w:tcW w:w="5040" w:type="dxa"/>
            <w:vAlign w:val="bottom"/>
          </w:tcPr>
          <w:p>
            <w:pPr>
              <w:ind w:left="240"/>
              <w:spacing w:after="0" w:line="158" w:lineRule="exact"/>
              <w:rPr>
                <w:sz w:val="20"/>
                <w:szCs w:val="20"/>
                <w:color w:val="auto"/>
              </w:rPr>
            </w:pPr>
            <w:r>
              <w:rPr>
                <w:rFonts w:ascii="Arial" w:cs="Arial" w:eastAsia="Arial" w:hAnsi="Arial"/>
                <w:sz w:val="14"/>
                <w:szCs w:val="14"/>
                <w:color w:val="auto"/>
              </w:rPr>
              <w:t>Pennsylvania</w:t>
            </w:r>
          </w:p>
        </w:tc>
        <w:tc>
          <w:tcPr>
            <w:tcW w:w="100" w:type="dxa"/>
            <w:vAlign w:val="bottom"/>
          </w:tcPr>
          <w:p>
            <w:pPr>
              <w:spacing w:after="0"/>
              <w:rPr>
                <w:sz w:val="13"/>
                <w:szCs w:val="13"/>
                <w:color w:val="auto"/>
              </w:rPr>
            </w:pPr>
          </w:p>
        </w:tc>
        <w:tc>
          <w:tcPr>
            <w:tcW w:w="860" w:type="dxa"/>
            <w:vAlign w:val="bottom"/>
          </w:tcPr>
          <w:p>
            <w:pPr>
              <w:jc w:val="right"/>
              <w:spacing w:after="0" w:line="158" w:lineRule="exact"/>
              <w:rPr>
                <w:sz w:val="20"/>
                <w:szCs w:val="20"/>
                <w:color w:val="auto"/>
              </w:rPr>
            </w:pPr>
            <w:r>
              <w:rPr>
                <w:rFonts w:ascii="Arial" w:cs="Arial" w:eastAsia="Arial" w:hAnsi="Arial"/>
                <w:sz w:val="14"/>
                <w:szCs w:val="14"/>
                <w:color w:val="auto"/>
              </w:rPr>
              <w:t>62,736</w:t>
            </w: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spacing w:after="0" w:line="158" w:lineRule="exact"/>
              <w:rPr>
                <w:sz w:val="20"/>
                <w:szCs w:val="20"/>
                <w:color w:val="auto"/>
              </w:rPr>
            </w:pPr>
            <w:r>
              <w:rPr>
                <w:rFonts w:ascii="Arial" w:cs="Arial" w:eastAsia="Arial" w:hAnsi="Arial"/>
                <w:sz w:val="14"/>
                <w:szCs w:val="14"/>
                <w:color w:val="auto"/>
              </w:rPr>
              <w:t>5,155</w:t>
            </w:r>
          </w:p>
        </w:tc>
        <w:tc>
          <w:tcPr>
            <w:tcW w:w="140" w:type="dxa"/>
            <w:vAlign w:val="bottom"/>
          </w:tcPr>
          <w:p>
            <w:pPr>
              <w:spacing w:after="0"/>
              <w:rPr>
                <w:sz w:val="13"/>
                <w:szCs w:val="13"/>
                <w:color w:val="auto"/>
              </w:rPr>
            </w:pPr>
          </w:p>
        </w:tc>
        <w:tc>
          <w:tcPr>
            <w:tcW w:w="116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8.22</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right"/>
              <w:ind w:right="280"/>
              <w:spacing w:after="0" w:line="158" w:lineRule="exact"/>
              <w:rPr>
                <w:sz w:val="20"/>
                <w:szCs w:val="20"/>
                <w:color w:val="auto"/>
              </w:rPr>
            </w:pPr>
            <w:r>
              <w:rPr>
                <w:rFonts w:ascii="Arial" w:cs="Arial" w:eastAsia="Arial" w:hAnsi="Arial"/>
                <w:sz w:val="14"/>
                <w:szCs w:val="14"/>
                <w:color w:val="auto"/>
              </w:rPr>
              <w:t>(88)</w:t>
            </w:r>
          </w:p>
        </w:tc>
        <w:tc>
          <w:tcPr>
            <w:tcW w:w="118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58"/>
        </w:trPr>
        <w:tc>
          <w:tcPr>
            <w:tcW w:w="5040" w:type="dxa"/>
            <w:vAlign w:val="bottom"/>
            <w:shd w:val="clear" w:color="auto" w:fill="CFF0FC"/>
          </w:tcPr>
          <w:p>
            <w:pPr>
              <w:ind w:left="240"/>
              <w:spacing w:after="0" w:line="158" w:lineRule="exact"/>
              <w:rPr>
                <w:sz w:val="20"/>
                <w:szCs w:val="20"/>
                <w:color w:val="auto"/>
              </w:rPr>
            </w:pPr>
            <w:r>
              <w:rPr>
                <w:rFonts w:ascii="Arial" w:cs="Arial" w:eastAsia="Arial" w:hAnsi="Arial"/>
                <w:sz w:val="14"/>
                <w:szCs w:val="14"/>
                <w:color w:val="auto"/>
              </w:rPr>
              <w:t>Maryland</w:t>
            </w:r>
          </w:p>
        </w:tc>
        <w:tc>
          <w:tcPr>
            <w:tcW w:w="10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36,364</w:t>
            </w:r>
          </w:p>
        </w:tc>
        <w:tc>
          <w:tcPr>
            <w:tcW w:w="3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2,812</w:t>
            </w:r>
          </w:p>
        </w:tc>
        <w:tc>
          <w:tcPr>
            <w:tcW w:w="14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spacing w:after="0" w:line="158" w:lineRule="exact"/>
              <w:rPr>
                <w:sz w:val="20"/>
                <w:szCs w:val="20"/>
                <w:color w:val="auto"/>
              </w:rPr>
            </w:pPr>
            <w:r>
              <w:rPr>
                <w:rFonts w:ascii="Arial" w:cs="Arial" w:eastAsia="Arial" w:hAnsi="Arial"/>
                <w:sz w:val="14"/>
                <w:szCs w:val="14"/>
                <w:color w:val="auto"/>
              </w:rPr>
              <w:t>7.73</w:t>
            </w: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260</w:t>
            </w:r>
          </w:p>
        </w:tc>
        <w:tc>
          <w:tcPr>
            <w:tcW w:w="32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.64</w:t>
            </w:r>
          </w:p>
        </w:tc>
        <w:tc>
          <w:tcPr>
            <w:tcW w:w="2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040" w:type="dxa"/>
            <w:vAlign w:val="bottom"/>
          </w:tcPr>
          <w:p>
            <w:pPr>
              <w:ind w:left="240"/>
              <w:spacing w:after="0" w:line="158" w:lineRule="exact"/>
              <w:rPr>
                <w:sz w:val="20"/>
                <w:szCs w:val="20"/>
                <w:color w:val="auto"/>
              </w:rPr>
            </w:pPr>
            <w:r>
              <w:rPr>
                <w:rFonts w:ascii="Arial" w:cs="Arial" w:eastAsia="Arial" w:hAnsi="Arial"/>
                <w:sz w:val="14"/>
                <w:szCs w:val="14"/>
                <w:color w:val="auto"/>
              </w:rPr>
              <w:t>New Jersey</w:t>
            </w:r>
          </w:p>
        </w:tc>
        <w:tc>
          <w:tcPr>
            <w:tcW w:w="100" w:type="dxa"/>
            <w:vAlign w:val="bottom"/>
          </w:tcPr>
          <w:p>
            <w:pPr>
              <w:spacing w:after="0"/>
              <w:rPr>
                <w:sz w:val="13"/>
                <w:szCs w:val="13"/>
                <w:color w:val="auto"/>
              </w:rPr>
            </w:pPr>
          </w:p>
        </w:tc>
        <w:tc>
          <w:tcPr>
            <w:tcW w:w="860" w:type="dxa"/>
            <w:vAlign w:val="bottom"/>
          </w:tcPr>
          <w:p>
            <w:pPr>
              <w:jc w:val="right"/>
              <w:spacing w:after="0" w:line="158" w:lineRule="exact"/>
              <w:rPr>
                <w:sz w:val="20"/>
                <w:szCs w:val="20"/>
                <w:color w:val="auto"/>
              </w:rPr>
            </w:pPr>
            <w:r>
              <w:rPr>
                <w:rFonts w:ascii="Arial" w:cs="Arial" w:eastAsia="Arial" w:hAnsi="Arial"/>
                <w:sz w:val="14"/>
                <w:szCs w:val="14"/>
                <w:color w:val="auto"/>
              </w:rPr>
              <w:t>1,153,828</w:t>
            </w: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spacing w:after="0" w:line="158" w:lineRule="exact"/>
              <w:rPr>
                <w:sz w:val="20"/>
                <w:szCs w:val="20"/>
                <w:color w:val="auto"/>
              </w:rPr>
            </w:pPr>
            <w:r>
              <w:rPr>
                <w:rFonts w:ascii="Arial" w:cs="Arial" w:eastAsia="Arial" w:hAnsi="Arial"/>
                <w:sz w:val="14"/>
                <w:szCs w:val="14"/>
                <w:color w:val="auto"/>
              </w:rPr>
              <w:t>23,512</w:t>
            </w:r>
          </w:p>
        </w:tc>
        <w:tc>
          <w:tcPr>
            <w:tcW w:w="140" w:type="dxa"/>
            <w:vAlign w:val="bottom"/>
          </w:tcPr>
          <w:p>
            <w:pPr>
              <w:spacing w:after="0"/>
              <w:rPr>
                <w:sz w:val="13"/>
                <w:szCs w:val="13"/>
                <w:color w:val="auto"/>
              </w:rPr>
            </w:pPr>
          </w:p>
        </w:tc>
        <w:tc>
          <w:tcPr>
            <w:tcW w:w="116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2.04</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right"/>
              <w:spacing w:after="0" w:line="158" w:lineRule="exact"/>
              <w:rPr>
                <w:sz w:val="20"/>
                <w:szCs w:val="20"/>
                <w:color w:val="auto"/>
              </w:rPr>
            </w:pPr>
            <w:r>
              <w:rPr>
                <w:rFonts w:ascii="Arial" w:cs="Arial" w:eastAsia="Arial" w:hAnsi="Arial"/>
                <w:sz w:val="14"/>
                <w:szCs w:val="14"/>
                <w:color w:val="auto"/>
              </w:rPr>
              <w:t>310</w:t>
            </w:r>
          </w:p>
        </w:tc>
        <w:tc>
          <w:tcPr>
            <w:tcW w:w="320" w:type="dxa"/>
            <w:vAlign w:val="bottom"/>
          </w:tcPr>
          <w:p>
            <w:pPr>
              <w:spacing w:after="0"/>
              <w:rPr>
                <w:sz w:val="13"/>
                <w:szCs w:val="13"/>
                <w:color w:val="auto"/>
              </w:rPr>
            </w:pPr>
          </w:p>
        </w:tc>
        <w:tc>
          <w:tcPr>
            <w:tcW w:w="980" w:type="dxa"/>
            <w:vAlign w:val="bottom"/>
          </w:tcPr>
          <w:p>
            <w:pPr>
              <w:jc w:val="right"/>
              <w:spacing w:after="0" w:line="158" w:lineRule="exact"/>
              <w:rPr>
                <w:sz w:val="20"/>
                <w:szCs w:val="20"/>
                <w:color w:val="auto"/>
              </w:rPr>
            </w:pPr>
            <w:r>
              <w:rPr>
                <w:rFonts w:ascii="Arial" w:cs="Arial" w:eastAsia="Arial" w:hAnsi="Arial"/>
                <w:sz w:val="14"/>
                <w:szCs w:val="14"/>
                <w:color w:val="auto"/>
              </w:rPr>
              <w:t>.02</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040" w:type="dxa"/>
            <w:vAlign w:val="bottom"/>
            <w:shd w:val="clear" w:color="auto" w:fill="CFF0FC"/>
          </w:tcPr>
          <w:p>
            <w:pPr>
              <w:ind w:left="240"/>
              <w:spacing w:after="0" w:line="158" w:lineRule="exact"/>
              <w:rPr>
                <w:sz w:val="20"/>
                <w:szCs w:val="20"/>
                <w:color w:val="auto"/>
              </w:rPr>
            </w:pPr>
            <w:r>
              <w:rPr>
                <w:rFonts w:ascii="Arial" w:cs="Arial" w:eastAsia="Arial" w:hAnsi="Arial"/>
                <w:sz w:val="14"/>
                <w:szCs w:val="14"/>
                <w:color w:val="auto"/>
              </w:rPr>
              <w:t>Other Mid-Atlantic (a)</w:t>
            </w:r>
          </w:p>
        </w:tc>
        <w:tc>
          <w:tcPr>
            <w:tcW w:w="10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28,860</w:t>
            </w:r>
          </w:p>
        </w:tc>
        <w:tc>
          <w:tcPr>
            <w:tcW w:w="3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1,373</w:t>
            </w:r>
          </w:p>
        </w:tc>
        <w:tc>
          <w:tcPr>
            <w:tcW w:w="14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spacing w:after="0" w:line="158" w:lineRule="exact"/>
              <w:rPr>
                <w:sz w:val="20"/>
                <w:szCs w:val="20"/>
                <w:color w:val="auto"/>
              </w:rPr>
            </w:pPr>
            <w:r>
              <w:rPr>
                <w:rFonts w:ascii="Arial" w:cs="Arial" w:eastAsia="Arial" w:hAnsi="Arial"/>
                <w:sz w:val="14"/>
                <w:szCs w:val="14"/>
                <w:color w:val="auto"/>
              </w:rPr>
              <w:t>4.76</w:t>
            </w: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226</w:t>
            </w:r>
          </w:p>
        </w:tc>
        <w:tc>
          <w:tcPr>
            <w:tcW w:w="32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.66</w:t>
            </w:r>
          </w:p>
        </w:tc>
        <w:tc>
          <w:tcPr>
            <w:tcW w:w="2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040" w:type="dxa"/>
            <w:vAlign w:val="bottom"/>
            <w:tcBorders>
              <w:bottom w:val="single" w:sz="8" w:color="CFF0FC"/>
            </w:tcBorders>
          </w:tcPr>
          <w:p>
            <w:pPr>
              <w:ind w:left="240"/>
              <w:spacing w:after="0" w:line="158" w:lineRule="exact"/>
              <w:rPr>
                <w:sz w:val="20"/>
                <w:szCs w:val="20"/>
                <w:color w:val="auto"/>
              </w:rPr>
            </w:pPr>
            <w:r>
              <w:rPr>
                <w:rFonts w:ascii="Arial" w:cs="Arial" w:eastAsia="Arial" w:hAnsi="Arial"/>
                <w:sz w:val="14"/>
                <w:szCs w:val="14"/>
                <w:color w:val="auto"/>
              </w:rPr>
              <w:t>Other</w:t>
            </w: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418,078</w:t>
            </w:r>
          </w:p>
        </w:tc>
        <w:tc>
          <w:tcPr>
            <w:tcW w:w="32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22,802</w:t>
            </w:r>
          </w:p>
        </w:tc>
        <w:tc>
          <w:tcPr>
            <w:tcW w:w="14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5.45</w:t>
            </w:r>
          </w:p>
        </w:tc>
        <w:tc>
          <w:tcPr>
            <w:tcW w:w="2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104</w:t>
            </w:r>
          </w:p>
        </w:tc>
        <w:tc>
          <w:tcPr>
            <w:tcW w:w="32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.02</w:t>
            </w:r>
          </w:p>
        </w:tc>
        <w:tc>
          <w:tcPr>
            <w:tcW w:w="2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5040" w:type="dxa"/>
            <w:vAlign w:val="bottom"/>
            <w:shd w:val="clear" w:color="auto" w:fill="CFF0FC"/>
          </w:tcPr>
          <w:p>
            <w:pPr>
              <w:ind w:left="240"/>
              <w:spacing w:after="0" w:line="151" w:lineRule="exact"/>
              <w:rPr>
                <w:sz w:val="20"/>
                <w:szCs w:val="20"/>
                <w:color w:val="auto"/>
              </w:rPr>
            </w:pPr>
            <w:r>
              <w:rPr>
                <w:rFonts w:ascii="Arial" w:cs="Arial" w:eastAsia="Arial" w:hAnsi="Arial"/>
                <w:sz w:val="14"/>
                <w:szCs w:val="14"/>
                <w:color w:val="auto"/>
              </w:rPr>
              <w:t>Total</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rPr>
              <w:t>3,003,258</w:t>
            </w:r>
          </w:p>
        </w:tc>
        <w:tc>
          <w:tcPr>
            <w:tcW w:w="32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10"/>
              <w:spacing w:after="0" w:line="151"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rPr>
              <w:t>96,105</w:t>
            </w:r>
          </w:p>
        </w:tc>
        <w:tc>
          <w:tcPr>
            <w:tcW w:w="1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140"/>
              <w:spacing w:after="0" w:line="151" w:lineRule="exact"/>
              <w:rPr>
                <w:sz w:val="20"/>
                <w:szCs w:val="20"/>
                <w:color w:val="auto"/>
              </w:rPr>
            </w:pPr>
            <w:r>
              <w:rPr>
                <w:rFonts w:ascii="Arial" w:cs="Arial" w:eastAsia="Arial" w:hAnsi="Arial"/>
                <w:sz w:val="14"/>
                <w:szCs w:val="14"/>
                <w:color w:val="auto"/>
              </w:rPr>
              <w:t>3.20%</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50"/>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rPr>
              <w:t>1,853</w:t>
            </w:r>
          </w:p>
        </w:tc>
        <w:tc>
          <w:tcPr>
            <w:tcW w:w="32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80"/>
              <w:spacing w:after="0" w:line="151" w:lineRule="exact"/>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20"/>
        </w:trPr>
        <w:tc>
          <w:tcPr>
            <w:tcW w:w="50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4"/>
                <w:szCs w:val="14"/>
                <w:color w:val="auto"/>
              </w:rPr>
              <w:t>First lien home equity loans and lines of credit: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50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5040" w:type="dxa"/>
            <w:vAlign w:val="bottom"/>
            <w:shd w:val="clear" w:color="auto" w:fill="CFF0FC"/>
          </w:tcPr>
          <w:p>
            <w:pPr>
              <w:ind w:left="240"/>
              <w:spacing w:after="0" w:line="158" w:lineRule="exact"/>
              <w:rPr>
                <w:sz w:val="20"/>
                <w:szCs w:val="20"/>
                <w:color w:val="auto"/>
              </w:rPr>
            </w:pPr>
            <w:r>
              <w:rPr>
                <w:rFonts w:ascii="Arial" w:cs="Arial" w:eastAsia="Arial" w:hAnsi="Arial"/>
                <w:sz w:val="14"/>
                <w:szCs w:val="14"/>
                <w:color w:val="auto"/>
              </w:rPr>
              <w:t>New York</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1,243,335</w:t>
            </w:r>
          </w:p>
        </w:tc>
        <w:tc>
          <w:tcPr>
            <w:tcW w:w="480" w:type="dxa"/>
            <w:vAlign w:val="bottom"/>
            <w:gridSpan w:val="2"/>
            <w:shd w:val="clear" w:color="auto" w:fill="CFF0FC"/>
          </w:tcPr>
          <w:p>
            <w:pPr>
              <w:jc w:val="right"/>
              <w:ind w:right="10"/>
              <w:spacing w:after="0" w:line="158" w:lineRule="exact"/>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14,734</w:t>
            </w:r>
          </w:p>
        </w:tc>
        <w:tc>
          <w:tcPr>
            <w:tcW w:w="140" w:type="dxa"/>
            <w:vAlign w:val="bottom"/>
            <w:shd w:val="clear" w:color="auto" w:fill="CFF0FC"/>
          </w:tcPr>
          <w:p>
            <w:pPr>
              <w:spacing w:after="0"/>
              <w:rPr>
                <w:sz w:val="13"/>
                <w:szCs w:val="13"/>
                <w:color w:val="auto"/>
              </w:rPr>
            </w:pPr>
          </w:p>
        </w:tc>
        <w:tc>
          <w:tcPr>
            <w:tcW w:w="1420" w:type="dxa"/>
            <w:vAlign w:val="bottom"/>
            <w:gridSpan w:val="3"/>
            <w:shd w:val="clear" w:color="auto" w:fill="CFF0FC"/>
          </w:tcPr>
          <w:p>
            <w:pPr>
              <w:jc w:val="right"/>
              <w:ind w:right="140"/>
              <w:spacing w:after="0" w:line="158" w:lineRule="exact"/>
              <w:rPr>
                <w:sz w:val="20"/>
                <w:szCs w:val="20"/>
                <w:color w:val="auto"/>
              </w:rPr>
            </w:pPr>
            <w:r>
              <w:rPr>
                <w:rFonts w:ascii="Arial" w:cs="Arial" w:eastAsia="Arial" w:hAnsi="Arial"/>
                <w:sz w:val="14"/>
                <w:szCs w:val="14"/>
                <w:color w:val="auto"/>
              </w:rPr>
              <w:t>1.19%</w:t>
            </w:r>
          </w:p>
        </w:tc>
        <w:tc>
          <w:tcPr>
            <w:tcW w:w="260" w:type="dxa"/>
            <w:vAlign w:val="bottom"/>
            <w:gridSpan w:val="2"/>
            <w:shd w:val="clear" w:color="auto" w:fill="CFF0FC"/>
          </w:tcPr>
          <w:p>
            <w:pPr>
              <w:jc w:val="right"/>
              <w:ind w:right="50"/>
              <w:spacing w:after="0" w:line="158" w:lineRule="exact"/>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3,737</w:t>
            </w:r>
          </w:p>
        </w:tc>
        <w:tc>
          <w:tcPr>
            <w:tcW w:w="32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80"/>
              <w:spacing w:after="0" w:line="158" w:lineRule="exact"/>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58"/>
        </w:trPr>
        <w:tc>
          <w:tcPr>
            <w:tcW w:w="5040" w:type="dxa"/>
            <w:vAlign w:val="bottom"/>
          </w:tcPr>
          <w:p>
            <w:pPr>
              <w:ind w:left="240"/>
              <w:spacing w:after="0" w:line="158" w:lineRule="exact"/>
              <w:rPr>
                <w:sz w:val="20"/>
                <w:szCs w:val="20"/>
                <w:color w:val="auto"/>
              </w:rPr>
            </w:pPr>
            <w:r>
              <w:rPr>
                <w:rFonts w:ascii="Arial" w:cs="Arial" w:eastAsia="Arial" w:hAnsi="Arial"/>
                <w:sz w:val="14"/>
                <w:szCs w:val="14"/>
                <w:color w:val="auto"/>
              </w:rPr>
              <w:t>Pennsylvania</w:t>
            </w:r>
          </w:p>
        </w:tc>
        <w:tc>
          <w:tcPr>
            <w:tcW w:w="100" w:type="dxa"/>
            <w:vAlign w:val="bottom"/>
          </w:tcPr>
          <w:p>
            <w:pPr>
              <w:spacing w:after="0"/>
              <w:rPr>
                <w:sz w:val="13"/>
                <w:szCs w:val="13"/>
                <w:color w:val="auto"/>
              </w:rPr>
            </w:pPr>
          </w:p>
        </w:tc>
        <w:tc>
          <w:tcPr>
            <w:tcW w:w="860" w:type="dxa"/>
            <w:vAlign w:val="bottom"/>
          </w:tcPr>
          <w:p>
            <w:pPr>
              <w:jc w:val="right"/>
              <w:spacing w:after="0" w:line="158" w:lineRule="exact"/>
              <w:rPr>
                <w:sz w:val="20"/>
                <w:szCs w:val="20"/>
                <w:color w:val="auto"/>
              </w:rPr>
            </w:pPr>
            <w:r>
              <w:rPr>
                <w:rFonts w:ascii="Arial" w:cs="Arial" w:eastAsia="Arial" w:hAnsi="Arial"/>
                <w:sz w:val="14"/>
                <w:szCs w:val="14"/>
                <w:color w:val="auto"/>
              </w:rPr>
              <w:t>780,219</w:t>
            </w: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spacing w:after="0" w:line="158" w:lineRule="exact"/>
              <w:rPr>
                <w:sz w:val="20"/>
                <w:szCs w:val="20"/>
                <w:color w:val="auto"/>
              </w:rPr>
            </w:pPr>
            <w:r>
              <w:rPr>
                <w:rFonts w:ascii="Arial" w:cs="Arial" w:eastAsia="Arial" w:hAnsi="Arial"/>
                <w:sz w:val="14"/>
                <w:szCs w:val="14"/>
                <w:color w:val="auto"/>
              </w:rPr>
              <w:t>9,385</w:t>
            </w:r>
          </w:p>
        </w:tc>
        <w:tc>
          <w:tcPr>
            <w:tcW w:w="140" w:type="dxa"/>
            <w:vAlign w:val="bottom"/>
          </w:tcPr>
          <w:p>
            <w:pPr>
              <w:spacing w:after="0"/>
              <w:rPr>
                <w:sz w:val="13"/>
                <w:szCs w:val="13"/>
                <w:color w:val="auto"/>
              </w:rPr>
            </w:pPr>
          </w:p>
        </w:tc>
        <w:tc>
          <w:tcPr>
            <w:tcW w:w="116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1.20</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right"/>
              <w:spacing w:after="0" w:line="158" w:lineRule="exact"/>
              <w:rPr>
                <w:sz w:val="20"/>
                <w:szCs w:val="20"/>
                <w:color w:val="auto"/>
              </w:rPr>
            </w:pPr>
            <w:r>
              <w:rPr>
                <w:rFonts w:ascii="Arial" w:cs="Arial" w:eastAsia="Arial" w:hAnsi="Arial"/>
                <w:sz w:val="14"/>
                <w:szCs w:val="14"/>
                <w:color w:val="auto"/>
              </w:rPr>
              <w:t>1,878</w:t>
            </w:r>
          </w:p>
        </w:tc>
        <w:tc>
          <w:tcPr>
            <w:tcW w:w="320" w:type="dxa"/>
            <w:vAlign w:val="bottom"/>
          </w:tcPr>
          <w:p>
            <w:pPr>
              <w:spacing w:after="0"/>
              <w:rPr>
                <w:sz w:val="13"/>
                <w:szCs w:val="13"/>
                <w:color w:val="auto"/>
              </w:rPr>
            </w:pPr>
          </w:p>
        </w:tc>
        <w:tc>
          <w:tcPr>
            <w:tcW w:w="980" w:type="dxa"/>
            <w:vAlign w:val="bottom"/>
          </w:tcPr>
          <w:p>
            <w:pPr>
              <w:jc w:val="right"/>
              <w:spacing w:after="0" w:line="158" w:lineRule="exact"/>
              <w:rPr>
                <w:sz w:val="20"/>
                <w:szCs w:val="20"/>
                <w:color w:val="auto"/>
              </w:rPr>
            </w:pPr>
            <w:r>
              <w:rPr>
                <w:rFonts w:ascii="Arial" w:cs="Arial" w:eastAsia="Arial" w:hAnsi="Arial"/>
                <w:sz w:val="14"/>
                <w:szCs w:val="14"/>
                <w:color w:val="auto"/>
              </w:rPr>
              <w:t>.23</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040" w:type="dxa"/>
            <w:vAlign w:val="bottom"/>
            <w:shd w:val="clear" w:color="auto" w:fill="CFF0FC"/>
          </w:tcPr>
          <w:p>
            <w:pPr>
              <w:ind w:left="240"/>
              <w:spacing w:after="0" w:line="158" w:lineRule="exact"/>
              <w:rPr>
                <w:sz w:val="20"/>
                <w:szCs w:val="20"/>
                <w:color w:val="auto"/>
              </w:rPr>
            </w:pPr>
            <w:r>
              <w:rPr>
                <w:rFonts w:ascii="Arial" w:cs="Arial" w:eastAsia="Arial" w:hAnsi="Arial"/>
                <w:sz w:val="14"/>
                <w:szCs w:val="14"/>
                <w:color w:val="auto"/>
              </w:rPr>
              <w:t>Maryland</w:t>
            </w:r>
          </w:p>
        </w:tc>
        <w:tc>
          <w:tcPr>
            <w:tcW w:w="10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634,107</w:t>
            </w:r>
          </w:p>
        </w:tc>
        <w:tc>
          <w:tcPr>
            <w:tcW w:w="3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6,863</w:t>
            </w:r>
          </w:p>
        </w:tc>
        <w:tc>
          <w:tcPr>
            <w:tcW w:w="14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spacing w:after="0" w:line="158" w:lineRule="exact"/>
              <w:rPr>
                <w:sz w:val="20"/>
                <w:szCs w:val="20"/>
                <w:color w:val="auto"/>
              </w:rPr>
            </w:pPr>
            <w:r>
              <w:rPr>
                <w:rFonts w:ascii="Arial" w:cs="Arial" w:eastAsia="Arial" w:hAnsi="Arial"/>
                <w:sz w:val="14"/>
                <w:szCs w:val="14"/>
                <w:color w:val="auto"/>
              </w:rPr>
              <w:t>1.08</w:t>
            </w: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2,019</w:t>
            </w:r>
          </w:p>
        </w:tc>
        <w:tc>
          <w:tcPr>
            <w:tcW w:w="32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.30</w:t>
            </w:r>
          </w:p>
        </w:tc>
        <w:tc>
          <w:tcPr>
            <w:tcW w:w="2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040" w:type="dxa"/>
            <w:vAlign w:val="bottom"/>
          </w:tcPr>
          <w:p>
            <w:pPr>
              <w:ind w:left="240"/>
              <w:spacing w:after="0" w:line="158" w:lineRule="exact"/>
              <w:rPr>
                <w:sz w:val="20"/>
                <w:szCs w:val="20"/>
                <w:color w:val="auto"/>
              </w:rPr>
            </w:pPr>
            <w:r>
              <w:rPr>
                <w:rFonts w:ascii="Arial" w:cs="Arial" w:eastAsia="Arial" w:hAnsi="Arial"/>
                <w:sz w:val="14"/>
                <w:szCs w:val="14"/>
                <w:color w:val="auto"/>
              </w:rPr>
              <w:t>New Jersey</w:t>
            </w:r>
          </w:p>
        </w:tc>
        <w:tc>
          <w:tcPr>
            <w:tcW w:w="100" w:type="dxa"/>
            <w:vAlign w:val="bottom"/>
          </w:tcPr>
          <w:p>
            <w:pPr>
              <w:spacing w:after="0"/>
              <w:rPr>
                <w:sz w:val="13"/>
                <w:szCs w:val="13"/>
                <w:color w:val="auto"/>
              </w:rPr>
            </w:pPr>
          </w:p>
        </w:tc>
        <w:tc>
          <w:tcPr>
            <w:tcW w:w="860" w:type="dxa"/>
            <w:vAlign w:val="bottom"/>
          </w:tcPr>
          <w:p>
            <w:pPr>
              <w:jc w:val="right"/>
              <w:spacing w:after="0" w:line="158" w:lineRule="exact"/>
              <w:rPr>
                <w:sz w:val="20"/>
                <w:szCs w:val="20"/>
                <w:color w:val="auto"/>
              </w:rPr>
            </w:pPr>
            <w:r>
              <w:rPr>
                <w:rFonts w:ascii="Arial" w:cs="Arial" w:eastAsia="Arial" w:hAnsi="Arial"/>
                <w:sz w:val="14"/>
                <w:szCs w:val="14"/>
                <w:color w:val="auto"/>
              </w:rPr>
              <w:t>60,682</w:t>
            </w: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spacing w:after="0" w:line="158" w:lineRule="exact"/>
              <w:rPr>
                <w:sz w:val="20"/>
                <w:szCs w:val="20"/>
                <w:color w:val="auto"/>
              </w:rPr>
            </w:pPr>
            <w:r>
              <w:rPr>
                <w:rFonts w:ascii="Arial" w:cs="Arial" w:eastAsia="Arial" w:hAnsi="Arial"/>
                <w:sz w:val="14"/>
                <w:szCs w:val="14"/>
                <w:color w:val="auto"/>
              </w:rPr>
              <w:t>350</w:t>
            </w:r>
          </w:p>
        </w:tc>
        <w:tc>
          <w:tcPr>
            <w:tcW w:w="140" w:type="dxa"/>
            <w:vAlign w:val="bottom"/>
          </w:tcPr>
          <w:p>
            <w:pPr>
              <w:spacing w:after="0"/>
              <w:rPr>
                <w:sz w:val="13"/>
                <w:szCs w:val="13"/>
                <w:color w:val="auto"/>
              </w:rPr>
            </w:pPr>
          </w:p>
        </w:tc>
        <w:tc>
          <w:tcPr>
            <w:tcW w:w="116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.58</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right"/>
              <w:spacing w:after="0" w:line="158" w:lineRule="exact"/>
              <w:rPr>
                <w:sz w:val="20"/>
                <w:szCs w:val="20"/>
                <w:color w:val="auto"/>
              </w:rPr>
            </w:pPr>
            <w:r>
              <w:rPr>
                <w:rFonts w:ascii="Arial" w:cs="Arial" w:eastAsia="Arial" w:hAnsi="Arial"/>
                <w:sz w:val="14"/>
                <w:szCs w:val="14"/>
                <w:color w:val="auto"/>
              </w:rPr>
              <w:t>11</w:t>
            </w:r>
          </w:p>
        </w:tc>
        <w:tc>
          <w:tcPr>
            <w:tcW w:w="320" w:type="dxa"/>
            <w:vAlign w:val="bottom"/>
          </w:tcPr>
          <w:p>
            <w:pPr>
              <w:spacing w:after="0"/>
              <w:rPr>
                <w:sz w:val="13"/>
                <w:szCs w:val="13"/>
                <w:color w:val="auto"/>
              </w:rPr>
            </w:pPr>
          </w:p>
        </w:tc>
        <w:tc>
          <w:tcPr>
            <w:tcW w:w="980" w:type="dxa"/>
            <w:vAlign w:val="bottom"/>
          </w:tcPr>
          <w:p>
            <w:pPr>
              <w:jc w:val="right"/>
              <w:spacing w:after="0" w:line="158" w:lineRule="exact"/>
              <w:rPr>
                <w:sz w:val="20"/>
                <w:szCs w:val="20"/>
                <w:color w:val="auto"/>
              </w:rPr>
            </w:pPr>
            <w:r>
              <w:rPr>
                <w:rFonts w:ascii="Arial" w:cs="Arial" w:eastAsia="Arial" w:hAnsi="Arial"/>
                <w:sz w:val="14"/>
                <w:szCs w:val="14"/>
                <w:color w:val="auto"/>
              </w:rPr>
              <w:t>.02</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040" w:type="dxa"/>
            <w:vAlign w:val="bottom"/>
            <w:shd w:val="clear" w:color="auto" w:fill="CFF0FC"/>
          </w:tcPr>
          <w:p>
            <w:pPr>
              <w:ind w:left="240"/>
              <w:spacing w:after="0" w:line="158" w:lineRule="exact"/>
              <w:rPr>
                <w:sz w:val="20"/>
                <w:szCs w:val="20"/>
                <w:color w:val="auto"/>
              </w:rPr>
            </w:pPr>
            <w:r>
              <w:rPr>
                <w:rFonts w:ascii="Arial" w:cs="Arial" w:eastAsia="Arial" w:hAnsi="Arial"/>
                <w:sz w:val="14"/>
                <w:szCs w:val="14"/>
                <w:color w:val="auto"/>
              </w:rPr>
              <w:t>Other Mid-Atlantic (a)</w:t>
            </w:r>
          </w:p>
        </w:tc>
        <w:tc>
          <w:tcPr>
            <w:tcW w:w="10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202,522</w:t>
            </w:r>
          </w:p>
        </w:tc>
        <w:tc>
          <w:tcPr>
            <w:tcW w:w="3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2,389</w:t>
            </w:r>
          </w:p>
        </w:tc>
        <w:tc>
          <w:tcPr>
            <w:tcW w:w="14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spacing w:after="0" w:line="158" w:lineRule="exact"/>
              <w:rPr>
                <w:sz w:val="20"/>
                <w:szCs w:val="20"/>
                <w:color w:val="auto"/>
              </w:rPr>
            </w:pPr>
            <w:r>
              <w:rPr>
                <w:rFonts w:ascii="Arial" w:cs="Arial" w:eastAsia="Arial" w:hAnsi="Arial"/>
                <w:sz w:val="14"/>
                <w:szCs w:val="14"/>
                <w:color w:val="auto"/>
              </w:rPr>
              <w:t>1.18</w:t>
            </w: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106</w:t>
            </w:r>
          </w:p>
        </w:tc>
        <w:tc>
          <w:tcPr>
            <w:tcW w:w="32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.05</w:t>
            </w:r>
          </w:p>
        </w:tc>
        <w:tc>
          <w:tcPr>
            <w:tcW w:w="2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040" w:type="dxa"/>
            <w:vAlign w:val="bottom"/>
            <w:tcBorders>
              <w:bottom w:val="single" w:sz="8" w:color="CFF0FC"/>
            </w:tcBorders>
          </w:tcPr>
          <w:p>
            <w:pPr>
              <w:ind w:left="240"/>
              <w:spacing w:after="0" w:line="158" w:lineRule="exact"/>
              <w:rPr>
                <w:sz w:val="20"/>
                <w:szCs w:val="20"/>
                <w:color w:val="auto"/>
              </w:rPr>
            </w:pPr>
            <w:r>
              <w:rPr>
                <w:rFonts w:ascii="Arial" w:cs="Arial" w:eastAsia="Arial" w:hAnsi="Arial"/>
                <w:sz w:val="14"/>
                <w:szCs w:val="14"/>
                <w:color w:val="auto"/>
              </w:rPr>
              <w:t>Other</w:t>
            </w: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28,106</w:t>
            </w:r>
          </w:p>
        </w:tc>
        <w:tc>
          <w:tcPr>
            <w:tcW w:w="32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1,085</w:t>
            </w:r>
          </w:p>
        </w:tc>
        <w:tc>
          <w:tcPr>
            <w:tcW w:w="14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3.86</w:t>
            </w:r>
          </w:p>
        </w:tc>
        <w:tc>
          <w:tcPr>
            <w:tcW w:w="2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2</w:t>
            </w:r>
          </w:p>
        </w:tc>
        <w:tc>
          <w:tcPr>
            <w:tcW w:w="32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.01</w:t>
            </w:r>
          </w:p>
        </w:tc>
        <w:tc>
          <w:tcPr>
            <w:tcW w:w="2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5040" w:type="dxa"/>
            <w:vAlign w:val="bottom"/>
            <w:shd w:val="clear" w:color="auto" w:fill="CFF0FC"/>
          </w:tcPr>
          <w:p>
            <w:pPr>
              <w:ind w:left="240"/>
              <w:spacing w:after="0" w:line="151" w:lineRule="exact"/>
              <w:rPr>
                <w:sz w:val="20"/>
                <w:szCs w:val="20"/>
                <w:color w:val="auto"/>
              </w:rPr>
            </w:pPr>
            <w:r>
              <w:rPr>
                <w:rFonts w:ascii="Arial" w:cs="Arial" w:eastAsia="Arial" w:hAnsi="Arial"/>
                <w:sz w:val="14"/>
                <w:szCs w:val="14"/>
                <w:color w:val="auto"/>
              </w:rPr>
              <w:t>Total</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rPr>
              <w:t>2,948,971</w:t>
            </w:r>
          </w:p>
        </w:tc>
        <w:tc>
          <w:tcPr>
            <w:tcW w:w="32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10"/>
              <w:spacing w:after="0" w:line="151"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rPr>
              <w:t>34,806</w:t>
            </w:r>
          </w:p>
        </w:tc>
        <w:tc>
          <w:tcPr>
            <w:tcW w:w="1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140"/>
              <w:spacing w:after="0" w:line="151" w:lineRule="exact"/>
              <w:rPr>
                <w:sz w:val="20"/>
                <w:szCs w:val="20"/>
                <w:color w:val="auto"/>
              </w:rPr>
            </w:pPr>
            <w:r>
              <w:rPr>
                <w:rFonts w:ascii="Arial" w:cs="Arial" w:eastAsia="Arial" w:hAnsi="Arial"/>
                <w:sz w:val="14"/>
                <w:szCs w:val="14"/>
                <w:color w:val="auto"/>
              </w:rPr>
              <w:t>1.18%</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50"/>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rPr>
              <w:t>7,753</w:t>
            </w:r>
          </w:p>
        </w:tc>
        <w:tc>
          <w:tcPr>
            <w:tcW w:w="32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80"/>
              <w:spacing w:after="0" w:line="151" w:lineRule="exact"/>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0"/>
        </w:trPr>
        <w:tc>
          <w:tcPr>
            <w:tcW w:w="50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4"/>
                <w:szCs w:val="14"/>
                <w:color w:val="auto"/>
              </w:rPr>
              <w:t>Junior lien home equity loans and lines of credit: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50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5040" w:type="dxa"/>
            <w:vAlign w:val="bottom"/>
            <w:shd w:val="clear" w:color="auto" w:fill="CFF0FC"/>
          </w:tcPr>
          <w:p>
            <w:pPr>
              <w:ind w:left="240"/>
              <w:spacing w:after="0" w:line="158" w:lineRule="exact"/>
              <w:rPr>
                <w:sz w:val="20"/>
                <w:szCs w:val="20"/>
                <w:color w:val="auto"/>
              </w:rPr>
            </w:pPr>
            <w:r>
              <w:rPr>
                <w:rFonts w:ascii="Arial" w:cs="Arial" w:eastAsia="Arial" w:hAnsi="Arial"/>
                <w:sz w:val="14"/>
                <w:szCs w:val="14"/>
                <w:color w:val="auto"/>
              </w:rPr>
              <w:t>New York</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856,958</w:t>
            </w:r>
          </w:p>
        </w:tc>
        <w:tc>
          <w:tcPr>
            <w:tcW w:w="480" w:type="dxa"/>
            <w:vAlign w:val="bottom"/>
            <w:gridSpan w:val="2"/>
            <w:shd w:val="clear" w:color="auto" w:fill="CFF0FC"/>
          </w:tcPr>
          <w:p>
            <w:pPr>
              <w:jc w:val="right"/>
              <w:ind w:right="10"/>
              <w:spacing w:after="0" w:line="158" w:lineRule="exact"/>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18,544</w:t>
            </w:r>
          </w:p>
        </w:tc>
        <w:tc>
          <w:tcPr>
            <w:tcW w:w="140" w:type="dxa"/>
            <w:vAlign w:val="bottom"/>
            <w:shd w:val="clear" w:color="auto" w:fill="CFF0FC"/>
          </w:tcPr>
          <w:p>
            <w:pPr>
              <w:spacing w:after="0"/>
              <w:rPr>
                <w:sz w:val="13"/>
                <w:szCs w:val="13"/>
                <w:color w:val="auto"/>
              </w:rPr>
            </w:pPr>
          </w:p>
        </w:tc>
        <w:tc>
          <w:tcPr>
            <w:tcW w:w="1420" w:type="dxa"/>
            <w:vAlign w:val="bottom"/>
            <w:gridSpan w:val="3"/>
            <w:shd w:val="clear" w:color="auto" w:fill="CFF0FC"/>
          </w:tcPr>
          <w:p>
            <w:pPr>
              <w:jc w:val="right"/>
              <w:ind w:right="140"/>
              <w:spacing w:after="0" w:line="158" w:lineRule="exact"/>
              <w:rPr>
                <w:sz w:val="20"/>
                <w:szCs w:val="20"/>
                <w:color w:val="auto"/>
              </w:rPr>
            </w:pPr>
            <w:r>
              <w:rPr>
                <w:rFonts w:ascii="Arial" w:cs="Arial" w:eastAsia="Arial" w:hAnsi="Arial"/>
                <w:sz w:val="14"/>
                <w:szCs w:val="14"/>
                <w:color w:val="auto"/>
              </w:rPr>
              <w:t>2.16%</w:t>
            </w:r>
          </w:p>
        </w:tc>
        <w:tc>
          <w:tcPr>
            <w:tcW w:w="260" w:type="dxa"/>
            <w:vAlign w:val="bottom"/>
            <w:gridSpan w:val="2"/>
            <w:shd w:val="clear" w:color="auto" w:fill="CFF0FC"/>
          </w:tcPr>
          <w:p>
            <w:pPr>
              <w:jc w:val="right"/>
              <w:ind w:right="50"/>
              <w:spacing w:after="0" w:line="158" w:lineRule="exact"/>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1,505</w:t>
            </w:r>
          </w:p>
        </w:tc>
        <w:tc>
          <w:tcPr>
            <w:tcW w:w="32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80"/>
              <w:spacing w:after="0" w:line="158" w:lineRule="exact"/>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58"/>
        </w:trPr>
        <w:tc>
          <w:tcPr>
            <w:tcW w:w="5040" w:type="dxa"/>
            <w:vAlign w:val="bottom"/>
          </w:tcPr>
          <w:p>
            <w:pPr>
              <w:ind w:left="240"/>
              <w:spacing w:after="0" w:line="158" w:lineRule="exact"/>
              <w:rPr>
                <w:sz w:val="20"/>
                <w:szCs w:val="20"/>
                <w:color w:val="auto"/>
              </w:rPr>
            </w:pPr>
            <w:r>
              <w:rPr>
                <w:rFonts w:ascii="Arial" w:cs="Arial" w:eastAsia="Arial" w:hAnsi="Arial"/>
                <w:sz w:val="14"/>
                <w:szCs w:val="14"/>
                <w:color w:val="auto"/>
              </w:rPr>
              <w:t>Pennsylvania</w:t>
            </w:r>
          </w:p>
        </w:tc>
        <w:tc>
          <w:tcPr>
            <w:tcW w:w="100" w:type="dxa"/>
            <w:vAlign w:val="bottom"/>
          </w:tcPr>
          <w:p>
            <w:pPr>
              <w:spacing w:after="0"/>
              <w:rPr>
                <w:sz w:val="13"/>
                <w:szCs w:val="13"/>
                <w:color w:val="auto"/>
              </w:rPr>
            </w:pPr>
          </w:p>
        </w:tc>
        <w:tc>
          <w:tcPr>
            <w:tcW w:w="860" w:type="dxa"/>
            <w:vAlign w:val="bottom"/>
          </w:tcPr>
          <w:p>
            <w:pPr>
              <w:jc w:val="right"/>
              <w:spacing w:after="0" w:line="158" w:lineRule="exact"/>
              <w:rPr>
                <w:sz w:val="20"/>
                <w:szCs w:val="20"/>
                <w:color w:val="auto"/>
              </w:rPr>
            </w:pPr>
            <w:r>
              <w:rPr>
                <w:rFonts w:ascii="Arial" w:cs="Arial" w:eastAsia="Arial" w:hAnsi="Arial"/>
                <w:sz w:val="14"/>
                <w:szCs w:val="14"/>
                <w:color w:val="auto"/>
              </w:rPr>
              <w:t>328,990</w:t>
            </w: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spacing w:after="0" w:line="158" w:lineRule="exact"/>
              <w:rPr>
                <w:sz w:val="20"/>
                <w:szCs w:val="20"/>
                <w:color w:val="auto"/>
              </w:rPr>
            </w:pPr>
            <w:r>
              <w:rPr>
                <w:rFonts w:ascii="Arial" w:cs="Arial" w:eastAsia="Arial" w:hAnsi="Arial"/>
                <w:sz w:val="14"/>
                <w:szCs w:val="14"/>
                <w:color w:val="auto"/>
              </w:rPr>
              <w:t>4,227</w:t>
            </w:r>
          </w:p>
        </w:tc>
        <w:tc>
          <w:tcPr>
            <w:tcW w:w="140" w:type="dxa"/>
            <w:vAlign w:val="bottom"/>
          </w:tcPr>
          <w:p>
            <w:pPr>
              <w:spacing w:after="0"/>
              <w:rPr>
                <w:sz w:val="13"/>
                <w:szCs w:val="13"/>
                <w:color w:val="auto"/>
              </w:rPr>
            </w:pPr>
          </w:p>
        </w:tc>
        <w:tc>
          <w:tcPr>
            <w:tcW w:w="116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1.28</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right"/>
              <w:spacing w:after="0" w:line="158" w:lineRule="exact"/>
              <w:rPr>
                <w:sz w:val="20"/>
                <w:szCs w:val="20"/>
                <w:color w:val="auto"/>
              </w:rPr>
            </w:pPr>
            <w:r>
              <w:rPr>
                <w:rFonts w:ascii="Arial" w:cs="Arial" w:eastAsia="Arial" w:hAnsi="Arial"/>
                <w:sz w:val="14"/>
                <w:szCs w:val="14"/>
                <w:color w:val="auto"/>
              </w:rPr>
              <w:t>199</w:t>
            </w:r>
          </w:p>
        </w:tc>
        <w:tc>
          <w:tcPr>
            <w:tcW w:w="320" w:type="dxa"/>
            <w:vAlign w:val="bottom"/>
          </w:tcPr>
          <w:p>
            <w:pPr>
              <w:spacing w:after="0"/>
              <w:rPr>
                <w:sz w:val="13"/>
                <w:szCs w:val="13"/>
                <w:color w:val="auto"/>
              </w:rPr>
            </w:pPr>
          </w:p>
        </w:tc>
        <w:tc>
          <w:tcPr>
            <w:tcW w:w="980" w:type="dxa"/>
            <w:vAlign w:val="bottom"/>
          </w:tcPr>
          <w:p>
            <w:pPr>
              <w:jc w:val="right"/>
              <w:spacing w:after="0" w:line="158" w:lineRule="exact"/>
              <w:rPr>
                <w:sz w:val="20"/>
                <w:szCs w:val="20"/>
                <w:color w:val="auto"/>
              </w:rPr>
            </w:pPr>
            <w:r>
              <w:rPr>
                <w:rFonts w:ascii="Arial" w:cs="Arial" w:eastAsia="Arial" w:hAnsi="Arial"/>
                <w:sz w:val="14"/>
                <w:szCs w:val="14"/>
                <w:color w:val="auto"/>
              </w:rPr>
              <w:t>.06</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040" w:type="dxa"/>
            <w:vAlign w:val="bottom"/>
            <w:shd w:val="clear" w:color="auto" w:fill="CFF0FC"/>
          </w:tcPr>
          <w:p>
            <w:pPr>
              <w:ind w:left="240"/>
              <w:spacing w:after="0" w:line="158" w:lineRule="exact"/>
              <w:rPr>
                <w:sz w:val="20"/>
                <w:szCs w:val="20"/>
                <w:color w:val="auto"/>
              </w:rPr>
            </w:pPr>
            <w:r>
              <w:rPr>
                <w:rFonts w:ascii="Arial" w:cs="Arial" w:eastAsia="Arial" w:hAnsi="Arial"/>
                <w:sz w:val="14"/>
                <w:szCs w:val="14"/>
                <w:color w:val="auto"/>
              </w:rPr>
              <w:t>Maryland</w:t>
            </w:r>
          </w:p>
        </w:tc>
        <w:tc>
          <w:tcPr>
            <w:tcW w:w="10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708,954</w:t>
            </w:r>
          </w:p>
        </w:tc>
        <w:tc>
          <w:tcPr>
            <w:tcW w:w="3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10,425</w:t>
            </w:r>
          </w:p>
        </w:tc>
        <w:tc>
          <w:tcPr>
            <w:tcW w:w="14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spacing w:after="0" w:line="158" w:lineRule="exact"/>
              <w:rPr>
                <w:sz w:val="20"/>
                <w:szCs w:val="20"/>
                <w:color w:val="auto"/>
              </w:rPr>
            </w:pPr>
            <w:r>
              <w:rPr>
                <w:rFonts w:ascii="Arial" w:cs="Arial" w:eastAsia="Arial" w:hAnsi="Arial"/>
                <w:sz w:val="14"/>
                <w:szCs w:val="14"/>
                <w:color w:val="auto"/>
              </w:rPr>
              <w:t>1.47</w:t>
            </w: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875</w:t>
            </w:r>
          </w:p>
        </w:tc>
        <w:tc>
          <w:tcPr>
            <w:tcW w:w="32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.12</w:t>
            </w:r>
          </w:p>
        </w:tc>
        <w:tc>
          <w:tcPr>
            <w:tcW w:w="2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040" w:type="dxa"/>
            <w:vAlign w:val="bottom"/>
          </w:tcPr>
          <w:p>
            <w:pPr>
              <w:ind w:left="240"/>
              <w:spacing w:after="0" w:line="158" w:lineRule="exact"/>
              <w:rPr>
                <w:sz w:val="20"/>
                <w:szCs w:val="20"/>
                <w:color w:val="auto"/>
              </w:rPr>
            </w:pPr>
            <w:r>
              <w:rPr>
                <w:rFonts w:ascii="Arial" w:cs="Arial" w:eastAsia="Arial" w:hAnsi="Arial"/>
                <w:sz w:val="14"/>
                <w:szCs w:val="14"/>
                <w:color w:val="auto"/>
              </w:rPr>
              <w:t>New Jersey</w:t>
            </w:r>
          </w:p>
        </w:tc>
        <w:tc>
          <w:tcPr>
            <w:tcW w:w="100" w:type="dxa"/>
            <w:vAlign w:val="bottom"/>
          </w:tcPr>
          <w:p>
            <w:pPr>
              <w:spacing w:after="0"/>
              <w:rPr>
                <w:sz w:val="13"/>
                <w:szCs w:val="13"/>
                <w:color w:val="auto"/>
              </w:rPr>
            </w:pPr>
          </w:p>
        </w:tc>
        <w:tc>
          <w:tcPr>
            <w:tcW w:w="860" w:type="dxa"/>
            <w:vAlign w:val="bottom"/>
          </w:tcPr>
          <w:p>
            <w:pPr>
              <w:jc w:val="right"/>
              <w:spacing w:after="0" w:line="158" w:lineRule="exact"/>
              <w:rPr>
                <w:sz w:val="20"/>
                <w:szCs w:val="20"/>
                <w:color w:val="auto"/>
              </w:rPr>
            </w:pPr>
            <w:r>
              <w:rPr>
                <w:rFonts w:ascii="Arial" w:cs="Arial" w:eastAsia="Arial" w:hAnsi="Arial"/>
                <w:sz w:val="14"/>
                <w:szCs w:val="14"/>
                <w:color w:val="auto"/>
              </w:rPr>
              <w:t>103,927</w:t>
            </w: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spacing w:after="0" w:line="158" w:lineRule="exact"/>
              <w:rPr>
                <w:sz w:val="20"/>
                <w:szCs w:val="20"/>
                <w:color w:val="auto"/>
              </w:rPr>
            </w:pPr>
            <w:r>
              <w:rPr>
                <w:rFonts w:ascii="Arial" w:cs="Arial" w:eastAsia="Arial" w:hAnsi="Arial"/>
                <w:sz w:val="14"/>
                <w:szCs w:val="14"/>
                <w:color w:val="auto"/>
              </w:rPr>
              <w:t>1,720</w:t>
            </w:r>
          </w:p>
        </w:tc>
        <w:tc>
          <w:tcPr>
            <w:tcW w:w="140" w:type="dxa"/>
            <w:vAlign w:val="bottom"/>
          </w:tcPr>
          <w:p>
            <w:pPr>
              <w:spacing w:after="0"/>
              <w:rPr>
                <w:sz w:val="13"/>
                <w:szCs w:val="13"/>
                <w:color w:val="auto"/>
              </w:rPr>
            </w:pPr>
          </w:p>
        </w:tc>
        <w:tc>
          <w:tcPr>
            <w:tcW w:w="116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1.65</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right"/>
              <w:spacing w:after="0" w:line="158" w:lineRule="exact"/>
              <w:rPr>
                <w:sz w:val="20"/>
                <w:szCs w:val="20"/>
                <w:color w:val="auto"/>
              </w:rPr>
            </w:pPr>
            <w:r>
              <w:rPr>
                <w:rFonts w:ascii="Arial" w:cs="Arial" w:eastAsia="Arial" w:hAnsi="Arial"/>
                <w:sz w:val="14"/>
                <w:szCs w:val="14"/>
                <w:color w:val="auto"/>
              </w:rPr>
              <w:t>189</w:t>
            </w:r>
          </w:p>
        </w:tc>
        <w:tc>
          <w:tcPr>
            <w:tcW w:w="320" w:type="dxa"/>
            <w:vAlign w:val="bottom"/>
          </w:tcPr>
          <w:p>
            <w:pPr>
              <w:spacing w:after="0"/>
              <w:rPr>
                <w:sz w:val="13"/>
                <w:szCs w:val="13"/>
                <w:color w:val="auto"/>
              </w:rPr>
            </w:pPr>
          </w:p>
        </w:tc>
        <w:tc>
          <w:tcPr>
            <w:tcW w:w="980" w:type="dxa"/>
            <w:vAlign w:val="bottom"/>
          </w:tcPr>
          <w:p>
            <w:pPr>
              <w:jc w:val="right"/>
              <w:spacing w:after="0" w:line="158" w:lineRule="exact"/>
              <w:rPr>
                <w:sz w:val="20"/>
                <w:szCs w:val="20"/>
                <w:color w:val="auto"/>
              </w:rPr>
            </w:pPr>
            <w:r>
              <w:rPr>
                <w:rFonts w:ascii="Arial" w:cs="Arial" w:eastAsia="Arial" w:hAnsi="Arial"/>
                <w:sz w:val="14"/>
                <w:szCs w:val="14"/>
                <w:color w:val="auto"/>
              </w:rPr>
              <w:t>.16</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040" w:type="dxa"/>
            <w:vAlign w:val="bottom"/>
            <w:shd w:val="clear" w:color="auto" w:fill="CFF0FC"/>
          </w:tcPr>
          <w:p>
            <w:pPr>
              <w:ind w:left="240"/>
              <w:spacing w:after="0" w:line="158" w:lineRule="exact"/>
              <w:rPr>
                <w:sz w:val="20"/>
                <w:szCs w:val="20"/>
                <w:color w:val="auto"/>
              </w:rPr>
            </w:pPr>
            <w:r>
              <w:rPr>
                <w:rFonts w:ascii="Arial" w:cs="Arial" w:eastAsia="Arial" w:hAnsi="Arial"/>
                <w:sz w:val="14"/>
                <w:szCs w:val="14"/>
                <w:color w:val="auto"/>
              </w:rPr>
              <w:t>Other Mid-Atlantic (a)</w:t>
            </w:r>
          </w:p>
        </w:tc>
        <w:tc>
          <w:tcPr>
            <w:tcW w:w="10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296,648</w:t>
            </w:r>
          </w:p>
        </w:tc>
        <w:tc>
          <w:tcPr>
            <w:tcW w:w="3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2,892</w:t>
            </w:r>
          </w:p>
        </w:tc>
        <w:tc>
          <w:tcPr>
            <w:tcW w:w="14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spacing w:after="0" w:line="158" w:lineRule="exact"/>
              <w:rPr>
                <w:sz w:val="20"/>
                <w:szCs w:val="20"/>
                <w:color w:val="auto"/>
              </w:rPr>
            </w:pPr>
            <w:r>
              <w:rPr>
                <w:rFonts w:ascii="Arial" w:cs="Arial" w:eastAsia="Arial" w:hAnsi="Arial"/>
                <w:sz w:val="14"/>
                <w:szCs w:val="14"/>
                <w:color w:val="auto"/>
              </w:rPr>
              <w:t>.97</w:t>
            </w: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366</w:t>
            </w:r>
          </w:p>
        </w:tc>
        <w:tc>
          <w:tcPr>
            <w:tcW w:w="32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.12</w:t>
            </w:r>
          </w:p>
        </w:tc>
        <w:tc>
          <w:tcPr>
            <w:tcW w:w="2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040" w:type="dxa"/>
            <w:vAlign w:val="bottom"/>
          </w:tcPr>
          <w:p>
            <w:pPr>
              <w:ind w:left="240"/>
              <w:spacing w:after="0" w:line="158" w:lineRule="exact"/>
              <w:rPr>
                <w:sz w:val="20"/>
                <w:szCs w:val="20"/>
                <w:color w:val="auto"/>
              </w:rPr>
            </w:pPr>
            <w:r>
              <w:rPr>
                <w:rFonts w:ascii="Arial" w:cs="Arial" w:eastAsia="Arial" w:hAnsi="Arial"/>
                <w:sz w:val="14"/>
                <w:szCs w:val="14"/>
                <w:color w:val="auto"/>
              </w:rPr>
              <w:t>Other</w:t>
            </w:r>
          </w:p>
        </w:tc>
        <w:tc>
          <w:tcPr>
            <w:tcW w:w="100" w:type="dxa"/>
            <w:vAlign w:val="bottom"/>
          </w:tcPr>
          <w:p>
            <w:pPr>
              <w:spacing w:after="0"/>
              <w:rPr>
                <w:sz w:val="13"/>
                <w:szCs w:val="13"/>
                <w:color w:val="auto"/>
              </w:rPr>
            </w:pPr>
          </w:p>
        </w:tc>
        <w:tc>
          <w:tcPr>
            <w:tcW w:w="860" w:type="dxa"/>
            <w:vAlign w:val="bottom"/>
          </w:tcPr>
          <w:p>
            <w:pPr>
              <w:jc w:val="right"/>
              <w:spacing w:after="0" w:line="158" w:lineRule="exact"/>
              <w:rPr>
                <w:sz w:val="20"/>
                <w:szCs w:val="20"/>
                <w:color w:val="auto"/>
              </w:rPr>
            </w:pPr>
            <w:r>
              <w:rPr>
                <w:rFonts w:ascii="Arial" w:cs="Arial" w:eastAsia="Arial" w:hAnsi="Arial"/>
                <w:sz w:val="14"/>
                <w:szCs w:val="14"/>
                <w:color w:val="auto"/>
              </w:rPr>
              <w:t>42,048</w:t>
            </w: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spacing w:after="0" w:line="158" w:lineRule="exact"/>
              <w:rPr>
                <w:sz w:val="20"/>
                <w:szCs w:val="20"/>
                <w:color w:val="auto"/>
              </w:rPr>
            </w:pPr>
            <w:r>
              <w:rPr>
                <w:rFonts w:ascii="Arial" w:cs="Arial" w:eastAsia="Arial" w:hAnsi="Arial"/>
                <w:sz w:val="14"/>
                <w:szCs w:val="14"/>
                <w:color w:val="auto"/>
              </w:rPr>
              <w:t>1,553</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jc w:val="right"/>
              <w:spacing w:after="0" w:line="158" w:lineRule="exact"/>
              <w:rPr>
                <w:sz w:val="20"/>
                <w:szCs w:val="20"/>
                <w:color w:val="auto"/>
              </w:rPr>
            </w:pPr>
            <w:r>
              <w:rPr>
                <w:rFonts w:ascii="Arial" w:cs="Arial" w:eastAsia="Arial" w:hAnsi="Arial"/>
                <w:sz w:val="14"/>
                <w:szCs w:val="14"/>
                <w:color w:val="auto"/>
              </w:rPr>
              <w:t>3.69</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right"/>
              <w:ind w:right="280"/>
              <w:spacing w:after="0" w:line="158" w:lineRule="exact"/>
              <w:rPr>
                <w:sz w:val="20"/>
                <w:szCs w:val="20"/>
                <w:color w:val="auto"/>
              </w:rPr>
            </w:pPr>
            <w:r>
              <w:rPr>
                <w:rFonts w:ascii="Arial" w:cs="Arial" w:eastAsia="Arial" w:hAnsi="Arial"/>
                <w:sz w:val="14"/>
                <w:szCs w:val="14"/>
                <w:color w:val="auto"/>
              </w:rPr>
              <w:t>(204)</w:t>
            </w:r>
          </w:p>
        </w:tc>
        <w:tc>
          <w:tcPr>
            <w:tcW w:w="118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20"/>
        </w:trPr>
        <w:tc>
          <w:tcPr>
            <w:tcW w:w="5040" w:type="dxa"/>
            <w:vAlign w:val="bottom"/>
            <w:vMerge w:val="restart"/>
            <w:shd w:val="clear" w:color="auto" w:fill="CFF0FC"/>
          </w:tcPr>
          <w:p>
            <w:pPr>
              <w:ind w:left="240"/>
              <w:spacing w:after="0"/>
              <w:rPr>
                <w:sz w:val="20"/>
                <w:szCs w:val="20"/>
                <w:color w:val="auto"/>
              </w:rPr>
            </w:pPr>
            <w:r>
              <w:rPr>
                <w:rFonts w:ascii="Arial" w:cs="Arial" w:eastAsia="Arial" w:hAnsi="Arial"/>
                <w:sz w:val="14"/>
                <w:szCs w:val="14"/>
                <w:color w:val="auto"/>
              </w:rPr>
              <w:t>Total</w:t>
            </w: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04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rPr>
              <w:t>2,337,525</w:t>
            </w:r>
          </w:p>
        </w:tc>
        <w:tc>
          <w:tcPr>
            <w:tcW w:w="320" w:type="dxa"/>
            <w:vAlign w:val="bottom"/>
            <w:vMerge w:val="continue"/>
            <w:shd w:val="clear" w:color="auto" w:fill="CFF0FC"/>
          </w:tcPr>
          <w:p>
            <w:pPr>
              <w:spacing w:after="0"/>
              <w:rPr>
                <w:sz w:val="13"/>
                <w:szCs w:val="13"/>
                <w:color w:val="auto"/>
              </w:rPr>
            </w:pPr>
          </w:p>
        </w:tc>
        <w:tc>
          <w:tcPr>
            <w:tcW w:w="160" w:type="dxa"/>
            <w:vAlign w:val="bottom"/>
            <w:shd w:val="clear" w:color="auto" w:fill="CFF0FC"/>
          </w:tcPr>
          <w:p>
            <w:pPr>
              <w:jc w:val="right"/>
              <w:ind w:right="10"/>
              <w:spacing w:after="0" w:line="151"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rPr>
              <w:t>39,361</w:t>
            </w:r>
          </w:p>
        </w:tc>
        <w:tc>
          <w:tcPr>
            <w:tcW w:w="140" w:type="dxa"/>
            <w:vAlign w:val="bottom"/>
            <w:shd w:val="clear" w:color="auto" w:fill="CFF0FC"/>
          </w:tcPr>
          <w:p>
            <w:pPr>
              <w:spacing w:after="0"/>
              <w:rPr>
                <w:sz w:val="13"/>
                <w:szCs w:val="13"/>
                <w:color w:val="auto"/>
              </w:rPr>
            </w:pPr>
          </w:p>
        </w:tc>
        <w:tc>
          <w:tcPr>
            <w:tcW w:w="200" w:type="dxa"/>
            <w:vAlign w:val="bottom"/>
            <w:vMerge w:val="continue"/>
            <w:shd w:val="clear" w:color="auto" w:fill="CFF0FC"/>
          </w:tcPr>
          <w:p>
            <w:pPr>
              <w:spacing w:after="0"/>
              <w:rPr>
                <w:sz w:val="13"/>
                <w:szCs w:val="13"/>
                <w:color w:val="auto"/>
              </w:rPr>
            </w:pPr>
          </w:p>
        </w:tc>
        <w:tc>
          <w:tcPr>
            <w:tcW w:w="1220" w:type="dxa"/>
            <w:vAlign w:val="bottom"/>
            <w:gridSpan w:val="2"/>
            <w:shd w:val="clear" w:color="auto" w:fill="CFF0FC"/>
          </w:tcPr>
          <w:p>
            <w:pPr>
              <w:jc w:val="right"/>
              <w:ind w:right="140"/>
              <w:spacing w:after="0" w:line="151" w:lineRule="exact"/>
              <w:rPr>
                <w:sz w:val="20"/>
                <w:szCs w:val="20"/>
                <w:color w:val="auto"/>
              </w:rPr>
            </w:pPr>
            <w:r>
              <w:rPr>
                <w:rFonts w:ascii="Arial" w:cs="Arial" w:eastAsia="Arial" w:hAnsi="Arial"/>
                <w:sz w:val="14"/>
                <w:szCs w:val="14"/>
                <w:color w:val="auto"/>
              </w:rPr>
              <w:t>1.68%</w:t>
            </w:r>
          </w:p>
        </w:tc>
        <w:tc>
          <w:tcPr>
            <w:tcW w:w="100" w:type="dxa"/>
            <w:vAlign w:val="bottom"/>
            <w:vMerge w:val="continue"/>
            <w:shd w:val="clear" w:color="auto" w:fill="CFF0FC"/>
          </w:tcPr>
          <w:p>
            <w:pPr>
              <w:spacing w:after="0"/>
              <w:rPr>
                <w:sz w:val="13"/>
                <w:szCs w:val="13"/>
                <w:color w:val="auto"/>
              </w:rPr>
            </w:pPr>
          </w:p>
        </w:tc>
        <w:tc>
          <w:tcPr>
            <w:tcW w:w="160" w:type="dxa"/>
            <w:vAlign w:val="bottom"/>
            <w:shd w:val="clear" w:color="auto" w:fill="CFF0FC"/>
          </w:tcPr>
          <w:p>
            <w:pPr>
              <w:jc w:val="right"/>
              <w:ind w:right="50"/>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rPr>
              <w:t>2,930</w:t>
            </w:r>
          </w:p>
        </w:tc>
        <w:tc>
          <w:tcPr>
            <w:tcW w:w="32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80"/>
              <w:spacing w:after="0" w:line="151"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0"/>
        </w:trPr>
        <w:tc>
          <w:tcPr>
            <w:tcW w:w="50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4"/>
                <w:szCs w:val="14"/>
                <w:color w:val="auto"/>
              </w:rPr>
              <w:t>Limited documentation junior lien: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50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5040" w:type="dxa"/>
            <w:vAlign w:val="bottom"/>
            <w:shd w:val="clear" w:color="auto" w:fill="CFF0FC"/>
          </w:tcPr>
          <w:p>
            <w:pPr>
              <w:ind w:left="240"/>
              <w:spacing w:after="0" w:line="158" w:lineRule="exact"/>
              <w:rPr>
                <w:sz w:val="20"/>
                <w:szCs w:val="20"/>
                <w:color w:val="auto"/>
              </w:rPr>
            </w:pPr>
            <w:r>
              <w:rPr>
                <w:rFonts w:ascii="Arial" w:cs="Arial" w:eastAsia="Arial" w:hAnsi="Arial"/>
                <w:sz w:val="14"/>
                <w:szCs w:val="14"/>
                <w:color w:val="auto"/>
              </w:rPr>
              <w:t>New York</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747</w:t>
            </w:r>
          </w:p>
        </w:tc>
        <w:tc>
          <w:tcPr>
            <w:tcW w:w="480" w:type="dxa"/>
            <w:vAlign w:val="bottom"/>
            <w:gridSpan w:val="2"/>
            <w:shd w:val="clear" w:color="auto" w:fill="CFF0FC"/>
          </w:tcPr>
          <w:p>
            <w:pPr>
              <w:jc w:val="right"/>
              <w:ind w:right="10"/>
              <w:spacing w:after="0" w:line="158"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FF0FC"/>
          </w:tcPr>
          <w:p>
            <w:pPr>
              <w:jc w:val="right"/>
              <w:ind w:right="140"/>
              <w:spacing w:after="0" w:line="158" w:lineRule="exact"/>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140"/>
              <w:spacing w:after="0" w:line="158"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FF0FC"/>
          </w:tcPr>
          <w:p>
            <w:pPr>
              <w:jc w:val="right"/>
              <w:ind w:right="50"/>
              <w:spacing w:after="0" w:line="158"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FF0FC"/>
          </w:tcPr>
          <w:p>
            <w:pPr>
              <w:jc w:val="right"/>
              <w:ind w:right="280"/>
              <w:spacing w:after="0" w:line="158" w:lineRule="exact"/>
              <w:rPr>
                <w:sz w:val="20"/>
                <w:szCs w:val="20"/>
                <w:color w:val="auto"/>
              </w:rPr>
            </w:pPr>
            <w:r>
              <w:rPr>
                <w:rFonts w:ascii="Arial" w:cs="Arial" w:eastAsia="Arial" w:hAnsi="Arial"/>
                <w:sz w:val="14"/>
                <w:szCs w:val="14"/>
                <w:color w:val="auto"/>
              </w:rPr>
              <w:t>(2)</w:t>
            </w:r>
          </w:p>
        </w:tc>
        <w:tc>
          <w:tcPr>
            <w:tcW w:w="1180" w:type="dxa"/>
            <w:vAlign w:val="bottom"/>
            <w:gridSpan w:val="2"/>
            <w:shd w:val="clear" w:color="auto" w:fill="CFF0FC"/>
          </w:tcPr>
          <w:p>
            <w:pPr>
              <w:jc w:val="right"/>
              <w:ind w:right="40"/>
              <w:spacing w:after="0" w:line="158" w:lineRule="exact"/>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58"/>
        </w:trPr>
        <w:tc>
          <w:tcPr>
            <w:tcW w:w="5040" w:type="dxa"/>
            <w:vAlign w:val="bottom"/>
          </w:tcPr>
          <w:p>
            <w:pPr>
              <w:ind w:left="240"/>
              <w:spacing w:after="0" w:line="158" w:lineRule="exact"/>
              <w:rPr>
                <w:sz w:val="20"/>
                <w:szCs w:val="20"/>
                <w:color w:val="auto"/>
              </w:rPr>
            </w:pPr>
            <w:r>
              <w:rPr>
                <w:rFonts w:ascii="Arial" w:cs="Arial" w:eastAsia="Arial" w:hAnsi="Arial"/>
                <w:sz w:val="14"/>
                <w:szCs w:val="14"/>
                <w:color w:val="auto"/>
              </w:rPr>
              <w:t>Pennsylvania</w:t>
            </w:r>
          </w:p>
        </w:tc>
        <w:tc>
          <w:tcPr>
            <w:tcW w:w="100" w:type="dxa"/>
            <w:vAlign w:val="bottom"/>
          </w:tcPr>
          <w:p>
            <w:pPr>
              <w:spacing w:after="0"/>
              <w:rPr>
                <w:sz w:val="13"/>
                <w:szCs w:val="13"/>
                <w:color w:val="auto"/>
              </w:rPr>
            </w:pPr>
          </w:p>
        </w:tc>
        <w:tc>
          <w:tcPr>
            <w:tcW w:w="860" w:type="dxa"/>
            <w:vAlign w:val="bottom"/>
          </w:tcPr>
          <w:p>
            <w:pPr>
              <w:jc w:val="right"/>
              <w:spacing w:after="0" w:line="158" w:lineRule="exact"/>
              <w:rPr>
                <w:sz w:val="20"/>
                <w:szCs w:val="20"/>
                <w:color w:val="auto"/>
              </w:rPr>
            </w:pPr>
            <w:r>
              <w:rPr>
                <w:rFonts w:ascii="Arial" w:cs="Arial" w:eastAsia="Arial" w:hAnsi="Arial"/>
                <w:sz w:val="14"/>
                <w:szCs w:val="14"/>
                <w:color w:val="auto"/>
              </w:rPr>
              <w:t>320</w:t>
            </w: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220" w:type="dxa"/>
            <w:vAlign w:val="bottom"/>
            <w:gridSpan w:val="2"/>
          </w:tcPr>
          <w:p>
            <w:pPr>
              <w:jc w:val="right"/>
              <w:ind w:right="260"/>
              <w:spacing w:after="0" w:line="15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right"/>
              <w:ind w:right="340"/>
              <w:spacing w:after="0" w:line="158"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00"/>
              <w:spacing w:after="0" w:line="15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8"/>
        </w:trPr>
        <w:tc>
          <w:tcPr>
            <w:tcW w:w="5040" w:type="dxa"/>
            <w:vAlign w:val="bottom"/>
            <w:shd w:val="clear" w:color="auto" w:fill="CFF0FC"/>
          </w:tcPr>
          <w:p>
            <w:pPr>
              <w:ind w:left="240"/>
              <w:spacing w:after="0" w:line="158" w:lineRule="exact"/>
              <w:rPr>
                <w:sz w:val="20"/>
                <w:szCs w:val="20"/>
                <w:color w:val="auto"/>
              </w:rPr>
            </w:pPr>
            <w:r>
              <w:rPr>
                <w:rFonts w:ascii="Arial" w:cs="Arial" w:eastAsia="Arial" w:hAnsi="Arial"/>
                <w:sz w:val="14"/>
                <w:szCs w:val="14"/>
                <w:color w:val="auto"/>
              </w:rPr>
              <w:t>Maryland</w:t>
            </w:r>
          </w:p>
        </w:tc>
        <w:tc>
          <w:tcPr>
            <w:tcW w:w="10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1,316</w:t>
            </w:r>
          </w:p>
        </w:tc>
        <w:tc>
          <w:tcPr>
            <w:tcW w:w="3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140"/>
              <w:spacing w:after="0" w:line="158" w:lineRule="exact"/>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260"/>
              <w:spacing w:after="0" w:line="158"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53</w:t>
            </w:r>
          </w:p>
        </w:tc>
        <w:tc>
          <w:tcPr>
            <w:tcW w:w="32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3.88</w:t>
            </w:r>
          </w:p>
        </w:tc>
        <w:tc>
          <w:tcPr>
            <w:tcW w:w="2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040" w:type="dxa"/>
            <w:vAlign w:val="bottom"/>
          </w:tcPr>
          <w:p>
            <w:pPr>
              <w:ind w:left="240"/>
              <w:spacing w:after="0" w:line="158" w:lineRule="exact"/>
              <w:rPr>
                <w:sz w:val="20"/>
                <w:szCs w:val="20"/>
                <w:color w:val="auto"/>
              </w:rPr>
            </w:pPr>
            <w:r>
              <w:rPr>
                <w:rFonts w:ascii="Arial" w:cs="Arial" w:eastAsia="Arial" w:hAnsi="Arial"/>
                <w:sz w:val="14"/>
                <w:szCs w:val="14"/>
                <w:color w:val="auto"/>
              </w:rPr>
              <w:t>New Jersey</w:t>
            </w:r>
          </w:p>
        </w:tc>
        <w:tc>
          <w:tcPr>
            <w:tcW w:w="100" w:type="dxa"/>
            <w:vAlign w:val="bottom"/>
          </w:tcPr>
          <w:p>
            <w:pPr>
              <w:spacing w:after="0"/>
              <w:rPr>
                <w:sz w:val="13"/>
                <w:szCs w:val="13"/>
                <w:color w:val="auto"/>
              </w:rPr>
            </w:pPr>
          </w:p>
        </w:tc>
        <w:tc>
          <w:tcPr>
            <w:tcW w:w="860" w:type="dxa"/>
            <w:vAlign w:val="bottom"/>
          </w:tcPr>
          <w:p>
            <w:pPr>
              <w:jc w:val="right"/>
              <w:spacing w:after="0" w:line="158" w:lineRule="exact"/>
              <w:rPr>
                <w:sz w:val="20"/>
                <w:szCs w:val="20"/>
                <w:color w:val="auto"/>
              </w:rPr>
            </w:pPr>
            <w:r>
              <w:rPr>
                <w:rFonts w:ascii="Arial" w:cs="Arial" w:eastAsia="Arial" w:hAnsi="Arial"/>
                <w:sz w:val="14"/>
                <w:szCs w:val="14"/>
                <w:color w:val="auto"/>
              </w:rPr>
              <w:t>384</w:t>
            </w: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220" w:type="dxa"/>
            <w:vAlign w:val="bottom"/>
            <w:gridSpan w:val="2"/>
          </w:tcPr>
          <w:p>
            <w:pPr>
              <w:jc w:val="right"/>
              <w:ind w:right="260"/>
              <w:spacing w:after="0" w:line="15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right"/>
              <w:ind w:right="280"/>
              <w:spacing w:after="0" w:line="158" w:lineRule="exact"/>
              <w:rPr>
                <w:sz w:val="20"/>
                <w:szCs w:val="20"/>
                <w:color w:val="auto"/>
              </w:rPr>
            </w:pPr>
            <w:r>
              <w:rPr>
                <w:rFonts w:ascii="Arial" w:cs="Arial" w:eastAsia="Arial" w:hAnsi="Arial"/>
                <w:sz w:val="14"/>
                <w:szCs w:val="14"/>
                <w:color w:val="auto"/>
              </w:rPr>
              <w:t>(35)</w:t>
            </w:r>
          </w:p>
        </w:tc>
        <w:tc>
          <w:tcPr>
            <w:tcW w:w="118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(9.33)</w:t>
            </w:r>
          </w:p>
        </w:tc>
        <w:tc>
          <w:tcPr>
            <w:tcW w:w="0" w:type="dxa"/>
            <w:vAlign w:val="bottom"/>
          </w:tcPr>
          <w:p>
            <w:pPr>
              <w:spacing w:after="0"/>
              <w:rPr>
                <w:sz w:val="1"/>
                <w:szCs w:val="1"/>
                <w:color w:val="auto"/>
              </w:rPr>
            </w:pPr>
          </w:p>
        </w:tc>
      </w:tr>
      <w:tr>
        <w:trPr>
          <w:trHeight w:val="158"/>
        </w:trPr>
        <w:tc>
          <w:tcPr>
            <w:tcW w:w="5040" w:type="dxa"/>
            <w:vAlign w:val="bottom"/>
            <w:shd w:val="clear" w:color="auto" w:fill="CFF0FC"/>
          </w:tcPr>
          <w:p>
            <w:pPr>
              <w:ind w:left="240"/>
              <w:spacing w:after="0" w:line="158" w:lineRule="exact"/>
              <w:rPr>
                <w:sz w:val="20"/>
                <w:szCs w:val="20"/>
                <w:color w:val="auto"/>
              </w:rPr>
            </w:pPr>
            <w:r>
              <w:rPr>
                <w:rFonts w:ascii="Arial" w:cs="Arial" w:eastAsia="Arial" w:hAnsi="Arial"/>
                <w:sz w:val="14"/>
                <w:szCs w:val="14"/>
                <w:color w:val="auto"/>
              </w:rPr>
              <w:t>Other Mid-Atlantic (a)</w:t>
            </w:r>
          </w:p>
        </w:tc>
        <w:tc>
          <w:tcPr>
            <w:tcW w:w="10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600</w:t>
            </w:r>
          </w:p>
        </w:tc>
        <w:tc>
          <w:tcPr>
            <w:tcW w:w="3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140"/>
              <w:spacing w:after="0" w:line="158" w:lineRule="exact"/>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260"/>
              <w:spacing w:after="0" w:line="158"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340"/>
              <w:spacing w:after="0" w:line="158"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FF0FC"/>
          </w:tcPr>
          <w:p>
            <w:pPr>
              <w:jc w:val="right"/>
              <w:ind w:right="200"/>
              <w:spacing w:after="0" w:line="15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8"/>
        </w:trPr>
        <w:tc>
          <w:tcPr>
            <w:tcW w:w="5040" w:type="dxa"/>
            <w:vAlign w:val="bottom"/>
            <w:tcBorders>
              <w:bottom w:val="single" w:sz="8" w:color="CFF0FC"/>
            </w:tcBorders>
          </w:tcPr>
          <w:p>
            <w:pPr>
              <w:ind w:left="240"/>
              <w:spacing w:after="0" w:line="158" w:lineRule="exact"/>
              <w:rPr>
                <w:sz w:val="20"/>
                <w:szCs w:val="20"/>
                <w:color w:val="auto"/>
              </w:rPr>
            </w:pPr>
            <w:r>
              <w:rPr>
                <w:rFonts w:ascii="Arial" w:cs="Arial" w:eastAsia="Arial" w:hAnsi="Arial"/>
                <w:sz w:val="14"/>
                <w:szCs w:val="14"/>
                <w:color w:val="auto"/>
              </w:rPr>
              <w:t>Other</w:t>
            </w: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3,919</w:t>
            </w:r>
          </w:p>
        </w:tc>
        <w:tc>
          <w:tcPr>
            <w:tcW w:w="32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333</w:t>
            </w:r>
          </w:p>
        </w:tc>
        <w:tc>
          <w:tcPr>
            <w:tcW w:w="14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8.50</w:t>
            </w:r>
          </w:p>
        </w:tc>
        <w:tc>
          <w:tcPr>
            <w:tcW w:w="2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151</w:t>
            </w:r>
          </w:p>
        </w:tc>
        <w:tc>
          <w:tcPr>
            <w:tcW w:w="32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3.47</w:t>
            </w:r>
          </w:p>
        </w:tc>
        <w:tc>
          <w:tcPr>
            <w:tcW w:w="2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5040" w:type="dxa"/>
            <w:vAlign w:val="bottom"/>
            <w:shd w:val="clear" w:color="auto" w:fill="CFF0FC"/>
          </w:tcPr>
          <w:p>
            <w:pPr>
              <w:ind w:left="240"/>
              <w:spacing w:after="0" w:line="151" w:lineRule="exact"/>
              <w:rPr>
                <w:sz w:val="20"/>
                <w:szCs w:val="20"/>
                <w:color w:val="auto"/>
              </w:rPr>
            </w:pPr>
            <w:r>
              <w:rPr>
                <w:rFonts w:ascii="Arial" w:cs="Arial" w:eastAsia="Arial" w:hAnsi="Arial"/>
                <w:sz w:val="14"/>
                <w:szCs w:val="14"/>
                <w:color w:val="auto"/>
              </w:rPr>
              <w:t>Total</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rPr>
              <w:t>7,286</w:t>
            </w:r>
          </w:p>
        </w:tc>
        <w:tc>
          <w:tcPr>
            <w:tcW w:w="32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10"/>
              <w:spacing w:after="0" w:line="151"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rPr>
              <w:t>333</w:t>
            </w:r>
          </w:p>
        </w:tc>
        <w:tc>
          <w:tcPr>
            <w:tcW w:w="1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140"/>
              <w:spacing w:after="0" w:line="151" w:lineRule="exact"/>
              <w:rPr>
                <w:sz w:val="20"/>
                <w:szCs w:val="20"/>
                <w:color w:val="auto"/>
              </w:rPr>
            </w:pPr>
            <w:r>
              <w:rPr>
                <w:rFonts w:ascii="Arial" w:cs="Arial" w:eastAsia="Arial" w:hAnsi="Arial"/>
                <w:sz w:val="14"/>
                <w:szCs w:val="14"/>
                <w:color w:val="auto"/>
              </w:rPr>
              <w:t>4.57%</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50"/>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rPr>
              <w:t>167</w:t>
            </w:r>
          </w:p>
        </w:tc>
        <w:tc>
          <w:tcPr>
            <w:tcW w:w="32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80"/>
              <w:spacing w:after="0" w:line="151" w:lineRule="exact"/>
              <w:rPr>
                <w:sz w:val="20"/>
                <w:szCs w:val="20"/>
                <w:color w:val="auto"/>
              </w:rPr>
            </w:pPr>
            <w:r>
              <w:rPr>
                <w:rFonts w:ascii="Arial" w:cs="Arial" w:eastAsia="Arial" w:hAnsi="Arial"/>
                <w:sz w:val="14"/>
                <w:szCs w:val="14"/>
                <w:color w:val="auto"/>
              </w:rPr>
              <w:t>2.13%</w:t>
            </w:r>
          </w:p>
        </w:tc>
        <w:tc>
          <w:tcPr>
            <w:tcW w:w="0" w:type="dxa"/>
            <w:vAlign w:val="bottom"/>
          </w:tcPr>
          <w:p>
            <w:pPr>
              <w:spacing w:after="0"/>
              <w:rPr>
                <w:sz w:val="1"/>
                <w:szCs w:val="1"/>
                <w:color w:val="auto"/>
              </w:rPr>
            </w:pPr>
          </w:p>
        </w:tc>
      </w:tr>
      <w:tr>
        <w:trPr>
          <w:trHeight w:val="20"/>
        </w:trPr>
        <w:tc>
          <w:tcPr>
            <w:tcW w:w="50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136017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154" w:lineRule="exact"/>
        <w:rPr>
          <w:sz w:val="20"/>
          <w:szCs w:val="20"/>
          <w:color w:val="auto"/>
        </w:rPr>
      </w:pPr>
    </w:p>
    <w:p>
      <w:pPr>
        <w:ind w:left="600" w:hanging="595"/>
        <w:spacing w:after="0"/>
        <w:tabs>
          <w:tab w:leader="none" w:pos="600" w:val="left"/>
        </w:tabs>
        <w:numPr>
          <w:ilvl w:val="0"/>
          <w:numId w:val="30"/>
        </w:numPr>
        <w:rPr>
          <w:rFonts w:ascii="Arial" w:cs="Arial" w:eastAsia="Arial" w:hAnsi="Arial"/>
          <w:sz w:val="16"/>
          <w:szCs w:val="16"/>
          <w:i w:val="1"/>
          <w:iCs w:val="1"/>
          <w:color w:val="auto"/>
        </w:rPr>
      </w:pPr>
      <w:r>
        <w:rPr>
          <w:rFonts w:ascii="Arial" w:cs="Arial" w:eastAsia="Arial" w:hAnsi="Arial"/>
          <w:sz w:val="16"/>
          <w:szCs w:val="16"/>
          <w:i w:val="1"/>
          <w:iCs w:val="1"/>
          <w:color w:val="auto"/>
        </w:rPr>
        <w:t>Includes Delaware, Virginia, West Virginia and the District of Columbia.</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72" w:name="page73"/>
    <w:bookmarkEnd w:id="72"/>
    <w:p>
      <w:pPr>
        <w:ind w:firstLine="598"/>
        <w:spacing w:after="0" w:line="275" w:lineRule="auto"/>
        <w:rPr>
          <w:sz w:val="20"/>
          <w:szCs w:val="20"/>
          <w:color w:val="auto"/>
        </w:rPr>
      </w:pPr>
      <w:r>
        <w:rPr>
          <w:rFonts w:ascii="Arial" w:cs="Arial" w:eastAsia="Arial" w:hAnsi="Arial"/>
          <w:sz w:val="18"/>
          <w:szCs w:val="18"/>
          <w:color w:val="auto"/>
        </w:rPr>
        <w:t>Net charge-offs of consumer loans during 2017 aggregated $89 million, compared with $112 million in 2016 and $87 million in 2015. During 2016, the Company accelerated the charge off of consumer loans associated with customers who were either deceased or had filed for bankruptcy that, in accordance with GAAP, had previously been considered when determining the level of the allowance for credit losses and were charged-off following the Company’s normal charge-off procedures to the extent the loans subsequently became delinquent. Charge-offs of such loans totaled $25 million and $32 million in 2017 and 2016, respectively, and included $17 million and $22 million of loan balances with a current payment status at the time of charge-off. Included in net charge-offs of consumer loans were: automobile loans of $34 million in 2017, $32 million in 2016 and $12 million in 2015; recreational vehicle loans of $16 million, $24 million and $12 million during 2017, 2016 and 2015, respectively; and home equity loans and lines of credit secured by one-to-four family residential properties of $11 million in 2017, $17 million in 2016 and $15 million in 2015. Nonaccrual consumer loans were $108 million at December 31, 2017, compared with $112 million and $118 million at December 31, 2016 and 2015, respectively. Included in nonaccrual consumer loans at the 2017, 2016 and 2015 year-ends were: automobile loans of $24 million, $19 million and $17 million, respectively; recreational vehicle loans of $6 million, $7 million and $9 million, respectively; and outstanding balances of home equity loans and lines of credit of $75 million, $82 million and $84 million, respectively. Information about the location of nonaccrual and charged-off home equity loans and lines of credit as of and for the year ended December 31, 2017 is presented in table 13.</w:t>
      </w:r>
    </w:p>
    <w:p>
      <w:pPr>
        <w:spacing w:after="0" w:line="9" w:lineRule="exact"/>
        <w:rPr>
          <w:sz w:val="20"/>
          <w:szCs w:val="20"/>
          <w:color w:val="auto"/>
        </w:rPr>
      </w:pPr>
    </w:p>
    <w:p>
      <w:pPr>
        <w:ind w:right="220" w:firstLine="598"/>
        <w:spacing w:after="0" w:line="246" w:lineRule="auto"/>
        <w:rPr>
          <w:sz w:val="20"/>
          <w:szCs w:val="20"/>
          <w:color w:val="auto"/>
        </w:rPr>
      </w:pPr>
      <w:r>
        <w:rPr>
          <w:rFonts w:ascii="Arial" w:cs="Arial" w:eastAsia="Arial" w:hAnsi="Arial"/>
          <w:sz w:val="20"/>
          <w:szCs w:val="20"/>
          <w:color w:val="auto"/>
        </w:rPr>
        <w:t>Information about past due and nonaccrual loans as of December 31, 2017 and 2016 is also included in note 4 of Notes to Financial Statements.</w:t>
      </w:r>
    </w:p>
    <w:p>
      <w:pPr>
        <w:spacing w:after="0" w:line="2" w:lineRule="exact"/>
        <w:rPr>
          <w:sz w:val="20"/>
          <w:szCs w:val="20"/>
          <w:color w:val="auto"/>
        </w:rPr>
      </w:pPr>
    </w:p>
    <w:p>
      <w:pPr>
        <w:ind w:firstLine="598"/>
        <w:spacing w:after="0" w:line="246" w:lineRule="auto"/>
        <w:rPr>
          <w:sz w:val="20"/>
          <w:szCs w:val="20"/>
          <w:color w:val="auto"/>
        </w:rPr>
      </w:pPr>
      <w:r>
        <w:rPr>
          <w:rFonts w:ascii="Arial" w:cs="Arial" w:eastAsia="Arial" w:hAnsi="Arial"/>
          <w:sz w:val="20"/>
          <w:szCs w:val="20"/>
          <w:color w:val="auto"/>
        </w:rPr>
        <w:t>Real estate and other foreclosed assets totaled $112 million at December 31, 2017, compared with $139 million at December 31, 2016 and $195 million at December 31, 2015. Net gains or losses associated with real estate and other foreclosed assets were not material in 2017, 2016 or 2015. At December 31, 2017, the Company’s holding of residential real estate-related properties comprised approximately 96% of foreclosed assets.</w:t>
      </w:r>
    </w:p>
    <w:p>
      <w:pPr>
        <w:spacing w:after="0" w:line="3" w:lineRule="exact"/>
        <w:rPr>
          <w:sz w:val="20"/>
          <w:szCs w:val="20"/>
          <w:color w:val="auto"/>
        </w:rPr>
      </w:pPr>
    </w:p>
    <w:p>
      <w:pPr>
        <w:ind w:firstLine="598"/>
        <w:spacing w:after="0" w:line="274" w:lineRule="auto"/>
        <w:rPr>
          <w:sz w:val="20"/>
          <w:szCs w:val="20"/>
          <w:color w:val="auto"/>
        </w:rPr>
      </w:pPr>
      <w:r>
        <w:rPr>
          <w:rFonts w:ascii="Arial" w:cs="Arial" w:eastAsia="Arial" w:hAnsi="Arial"/>
          <w:sz w:val="18"/>
          <w:szCs w:val="18"/>
          <w:color w:val="auto"/>
        </w:rPr>
        <w:t>Management determined the allowance for credit losses by performing ongoing evaluations of the loan and lease portfolio, including such factors as the differing economic risks associated with each loan category, the financial condition of specific borrowers, the economic environment in which borrowers operate, the level of delinquent loans, the value of any collateral and, where applicable, the existence of any guarantees or indemnifications. Management evaluated the impact of changes in interest rates and overall economic conditions on the ability of borrowers to meet repayment obligations when quantifying the Company’s exposure to credit losses and the allowance for such losses as of each reporting date. Factors also considered by management when performing its assessment, in addition to general economic conditions and the other factors described above, included, but were not limited to: (i) the impact of real estate values on the Company’s portfolio of loans secured by commercial and residential real estate; (ii) the concentrations of commercial real estate loans in the Company’s loan portfolio; (iii) the amount of commercial and industrial loans to businesses in areas of New York State outside of the New York City metropolitan area and in central Pennsylvania that have historically experienced less economic growth and vitality than the vast majority of other regions of the country;</w:t>
      </w:r>
    </w:p>
    <w:p>
      <w:pPr>
        <w:spacing w:after="0" w:line="2" w:lineRule="exact"/>
        <w:rPr>
          <w:sz w:val="20"/>
          <w:szCs w:val="20"/>
          <w:color w:val="auto"/>
        </w:rPr>
      </w:pPr>
    </w:p>
    <w:p>
      <w:pPr>
        <w:ind w:right="100" w:firstLine="5"/>
        <w:spacing w:after="0" w:line="259" w:lineRule="auto"/>
        <w:tabs>
          <w:tab w:leader="none" w:pos="332" w:val="left"/>
        </w:tabs>
        <w:numPr>
          <w:ilvl w:val="0"/>
          <w:numId w:val="31"/>
        </w:numPr>
        <w:rPr>
          <w:rFonts w:ascii="Arial" w:cs="Arial" w:eastAsia="Arial" w:hAnsi="Arial"/>
          <w:sz w:val="19"/>
          <w:szCs w:val="19"/>
          <w:color w:val="auto"/>
        </w:rPr>
      </w:pPr>
      <w:r>
        <w:rPr>
          <w:rFonts w:ascii="Arial" w:cs="Arial" w:eastAsia="Arial" w:hAnsi="Arial"/>
          <w:sz w:val="19"/>
          <w:szCs w:val="19"/>
          <w:color w:val="auto"/>
        </w:rPr>
        <w:t>the expected repayment performance associated with the Company’s first and second lien loans secured by residential real estate, including loans obtained in the acquisition of Hudson City that were not classified as purchased impaired; and (v) the size of the Company’s portfolio of loans to individual consumers, which historically have experienced higher net charge-offs as a percentage of loans outstanding than other loan types. The level of the allowance is adjusted based on the results of management’s analysis.</w:t>
      </w:r>
    </w:p>
    <w:p>
      <w:pPr>
        <w:spacing w:after="0" w:line="2" w:lineRule="exact"/>
        <w:rPr>
          <w:rFonts w:ascii="Arial" w:cs="Arial" w:eastAsia="Arial" w:hAnsi="Arial"/>
          <w:sz w:val="19"/>
          <w:szCs w:val="19"/>
          <w:color w:val="auto"/>
        </w:rPr>
      </w:pPr>
    </w:p>
    <w:p>
      <w:pPr>
        <w:ind w:left="600"/>
        <w:spacing w:after="0"/>
        <w:rPr>
          <w:rFonts w:ascii="Arial" w:cs="Arial" w:eastAsia="Arial" w:hAnsi="Arial"/>
          <w:sz w:val="19"/>
          <w:szCs w:val="19"/>
          <w:color w:val="auto"/>
        </w:rPr>
      </w:pPr>
      <w:r>
        <w:rPr>
          <w:rFonts w:ascii="Arial" w:cs="Arial" w:eastAsia="Arial" w:hAnsi="Arial"/>
          <w:sz w:val="20"/>
          <w:szCs w:val="20"/>
          <w:color w:val="auto"/>
        </w:rPr>
        <w:t>Management cautiously and conservatively evaluated the allowance for credit losses as of December 31, 2017 in light of:</w:t>
      </w:r>
    </w:p>
    <w:p>
      <w:pPr>
        <w:spacing w:after="0" w:line="6" w:lineRule="exact"/>
        <w:rPr>
          <w:rFonts w:ascii="Arial" w:cs="Arial" w:eastAsia="Arial" w:hAnsi="Arial"/>
          <w:sz w:val="19"/>
          <w:szCs w:val="19"/>
          <w:color w:val="auto"/>
        </w:rPr>
      </w:pPr>
    </w:p>
    <w:p>
      <w:pPr>
        <w:ind w:right="520" w:firstLine="5"/>
        <w:spacing w:after="0" w:line="256" w:lineRule="auto"/>
        <w:tabs>
          <w:tab w:leader="none" w:pos="240" w:val="left"/>
        </w:tabs>
        <w:numPr>
          <w:ilvl w:val="0"/>
          <w:numId w:val="32"/>
        </w:numPr>
        <w:rPr>
          <w:rFonts w:ascii="Arial" w:cs="Arial" w:eastAsia="Arial" w:hAnsi="Arial"/>
          <w:sz w:val="20"/>
          <w:szCs w:val="20"/>
          <w:color w:val="auto"/>
        </w:rPr>
      </w:pPr>
      <w:r>
        <w:rPr>
          <w:rFonts w:ascii="Arial" w:cs="Arial" w:eastAsia="Arial" w:hAnsi="Arial"/>
          <w:sz w:val="20"/>
          <w:szCs w:val="20"/>
          <w:color w:val="auto"/>
        </w:rPr>
        <w:t>residential real estate values and the level of delinquencies of loans secured by residential real estate; (ii) economic conditions in the markets served by the Company;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47" w:right="239" w:bottom="1440" w:gutter="0" w:footer="0" w:header="0"/>
        </w:sectPr>
      </w:pPr>
    </w:p>
    <w:bookmarkStart w:id="73" w:name="page74"/>
    <w:bookmarkEnd w:id="73"/>
    <w:p>
      <w:pPr>
        <w:ind w:firstLine="5"/>
        <w:spacing w:after="0" w:line="249" w:lineRule="auto"/>
        <w:tabs>
          <w:tab w:leader="none" w:pos="352" w:val="left"/>
        </w:tabs>
        <w:numPr>
          <w:ilvl w:val="0"/>
          <w:numId w:val="33"/>
        </w:numPr>
        <w:rPr>
          <w:rFonts w:ascii="Arial" w:cs="Arial" w:eastAsia="Arial" w:hAnsi="Arial"/>
          <w:sz w:val="20"/>
          <w:szCs w:val="20"/>
          <w:color w:val="auto"/>
        </w:rPr>
      </w:pPr>
      <w:r>
        <w:rPr>
          <w:rFonts w:ascii="Arial" w:cs="Arial" w:eastAsia="Arial" w:hAnsi="Arial"/>
          <w:sz w:val="20"/>
          <w:szCs w:val="20"/>
          <w:color w:val="auto"/>
        </w:rPr>
        <w:t>slower growth in private sector employment in upstate New York and central Pennsylvania than in other regions served by the Company and nationally; (iv) the significant subjectivity involved in commercial real estate valuations; and (v) the amount of loan growth experienced by the Company. While there has been general improvement in economic conditions, concerns continue to exist about the strength and sustainability of such improvements; the volatile nature of global commodity and export markets, including the impact international economic conditions could have on the U.S. economy; Federal Reserve positioning of monetary policy; and continued stagnant population growth in the upstate New York and central Pennsylvania regions (approximately 53% of the Company’s loans and leases are to customers in New York State and Pennsylvania).</w:t>
      </w:r>
    </w:p>
    <w:p>
      <w:pPr>
        <w:spacing w:after="0" w:line="3" w:lineRule="exact"/>
        <w:rPr>
          <w:rFonts w:ascii="Arial" w:cs="Arial" w:eastAsia="Arial" w:hAnsi="Arial"/>
          <w:sz w:val="20"/>
          <w:szCs w:val="20"/>
          <w:color w:val="auto"/>
        </w:rPr>
      </w:pPr>
    </w:p>
    <w:p>
      <w:pPr>
        <w:ind w:right="40" w:firstLine="598"/>
        <w:spacing w:after="0" w:line="246" w:lineRule="auto"/>
        <w:rPr>
          <w:rFonts w:ascii="Arial" w:cs="Arial" w:eastAsia="Arial" w:hAnsi="Arial"/>
          <w:sz w:val="20"/>
          <w:szCs w:val="20"/>
          <w:color w:val="auto"/>
        </w:rPr>
      </w:pPr>
      <w:r>
        <w:rPr>
          <w:rFonts w:ascii="Arial" w:cs="Arial" w:eastAsia="Arial" w:hAnsi="Arial"/>
          <w:sz w:val="20"/>
          <w:szCs w:val="20"/>
          <w:color w:val="auto"/>
        </w:rPr>
        <w:t>As described in note 5 of Notes to Financial Statements, the Company utilizes a loan grading system to differentiate risk amongst its commercial loans and commercial real estate loans. Loans with a lower expectation of default are assigned one of ten possible “pass” loan grades and are generally ascribed lower loss factors when determining the allowance for credit losses. Loans with an elevated level of credit risk are classified as “criticized” and are ascribed a higher loss factor when determining the allowance for credit losses. Criticized loans may be classified as “nonaccrual” if the Company no longer expects to collect all amounts according to the contractual terms of the loan agreement or the loan is delinquent 90 days or more. Criticized commercial loans and commercial real estate loans totaled $2.5 billion at December 31, 2017 and $2.4 billion at December 31, 2016. Approximately 99% of loan balances added to the criticized category during 2017 were less than 90 days past due and 96% had a current payment status. Given payment performance, amount of supporting collateral, and, in certain instances, the existence of loan guarantees, the Company still expects to collect the full outstanding principal balance on most of these loans.</w:t>
      </w:r>
    </w:p>
    <w:p>
      <w:pPr>
        <w:spacing w:after="0" w:line="7" w:lineRule="exact"/>
        <w:rPr>
          <w:rFonts w:ascii="Arial" w:cs="Arial" w:eastAsia="Arial" w:hAnsi="Arial"/>
          <w:sz w:val="20"/>
          <w:szCs w:val="20"/>
          <w:color w:val="auto"/>
        </w:rPr>
      </w:pPr>
    </w:p>
    <w:p>
      <w:pPr>
        <w:ind w:firstLine="598"/>
        <w:spacing w:after="0" w:line="276" w:lineRule="auto"/>
        <w:rPr>
          <w:rFonts w:ascii="Arial" w:cs="Arial" w:eastAsia="Arial" w:hAnsi="Arial"/>
          <w:sz w:val="20"/>
          <w:szCs w:val="20"/>
          <w:color w:val="auto"/>
        </w:rPr>
      </w:pPr>
      <w:r>
        <w:rPr>
          <w:rFonts w:ascii="Arial" w:cs="Arial" w:eastAsia="Arial" w:hAnsi="Arial"/>
          <w:sz w:val="18"/>
          <w:szCs w:val="18"/>
          <w:color w:val="auto"/>
        </w:rPr>
        <w:t>Loan officers in different geographic locations with the support of the Company’s credit department personnel continuously review and reassign loan grades based on their detailed knowledge of individual borrowers and their judgment of the impact on such borrowers resulting from changing conditions in their respective regions. At least annually, updated financial information is obtained from commercial borrowers associated with pass grade loans and additional analysis is performed. On a quarterly basis, the Company’s centralized credit department reviews all criticized commercial loans and commercial real estate loans greater than $1 million to determine the appropriateness of the assigned loan grade, including whether the loan should be reported as accruing or nonaccruing. For criticized nonaccrual loans, additional meetings are held with loan officers and their managers, workout specialists and senior management to discuss each of the relationships. In analyzing criticized loans, borrower-specific information is reviewed, including operating results, future cash flows, recent developments and the borrower’s outlook, and other pertinent data. The timing and extent of potential losses, considering collateral valuation and other factors, and the Company’s potential courses of action are contemplated. To the extent that these loans are collateral-dependent, they are evaluated based on the fair value of the loan’s collateral as estimated at or near the financial statement date. As the quality of a loan deteriorates to the point of classifying the loan as “criticized,” the process of obtaining updated collateral valuation information is usually initiated, unless it is not considered warranted given factors such as the relative size of the loan, the characteristics of the collateral or the age of the last valuation. In those cases where current appraisals may not yet be available, prior appraisals are utilized with adjustments, as deemed necessary, for estimates of subsequent declines in value as determined by line of business and/or loan workout personnel in the respective geographic regions. Those adjustments are reviewed and assessed for reasonableness by the Company’s credit department. Accordingly, for real estate collateral securing larger commercial loans and commercial real estate loans, estimated collateral values are based on current appraisals and estimates of value. For non-real estate loans, collateral is assigned a discounted estimated liquidation value and, depending on the nature of the collateral, is verified</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380"/>
          </w:cols>
          <w:pgMar w:left="240" w:top="336" w:right="279" w:bottom="1440" w:gutter="0" w:footer="0" w:header="0"/>
        </w:sectPr>
      </w:pPr>
    </w:p>
    <w:bookmarkStart w:id="74" w:name="page75"/>
    <w:bookmarkEnd w:id="74"/>
    <w:p>
      <w:pPr>
        <w:ind w:right="240"/>
        <w:spacing w:after="0" w:line="256" w:lineRule="auto"/>
        <w:rPr>
          <w:sz w:val="20"/>
          <w:szCs w:val="20"/>
          <w:color w:val="auto"/>
        </w:rPr>
      </w:pPr>
      <w:r>
        <w:rPr>
          <w:rFonts w:ascii="Arial" w:cs="Arial" w:eastAsia="Arial" w:hAnsi="Arial"/>
          <w:sz w:val="20"/>
          <w:szCs w:val="20"/>
          <w:color w:val="auto"/>
        </w:rPr>
        <w:t>through field exams or other procedures. In assessing collateral, real estate and non-real estate values are reduced by an estimate of selling costs.</w:t>
      </w:r>
    </w:p>
    <w:p>
      <w:pPr>
        <w:ind w:firstLine="598"/>
        <w:spacing w:after="0" w:line="274" w:lineRule="auto"/>
        <w:rPr>
          <w:sz w:val="20"/>
          <w:szCs w:val="20"/>
          <w:color w:val="auto"/>
        </w:rPr>
      </w:pPr>
      <w:r>
        <w:rPr>
          <w:rFonts w:ascii="Arial" w:cs="Arial" w:eastAsia="Arial" w:hAnsi="Arial"/>
          <w:sz w:val="18"/>
          <w:szCs w:val="18"/>
          <w:color w:val="auto"/>
        </w:rPr>
        <w:t>With regard to residential real estate loans, the Company’s loss identification and estimation techniques make reference to loan performance and house price data in specific areas of the country where collateral securing the Company’s residential real estate loans is located. For residential real estate-related loans, including home equity loans and lines of credit, the excess of the loan balance over the net realizable value of the property collateralizing the loan is charged-off when the loan becomes 150 days delinquent. That charge-off is based on recent indications of value from external parties that are generally obtained shortly after a loan becomes nonaccrual. Loans to consumers that file for bankruptcy are generally charged off to estimated net collateral value shortly after the Company is notified of such filings. At December 31, 2017, approximately 56% of the Company’s home equity portfolio consisted of first lien loans and lines of credit. Of the remaining junior lien loans in the portfolio, approximately 69% (or approximately 30% of the aggregate home equity portfolio) consisted of junior lien loans that were behind a first lien mortgage loan that was not owned or serviced by the Company. To the extent known by the Company, if a senior lien loan would be on nonaccrual status because of payment delinquency, even if such senior lien loan was not owned by the Company, the junior lien loan or line that is owned by the Company is placed on nonaccrual status. At December 31, 2017, the balance of junior lien loans and lines that were in nonaccrual status solely as a result of first lien loan performance was $10 million, compared with $12 million at December 31, 2016. In monitoring the credit quality of its home equity portfolio for purposes of determining the allowance for credit losses, the Company reviews delinquency and nonaccrual information and considers recent charge-off experience. When evaluating individual home equity loans and lines of credit for charge off and for purposes of estimating incurred losses in determining the allowance for credit losses, the Company gives consideration to the required repayment of any first lien positions related to collateral property. Home equity line of credit terms vary but such lines are generally originated with an open draw period of ten years followed by an amortization period of up to twenty years. At December 31, 2017, approximately 83% of all outstanding balances of home equity lines of credit related to lines that were still in the draw period, the weighted-average remaining draw periods were approximately five years, and approximately 21% were making contractually allowed payments that do not include any repayment of principal.</w:t>
      </w:r>
    </w:p>
    <w:p>
      <w:pPr>
        <w:spacing w:after="0" w:line="4" w:lineRule="exact"/>
        <w:rPr>
          <w:sz w:val="20"/>
          <w:szCs w:val="20"/>
          <w:color w:val="auto"/>
        </w:rPr>
      </w:pPr>
    </w:p>
    <w:p>
      <w:pPr>
        <w:ind w:right="60" w:firstLine="598"/>
        <w:spacing w:after="0" w:line="274" w:lineRule="auto"/>
        <w:rPr>
          <w:sz w:val="20"/>
          <w:szCs w:val="20"/>
          <w:color w:val="auto"/>
        </w:rPr>
      </w:pPr>
      <w:r>
        <w:rPr>
          <w:rFonts w:ascii="Arial" w:cs="Arial" w:eastAsia="Arial" w:hAnsi="Arial"/>
          <w:sz w:val="18"/>
          <w:szCs w:val="18"/>
          <w:color w:val="auto"/>
        </w:rPr>
        <w:t>Factors that influence the Company’s credit loss experience include overall economic conditions affecting businesses and consumers, generally, but also residential and commercial real estate valuations, in particular, given the size of the Company’s real estate loan portfolios. Commercial real estate valuations can be highly subjective, as they are based upon many assumptions. Such valuations can be significantly affected over relatively short periods of time by changes in business climate, economic conditions, interest rates, and, in many cases, the results of operations of businesses and other occupants of the real property. Similarly, residential real estate valuations can be impacted by housing trends, the availability of financing at reasonable interest rates, and general economic conditions affecting consumers.</w:t>
      </w:r>
    </w:p>
    <w:p>
      <w:pPr>
        <w:spacing w:after="0" w:line="1" w:lineRule="exact"/>
        <w:rPr>
          <w:sz w:val="20"/>
          <w:szCs w:val="20"/>
          <w:color w:val="auto"/>
        </w:rPr>
      </w:pPr>
    </w:p>
    <w:p>
      <w:pPr>
        <w:ind w:right="40" w:firstLine="598"/>
        <w:spacing w:after="0" w:line="299" w:lineRule="auto"/>
        <w:rPr>
          <w:sz w:val="20"/>
          <w:szCs w:val="20"/>
          <w:color w:val="auto"/>
        </w:rPr>
      </w:pPr>
      <w:r>
        <w:rPr>
          <w:rFonts w:ascii="Arial" w:cs="Arial" w:eastAsia="Arial" w:hAnsi="Arial"/>
          <w:sz w:val="17"/>
          <w:szCs w:val="17"/>
          <w:color w:val="auto"/>
        </w:rPr>
        <w:t>In determining the allowance for credit losses, the Company estimates losses attributable to specific troubled credits identified through both normal and targeted credit review processes and also estimates losses inherent in other loans and leases. In quantifying incurred losses, the Company considers the factors and uses the techniques described herein and in note 5 of Notes to Financial Statements. For purposes of determining the level of the allowance for credit losses, the Company segments its loan and lease portfolio by loan type. The amount of specific loss components in the Company’s loan and lease portfolios is determined through a loan-by-loan analysis of commercial loans and commercial real estate loans in nonaccrual status. Measurement of the specific loss components is typically based on expected future cash flows, collateral values or other factors that may impact the borrower’s ability to pay. Losses associated with residential real estate loans and consumer</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00"/>
          </w:cols>
          <w:pgMar w:left="240" w:top="336" w:right="259" w:bottom="1440" w:gutter="0" w:footer="0" w:header="0"/>
        </w:sectPr>
      </w:pPr>
    </w:p>
    <w:bookmarkStart w:id="75" w:name="page76"/>
    <w:bookmarkEnd w:id="75"/>
    <w:p>
      <w:pPr>
        <w:spacing w:after="0" w:line="275" w:lineRule="auto"/>
        <w:rPr>
          <w:sz w:val="20"/>
          <w:szCs w:val="20"/>
          <w:color w:val="auto"/>
        </w:rPr>
      </w:pPr>
      <w:r>
        <w:rPr>
          <w:rFonts w:ascii="Arial" w:cs="Arial" w:eastAsia="Arial" w:hAnsi="Arial"/>
          <w:sz w:val="18"/>
          <w:szCs w:val="18"/>
          <w:color w:val="auto"/>
        </w:rPr>
        <w:t>loans are generally determined by reference to recent charge-off history and are evaluated (and adjusted if deemed appropriate) through consideration of other factors including near-term forecasted loss estimates developed by the Company’s credit department. These forecasts give consideration to overall borrower repayment performance and current geographic region changes in collateral values using third party published historical price indices or automated valuation methodologies. With regard to collateral values, the realizability of such values by the Company contemplates repayment of any first lien position prior to recovering amounts on a junior lien position. Approximately 44% of the Company’s home equity portfolio consists of junior lien loans and lines of credit. Except for consumer loans and residential real estate loans that are considered smaller balance homogeneous loans and are evaluated collectively and loans obtained at a discount in acquisition transactions, the Company considers a loan to be impaired when, based on current information and events, it is probable that the Company will be unable to collect all amounts according to the contractual terms of the loan agreement or the loan is delinquent 90 days or more and has been placed in nonaccrual status. Those impaired loans are evaluated for specific loss components. Modified loans, including smaller balance homogenous loans, that are considered to be troubled debt restructurings are evaluated for impairment giving consideration to the impact of the modified loan terms on the present value of the loan’s expected cash flows. Loans less than 90 days delinquent are deemed to have a minimal delay in payment and are generally not considered to be impaired. For loans acquired at a discount, the impact of estimated future credit losses represents the predominant difference between contractually required payments and the cash flows expected to be collected. Subsequent decreases to those expected cash flows require the Company to evaluate the need for an additional allowance for credit losses and could lead to charge-offs of acquired loan balances. Additional information regarding the Company’s process for determining the allowance for credit losses is included in note 5 of Notes to Financial Statements.</w:t>
      </w:r>
    </w:p>
    <w:p>
      <w:pPr>
        <w:spacing w:after="0" w:line="7" w:lineRule="exact"/>
        <w:rPr>
          <w:sz w:val="20"/>
          <w:szCs w:val="20"/>
          <w:color w:val="auto"/>
        </w:rPr>
      </w:pPr>
    </w:p>
    <w:p>
      <w:pPr>
        <w:ind w:right="20" w:firstLine="598"/>
        <w:spacing w:after="0" w:line="276" w:lineRule="auto"/>
        <w:rPr>
          <w:sz w:val="20"/>
          <w:szCs w:val="20"/>
          <w:color w:val="auto"/>
        </w:rPr>
      </w:pPr>
      <w:r>
        <w:rPr>
          <w:rFonts w:ascii="Arial" w:cs="Arial" w:eastAsia="Arial" w:hAnsi="Arial"/>
          <w:sz w:val="18"/>
          <w:szCs w:val="18"/>
          <w:color w:val="auto"/>
        </w:rPr>
        <w:t>The inherent base level loss components of the Company’s allowance for credit losses are generally determined by applying loss factors to specific loan balances based on loan type and management’s classification of commercial loans and commercial real estate loans under the Company’s loan grading system. As previously described, loan officers are responsible for continually assigning grades to these loans based on standards outlined in the Company’s Credit Policy. Internal loan grades are also extensively monitored by the Company’s credit department to ensure consistency and strict adherence to the prescribed standards. Loan balances utilized in the inherent base level loss component computations exclude loans and leases for which specific allocations are maintained. Loan grades are assigned loss component factors that reflect the Company’s loss estimate for each group of loans and leases. Factors considered in assigning loan grades and loss component factors include borrower-specific information related to expected future cash flows and operating results, collateral values, financial condition, payment status, and other information; levels of and trends in portfolio charge-offs and recoveries; levels of and trends in portfolio delinquencies and impaired loans; changes in the risk profile of specific portfolios; trends in volume and terms of loans; effects of changes in credit concentrations; and observed trends and practices in the banking industry. In determining the allowance for credit losses, management also gives consideration to such factors as customer, industry and geographic concentrations, as well as national and local economic conditions, including: (i) the comparatively poorer economic conditions and unfavorable business climate in many market regions served by the Company, including upstate New York and central Pennsylvania, that result in such regions generally experiencing significantly poorer economic growth and vitality as compared with much of the rest of the country; (ii) portfolio concentrations regarding loan type, collateral type and geographic location, in particular the large concentrations of commercial real estate loans secured by properties in the New York City area and other areas of New York State; and (iii) risk associated with the Company’s portfolio of consumer loans, in particular automobile and recreational vehicle loans, which generally have higher rates of loss than other types of collateralized loans.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76" w:name="page77"/>
    <w:bookmarkEnd w:id="76"/>
    <w:p>
      <w:pPr>
        <w:ind w:right="520" w:firstLine="598"/>
        <w:spacing w:after="0" w:line="278" w:lineRule="auto"/>
        <w:rPr>
          <w:sz w:val="20"/>
          <w:szCs w:val="20"/>
          <w:color w:val="auto"/>
        </w:rPr>
      </w:pPr>
      <w:r>
        <w:rPr>
          <w:rFonts w:ascii="Arial" w:cs="Arial" w:eastAsia="Arial" w:hAnsi="Arial"/>
          <w:sz w:val="18"/>
          <w:szCs w:val="18"/>
          <w:color w:val="auto"/>
        </w:rPr>
        <w:t>The inherent base level loss components related to residential real estate loans and consumer loans are generally determined by applying loss factors to portfolio balances after consideration of payment performance and recent loss experience and trends, which are mainly driven by current collateral values in the market place as well as the amount of loan defaults. Loss rates for loans secured by residential real estate, including home equity loans and lines of credit, are determined by reference to recent charge-off history and are evaluated (and adjusted if deemed appropriate) through consideration of other factors as previously described.</w:t>
      </w:r>
    </w:p>
    <w:p>
      <w:pPr>
        <w:spacing w:after="0" w:line="2" w:lineRule="exact"/>
        <w:rPr>
          <w:sz w:val="20"/>
          <w:szCs w:val="20"/>
          <w:color w:val="auto"/>
        </w:rPr>
      </w:pPr>
    </w:p>
    <w:p>
      <w:pPr>
        <w:ind w:firstLine="598"/>
        <w:spacing w:after="0" w:line="274" w:lineRule="auto"/>
        <w:rPr>
          <w:sz w:val="20"/>
          <w:szCs w:val="20"/>
          <w:color w:val="auto"/>
        </w:rPr>
      </w:pPr>
      <w:r>
        <w:rPr>
          <w:rFonts w:ascii="Arial" w:cs="Arial" w:eastAsia="Arial" w:hAnsi="Arial"/>
          <w:sz w:val="18"/>
          <w:szCs w:val="18"/>
          <w:color w:val="auto"/>
        </w:rPr>
        <w:t>In evaluating collateral, the Company relies on internally and externally prepared valuations. Residential real estate valuations are usually based on sales of comparable properties in the respective location. Commercial real estate valuations also refer to sales of comparable properties but oftentimes are based on calculations that utilize many assumptions and, as a result, can be highly subjective. Specifically, commercial real estate values can be significantly affected over relatively short periods of time by changes in business climate, economic conditions and interest rates, and, in many cases, the results of operations of businesses and other occupants of the real property. Additionally, management is aware that there is oftentimes a delay in the recognition of credit quality changes in loans and, as a result, in changes to assigned loan grades due to time delays in the manifestation and reporting of underlying events that impact credit quality. Accordingly, loss estimates derived from the inherent base level loss component computation are adjusted for current national and local economic conditions and trends. The Federal Reserve stated in December 2017 that the U.S. labor market has continued to strengthen and that economic activity has been rising at a solid rate. Economic indicators in the most significant market regions served by the Company also showed improvement in 2017. For example, in 2017, average private sector employment in areas served by the Company was 1.6% above year-ago levels, but still trailed the 1.7% U.S. average growth rate. Private sector employment increased 0.5% in upstate New York, 1.0% in areas of Pennsylvania served by the Company, 1.6% in New Jersey, 2.0% in Maryland, 2.0% in Greater Washington D.C. and 0.8% in the State of Delaware. In New York City, private sector employment increased by 1.9% in 2017.</w:t>
      </w:r>
    </w:p>
    <w:p>
      <w:pPr>
        <w:spacing w:after="0" w:line="3" w:lineRule="exact"/>
        <w:rPr>
          <w:sz w:val="20"/>
          <w:szCs w:val="20"/>
          <w:color w:val="auto"/>
        </w:rPr>
      </w:pPr>
    </w:p>
    <w:p>
      <w:pPr>
        <w:ind w:right="120" w:firstLine="598"/>
        <w:spacing w:after="0" w:line="259" w:lineRule="auto"/>
        <w:rPr>
          <w:sz w:val="20"/>
          <w:szCs w:val="20"/>
          <w:color w:val="auto"/>
        </w:rPr>
      </w:pPr>
      <w:r>
        <w:rPr>
          <w:rFonts w:ascii="Arial" w:cs="Arial" w:eastAsia="Arial" w:hAnsi="Arial"/>
          <w:sz w:val="19"/>
          <w:szCs w:val="19"/>
          <w:color w:val="auto"/>
        </w:rPr>
        <w:t>The specific loss components and the inherent base level loss components together comprise the total base level or “allocated” allowance for credit losses. Such allocated portion of the allowance represents management’s assessment of losses existing in specific larger balance loans that are reviewed in detail by management and pools of other loans that are not individually analyzed. In addition, the Company has always provided an inherent unallocated portion of the allowance that is intended to recognize probable losses that are not otherwise identifiable. The inherent unallocated allowance includes management’s subjective determination of amounts necessary for such things as the possible use of imprecise estimates in determining the allocated portion of the allowance and other risks associated with the Company’s loan portfolio which may not be specifically allocable.</w:t>
      </w:r>
    </w:p>
    <w:p>
      <w:pPr>
        <w:spacing w:after="0" w:line="5" w:lineRule="exact"/>
        <w:rPr>
          <w:sz w:val="20"/>
          <w:szCs w:val="20"/>
          <w:color w:val="auto"/>
        </w:rPr>
      </w:pPr>
    </w:p>
    <w:p>
      <w:pPr>
        <w:ind w:right="20" w:firstLine="598"/>
        <w:spacing w:after="0" w:line="262" w:lineRule="auto"/>
        <w:rPr>
          <w:sz w:val="20"/>
          <w:szCs w:val="20"/>
          <w:color w:val="auto"/>
        </w:rPr>
      </w:pPr>
      <w:r>
        <w:rPr>
          <w:rFonts w:ascii="Arial" w:cs="Arial" w:eastAsia="Arial" w:hAnsi="Arial"/>
          <w:sz w:val="19"/>
          <w:szCs w:val="19"/>
          <w:color w:val="auto"/>
        </w:rPr>
        <w:t>A comparative allocation of the allowance for credit losses for each of the past five year-ends is presented in table 14. Amounts were allocated to specific loan categories based on information available to management at the time of each year-end assessment and using the methodology described herein. Variations in the allocation of the allowance by loan category as a percentage of those loans reflect changes in management’s estimate of specific loss components and inherent base level loss components, including the impact of delinquencies and nonaccrual loans. As described in note 5 of Notes to Financial Statements, loans considered impaired aggregated $760 million and $761 million at December 31, 2017 and December 31, 2016, respectively. The allocated portion of the allowance for credit losses related to impaired loans totaled $76 million at December 31, 2017 and $83 million at December 31, 2016. The unallocated portion of the allowance for credit losses was equal to .09% of gross loans outstanding at each of December 31, 2017 and 2016. Considering the inherent imprecision in the many estimates used in the determination of the allocated portion of the allowance, management deliberately remained cautious and conservative in establishing the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77" w:name="page78"/>
    <w:bookmarkEnd w:id="77"/>
    <w:p>
      <w:pPr>
        <w:ind w:right="360"/>
        <w:spacing w:after="0" w:line="293" w:lineRule="auto"/>
        <w:rPr>
          <w:sz w:val="20"/>
          <w:szCs w:val="20"/>
          <w:color w:val="auto"/>
        </w:rPr>
      </w:pPr>
      <w:r>
        <w:rPr>
          <w:rFonts w:ascii="Arial" w:cs="Arial" w:eastAsia="Arial" w:hAnsi="Arial"/>
          <w:sz w:val="18"/>
          <w:szCs w:val="18"/>
          <w:color w:val="auto"/>
        </w:rPr>
        <w:t>overall allowance for credit losses. Given the Company’s high concentration of real estate loans and considering the other factors already discussed herein, management considers the allocated and unallocated portions of the allowance for credit losses to be prudent and reasonable. Furthermore, the Company’s allowance is general in nature and is available to absorb losses from any loan or lease category. Additional information about the allowance for credit losses is included in note 5 of Notes to Financial Statements.</w:t>
      </w: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Table 14</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ALLOCATION OF THE ALLOWANCE FOR CREDIT LOSSES TO LOAN CATEGORIES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98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860" w:type="dxa"/>
            <w:vAlign w:val="bottom"/>
          </w:tcPr>
          <w:p>
            <w:pPr>
              <w:jc w:val="right"/>
              <w:ind w:right="283"/>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263"/>
              <w:spacing w:after="0"/>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283"/>
              <w:spacing w:after="0"/>
              <w:rPr>
                <w:sz w:val="20"/>
                <w:szCs w:val="20"/>
                <w:color w:val="auto"/>
              </w:rPr>
            </w:pPr>
            <w:r>
              <w:rPr>
                <w:rFonts w:ascii="Arial" w:cs="Arial" w:eastAsia="Arial" w:hAnsi="Arial"/>
                <w:sz w:val="14"/>
                <w:szCs w:val="14"/>
                <w:b w:val="1"/>
                <w:bCs w:val="1"/>
                <w:color w:val="auto"/>
              </w:rPr>
              <w:t>2015</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263"/>
              <w:spacing w:after="0"/>
              <w:rPr>
                <w:sz w:val="20"/>
                <w:szCs w:val="20"/>
                <w:color w:val="auto"/>
              </w:rPr>
            </w:pPr>
            <w:r>
              <w:rPr>
                <w:rFonts w:ascii="Arial" w:cs="Arial" w:eastAsia="Arial" w:hAnsi="Arial"/>
                <w:sz w:val="14"/>
                <w:szCs w:val="14"/>
                <w:b w:val="1"/>
                <w:bCs w:val="1"/>
                <w:color w:val="auto"/>
              </w:rPr>
              <w:t>2014</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283"/>
              <w:spacing w:after="0"/>
              <w:rPr>
                <w:sz w:val="20"/>
                <w:szCs w:val="20"/>
                <w:color w:val="auto"/>
              </w:rPr>
            </w:pPr>
            <w:r>
              <w:rPr>
                <w:rFonts w:ascii="Arial" w:cs="Arial" w:eastAsia="Arial" w:hAnsi="Arial"/>
                <w:sz w:val="14"/>
                <w:szCs w:val="14"/>
                <w:b w:val="1"/>
                <w:bCs w:val="1"/>
                <w:color w:val="auto"/>
              </w:rPr>
              <w:t>2013</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780" w:type="dxa"/>
            <w:vAlign w:val="bottom"/>
            <w:tcBorders>
              <w:top w:val="single" w:sz="8" w:color="auto"/>
            </w:tcBorders>
          </w:tcPr>
          <w:p>
            <w:pPr>
              <w:spacing w:after="0"/>
              <w:rPr>
                <w:sz w:val="15"/>
                <w:szCs w:val="15"/>
                <w:color w:val="auto"/>
              </w:rPr>
            </w:pPr>
          </w:p>
        </w:tc>
        <w:tc>
          <w:tcPr>
            <w:tcW w:w="66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620" w:type="dxa"/>
            <w:vAlign w:val="bottom"/>
            <w:tcBorders>
              <w:top w:val="single" w:sz="8" w:color="auto"/>
            </w:tcBorders>
            <w:gridSpan w:val="5"/>
          </w:tcPr>
          <w:p>
            <w:pPr>
              <w:jc w:val="right"/>
              <w:ind w:right="160"/>
              <w:spacing w:after="0"/>
              <w:rPr>
                <w:sz w:val="20"/>
                <w:szCs w:val="20"/>
                <w:color w:val="auto"/>
              </w:rPr>
            </w:pPr>
            <w:r>
              <w:rPr>
                <w:rFonts w:ascii="Arial" w:cs="Arial" w:eastAsia="Arial" w:hAnsi="Arial"/>
                <w:sz w:val="14"/>
                <w:szCs w:val="14"/>
                <w:b w:val="1"/>
                <w:bCs w:val="1"/>
                <w:color w:val="auto"/>
                <w:w w:val="97"/>
              </w:rPr>
              <w:t>(Dollars in thousands)</w:t>
            </w:r>
          </w:p>
        </w:tc>
        <w:tc>
          <w:tcPr>
            <w:tcW w:w="2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2"/>
        </w:trPr>
        <w:tc>
          <w:tcPr>
            <w:tcW w:w="4980" w:type="dxa"/>
            <w:vAlign w:val="bottom"/>
            <w:gridSpan w:val="3"/>
          </w:tcPr>
          <w:p>
            <w:pPr>
              <w:spacing w:after="0"/>
              <w:rPr>
                <w:sz w:val="20"/>
                <w:szCs w:val="20"/>
                <w:color w:val="auto"/>
              </w:rPr>
            </w:pPr>
            <w:r>
              <w:rPr>
                <w:rFonts w:ascii="Arial" w:cs="Arial" w:eastAsia="Arial" w:hAnsi="Arial"/>
                <w:sz w:val="20"/>
                <w:szCs w:val="20"/>
                <w:color w:val="auto"/>
              </w:rPr>
              <w:t>Commercial, financial, leasing, etc.</w:t>
            </w:r>
          </w:p>
        </w:tc>
        <w:tc>
          <w:tcPr>
            <w:tcW w:w="16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328,599</w:t>
            </w:r>
          </w:p>
        </w:tc>
        <w:tc>
          <w:tcPr>
            <w:tcW w:w="240" w:type="dxa"/>
            <w:vAlign w:val="bottom"/>
          </w:tcPr>
          <w:p>
            <w:pPr>
              <w:spacing w:after="0"/>
              <w:rPr>
                <w:sz w:val="24"/>
                <w:szCs w:val="24"/>
                <w:color w:val="auto"/>
              </w:rPr>
            </w:pPr>
          </w:p>
        </w:tc>
        <w:tc>
          <w:tcPr>
            <w:tcW w:w="280" w:type="dxa"/>
            <w:vAlign w:val="bottom"/>
            <w:gridSpan w:val="2"/>
          </w:tcPr>
          <w:p>
            <w:pPr>
              <w:jc w:val="right"/>
              <w:ind w:right="19"/>
              <w:spacing w:after="0"/>
              <w:rPr>
                <w:sz w:val="20"/>
                <w:szCs w:val="20"/>
                <w:color w:val="auto"/>
              </w:rPr>
            </w:pPr>
            <w:r>
              <w:rPr>
                <w:rFonts w:ascii="Arial" w:cs="Arial" w:eastAsia="Arial" w:hAnsi="Arial"/>
                <w:sz w:val="20"/>
                <w:szCs w:val="20"/>
                <w:color w:val="auto"/>
              </w:rPr>
              <w:t>$</w:t>
            </w:r>
          </w:p>
        </w:tc>
        <w:tc>
          <w:tcPr>
            <w:tcW w:w="780" w:type="dxa"/>
            <w:vAlign w:val="bottom"/>
          </w:tcPr>
          <w:p>
            <w:pPr>
              <w:jc w:val="right"/>
              <w:spacing w:after="0"/>
              <w:rPr>
                <w:sz w:val="20"/>
                <w:szCs w:val="20"/>
                <w:color w:val="auto"/>
              </w:rPr>
            </w:pPr>
            <w:r>
              <w:rPr>
                <w:rFonts w:ascii="Arial" w:cs="Arial" w:eastAsia="Arial" w:hAnsi="Arial"/>
                <w:sz w:val="20"/>
                <w:szCs w:val="20"/>
                <w:color w:val="auto"/>
              </w:rPr>
              <w:t>330,833</w:t>
            </w:r>
          </w:p>
        </w:tc>
        <w:tc>
          <w:tcPr>
            <w:tcW w:w="240" w:type="dxa"/>
            <w:vAlign w:val="bottom"/>
          </w:tcPr>
          <w:p>
            <w:pPr>
              <w:spacing w:after="0"/>
              <w:rPr>
                <w:sz w:val="24"/>
                <w:szCs w:val="24"/>
                <w:color w:val="auto"/>
              </w:rPr>
            </w:pPr>
          </w:p>
        </w:tc>
        <w:tc>
          <w:tcPr>
            <w:tcW w:w="280" w:type="dxa"/>
            <w:vAlign w:val="bottom"/>
            <w:gridSpan w:val="2"/>
          </w:tcPr>
          <w:p>
            <w:pPr>
              <w:jc w:val="right"/>
              <w:ind w:right="19"/>
              <w:spacing w:after="0"/>
              <w:rPr>
                <w:sz w:val="20"/>
                <w:szCs w:val="20"/>
                <w:color w:val="auto"/>
              </w:rPr>
            </w:pPr>
            <w:r>
              <w:rPr>
                <w:rFonts w:ascii="Arial" w:cs="Arial" w:eastAsia="Arial" w:hAnsi="Arial"/>
                <w:sz w:val="20"/>
                <w:szCs w:val="20"/>
                <w:color w:val="auto"/>
              </w:rPr>
              <w:t>$</w:t>
            </w:r>
          </w:p>
        </w:tc>
        <w:tc>
          <w:tcPr>
            <w:tcW w:w="800" w:type="dxa"/>
            <w:vAlign w:val="bottom"/>
          </w:tcPr>
          <w:p>
            <w:pPr>
              <w:jc w:val="right"/>
              <w:spacing w:after="0"/>
              <w:rPr>
                <w:sz w:val="20"/>
                <w:szCs w:val="20"/>
                <w:color w:val="auto"/>
              </w:rPr>
            </w:pPr>
            <w:r>
              <w:rPr>
                <w:rFonts w:ascii="Arial" w:cs="Arial" w:eastAsia="Arial" w:hAnsi="Arial"/>
                <w:sz w:val="20"/>
                <w:szCs w:val="20"/>
                <w:color w:val="auto"/>
              </w:rPr>
              <w:t>300,404</w:t>
            </w:r>
          </w:p>
        </w:tc>
        <w:tc>
          <w:tcPr>
            <w:tcW w:w="300" w:type="dxa"/>
            <w:vAlign w:val="bottom"/>
          </w:tcPr>
          <w:p>
            <w:pPr>
              <w:spacing w:after="0"/>
              <w:rPr>
                <w:sz w:val="24"/>
                <w:szCs w:val="24"/>
                <w:color w:val="auto"/>
              </w:rPr>
            </w:pPr>
          </w:p>
        </w:tc>
        <w:tc>
          <w:tcPr>
            <w:tcW w:w="220" w:type="dxa"/>
            <w:vAlign w:val="bottom"/>
          </w:tcPr>
          <w:p>
            <w:pPr>
              <w:jc w:val="right"/>
              <w:ind w:right="19"/>
              <w:spacing w:after="0"/>
              <w:rPr>
                <w:sz w:val="20"/>
                <w:szCs w:val="20"/>
                <w:color w:val="auto"/>
              </w:rPr>
            </w:pPr>
            <w:r>
              <w:rPr>
                <w:rFonts w:ascii="Arial" w:cs="Arial" w:eastAsia="Arial" w:hAnsi="Arial"/>
                <w:sz w:val="20"/>
                <w:szCs w:val="20"/>
                <w:color w:val="auto"/>
                <w:w w:val="71"/>
              </w:rPr>
              <w:t>$</w:t>
            </w:r>
          </w:p>
        </w:tc>
        <w:tc>
          <w:tcPr>
            <w:tcW w:w="780" w:type="dxa"/>
            <w:vAlign w:val="bottom"/>
          </w:tcPr>
          <w:p>
            <w:pPr>
              <w:jc w:val="right"/>
              <w:spacing w:after="0"/>
              <w:rPr>
                <w:sz w:val="20"/>
                <w:szCs w:val="20"/>
                <w:color w:val="auto"/>
              </w:rPr>
            </w:pPr>
            <w:r>
              <w:rPr>
                <w:rFonts w:ascii="Arial" w:cs="Arial" w:eastAsia="Arial" w:hAnsi="Arial"/>
                <w:sz w:val="20"/>
                <w:szCs w:val="20"/>
                <w:color w:val="auto"/>
              </w:rPr>
              <w:t>288,038</w:t>
            </w:r>
          </w:p>
        </w:tc>
        <w:tc>
          <w:tcPr>
            <w:tcW w:w="240" w:type="dxa"/>
            <w:vAlign w:val="bottom"/>
          </w:tcPr>
          <w:p>
            <w:pPr>
              <w:spacing w:after="0"/>
              <w:rPr>
                <w:sz w:val="24"/>
                <w:szCs w:val="24"/>
                <w:color w:val="auto"/>
              </w:rPr>
            </w:pPr>
          </w:p>
        </w:tc>
        <w:tc>
          <w:tcPr>
            <w:tcW w:w="280" w:type="dxa"/>
            <w:vAlign w:val="bottom"/>
            <w:gridSpan w:val="2"/>
          </w:tcPr>
          <w:p>
            <w:pPr>
              <w:jc w:val="right"/>
              <w:ind w:right="19"/>
              <w:spacing w:after="0"/>
              <w:rPr>
                <w:sz w:val="20"/>
                <w:szCs w:val="20"/>
                <w:color w:val="auto"/>
              </w:rPr>
            </w:pPr>
            <w:r>
              <w:rPr>
                <w:rFonts w:ascii="Arial" w:cs="Arial" w:eastAsia="Arial" w:hAnsi="Arial"/>
                <w:sz w:val="20"/>
                <w:szCs w:val="20"/>
                <w:color w:val="auto"/>
              </w:rPr>
              <w:t>$</w:t>
            </w:r>
          </w:p>
        </w:tc>
        <w:tc>
          <w:tcPr>
            <w:tcW w:w="800" w:type="dxa"/>
            <w:vAlign w:val="bottom"/>
          </w:tcPr>
          <w:p>
            <w:pPr>
              <w:jc w:val="right"/>
              <w:spacing w:after="0"/>
              <w:rPr>
                <w:sz w:val="20"/>
                <w:szCs w:val="20"/>
                <w:color w:val="auto"/>
              </w:rPr>
            </w:pPr>
            <w:r>
              <w:rPr>
                <w:rFonts w:ascii="Arial" w:cs="Arial" w:eastAsia="Arial" w:hAnsi="Arial"/>
                <w:sz w:val="20"/>
                <w:szCs w:val="20"/>
                <w:color w:val="auto"/>
              </w:rPr>
              <w:t>273,383</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980" w:type="dxa"/>
            <w:vAlign w:val="bottom"/>
            <w:gridSpan w:val="3"/>
            <w:shd w:val="clear" w:color="auto" w:fill="CFF0FC"/>
          </w:tcPr>
          <w:p>
            <w:pPr>
              <w:spacing w:after="0"/>
              <w:rPr>
                <w:sz w:val="20"/>
                <w:szCs w:val="20"/>
                <w:color w:val="auto"/>
              </w:rPr>
            </w:pPr>
            <w:r>
              <w:rPr>
                <w:rFonts w:ascii="Arial" w:cs="Arial" w:eastAsia="Arial" w:hAnsi="Arial"/>
                <w:sz w:val="20"/>
                <w:szCs w:val="20"/>
                <w:color w:val="auto"/>
              </w:rPr>
              <w:t>Real estate</w:t>
            </w:r>
          </w:p>
        </w:tc>
        <w:tc>
          <w:tcPr>
            <w:tcW w:w="1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439,490</w:t>
            </w:r>
          </w:p>
        </w:tc>
        <w:tc>
          <w:tcPr>
            <w:tcW w:w="2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423,846</w:t>
            </w:r>
          </w:p>
        </w:tc>
        <w:tc>
          <w:tcPr>
            <w:tcW w:w="2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399,069</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369,837</w:t>
            </w:r>
          </w:p>
        </w:tc>
        <w:tc>
          <w:tcPr>
            <w:tcW w:w="2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403,634</w:t>
            </w:r>
          </w:p>
        </w:tc>
        <w:tc>
          <w:tcPr>
            <w:tcW w:w="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980" w:type="dxa"/>
            <w:vAlign w:val="bottom"/>
            <w:gridSpan w:val="3"/>
          </w:tcPr>
          <w:p>
            <w:pPr>
              <w:spacing w:after="0"/>
              <w:rPr>
                <w:sz w:val="20"/>
                <w:szCs w:val="20"/>
                <w:color w:val="auto"/>
              </w:rPr>
            </w:pPr>
            <w:r>
              <w:rPr>
                <w:rFonts w:ascii="Arial" w:cs="Arial" w:eastAsia="Arial" w:hAnsi="Arial"/>
                <w:sz w:val="20"/>
                <w:szCs w:val="20"/>
                <w:color w:val="auto"/>
              </w:rPr>
              <w:t>Consumer</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170,809</w:t>
            </w: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156,288</w:t>
            </w: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178,320</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186,033</w:t>
            </w: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164,644</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980" w:type="dxa"/>
            <w:vAlign w:val="bottom"/>
            <w:gridSpan w:val="3"/>
            <w:shd w:val="clear" w:color="auto" w:fill="CFF0FC"/>
          </w:tcPr>
          <w:p>
            <w:pPr>
              <w:spacing w:after="0"/>
              <w:rPr>
                <w:sz w:val="20"/>
                <w:szCs w:val="20"/>
                <w:color w:val="auto"/>
              </w:rPr>
            </w:pPr>
            <w:r>
              <w:rPr>
                <w:rFonts w:ascii="Arial" w:cs="Arial" w:eastAsia="Arial" w:hAnsi="Arial"/>
                <w:sz w:val="20"/>
                <w:szCs w:val="20"/>
                <w:color w:val="auto"/>
              </w:rPr>
              <w:t>Unallocated</w:t>
            </w:r>
          </w:p>
        </w:tc>
        <w:tc>
          <w:tcPr>
            <w:tcW w:w="16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78,300</w:t>
            </w:r>
          </w:p>
        </w:tc>
        <w:tc>
          <w:tcPr>
            <w:tcW w:w="2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78,030</w:t>
            </w:r>
          </w:p>
        </w:tc>
        <w:tc>
          <w:tcPr>
            <w:tcW w:w="2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78,199</w:t>
            </w:r>
          </w:p>
        </w:tc>
        <w:tc>
          <w:tcPr>
            <w:tcW w:w="30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75,654</w:t>
            </w:r>
          </w:p>
        </w:tc>
        <w:tc>
          <w:tcPr>
            <w:tcW w:w="2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75,015</w:t>
            </w:r>
          </w:p>
        </w:tc>
        <w:tc>
          <w:tcPr>
            <w:tcW w:w="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80" w:type="dxa"/>
            <w:vAlign w:val="bottom"/>
            <w:gridSpan w:val="3"/>
          </w:tcPr>
          <w:p>
            <w:pPr>
              <w:ind w:left="240"/>
              <w:spacing w:after="0"/>
              <w:rPr>
                <w:sz w:val="20"/>
                <w:szCs w:val="20"/>
                <w:color w:val="auto"/>
              </w:rPr>
            </w:pPr>
            <w:r>
              <w:rPr>
                <w:rFonts w:ascii="Arial" w:cs="Arial" w:eastAsia="Arial" w:hAnsi="Arial"/>
                <w:sz w:val="20"/>
                <w:szCs w:val="20"/>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2"/>
              </w:rPr>
              <w:t>1,017,198</w:t>
            </w: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20"/>
                <w:szCs w:val="20"/>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988,997</w:t>
            </w: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20"/>
                <w:szCs w:val="20"/>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955,992</w:t>
            </w:r>
          </w:p>
        </w:tc>
        <w:tc>
          <w:tcPr>
            <w:tcW w:w="300" w:type="dxa"/>
            <w:vAlign w:val="bottom"/>
          </w:tcPr>
          <w:p>
            <w:pPr>
              <w:spacing w:after="0"/>
              <w:rPr>
                <w:sz w:val="21"/>
                <w:szCs w:val="21"/>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20"/>
                <w:szCs w:val="20"/>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919,562</w:t>
            </w: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20"/>
                <w:szCs w:val="20"/>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916,676</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80" w:type="dxa"/>
            <w:vAlign w:val="bottom"/>
            <w:gridSpan w:val="3"/>
            <w:vMerge w:val="restart"/>
          </w:tcPr>
          <w:p>
            <w:pPr>
              <w:spacing w:after="0" w:line="155" w:lineRule="exact"/>
              <w:rPr>
                <w:sz w:val="20"/>
                <w:szCs w:val="20"/>
                <w:color w:val="auto"/>
              </w:rPr>
            </w:pPr>
            <w:r>
              <w:rPr>
                <w:rFonts w:ascii="Arial" w:cs="Arial" w:eastAsia="Arial" w:hAnsi="Arial"/>
                <w:sz w:val="14"/>
                <w:szCs w:val="14"/>
                <w:b w:val="1"/>
                <w:bCs w:val="1"/>
                <w:color w:val="auto"/>
              </w:rPr>
              <w:t>As a Percentage of Gross Loans</w:t>
            </w: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498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4"/>
        </w:trPr>
        <w:tc>
          <w:tcPr>
            <w:tcW w:w="4980" w:type="dxa"/>
            <w:vAlign w:val="bottom"/>
            <w:gridSpan w:val="3"/>
          </w:tcPr>
          <w:p>
            <w:pPr>
              <w:spacing w:after="0" w:line="154" w:lineRule="exact"/>
              <w:rPr>
                <w:sz w:val="20"/>
                <w:szCs w:val="20"/>
                <w:color w:val="auto"/>
              </w:rPr>
            </w:pPr>
            <w:r>
              <w:rPr>
                <w:rFonts w:ascii="Arial" w:cs="Arial" w:eastAsia="Arial" w:hAnsi="Arial"/>
                <w:sz w:val="14"/>
                <w:szCs w:val="14"/>
                <w:b w:val="1"/>
                <w:bCs w:val="1"/>
                <w:color w:val="auto"/>
              </w:rPr>
              <w:t>and Leases Outstanding</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78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3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980" w:type="dxa"/>
            <w:vAlign w:val="bottom"/>
            <w:gridSpan w:val="3"/>
            <w:shd w:val="clear" w:color="auto" w:fill="CFF0FC"/>
          </w:tcPr>
          <w:p>
            <w:pPr>
              <w:spacing w:after="0"/>
              <w:rPr>
                <w:sz w:val="20"/>
                <w:szCs w:val="20"/>
                <w:color w:val="auto"/>
              </w:rPr>
            </w:pPr>
            <w:r>
              <w:rPr>
                <w:rFonts w:ascii="Arial" w:cs="Arial" w:eastAsia="Arial" w:hAnsi="Arial"/>
                <w:sz w:val="20"/>
                <w:szCs w:val="20"/>
                <w:color w:val="auto"/>
              </w:rPr>
              <w:t>Commercial, financial, leasing, etc.</w:t>
            </w:r>
          </w:p>
        </w:tc>
        <w:tc>
          <w:tcPr>
            <w:tcW w:w="16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20"/>
                <w:szCs w:val="20"/>
                <w:color w:val="auto"/>
              </w:rPr>
              <w:t>1.50%</w:t>
            </w:r>
          </w:p>
        </w:tc>
        <w:tc>
          <w:tcPr>
            <w:tcW w:w="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0"/>
              <w:spacing w:after="0"/>
              <w:rPr>
                <w:sz w:val="20"/>
                <w:szCs w:val="20"/>
                <w:color w:val="auto"/>
              </w:rPr>
            </w:pPr>
            <w:r>
              <w:rPr>
                <w:rFonts w:ascii="Arial" w:cs="Arial" w:eastAsia="Arial" w:hAnsi="Arial"/>
                <w:sz w:val="20"/>
                <w:szCs w:val="20"/>
                <w:color w:val="auto"/>
              </w:rPr>
              <w:t>1.45%</w:t>
            </w:r>
          </w:p>
        </w:tc>
        <w:tc>
          <w:tcPr>
            <w:tcW w:w="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20"/>
                <w:szCs w:val="20"/>
                <w:color w:val="auto"/>
              </w:rPr>
              <w:t>1.46%</w:t>
            </w:r>
          </w:p>
        </w:tc>
        <w:tc>
          <w:tcPr>
            <w:tcW w:w="2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20"/>
                <w:szCs w:val="20"/>
                <w:color w:val="auto"/>
              </w:rPr>
              <w:t>1.47%</w:t>
            </w:r>
          </w:p>
        </w:tc>
        <w:tc>
          <w:tcPr>
            <w:tcW w:w="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1.45%</w:t>
            </w:r>
          </w:p>
        </w:tc>
        <w:tc>
          <w:tcPr>
            <w:tcW w:w="0" w:type="dxa"/>
            <w:vAlign w:val="bottom"/>
          </w:tcPr>
          <w:p>
            <w:pPr>
              <w:spacing w:after="0"/>
              <w:rPr>
                <w:sz w:val="1"/>
                <w:szCs w:val="1"/>
                <w:color w:val="auto"/>
              </w:rPr>
            </w:pPr>
          </w:p>
        </w:tc>
      </w:tr>
      <w:tr>
        <w:trPr>
          <w:trHeight w:val="250"/>
        </w:trPr>
        <w:tc>
          <w:tcPr>
            <w:tcW w:w="4980" w:type="dxa"/>
            <w:vAlign w:val="bottom"/>
            <w:gridSpan w:val="3"/>
          </w:tcPr>
          <w:p>
            <w:pPr>
              <w:spacing w:after="0"/>
              <w:rPr>
                <w:sz w:val="20"/>
                <w:szCs w:val="20"/>
                <w:color w:val="auto"/>
              </w:rPr>
            </w:pPr>
            <w:r>
              <w:rPr>
                <w:rFonts w:ascii="Arial" w:cs="Arial" w:eastAsia="Arial" w:hAnsi="Arial"/>
                <w:sz w:val="20"/>
                <w:szCs w:val="20"/>
                <w:color w:val="auto"/>
              </w:rPr>
              <w:t>Real estate</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.83</w:t>
            </w: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.75</w:t>
            </w: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.72</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1.02</w:t>
            </w: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1.15</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980" w:type="dxa"/>
            <w:vAlign w:val="bottom"/>
            <w:gridSpan w:val="3"/>
            <w:shd w:val="clear" w:color="auto" w:fill="CFF0FC"/>
          </w:tcPr>
          <w:p>
            <w:pPr>
              <w:spacing w:after="0"/>
              <w:rPr>
                <w:sz w:val="20"/>
                <w:szCs w:val="20"/>
                <w:color w:val="auto"/>
              </w:rPr>
            </w:pPr>
            <w:r>
              <w:rPr>
                <w:rFonts w:ascii="Arial" w:cs="Arial" w:eastAsia="Arial" w:hAnsi="Arial"/>
                <w:sz w:val="20"/>
                <w:szCs w:val="20"/>
                <w:color w:val="auto"/>
              </w:rPr>
              <w:t>Consumer</w:t>
            </w:r>
          </w:p>
        </w:tc>
        <w:tc>
          <w:tcPr>
            <w:tcW w:w="1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1.29</w:t>
            </w:r>
          </w:p>
        </w:tc>
        <w:tc>
          <w:tcPr>
            <w:tcW w:w="2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1.29</w:t>
            </w:r>
          </w:p>
        </w:tc>
        <w:tc>
          <w:tcPr>
            <w:tcW w:w="2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1.54</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1.70</w:t>
            </w:r>
          </w:p>
        </w:tc>
        <w:tc>
          <w:tcPr>
            <w:tcW w:w="2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1.60</w:t>
            </w:r>
          </w:p>
        </w:tc>
        <w:tc>
          <w:tcPr>
            <w:tcW w:w="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ind w:firstLine="598"/>
        <w:spacing w:after="0" w:line="278" w:lineRule="auto"/>
        <w:rPr>
          <w:sz w:val="20"/>
          <w:szCs w:val="20"/>
          <w:color w:val="auto"/>
        </w:rPr>
      </w:pPr>
      <w:r>
        <w:rPr>
          <w:rFonts w:ascii="Arial" w:cs="Arial" w:eastAsia="Arial" w:hAnsi="Arial"/>
          <w:sz w:val="18"/>
          <w:szCs w:val="18"/>
          <w:color w:val="auto"/>
        </w:rPr>
        <w:t>Management believes that the allowance for credit losses at December 31, 2017 appropriately reflected credit losses inherent in the portfolio as of that date. The allowance for credit losses was $1.0 billion or 1.16% of total loans and leases at December 31, 2017, compared with $989 million or 1.09% at December 31, 2016 and $956 million or 1.09% at December 31, 2015. The ratio of the allowance to total loans and leases at each respective year-end reflects the impact of loans obtained in acquisition transactions subsequent to 2008 that have been recorded at estimated fair value. As noted earlier, GAAP prohibits any carry-over of an allowance for credit losses for acquired loans recorded at fair value. However, for loans acquired at a premium, GAAP provides that an allowance for credit losses be recognized for incurred losses inherent in the portfolio. The increase in the ratio of the allowance to total loans and leases at December 31, 2017 as compared with December 31, 2016 and December 31, 2015 reflects the pay down of Hudson City acquired residential real estate loans, which generally had lower ascribed loss factors, offset by an increase in automobile and recreational vehicle loans with higher ascribed loss factors. The level of the allowance reflects management’s evaluation of the loan and lease portfolio using the methodology and considering the factors as described herein. Should the various credit factors considered by management in establishing the allowance for credit losses change and should management’s assessment of losses inherent in the loan portfolios also change, the level of the allowance as a percentage of loans could increase or decrease in future periods. The ratio of the allowance for credit losses to nonaccrual loans at the end of 2017, 2016 and 2015 was 115%, 107% and 120%, respectively. Given the Company’s general position as a secured lender and its practice of charging-off loan balances when collection is deemed doubtful, that ratio and changes in that ratio are generally not an indicative measure of the adequacy of the Company’s allowance for credit losses, nor does management rely upon that ratio in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78" w:name="page79"/>
    <w:bookmarkEnd w:id="78"/>
    <w:p>
      <w:pPr>
        <w:ind w:right="380"/>
        <w:spacing w:after="0" w:line="256" w:lineRule="auto"/>
        <w:rPr>
          <w:sz w:val="20"/>
          <w:szCs w:val="20"/>
          <w:color w:val="auto"/>
        </w:rPr>
      </w:pPr>
      <w:r>
        <w:rPr>
          <w:rFonts w:ascii="Arial" w:cs="Arial" w:eastAsia="Arial" w:hAnsi="Arial"/>
          <w:sz w:val="20"/>
          <w:szCs w:val="20"/>
          <w:color w:val="auto"/>
        </w:rPr>
        <w:t>assessing the adequacy of the Company’s allowance for credit losses. The level of the allowance reflects management’s evaluation of the loan and lease portfolio as of each respective date.</w:t>
      </w:r>
    </w:p>
    <w:p>
      <w:pPr>
        <w:ind w:right="40" w:firstLine="598"/>
        <w:spacing w:after="0" w:line="246" w:lineRule="auto"/>
        <w:rPr>
          <w:sz w:val="20"/>
          <w:szCs w:val="20"/>
          <w:color w:val="auto"/>
        </w:rPr>
      </w:pPr>
      <w:r>
        <w:rPr>
          <w:rFonts w:ascii="Arial" w:cs="Arial" w:eastAsia="Arial" w:hAnsi="Arial"/>
          <w:sz w:val="20"/>
          <w:szCs w:val="20"/>
          <w:color w:val="auto"/>
        </w:rPr>
        <w:t>In establishing the allowance for credit losses, management follows the methodology described herein, including taking a conservative view of borrowers’ abilities to repay loans. The establishment of the allowance is subjective and requires management to make many judgments about borrower, industry, regional and national economic health and performance. In order to present examples of the possible impact on the allowance from certain changes in credit quality factors, the Company assumed the following scenarios for possible deterioration of credit quality:</w:t>
      </w:r>
    </w:p>
    <w:p>
      <w:pPr>
        <w:spacing w:after="0" w:line="4" w:lineRule="exact"/>
        <w:rPr>
          <w:sz w:val="20"/>
          <w:szCs w:val="20"/>
          <w:color w:val="auto"/>
        </w:rPr>
      </w:pPr>
    </w:p>
    <w:p>
      <w:pPr>
        <w:ind w:left="1180" w:hanging="584"/>
        <w:spacing w:after="0" w:line="246" w:lineRule="auto"/>
        <w:tabs>
          <w:tab w:leader="none" w:pos="1180" w:val="left"/>
        </w:tabs>
        <w:numPr>
          <w:ilvl w:val="0"/>
          <w:numId w:val="34"/>
        </w:numPr>
        <w:rPr>
          <w:rFonts w:ascii="Arial" w:cs="Arial" w:eastAsia="Arial" w:hAnsi="Arial"/>
          <w:sz w:val="20"/>
          <w:szCs w:val="20"/>
          <w:color w:val="auto"/>
        </w:rPr>
      </w:pPr>
      <w:r>
        <w:rPr>
          <w:rFonts w:ascii="Arial" w:cs="Arial" w:eastAsia="Arial" w:hAnsi="Arial"/>
          <w:sz w:val="20"/>
          <w:szCs w:val="20"/>
          <w:color w:val="auto"/>
        </w:rPr>
        <w:t>For consumer loans and leases considered smaller balance homogenous loans and evaluated collectively, a 50 basis point increase in loss factors;</w:t>
      </w:r>
    </w:p>
    <w:p>
      <w:pPr>
        <w:spacing w:after="0" w:line="1" w:lineRule="exact"/>
        <w:rPr>
          <w:rFonts w:ascii="Arial" w:cs="Arial" w:eastAsia="Arial" w:hAnsi="Arial"/>
          <w:sz w:val="20"/>
          <w:szCs w:val="20"/>
          <w:color w:val="auto"/>
        </w:rPr>
      </w:pPr>
    </w:p>
    <w:p>
      <w:pPr>
        <w:ind w:left="1180" w:right="180" w:hanging="584"/>
        <w:spacing w:after="0" w:line="246" w:lineRule="auto"/>
        <w:tabs>
          <w:tab w:leader="none" w:pos="1180" w:val="left"/>
        </w:tabs>
        <w:numPr>
          <w:ilvl w:val="0"/>
          <w:numId w:val="34"/>
        </w:numPr>
        <w:rPr>
          <w:rFonts w:ascii="Arial" w:cs="Arial" w:eastAsia="Arial" w:hAnsi="Arial"/>
          <w:sz w:val="20"/>
          <w:szCs w:val="20"/>
          <w:color w:val="auto"/>
        </w:rPr>
      </w:pPr>
      <w:r>
        <w:rPr>
          <w:rFonts w:ascii="Arial" w:cs="Arial" w:eastAsia="Arial" w:hAnsi="Arial"/>
          <w:sz w:val="20"/>
          <w:szCs w:val="20"/>
          <w:color w:val="auto"/>
        </w:rPr>
        <w:t>For residential real estate loans and home equity loans and lines of credit, also considered small balance homogenous loans and evaluated collectively, a 15% increase in estimated inherent losses; and</w:t>
      </w:r>
    </w:p>
    <w:p>
      <w:pPr>
        <w:spacing w:after="0" w:line="1" w:lineRule="exact"/>
        <w:rPr>
          <w:rFonts w:ascii="Arial" w:cs="Arial" w:eastAsia="Arial" w:hAnsi="Arial"/>
          <w:sz w:val="20"/>
          <w:szCs w:val="20"/>
          <w:color w:val="auto"/>
        </w:rPr>
      </w:pPr>
    </w:p>
    <w:p>
      <w:pPr>
        <w:ind w:left="1180" w:right="520" w:hanging="584"/>
        <w:spacing w:after="0" w:line="256" w:lineRule="auto"/>
        <w:tabs>
          <w:tab w:leader="none" w:pos="1180" w:val="left"/>
        </w:tabs>
        <w:numPr>
          <w:ilvl w:val="0"/>
          <w:numId w:val="34"/>
        </w:numPr>
        <w:rPr>
          <w:rFonts w:ascii="Arial" w:cs="Arial" w:eastAsia="Arial" w:hAnsi="Arial"/>
          <w:sz w:val="20"/>
          <w:szCs w:val="20"/>
          <w:color w:val="auto"/>
        </w:rPr>
      </w:pPr>
      <w:r>
        <w:rPr>
          <w:rFonts w:ascii="Arial" w:cs="Arial" w:eastAsia="Arial" w:hAnsi="Arial"/>
          <w:sz w:val="20"/>
          <w:szCs w:val="20"/>
          <w:color w:val="auto"/>
        </w:rPr>
        <w:t>For commercial loans and commercial real estate loans, a migration of loans to lower-ranked risk grades resulting in a 30% increase in the balance of classified credits in each risk grade.</w:t>
      </w:r>
    </w:p>
    <w:p>
      <w:pPr>
        <w:spacing w:after="0" w:line="201" w:lineRule="exact"/>
        <w:rPr>
          <w:sz w:val="20"/>
          <w:szCs w:val="20"/>
          <w:color w:val="auto"/>
        </w:rPr>
      </w:pPr>
    </w:p>
    <w:p>
      <w:pPr>
        <w:ind w:left="1180" w:hanging="584"/>
        <w:spacing w:after="0"/>
        <w:tabs>
          <w:tab w:leader="none" w:pos="1180" w:val="left"/>
        </w:tabs>
        <w:numPr>
          <w:ilvl w:val="0"/>
          <w:numId w:val="35"/>
        </w:numPr>
        <w:rPr>
          <w:rFonts w:ascii="Arial" w:cs="Arial" w:eastAsia="Arial" w:hAnsi="Arial"/>
          <w:sz w:val="20"/>
          <w:szCs w:val="20"/>
          <w:color w:val="auto"/>
        </w:rPr>
      </w:pPr>
      <w:r>
        <w:rPr>
          <w:rFonts w:ascii="Arial" w:cs="Arial" w:eastAsia="Arial" w:hAnsi="Arial"/>
          <w:sz w:val="20"/>
          <w:szCs w:val="20"/>
          <w:color w:val="auto"/>
        </w:rPr>
        <w:t>For consumer loans and leases, a 20 basis point decrease in loss factors;</w:t>
      </w:r>
    </w:p>
    <w:p>
      <w:pPr>
        <w:spacing w:after="0" w:line="24" w:lineRule="exact"/>
        <w:rPr>
          <w:rFonts w:ascii="Arial" w:cs="Arial" w:eastAsia="Arial" w:hAnsi="Arial"/>
          <w:sz w:val="20"/>
          <w:szCs w:val="20"/>
          <w:color w:val="auto"/>
        </w:rPr>
      </w:pPr>
    </w:p>
    <w:p>
      <w:pPr>
        <w:ind w:left="1180" w:hanging="584"/>
        <w:spacing w:after="0"/>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For residential real estate loans and home equity loans and lines of credit, a 10% decrease in estimated inherent losses; and</w:t>
      </w:r>
    </w:p>
    <w:p>
      <w:pPr>
        <w:spacing w:after="0" w:line="29" w:lineRule="exact"/>
        <w:rPr>
          <w:rFonts w:ascii="Arial" w:cs="Arial" w:eastAsia="Arial" w:hAnsi="Arial"/>
          <w:sz w:val="18"/>
          <w:szCs w:val="18"/>
          <w:color w:val="auto"/>
        </w:rPr>
      </w:pPr>
    </w:p>
    <w:p>
      <w:pPr>
        <w:ind w:left="1180" w:right="560" w:hanging="584"/>
        <w:spacing w:after="0" w:line="256" w:lineRule="auto"/>
        <w:tabs>
          <w:tab w:leader="none" w:pos="1180" w:val="left"/>
        </w:tabs>
        <w:numPr>
          <w:ilvl w:val="0"/>
          <w:numId w:val="35"/>
        </w:numPr>
        <w:rPr>
          <w:rFonts w:ascii="Arial" w:cs="Arial" w:eastAsia="Arial" w:hAnsi="Arial"/>
          <w:sz w:val="20"/>
          <w:szCs w:val="20"/>
          <w:color w:val="auto"/>
        </w:rPr>
      </w:pPr>
      <w:r>
        <w:rPr>
          <w:rFonts w:ascii="Arial" w:cs="Arial" w:eastAsia="Arial" w:hAnsi="Arial"/>
          <w:sz w:val="20"/>
          <w:szCs w:val="20"/>
          <w:color w:val="auto"/>
        </w:rPr>
        <w:t>For commercial loans and commercial real estate loans, a migration of loans to higher-ranked risk grades resulting in a 5% decrease in the balance of classified credits in each risk grade.</w:t>
      </w:r>
    </w:p>
    <w:p>
      <w:pPr>
        <w:spacing w:after="0" w:line="175" w:lineRule="exact"/>
        <w:rPr>
          <w:sz w:val="20"/>
          <w:szCs w:val="20"/>
          <w:color w:val="auto"/>
        </w:rPr>
      </w:pPr>
    </w:p>
    <w:p>
      <w:pPr>
        <w:ind w:right="480" w:firstLine="598"/>
        <w:spacing w:after="0" w:line="251" w:lineRule="auto"/>
        <w:rPr>
          <w:sz w:val="20"/>
          <w:szCs w:val="20"/>
          <w:color w:val="auto"/>
        </w:rPr>
      </w:pPr>
      <w:r>
        <w:rPr>
          <w:rFonts w:ascii="Arial" w:cs="Arial" w:eastAsia="Arial" w:hAnsi="Arial"/>
          <w:sz w:val="20"/>
          <w:szCs w:val="20"/>
          <w:color w:val="auto"/>
        </w:rPr>
        <w:t>The scenario analyses resulted in an additional $87 million that could be identifiable under the assumptions for credit deterioration, whereas under the assumptions for credit improvement a $29 million reduction could occur. These examples are only a few of numerous reasonably possible scenarios that could be utilized in assessing the sensitivity of the allowance for credit losses based on changes in assumptions and other factors.</w:t>
      </w:r>
    </w:p>
    <w:p>
      <w:pPr>
        <w:spacing w:after="0" w:line="2" w:lineRule="exact"/>
        <w:rPr>
          <w:sz w:val="20"/>
          <w:szCs w:val="20"/>
          <w:color w:val="auto"/>
        </w:rPr>
      </w:pPr>
    </w:p>
    <w:p>
      <w:pPr>
        <w:ind w:right="100" w:firstLine="598"/>
        <w:spacing w:after="0" w:line="251" w:lineRule="auto"/>
        <w:rPr>
          <w:sz w:val="20"/>
          <w:szCs w:val="20"/>
          <w:color w:val="auto"/>
        </w:rPr>
      </w:pPr>
      <w:r>
        <w:rPr>
          <w:rFonts w:ascii="Arial" w:cs="Arial" w:eastAsia="Arial" w:hAnsi="Arial"/>
          <w:sz w:val="20"/>
          <w:szCs w:val="20"/>
          <w:color w:val="auto"/>
        </w:rPr>
        <w:t>The Company had no concentrations of credit extended to any specific industry that exceeded 10% of total loans at December 31, 2017, however residential real estate loans comprised approximately 22% of the loan portfolio. Outstanding loans to foreign borrowers aggregated $159 million at December 31, 2017, or .2% of total loans and leases.</w:t>
      </w:r>
    </w:p>
    <w:p>
      <w:pPr>
        <w:spacing w:after="0" w:line="3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Income</w:t>
      </w:r>
    </w:p>
    <w:p>
      <w:pPr>
        <w:spacing w:after="0" w:line="29" w:lineRule="exact"/>
        <w:rPr>
          <w:sz w:val="20"/>
          <w:szCs w:val="20"/>
          <w:color w:val="auto"/>
        </w:rPr>
      </w:pPr>
    </w:p>
    <w:p>
      <w:pPr>
        <w:ind w:right="60"/>
        <w:spacing w:after="0" w:line="274" w:lineRule="auto"/>
        <w:rPr>
          <w:sz w:val="20"/>
          <w:szCs w:val="20"/>
          <w:color w:val="auto"/>
        </w:rPr>
      </w:pPr>
      <w:r>
        <w:rPr>
          <w:rFonts w:ascii="Arial" w:cs="Arial" w:eastAsia="Arial" w:hAnsi="Arial"/>
          <w:sz w:val="18"/>
          <w:szCs w:val="18"/>
          <w:color w:val="auto"/>
        </w:rPr>
        <w:t>Other income totaled $1.85 billion in 2017, compared with $1.83 billion in each of 2016 and 2015. The rise in other income from 2016 to 2017 was largely attributable to higher trust income, merchant discount and credit card fees and service charges on deposit accounts, and lower losses associated with M&amp;T’s share of the operating losses of Bayview Lending Group LLC (“BLG”). Partially offsetting those improvements were a decline in mortgage banking revenues and lower gains on investment securities. As compared with 2015, the impact of gains realized on investment securities and higher trading account and foreign exchange gains in 2016 were offset by the impact of a $45 million gain recognized in 2015 on the sale of the Company’s trade processing business within the retirement services division. Revenues and net income attributable to the sold business were not material to the Company’s consolidated results of operations in 2015.</w:t>
      </w:r>
    </w:p>
    <w:p>
      <w:pPr>
        <w:spacing w:after="0" w:line="1" w:lineRule="exact"/>
        <w:rPr>
          <w:sz w:val="20"/>
          <w:szCs w:val="20"/>
          <w:color w:val="auto"/>
        </w:rPr>
      </w:pPr>
    </w:p>
    <w:p>
      <w:pPr>
        <w:ind w:right="420" w:firstLine="598"/>
        <w:spacing w:after="0" w:line="251" w:lineRule="auto"/>
        <w:rPr>
          <w:sz w:val="20"/>
          <w:szCs w:val="20"/>
          <w:color w:val="auto"/>
        </w:rPr>
      </w:pPr>
      <w:r>
        <w:rPr>
          <w:rFonts w:ascii="Arial" w:cs="Arial" w:eastAsia="Arial" w:hAnsi="Arial"/>
          <w:sz w:val="20"/>
          <w:szCs w:val="20"/>
          <w:color w:val="auto"/>
        </w:rPr>
        <w:t>Mortgage banking revenues aggregated $364 million in 2017, $374 million in 2016 and $376 million in 2015. Mortgage banking revenues are comprised of both residential and commercial mortgage banking activities. The Company’s involvement in commercial mortgage banking activities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76" w:right="239" w:bottom="1440" w:gutter="0" w:footer="0" w:header="0"/>
        </w:sectPr>
      </w:pPr>
    </w:p>
    <w:bookmarkStart w:id="79" w:name="page80"/>
    <w:bookmarkEnd w:id="79"/>
    <w:p>
      <w:pPr>
        <w:spacing w:after="0"/>
        <w:rPr>
          <w:sz w:val="20"/>
          <w:szCs w:val="20"/>
          <w:color w:val="auto"/>
        </w:rPr>
      </w:pPr>
      <w:r>
        <w:rPr>
          <w:rFonts w:ascii="Arial" w:cs="Arial" w:eastAsia="Arial" w:hAnsi="Arial"/>
          <w:sz w:val="19"/>
          <w:szCs w:val="19"/>
          <w:color w:val="auto"/>
        </w:rPr>
        <w:t>includes the origination, sales and servicing of loans under the multifamily loan programs of Fannie Mae, Freddie Mac and the U.S.</w:t>
      </w:r>
    </w:p>
    <w:p>
      <w:pPr>
        <w:spacing w:after="0" w:line="36" w:lineRule="exact"/>
        <w:rPr>
          <w:sz w:val="20"/>
          <w:szCs w:val="20"/>
          <w:color w:val="auto"/>
        </w:rPr>
      </w:pPr>
    </w:p>
    <w:p>
      <w:pPr>
        <w:spacing w:after="0"/>
        <w:rPr>
          <w:sz w:val="20"/>
          <w:szCs w:val="20"/>
          <w:color w:val="auto"/>
        </w:rPr>
      </w:pPr>
      <w:r>
        <w:rPr>
          <w:rFonts w:ascii="Arial" w:cs="Arial" w:eastAsia="Arial" w:hAnsi="Arial"/>
          <w:sz w:val="20"/>
          <w:szCs w:val="20"/>
          <w:color w:val="auto"/>
        </w:rPr>
        <w:t>Department of Housing and Urban Development.</w:t>
      </w:r>
    </w:p>
    <w:p>
      <w:pPr>
        <w:spacing w:after="0" w:line="7" w:lineRule="exact"/>
        <w:rPr>
          <w:sz w:val="20"/>
          <w:szCs w:val="20"/>
          <w:color w:val="auto"/>
        </w:rPr>
      </w:pPr>
    </w:p>
    <w:p>
      <w:pPr>
        <w:ind w:right="60" w:firstLine="598"/>
        <w:spacing w:after="0" w:line="274" w:lineRule="auto"/>
        <w:rPr>
          <w:sz w:val="20"/>
          <w:szCs w:val="20"/>
          <w:color w:val="auto"/>
        </w:rPr>
      </w:pPr>
      <w:r>
        <w:rPr>
          <w:rFonts w:ascii="Arial" w:cs="Arial" w:eastAsia="Arial" w:hAnsi="Arial"/>
          <w:sz w:val="18"/>
          <w:szCs w:val="18"/>
          <w:color w:val="auto"/>
        </w:rPr>
        <w:t>Residential mortgage banking revenues, consisting of realized gains from sales of residential real estate loans and loan servicing rights, unrealized gains and losses on residential real estate loans held for sale and related commitments, residential real estate loan servicing fees, and other residential real estate loan-related fees and income, were $245 million in 2017, $255 million in 2016 and $281 million in 2015. The lower residential mortgage banking revenues in 2017 as compared with 2016 were the result of a decrease in gains from origination activities, reflecting a decline in origination volumes and a narrowing of the associated margins. The decline in such revenues from 2015 to 2016 predominantly reflects a decrease in revenues associated with servicing residential real estate loans for others.</w:t>
      </w:r>
    </w:p>
    <w:p>
      <w:pPr>
        <w:spacing w:after="0" w:line="1" w:lineRule="exact"/>
        <w:rPr>
          <w:sz w:val="20"/>
          <w:szCs w:val="20"/>
          <w:color w:val="auto"/>
        </w:rPr>
      </w:pPr>
    </w:p>
    <w:p>
      <w:pPr>
        <w:ind w:right="280" w:firstLine="598"/>
        <w:spacing w:after="0" w:line="246" w:lineRule="auto"/>
        <w:rPr>
          <w:sz w:val="20"/>
          <w:szCs w:val="20"/>
          <w:color w:val="auto"/>
        </w:rPr>
      </w:pPr>
      <w:r>
        <w:rPr>
          <w:rFonts w:ascii="Arial" w:cs="Arial" w:eastAsia="Arial" w:hAnsi="Arial"/>
          <w:sz w:val="20"/>
          <w:szCs w:val="20"/>
          <w:color w:val="auto"/>
        </w:rPr>
        <w:t>New commitments to originate residential real estate loans to be sold declined 5% to approximately $3.0 billion in 2017 from $3.1 billion in 2016. Such commitments aggregated $3.5 billion in 2015. Realized gains from sales of residential real estate loans and loan servicing rights and recognized net unrealized gains or losses attributable to residential real estate loans held for sale, commitments to originate loans for sale and commitments to sell loans aggregated to gains of $60 million in 2017, $71 million in 2016 and $74 million in 2015.</w:t>
      </w:r>
    </w:p>
    <w:p>
      <w:pPr>
        <w:spacing w:after="0" w:line="4" w:lineRule="exact"/>
        <w:rPr>
          <w:sz w:val="20"/>
          <w:szCs w:val="20"/>
          <w:color w:val="auto"/>
        </w:rPr>
      </w:pPr>
    </w:p>
    <w:p>
      <w:pPr>
        <w:ind w:right="20" w:firstLine="598"/>
        <w:spacing w:after="0" w:line="259" w:lineRule="auto"/>
        <w:rPr>
          <w:sz w:val="20"/>
          <w:szCs w:val="20"/>
          <w:color w:val="auto"/>
        </w:rPr>
      </w:pPr>
      <w:r>
        <w:rPr>
          <w:rFonts w:ascii="Arial" w:cs="Arial" w:eastAsia="Arial" w:hAnsi="Arial"/>
          <w:sz w:val="19"/>
          <w:szCs w:val="19"/>
          <w:color w:val="auto"/>
        </w:rPr>
        <w:t>Loans held for sale that were secured by residential real estate aggregated $356 million and $414 million at December 31, 2017 and 2016, respectively. Commitments to sell residential real estate loans and commitments to originate residential real estate loans for sale at pre-determined rates totaled $595 million and $347 million, respectively, at December 31, 2017, $777 million and $479 million, respectively, at December 31, 2016 and $687 million and $489 million, respectively, at December 31, 2015. Net recognized unrealized gains on residential real estate loans held for sale, commitments to sell loans and commitments to originate loans for sale were $10 million at December 31, 2017, $15 million at December 31, 2016 and $16 million at December 31, 2015. Changes in such net unrealized gains are recorded in mortgage banking revenues and resulted in net decreases in revenue of $5 million in 2017 and $3 million in 2015. The aggregate impact of changes in net unrealized gains was less than $1 million in 2016.</w:t>
      </w:r>
    </w:p>
    <w:p>
      <w:pPr>
        <w:spacing w:after="0" w:line="6" w:lineRule="exact"/>
        <w:rPr>
          <w:sz w:val="20"/>
          <w:szCs w:val="20"/>
          <w:color w:val="auto"/>
        </w:rPr>
      </w:pPr>
    </w:p>
    <w:p>
      <w:pPr>
        <w:ind w:right="20" w:firstLine="598"/>
        <w:spacing w:after="0" w:line="259" w:lineRule="auto"/>
        <w:rPr>
          <w:sz w:val="20"/>
          <w:szCs w:val="20"/>
          <w:color w:val="auto"/>
        </w:rPr>
      </w:pPr>
      <w:r>
        <w:rPr>
          <w:rFonts w:ascii="Arial" w:cs="Arial" w:eastAsia="Arial" w:hAnsi="Arial"/>
          <w:sz w:val="19"/>
          <w:szCs w:val="19"/>
          <w:color w:val="auto"/>
        </w:rPr>
        <w:t>Revenues from servicing residential real estate loans for others were $185 million in 2017, $183 million in 2016 and $206 million in 2015. Residential real estate loans serviced for others aggregated $79.2 billion at December 31, 2017, $53.2 billion a year earlier and $61.7 billion at December 31, 2015. Reflected in residential real estate loans serviced for others were loans sub-serviced for others of $56.6 billion, $30.4 billion and $37.8 billion at December 31, 2017, 2016 and 2015, respectively. Revenues earned for sub-servicing loans totaled $103 million in 2017, compared with $98 million in 2016 and $116 million in 2015. During 2017, the Company acquired additional sub-servicing of residential real estate loans aggregating $35.6 billion of outstanding principal balances. The contractual servicing rights associated with loans sub-serviced by the Company were predominantly held by affiliates of BLG. Information about the Company’s relationship with BLG and its affiliates is included in note 24 of Notes to Financial Statements.</w:t>
      </w:r>
    </w:p>
    <w:p>
      <w:pPr>
        <w:spacing w:after="0" w:line="6" w:lineRule="exact"/>
        <w:rPr>
          <w:sz w:val="20"/>
          <w:szCs w:val="20"/>
          <w:color w:val="auto"/>
        </w:rPr>
      </w:pPr>
    </w:p>
    <w:p>
      <w:pPr>
        <w:jc w:val="both"/>
        <w:ind w:right="120" w:firstLine="598"/>
        <w:spacing w:after="0" w:line="259" w:lineRule="auto"/>
        <w:rPr>
          <w:sz w:val="20"/>
          <w:szCs w:val="20"/>
          <w:color w:val="auto"/>
        </w:rPr>
      </w:pPr>
      <w:r>
        <w:rPr>
          <w:rFonts w:ascii="Arial" w:cs="Arial" w:eastAsia="Arial" w:hAnsi="Arial"/>
          <w:sz w:val="19"/>
          <w:szCs w:val="19"/>
          <w:color w:val="auto"/>
        </w:rPr>
        <w:t>Capitalized servicing rights consist largely of servicing associated with loans sold by the Company. Capitalized residential mortgage servicing assets totaled $115 million at December 31, 2017, compared with $117 million and $118 million at December 31, 2016 and 2015, respectively. Additional information about the Company’s capitalized residential mortgage servicing assets, including information about the calculation of estimated fair value, is presented in note 7 of Notes to Financial Statements.</w:t>
      </w:r>
    </w:p>
    <w:p>
      <w:pPr>
        <w:spacing w:after="0" w:line="3" w:lineRule="exact"/>
        <w:rPr>
          <w:sz w:val="20"/>
          <w:szCs w:val="20"/>
          <w:color w:val="auto"/>
        </w:rPr>
      </w:pPr>
    </w:p>
    <w:p>
      <w:pPr>
        <w:ind w:firstLine="598"/>
        <w:spacing w:after="0" w:line="271" w:lineRule="auto"/>
        <w:rPr>
          <w:sz w:val="20"/>
          <w:szCs w:val="20"/>
          <w:color w:val="auto"/>
        </w:rPr>
      </w:pPr>
      <w:r>
        <w:rPr>
          <w:rFonts w:ascii="Arial" w:cs="Arial" w:eastAsia="Arial" w:hAnsi="Arial"/>
          <w:sz w:val="19"/>
          <w:szCs w:val="19"/>
          <w:color w:val="auto"/>
        </w:rPr>
        <w:t>Commercial mortgage banking revenues totaled $119 million in each of 2017 and 2016, compared with $95 million in 2015. Included in such amounts were revenues from loan origination and sales activities of $66 million in 2017, $76 million in 2016 and $53 million in 2015. The changes in such revenues from year-to-year reflect changes in loan origination volumes. Commercial real</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00"/>
          </w:cols>
          <w:pgMar w:left="240" w:top="336" w:right="259" w:bottom="1440" w:gutter="0" w:footer="0" w:header="0"/>
        </w:sectPr>
      </w:pPr>
    </w:p>
    <w:bookmarkStart w:id="80" w:name="page81"/>
    <w:bookmarkEnd w:id="80"/>
    <w:p>
      <w:pPr>
        <w:ind w:right="80"/>
        <w:spacing w:after="0" w:line="248" w:lineRule="auto"/>
        <w:rPr>
          <w:sz w:val="20"/>
          <w:szCs w:val="20"/>
          <w:color w:val="auto"/>
        </w:rPr>
      </w:pPr>
      <w:r>
        <w:rPr>
          <w:rFonts w:ascii="Arial" w:cs="Arial" w:eastAsia="Arial" w:hAnsi="Arial"/>
          <w:sz w:val="20"/>
          <w:szCs w:val="20"/>
          <w:color w:val="auto"/>
        </w:rPr>
        <w:t>estate loans originated for sale to other investors totaled approximately $2.5 billion in 2017, compared with $2.9 billion in 2016 and $2.0 billion in 2015. Loan servicing revenues aggregated $53 million in 2017, $43 million in 2016 and $42 million in 2015. Capitalized commercial mortgage servicing assets were $114 million at December 31, 2017, $104 million at December 31, 2016 and $84 million at December 31, 2015. Commercial real estate loans serviced for other investors totaled $16.2 billion at December 31, 2017, $11.8 billion at December 31, 2016 and $11.0 billion at December 31, 2015, and included $3.3 billion, $2.8 billion and $2.5 billion, respectively, of loan balances for which investors had recourse to the Company if such balances are ultimately uncollectible. Commitments to sell commercial real estate loans and commitments to originate commercial real estate loans for sale aggregated $217 million and $195 million, respectively, at December 31, 2017, $713 million and $70 million, respectively, at December 31, 2016 and $96 million and $58 million, respectively, at December 31, 2015. Commercial real estate loans held for sale were $22 million, $643 million and $39 million at December 31, 2017, 2016 and 2015, respectively. The higher balance at December 31, 2016 reflects loans originated later in the year that had not yet been delivered to investors.</w:t>
      </w:r>
    </w:p>
    <w:p>
      <w:pPr>
        <w:spacing w:after="0" w:line="5" w:lineRule="exact"/>
        <w:rPr>
          <w:sz w:val="20"/>
          <w:szCs w:val="20"/>
          <w:color w:val="auto"/>
        </w:rPr>
      </w:pPr>
    </w:p>
    <w:p>
      <w:pPr>
        <w:ind w:firstLine="598"/>
        <w:spacing w:after="0" w:line="246" w:lineRule="auto"/>
        <w:rPr>
          <w:sz w:val="20"/>
          <w:szCs w:val="20"/>
          <w:color w:val="auto"/>
        </w:rPr>
      </w:pPr>
      <w:r>
        <w:rPr>
          <w:rFonts w:ascii="Arial" w:cs="Arial" w:eastAsia="Arial" w:hAnsi="Arial"/>
          <w:sz w:val="20"/>
          <w:szCs w:val="20"/>
          <w:color w:val="auto"/>
        </w:rPr>
        <w:t>Service charges on deposit accounts totaled $427 million in 2017, compared with $419 million in 2016 and $421 million in 2015. The increase in service charges in 2017 as compared with 2016 reflects higher consumer and commercial service charges of $5 million and $3 million, respectively.</w:t>
      </w:r>
    </w:p>
    <w:p>
      <w:pPr>
        <w:spacing w:after="0" w:line="2" w:lineRule="exact"/>
        <w:rPr>
          <w:sz w:val="20"/>
          <w:szCs w:val="20"/>
          <w:color w:val="auto"/>
        </w:rPr>
      </w:pPr>
    </w:p>
    <w:p>
      <w:pPr>
        <w:ind w:firstLine="598"/>
        <w:spacing w:after="0" w:line="276" w:lineRule="auto"/>
        <w:rPr>
          <w:sz w:val="20"/>
          <w:szCs w:val="20"/>
          <w:color w:val="auto"/>
        </w:rPr>
      </w:pPr>
      <w:r>
        <w:rPr>
          <w:rFonts w:ascii="Arial" w:cs="Arial" w:eastAsia="Arial" w:hAnsi="Arial"/>
          <w:sz w:val="18"/>
          <w:szCs w:val="18"/>
          <w:color w:val="auto"/>
        </w:rPr>
        <w:t>Trust income includes fees related to two significant businesses. The Institutional Client Services (“ICS”) business provides a variety of trustee, agency, investment management and administrative services for corporations and institutions, investment bankers, corporate tax, finance and legal executives, and other institutional clients who: (i) use capital markets financing structures; (ii) use independent trustees to hold retirement plan and other assets; and (iii) need investment and cash management services. The Wealth Advisory Services (“WAS”) business helps high net worth clients grow their wealth, protect it, and transfer it to their heirs. A comprehensive array of wealth management services are offered, including asset management, fiduciary services and family office services. Trust income aggregated $501 million in 2017, compared with $472 million in 2016 and $471 million in 2015. Revenues associated with the ICS business were $254 million in 2017, $230 million in 2016 and $220 million in 2015. Improvements in ICS revenue in 2017 and 2016 as compared with the respective prior year reflect increased fees earned from money-market funds and stronger sales activities. Retirement services income also rose in 2017 as a result of higher revenues resulting from growth in collective funds balances. Revenues attributable to WAS totaled $222 million, $212 million and $218 million in 2017, 2016 and 2015, respectively. The increased revenues in 2017 as compared with the earlier years reflect stronger sales activities and improved equity market performance. Total trust assets, which include assets under management and assets under administration, totaled $241.5 billion at December 31, 2017, compared with $210.6 billion at December 31, 2016. Trust assets under management were $82.5 billion and $70.7 billion at December 31 2017 and 2016, respectively. Trust assets under management include the Company’s proprietary mutual funds’ assets of $11.2 billion at December 31, 2017 and $10.9 billion at December 31, 2016. Additional trust income from investment management activities was $25 million, $30 million and $33 million in 2017, 2016 and 2015, respectively, and relates to fees earned from retail customer investment accounts and from an affiliated investment manager. The decline in such revenues in 2017 reflects, in part, lower balances managed. Assets managed by the affiliated manager totaled $6.7 billion and $7.3 billion at December 31, 2017 and December 31, 2016, respectively. The Company’s trust income from that affiliate was not material during 2017, 2016 or 2015.</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00"/>
          </w:cols>
          <w:pgMar w:left="240" w:top="336" w:right="259" w:bottom="1440" w:gutter="0" w:footer="0" w:header="0"/>
        </w:sectPr>
      </w:pPr>
    </w:p>
    <w:bookmarkStart w:id="81" w:name="page82"/>
    <w:bookmarkEnd w:id="81"/>
    <w:p>
      <w:pPr>
        <w:ind w:right="160" w:firstLine="598"/>
        <w:spacing w:after="0" w:line="276" w:lineRule="auto"/>
        <w:rPr>
          <w:sz w:val="20"/>
          <w:szCs w:val="20"/>
          <w:color w:val="auto"/>
        </w:rPr>
      </w:pPr>
      <w:r>
        <w:rPr>
          <w:rFonts w:ascii="Arial" w:cs="Arial" w:eastAsia="Arial" w:hAnsi="Arial"/>
          <w:sz w:val="18"/>
          <w:szCs w:val="18"/>
          <w:color w:val="auto"/>
        </w:rPr>
        <w:t>Brokerage services income, which includes revenues from the sale of mutual funds and annuities and securities brokerage fees, aggregated $61 million in 2017, $63 million in 2016 and $65 million in 2015. Trading account and foreign exchange activity resulted in gains of $35 million in 2017, $41 million in 2016 and $31 million in 2015. The lower level of such gains in 2017 as compared with 2016 resulted largely from reduced activity related to interest rate swap transactions executed on behalf of commercial customers. As compared with 2015, the higher level of such gains in 2016 resulted largely from increased activity related to interest rate swap transactions executed on behalf of commercial customers and higher gains associated with foreign exchange activities. The Company enters into interest rate and foreign exchange contracts with customers who need such services and concomitantly enters into offsetting trading positions with third parties to minimize the risks involved with these types of transactions. Information about the notional amount of interest rate, foreign exchange and other contracts entered into by the Company for trading account purposes is included in note 18 of Notes to Financial Statements and herein under the heading “Liquidity, Market Risk, and Interest Rate Sensitivity.”</w:t>
      </w:r>
    </w:p>
    <w:p>
      <w:pPr>
        <w:spacing w:after="0" w:line="3" w:lineRule="exact"/>
        <w:rPr>
          <w:sz w:val="20"/>
          <w:szCs w:val="20"/>
          <w:color w:val="auto"/>
        </w:rPr>
      </w:pPr>
    </w:p>
    <w:p>
      <w:pPr>
        <w:ind w:firstLine="598"/>
        <w:spacing w:after="0" w:line="255" w:lineRule="auto"/>
        <w:rPr>
          <w:sz w:val="20"/>
          <w:szCs w:val="20"/>
          <w:color w:val="auto"/>
        </w:rPr>
      </w:pPr>
      <w:r>
        <w:rPr>
          <w:rFonts w:ascii="Arial" w:cs="Arial" w:eastAsia="Arial" w:hAnsi="Arial"/>
          <w:sz w:val="19"/>
          <w:szCs w:val="19"/>
          <w:color w:val="auto"/>
        </w:rPr>
        <w:t xml:space="preserve">The Company realized net gains from sales of investment securities of $21 million in 2017 and $30 million in 2016. There were no significant gains or losses on investment securities in 2015. Of the $21 million of net gains recognized during 2017, $18 million were associated with the sale of </w:t>
      </w:r>
      <w:r>
        <w:rPr>
          <w:rFonts w:ascii="Arial" w:cs="Arial" w:eastAsia="Arial" w:hAnsi="Arial"/>
          <w:sz w:val="20"/>
          <w:szCs w:val="20"/>
          <w:color w:val="auto"/>
        </w:rPr>
        <w:t>a portion of the Company’s Fannie Mae and Freddie Mac preferred stock holdings. The preferred stock sold</w:t>
      </w:r>
      <w:r>
        <w:rPr>
          <w:rFonts w:ascii="Arial" w:cs="Arial" w:eastAsia="Arial" w:hAnsi="Arial"/>
          <w:sz w:val="19"/>
          <w:szCs w:val="19"/>
          <w:color w:val="auto"/>
        </w:rPr>
        <w:t xml:space="preserve"> </w:t>
      </w:r>
      <w:r>
        <w:rPr>
          <w:rFonts w:ascii="Arial" w:cs="Arial" w:eastAsia="Arial" w:hAnsi="Arial"/>
          <w:sz w:val="20"/>
          <w:szCs w:val="20"/>
          <w:color w:val="auto"/>
        </w:rPr>
        <w:t xml:space="preserve">had an amortized cost basis (after previous other-than-temporary impairment write-downs) of approximately $3 million. </w:t>
      </w:r>
      <w:r>
        <w:rPr>
          <w:rFonts w:ascii="Arial" w:cs="Arial" w:eastAsia="Arial" w:hAnsi="Arial"/>
          <w:sz w:val="19"/>
          <w:szCs w:val="19"/>
          <w:color w:val="auto"/>
        </w:rPr>
        <w:t>During 2016,</w:t>
      </w:r>
      <w:r>
        <w:rPr>
          <w:rFonts w:ascii="Arial" w:cs="Arial" w:eastAsia="Arial" w:hAnsi="Arial"/>
          <w:sz w:val="20"/>
          <w:szCs w:val="20"/>
          <w:color w:val="auto"/>
        </w:rPr>
        <w:t xml:space="preserve"> </w:t>
      </w:r>
      <w:r>
        <w:rPr>
          <w:rFonts w:ascii="Arial" w:cs="Arial" w:eastAsia="Arial" w:hAnsi="Arial"/>
          <w:sz w:val="19"/>
          <w:szCs w:val="19"/>
          <w:color w:val="auto"/>
        </w:rPr>
        <w:t>the Company sold all of its collateralized debt obligations that had been held in the available-for-sale investment securities portfolio and that had been obtained through the acquisition of other banks. In total, securities with an amortized cost of $28 million were sold. Divestiture of the majority of those securities would have been required in accordance with the provisions of the Volcker Rule. There were no other-than-temporary impairment losses on investment securities in 2017, 2016 or 2015. Additional information about other-than-temporary impairment considerations is included herein under the heading “Capital.”</w:t>
      </w:r>
    </w:p>
    <w:p>
      <w:pPr>
        <w:spacing w:after="0" w:line="3" w:lineRule="exact"/>
        <w:rPr>
          <w:sz w:val="20"/>
          <w:szCs w:val="20"/>
          <w:color w:val="auto"/>
        </w:rPr>
      </w:pPr>
    </w:p>
    <w:p>
      <w:pPr>
        <w:ind w:firstLine="598"/>
        <w:spacing w:after="0" w:line="246" w:lineRule="auto"/>
        <w:rPr>
          <w:sz w:val="20"/>
          <w:szCs w:val="20"/>
          <w:color w:val="auto"/>
        </w:rPr>
      </w:pPr>
      <w:r>
        <w:rPr>
          <w:rFonts w:ascii="Arial" w:cs="Arial" w:eastAsia="Arial" w:hAnsi="Arial"/>
          <w:sz w:val="20"/>
          <w:szCs w:val="20"/>
          <w:color w:val="auto"/>
        </w:rPr>
        <w:t>Other revenues from operations aggregated $441 million in 2017, compared with $426 million in 2016 and $463 million in 2015. The increase in other revenues from operations in 2017 as compared with 2016 reflects lower losses from BLG and higher merchant discount and credit card fees. The decline from 2015 to 2016 was largely due to the $45 million gain from the sale of the trade processing business in 2015.</w:t>
      </w:r>
    </w:p>
    <w:p>
      <w:pPr>
        <w:spacing w:after="0" w:line="3" w:lineRule="exact"/>
        <w:rPr>
          <w:sz w:val="20"/>
          <w:szCs w:val="20"/>
          <w:color w:val="auto"/>
        </w:rPr>
      </w:pPr>
    </w:p>
    <w:p>
      <w:pPr>
        <w:ind w:right="40" w:firstLine="598"/>
        <w:spacing w:after="0" w:line="274" w:lineRule="auto"/>
        <w:rPr>
          <w:sz w:val="20"/>
          <w:szCs w:val="20"/>
          <w:color w:val="auto"/>
        </w:rPr>
      </w:pPr>
      <w:r>
        <w:rPr>
          <w:rFonts w:ascii="Arial" w:cs="Arial" w:eastAsia="Arial" w:hAnsi="Arial"/>
          <w:sz w:val="18"/>
          <w:szCs w:val="18"/>
          <w:color w:val="auto"/>
        </w:rPr>
        <w:t>Included in other revenues from operations were the following significant components. Letter of credit and other credit-related fees totaled $123 million, $120 million and $134 million in 2017, 2016 and 2015, respectively. The decrease from 2015 to 2016 was largely due to a decline in loan syndication fees. Revenues from merchant discount and credit card fees were $120 million in 2017, $111 million in 2016 and $105 million in 2015. The continued trend of higher revenues since 2015 was largely attributable to increased transaction volumes related to merchant activity and usage of the Company’s credit card products. Tax-exempt income earned from bank owned life insurance, which includes increases in the cash surrender value of life insurance policies and benefits received, aggregated $58 million in 2017, compared with $54 million in 2016 and $53 million in 2015. The increase from 2016 to 2017 was due to higher proceeds received from death benefits. Insurance-related sales commissions and other revenues totaled $43 million in each of 2017 and 2016, compared with $38 million in 2015. Automated teller machine usage fees aggregated $15 million in 2017 and $14 million in each of 2016 and 2015. Gains from sales of equipment previously leased to commercial customers were $6 million in 2017, $8 million in 2016 and $17 million in 2015.</w:t>
      </w:r>
    </w:p>
    <w:p>
      <w:pPr>
        <w:spacing w:after="0" w:line="2" w:lineRule="exact"/>
        <w:rPr>
          <w:sz w:val="20"/>
          <w:szCs w:val="20"/>
          <w:color w:val="auto"/>
        </w:rPr>
      </w:pPr>
    </w:p>
    <w:p>
      <w:pPr>
        <w:ind w:right="80" w:firstLine="598"/>
        <w:spacing w:after="0" w:line="251" w:lineRule="auto"/>
        <w:rPr>
          <w:sz w:val="20"/>
          <w:szCs w:val="20"/>
          <w:color w:val="auto"/>
        </w:rPr>
      </w:pPr>
      <w:r>
        <w:rPr>
          <w:rFonts w:ascii="Arial" w:cs="Arial" w:eastAsia="Arial" w:hAnsi="Arial"/>
          <w:sz w:val="20"/>
          <w:szCs w:val="20"/>
          <w:color w:val="auto"/>
        </w:rPr>
        <w:t>M&amp;T’s share of the operating losses of BLG recognized using the equity method of accounting and cash distributions received resulted in gains of less than $1 million in 2017, compared with losses of $11 million and $14 million in 2016 and 2015, respectively. Those amounts are reflected in</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380"/>
          </w:cols>
          <w:pgMar w:left="240" w:top="336" w:right="279" w:bottom="1440" w:gutter="0" w:footer="0" w:header="0"/>
        </w:sectPr>
      </w:pPr>
    </w:p>
    <w:bookmarkStart w:id="82" w:name="page83"/>
    <w:bookmarkEnd w:id="82"/>
    <w:p>
      <w:pPr>
        <w:ind w:right="220"/>
        <w:spacing w:after="0" w:line="283" w:lineRule="auto"/>
        <w:rPr>
          <w:sz w:val="20"/>
          <w:szCs w:val="20"/>
          <w:color w:val="auto"/>
        </w:rPr>
      </w:pPr>
      <w:r>
        <w:rPr>
          <w:rFonts w:ascii="Arial" w:cs="Arial" w:eastAsia="Arial" w:hAnsi="Arial"/>
          <w:sz w:val="18"/>
          <w:szCs w:val="18"/>
          <w:color w:val="auto"/>
        </w:rPr>
        <w:t>“other revenues from operations.” During the second quarter of 2017, the operating losses of BLG resulted in M&amp;T reducing the carrying value of its investment in BLG to zero. During that quarter, M&amp;T received a cash distribution from BLG that resulted in the recognition of income by M&amp;T. M&amp;T expects cash distributions from BLG in the future, but the timing and amount of those distributions cannot be estimated at this time. BLG is entitled to receive distributions from affiliates that provide asset management and other services that are available for distribution to BLG’s owners, including M&amp;T. The operating losses of BLG in 2016 and 2015 reflect provisions for losses associated with securitized loans and other loans held by BLG and loan servicing and other administrative costs. Information about the Company’s relationship with BLG and its affiliates is included in note 24 of Notes to Financial Statements.</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Expense</w:t>
      </w:r>
    </w:p>
    <w:p>
      <w:pPr>
        <w:spacing w:after="0" w:line="29" w:lineRule="exact"/>
        <w:rPr>
          <w:sz w:val="20"/>
          <w:szCs w:val="20"/>
          <w:color w:val="auto"/>
        </w:rPr>
      </w:pPr>
    </w:p>
    <w:p>
      <w:pPr>
        <w:ind w:right="40"/>
        <w:spacing w:after="0" w:line="259" w:lineRule="auto"/>
        <w:rPr>
          <w:sz w:val="20"/>
          <w:szCs w:val="20"/>
          <w:color w:val="auto"/>
        </w:rPr>
      </w:pPr>
      <w:r>
        <w:rPr>
          <w:rFonts w:ascii="Arial" w:cs="Arial" w:eastAsia="Arial" w:hAnsi="Arial"/>
          <w:sz w:val="19"/>
          <w:szCs w:val="19"/>
          <w:color w:val="auto"/>
        </w:rPr>
        <w:t>Other expense aggregated $3.14 billion in 2017, compared to $3.05 billion in 2016 and $2.82 billion in 2015. Included in those amounts are expenses considered to be “nonoperating” in nature consisting of amortization of core deposit and other intangible assets of $31 million, $43 million and $26 million in 2017, 2016 and 2015, respectively, and merger-related expenses of $36 million and $76 million in 2016 and 2015, respectively. There were no merger-related expenses in 2017. Exclusive of those nonoperating expenses, noninterest operating expenses aggregated $3.11 billion in 2017, $2.97 billion in 2016 and $2.72 billion in 2015. The most significant factors contributing to the increase in such expenses from 2016 to 2017 were higher legal-related and professional services expenses, increased salaries and employee benefit costs, and higher contributions to The M&amp;T Charitable Foundation. The rise in noninterest operating expenses in 2016 as compared with 2015 was largely attributable to costs associated with the operations obtained in the Hudson City acquisition, higher salaries and employee benefits expenses and increased FDIC assessments.</w:t>
      </w:r>
    </w:p>
    <w:p>
      <w:pPr>
        <w:spacing w:after="0" w:line="6" w:lineRule="exact"/>
        <w:rPr>
          <w:sz w:val="20"/>
          <w:szCs w:val="20"/>
          <w:color w:val="auto"/>
        </w:rPr>
      </w:pPr>
    </w:p>
    <w:p>
      <w:pPr>
        <w:ind w:firstLine="598"/>
        <w:spacing w:after="0" w:line="246" w:lineRule="auto"/>
        <w:rPr>
          <w:sz w:val="20"/>
          <w:szCs w:val="20"/>
          <w:color w:val="auto"/>
        </w:rPr>
      </w:pPr>
      <w:r>
        <w:rPr>
          <w:rFonts w:ascii="Arial" w:cs="Arial" w:eastAsia="Arial" w:hAnsi="Arial"/>
          <w:sz w:val="20"/>
          <w:szCs w:val="20"/>
          <w:color w:val="auto"/>
        </w:rPr>
        <w:t>Salaries and employee benefits expense aggregated $1.65 billion in 2017, compared with $1.62 billion and $1.55 billion in 2016 and 2015, respectively. The higher level of expenses in 2017 reflects the impact of annual merit increases and higher incentive-based compensation costs. The higher level of expenses in 2016 as compared with 2015 reflects the full-year impact of the additional employees formerly associated with Hudson City as well as annual merit increases and incentive compensation costs. There were $51 million of merger-related expenses included in salaries and employee benefits expense in 2015 predominantly related to severance for former Hudson City employees. Stock-based compensation totaled $61 million in 2017, compared with $65 million in 2016 and $67 million in 2015. The number of full-time equivalent employees were 16,456 and 16,593 at December 31, 2017 and 2016, respectively, compared with 16,979 at December 31, 2015.</w:t>
      </w:r>
    </w:p>
    <w:p>
      <w:pPr>
        <w:spacing w:after="0" w:line="6" w:lineRule="exact"/>
        <w:rPr>
          <w:sz w:val="20"/>
          <w:szCs w:val="20"/>
          <w:color w:val="auto"/>
        </w:rPr>
      </w:pPr>
    </w:p>
    <w:p>
      <w:pPr>
        <w:ind w:right="80" w:firstLine="598"/>
        <w:spacing w:after="0" w:line="246" w:lineRule="auto"/>
        <w:rPr>
          <w:sz w:val="20"/>
          <w:szCs w:val="20"/>
          <w:color w:val="auto"/>
        </w:rPr>
      </w:pPr>
      <w:r>
        <w:rPr>
          <w:rFonts w:ascii="Arial" w:cs="Arial" w:eastAsia="Arial" w:hAnsi="Arial"/>
          <w:sz w:val="20"/>
          <w:szCs w:val="20"/>
          <w:color w:val="auto"/>
        </w:rPr>
        <w:t>The Company provides pension and other postretirement benefits (including a retirement savings plan) for its employees. Expenses related to such benefits totaled $92 million in 2017, $94 million in 2016 and $100 million in 2015. The Company sponsors both defined benefit and defined contribution pension plans. Pension benefit expense for those plans was $51 million in 2017, $52 million in 2016 and $63 million in 2015. Included in those amounts were $30 million in 2017, $25 million in 2016 and $23 million in 2015 for a defined contribution pension plan that the Company began on January 1, 2006. The decrease in pension and other postretirement benefits expense in 2016 as compared to 2015 reflected a $15 million decrease in amortization of actuarial losses accumulated in the defined benefit pension plans. The Company made $200 million of voluntary contributions to the qualified defined benefit pension plan in 2017. No contributions were required or made in 2016 or 2015.</w:t>
      </w:r>
    </w:p>
    <w:p>
      <w:pPr>
        <w:spacing w:after="0" w:line="6" w:lineRule="exact"/>
        <w:rPr>
          <w:sz w:val="20"/>
          <w:szCs w:val="20"/>
          <w:color w:val="auto"/>
        </w:rPr>
      </w:pPr>
    </w:p>
    <w:p>
      <w:pPr>
        <w:ind w:right="260" w:firstLine="598"/>
        <w:spacing w:after="0" w:line="293" w:lineRule="auto"/>
        <w:rPr>
          <w:sz w:val="20"/>
          <w:szCs w:val="20"/>
          <w:color w:val="auto"/>
        </w:rPr>
      </w:pPr>
      <w:r>
        <w:rPr>
          <w:rFonts w:ascii="Arial" w:cs="Arial" w:eastAsia="Arial" w:hAnsi="Arial"/>
          <w:sz w:val="18"/>
          <w:szCs w:val="18"/>
          <w:color w:val="auto"/>
        </w:rPr>
        <w:t>The accounting guidance for defined benefit pension plans reflects the long-term nature of benefit obligations and the investment horizon of plan assets. Amounts recorded in the financial statements reflect actuarial assumptions about participant benefits and plan asset returns. Changes in actuarial assumptions and differences in actual plan experience compared with actuarial assumptions</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00"/>
          </w:cols>
          <w:pgMar w:left="240" w:top="336" w:right="259" w:bottom="1440" w:gutter="0" w:footer="0" w:header="0"/>
        </w:sectPr>
      </w:pPr>
    </w:p>
    <w:bookmarkStart w:id="83" w:name="page84"/>
    <w:bookmarkEnd w:id="83"/>
    <w:p>
      <w:pPr>
        <w:ind w:right="100"/>
        <w:spacing w:after="0" w:line="251" w:lineRule="auto"/>
        <w:rPr>
          <w:sz w:val="20"/>
          <w:szCs w:val="20"/>
          <w:color w:val="auto"/>
        </w:rPr>
      </w:pPr>
      <w:r>
        <w:rPr>
          <w:rFonts w:ascii="Arial" w:cs="Arial" w:eastAsia="Arial" w:hAnsi="Arial"/>
          <w:sz w:val="20"/>
          <w:szCs w:val="20"/>
          <w:color w:val="auto"/>
        </w:rPr>
        <w:t>are deferred and recognized in expense in future periods. Amortization of accumulated unrealized losses had the effect of increasing the Company’s pension expense by $29 million in 2017, $30 million in 2016 and $45 million in 2015. Information about the Company’s pension plans, including significant assumptions utilized in completing actuarial calculations for the plans, is included in note 12 of Notes to Financial Statements.</w:t>
      </w:r>
    </w:p>
    <w:p>
      <w:pPr>
        <w:spacing w:after="0" w:line="2" w:lineRule="exact"/>
        <w:rPr>
          <w:sz w:val="20"/>
          <w:szCs w:val="20"/>
          <w:color w:val="auto"/>
        </w:rPr>
      </w:pPr>
    </w:p>
    <w:p>
      <w:pPr>
        <w:ind w:right="160" w:firstLine="598"/>
        <w:spacing w:after="0" w:line="246" w:lineRule="auto"/>
        <w:rPr>
          <w:sz w:val="20"/>
          <w:szCs w:val="20"/>
          <w:color w:val="auto"/>
        </w:rPr>
      </w:pPr>
      <w:r>
        <w:rPr>
          <w:rFonts w:ascii="Arial" w:cs="Arial" w:eastAsia="Arial" w:hAnsi="Arial"/>
          <w:sz w:val="20"/>
          <w:szCs w:val="20"/>
          <w:color w:val="auto"/>
        </w:rPr>
        <w:t>The Company also provides a retirement savings plan (“RSP”) that is a defined contribution plan in which eligible employees of the Company may defer up to 50% of qualified compensation via contributions to the plan. The Company makes an employer matching contribution in an amount equal to 75% of an employee’s contribution, up to 4.5% of the employee’s qualified compensation. RSP expense totaled $38 million in 2017, $37 million in 2016 and $34 million in 2015.</w:t>
      </w:r>
    </w:p>
    <w:p>
      <w:pPr>
        <w:spacing w:after="0" w:line="3" w:lineRule="exact"/>
        <w:rPr>
          <w:sz w:val="20"/>
          <w:szCs w:val="20"/>
          <w:color w:val="auto"/>
        </w:rPr>
      </w:pPr>
    </w:p>
    <w:p>
      <w:pPr>
        <w:ind w:right="20" w:firstLine="598"/>
        <w:spacing w:after="0" w:line="280" w:lineRule="auto"/>
        <w:rPr>
          <w:sz w:val="20"/>
          <w:szCs w:val="20"/>
          <w:color w:val="auto"/>
        </w:rPr>
      </w:pPr>
      <w:r>
        <w:rPr>
          <w:rFonts w:ascii="Arial" w:cs="Arial" w:eastAsia="Arial" w:hAnsi="Arial"/>
          <w:sz w:val="18"/>
          <w:szCs w:val="18"/>
          <w:color w:val="auto"/>
        </w:rPr>
        <w:t>Excluding the nonoperating expense items already noted, nonpersonnel operating expenses were $1.46 billion in 2017, compared with $1.35 billion in 2016 and $1.22 billion in 2015. The rise in nonpersonnel operating expenses in 2017 as compared with 2016 was predominantly the result of higher legal-related and professional services costs, including $64 million of additions to the Company’s reserve for legal matters in 2017, and increased contributions to The M&amp;T Charitable Foundation. As previously noted, in 2017 Wilmington Trust Corporation reached an agreement related to alleged conduct of that subsidiary prior to its acquisition by M&amp;T. The increase in nonpersonnel operating expenses in 2016 as compared with 2015 was largely due to costs associated with the operations obtained in the Hudson City acquisition and higher expenses for FDIC assessments, advertising and marketing, partially offset by lower charitable contributions.</w:t>
      </w:r>
    </w:p>
    <w:p>
      <w:pPr>
        <w:spacing w:after="0" w:line="3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Income Taxes</w:t>
      </w:r>
    </w:p>
    <w:p>
      <w:pPr>
        <w:spacing w:after="0" w:line="29"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The provision for income taxes was $916 million in 2017, $743 million in 2016 and $595 million in 2015. The effective tax rates were 39.4% in 2017, 36.1% in 2016 and 35.5% in 2015. The increase in the effective rate in 2017 from 2016 primarily reflects the impact of the enactment of the Tax Act that was signed into law on December 22, 2017, reducing the corporate Federal income tax rate from 35% to 21% effective January 1, 2018 and making other changes to U.S. corporate income tax laws. GAAP requires that the impact of the provisions of the Tax Act be accounted for in the period of enactment. Accordingly, the estimated incremental income tax expense recorded by the Company in the fourth quarter of 2017 related to the Tax Act was $85 million. That additional expense was largely attributable to the reduction in carrying value of net deferred tax assets reflecting lower future tax benefits resulting from the lower corporate tax rate. The Company also adopted new accounting guidance for share-based transactions during the first quarter of 2017. That guidance requires that all excess tax benefits and tax deficiencies associated with share-based compensation be recognized as a component of income tax expense in the income statement. Previously, tax effects resulting from changes in M&amp;T’s share price subsequent to the grant date were recorded through shareholders’ equity at the time of vesting or exercise. The adoption of the amended accounting guidance resulted in a $22 million reduction of income tax expense in 2017. The October 2017 settlement between Wilmington Trust Corporation and the U.S. Attorney’s Office for the District of Delaware resulted in a $44 million payment by Wilmington Trust Corporation that is not deductible for income tax purposes, resulting in a higher effective tax rate in 2017. Excluding the impact of the Tax Act, the change in accounting, and the non-deductible nature of the payment referred to above, the Company’s effective tax rate in 2017 would have been 36.0%.</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84" w:name="page85"/>
    <w:bookmarkEnd w:id="84"/>
    <w:p>
      <w:pPr>
        <w:ind w:firstLine="878"/>
        <w:spacing w:after="0" w:line="249" w:lineRule="auto"/>
        <w:rPr>
          <w:sz w:val="20"/>
          <w:szCs w:val="20"/>
          <w:color w:val="auto"/>
        </w:rPr>
      </w:pPr>
      <w:r>
        <w:rPr>
          <w:rFonts w:ascii="Arial" w:cs="Arial" w:eastAsia="Arial" w:hAnsi="Arial"/>
          <w:sz w:val="20"/>
          <w:szCs w:val="20"/>
          <w:color w:val="auto"/>
        </w:rPr>
        <w:t>The increase in the effective rate in 2016 from 2015 reflects the impact of generally recurring tax credits and other tax-exempt income being a smaller percentage of 2016’s higher income before income taxes. Income tax expense in 2015 reflected two largely offsetting items. The Company attributed $11 million of non-deductible goodwill to the basis of the trade processing business sold in April 2015, which reduced the recorded gain, but did not result in an income tax benefit. During the fourth quarter of 2015, the provision for income taxes was reduced by $5 million to reflect technology research credits related to 2011 through 2014 that were accepted by the Internal Revenue Service in December 2015.</w:t>
      </w:r>
    </w:p>
    <w:p>
      <w:pPr>
        <w:spacing w:after="0" w:line="5" w:lineRule="exact"/>
        <w:rPr>
          <w:sz w:val="20"/>
          <w:szCs w:val="20"/>
          <w:color w:val="auto"/>
        </w:rPr>
      </w:pPr>
    </w:p>
    <w:p>
      <w:pPr>
        <w:ind w:right="40" w:firstLine="878"/>
        <w:spacing w:after="0" w:line="263" w:lineRule="auto"/>
        <w:rPr>
          <w:sz w:val="20"/>
          <w:szCs w:val="20"/>
          <w:color w:val="auto"/>
        </w:rPr>
      </w:pPr>
      <w:r>
        <w:rPr>
          <w:rFonts w:ascii="Arial" w:cs="Arial" w:eastAsia="Arial" w:hAnsi="Arial"/>
          <w:sz w:val="19"/>
          <w:szCs w:val="19"/>
          <w:color w:val="auto"/>
        </w:rPr>
        <w:t>The effective tax rate is affected by the level of income earned that is exempt from tax relative to the overall level of pre-tax income, the level of income allocated to the various state and local jurisdictions where the Company operates, because tax rates differ among such jurisdictions, and the impact of any large but infrequently occurring items. The Company’s effective tax rate in future periods will also be affected by any change in income tax laws or regulations and interpretations of income tax regulations that differ from the Company’s interpretations by any of various tax authorities that may examine tax returns filed by M&amp;T or any of its subsidiaries. Information about amounts accrued for uncertain tax positions and a reconciliation of income tax expense to the amount computed by applying the statutory federal income tax rate to pre-tax income is provided in note 13 of Notes to Financial Statements.</w:t>
      </w: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International Activities</w:t>
      </w:r>
    </w:p>
    <w:p>
      <w:pPr>
        <w:spacing w:after="0" w:line="29" w:lineRule="exact"/>
        <w:rPr>
          <w:sz w:val="20"/>
          <w:szCs w:val="20"/>
          <w:color w:val="auto"/>
        </w:rPr>
      </w:pPr>
    </w:p>
    <w:p>
      <w:pPr>
        <w:ind w:right="160"/>
        <w:spacing w:after="0" w:line="279" w:lineRule="auto"/>
        <w:rPr>
          <w:sz w:val="20"/>
          <w:szCs w:val="20"/>
          <w:color w:val="auto"/>
        </w:rPr>
      </w:pPr>
      <w:r>
        <w:rPr>
          <w:rFonts w:ascii="Arial" w:cs="Arial" w:eastAsia="Arial" w:hAnsi="Arial"/>
          <w:sz w:val="18"/>
          <w:szCs w:val="18"/>
          <w:color w:val="auto"/>
        </w:rPr>
        <w:t>Assets and revenues associated with international activities represent less than 1% of the Company’s consolidated assets and revenues. International assets included $159 million and $292 million of loans to foreign borrowers at December 31, 2017 and 2016, respectively. Deposits in the Company’s office in the Cayman Islands aggregated $178 million at December 31, 2017 and $202 million at December 31, 2016. The Company uses such deposits to facilitate customer demand and as an alternative to short-term borrowings when the costs of such deposits seem reasonable. Loans at M&amp;T Bank’s commercial banking office in Ontario, Canada included in the amount noted above as of December 31, 2017 and 2016 totaled $114 million and $133 million, respectively. Deposits at that office were $45 million at December 31, 2017 and $50 million at December 31, 2016. The Company also offers trust-related services in Europe. Revenues from providing such services during 2017, 2016 and 2015 were approximately $24 million, $25 million and $26 million, respectively.</w:t>
      </w:r>
    </w:p>
    <w:p>
      <w:pPr>
        <w:spacing w:after="0" w:line="3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Market Risk, and Interest Rate Sensitivity</w:t>
      </w:r>
    </w:p>
    <w:p>
      <w:pPr>
        <w:spacing w:after="0" w:line="29" w:lineRule="exact"/>
        <w:rPr>
          <w:sz w:val="20"/>
          <w:szCs w:val="20"/>
          <w:color w:val="auto"/>
        </w:rPr>
      </w:pPr>
    </w:p>
    <w:p>
      <w:pPr>
        <w:ind w:right="60"/>
        <w:spacing w:after="0" w:line="246" w:lineRule="auto"/>
        <w:rPr>
          <w:sz w:val="20"/>
          <w:szCs w:val="20"/>
          <w:color w:val="auto"/>
        </w:rPr>
      </w:pPr>
      <w:r>
        <w:rPr>
          <w:rFonts w:ascii="Arial" w:cs="Arial" w:eastAsia="Arial" w:hAnsi="Arial"/>
          <w:sz w:val="20"/>
          <w:szCs w:val="20"/>
          <w:color w:val="auto"/>
        </w:rPr>
        <w:t>As a financial intermediary, the Company is exposed to various risks, including liquidity and market risk. Liquidity refers to the Company’s ability to ensure that sufficient cash flow and liquid assets are available to satisfy current and future obligations, including demands for loans and deposit withdrawals, funding operating costs, and other corporate purposes. Liquidity risk arises whenever the maturities of financial instruments included in assets and liabilities differ.</w:t>
      </w:r>
    </w:p>
    <w:p>
      <w:pPr>
        <w:spacing w:after="0" w:line="3" w:lineRule="exact"/>
        <w:rPr>
          <w:sz w:val="20"/>
          <w:szCs w:val="20"/>
          <w:color w:val="auto"/>
        </w:rPr>
      </w:pPr>
    </w:p>
    <w:p>
      <w:pPr>
        <w:ind w:right="80" w:firstLine="598"/>
        <w:spacing w:after="0" w:line="246" w:lineRule="auto"/>
        <w:rPr>
          <w:sz w:val="20"/>
          <w:szCs w:val="20"/>
          <w:color w:val="auto"/>
        </w:rPr>
      </w:pPr>
      <w:r>
        <w:rPr>
          <w:rFonts w:ascii="Arial" w:cs="Arial" w:eastAsia="Arial" w:hAnsi="Arial"/>
          <w:sz w:val="20"/>
          <w:szCs w:val="20"/>
          <w:color w:val="auto"/>
        </w:rPr>
        <w:t>The most significant source of funding for the Company is core deposits, which are generated from a large base of consumer, corporate and institutional customers. That customer base has, over the past several years, become more geographically diverse as a result of acquisitions and expansion of the Company’s businesses. Nevertheless, the Company faces competition in offering products and services from a large array of financial market participants, including banks, thrifts, mutual funds, securities dealers and others. Core deposits financed 84% of the Company’s earning assets at December 31, 2017, compared with 83% at December 31, 2016 and 81% at December 31, 2015.</w:t>
      </w:r>
    </w:p>
    <w:p>
      <w:pPr>
        <w:spacing w:after="0" w:line="5" w:lineRule="exact"/>
        <w:rPr>
          <w:sz w:val="20"/>
          <w:szCs w:val="20"/>
          <w:color w:val="auto"/>
        </w:rPr>
      </w:pPr>
    </w:p>
    <w:p>
      <w:pPr>
        <w:ind w:right="40" w:firstLine="598"/>
        <w:spacing w:after="0" w:line="251" w:lineRule="auto"/>
        <w:rPr>
          <w:sz w:val="20"/>
          <w:szCs w:val="20"/>
          <w:color w:val="auto"/>
        </w:rPr>
      </w:pPr>
      <w:r>
        <w:rPr>
          <w:rFonts w:ascii="Arial" w:cs="Arial" w:eastAsia="Arial" w:hAnsi="Arial"/>
          <w:sz w:val="20"/>
          <w:szCs w:val="20"/>
          <w:color w:val="auto"/>
        </w:rPr>
        <w:t>The Company supplements funding provided through core deposits with various short-term and long-term wholesale borrowings, including federal funds purchased and securities sold under agreements to repurchase, brokered deposits, Cayman Islands office deposits and longer-term</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85" w:name="page86"/>
    <w:bookmarkEnd w:id="85"/>
    <w:p>
      <w:pPr>
        <w:spacing w:after="0" w:line="261" w:lineRule="auto"/>
        <w:rPr>
          <w:sz w:val="20"/>
          <w:szCs w:val="20"/>
          <w:color w:val="auto"/>
        </w:rPr>
      </w:pPr>
      <w:r>
        <w:rPr>
          <w:rFonts w:ascii="Arial" w:cs="Arial" w:eastAsia="Arial" w:hAnsi="Arial"/>
          <w:sz w:val="19"/>
          <w:szCs w:val="19"/>
          <w:color w:val="auto"/>
        </w:rPr>
        <w:t>borrowings. At December 31, 2017, M&amp;T Bank had short-term and long-term credit facilities with the FHLBs aggregating $20.2 billion. Outstanding borrowings under FHLB credit facilities totaled $577 million and $1.2 billion at December 31, 2017 and 2016, respectively. Such borrowings were secured by loans and investment securities. M&amp;T Bank had an available line of credit with the Federal Reserve Bank of New York that totaled approximately $12.0 billion at December 31, 2017. The amount of that line is dependent upon the balances of loans and securities pledged as collateral. There were no borrowings outstanding under such line of credit at December 31, 2017 or December 31, 2016. M&amp;T Bank has a Bank Note Program whereby M&amp;T Bank may offer unsecured senior and subordinated notes. The outstanding senior notes issued under the program totaled $5.0 billion at December 31, 2017 and $5.2 billion at December 31, 2016. The proceeds from those borrowings have been predominantly utilized to purchase high-quality liquid assets that meet the requirements of the LCR. Pursuant to the Bank Note Program, during 2017 M&amp;T Bank issued senior notes consisting of $900 million that mature in 2022 and $750 million that mature in 2020, and subordinated notes of $500 million that mature in 2027. In January 2018 M&amp;T Bank issued an additional $1.0 billion of senior notes under the Bank Note Program that mature in 2021.</w:t>
      </w:r>
    </w:p>
    <w:p>
      <w:pPr>
        <w:spacing w:after="0" w:line="6" w:lineRule="exact"/>
        <w:rPr>
          <w:sz w:val="20"/>
          <w:szCs w:val="20"/>
          <w:color w:val="auto"/>
        </w:rPr>
      </w:pPr>
    </w:p>
    <w:p>
      <w:pPr>
        <w:ind w:right="140" w:firstLine="598"/>
        <w:spacing w:after="0" w:line="246" w:lineRule="auto"/>
        <w:rPr>
          <w:sz w:val="20"/>
          <w:szCs w:val="20"/>
          <w:color w:val="auto"/>
        </w:rPr>
      </w:pPr>
      <w:r>
        <w:rPr>
          <w:rFonts w:ascii="Arial" w:cs="Arial" w:eastAsia="Arial" w:hAnsi="Arial"/>
          <w:sz w:val="20"/>
          <w:szCs w:val="20"/>
          <w:color w:val="auto"/>
        </w:rPr>
        <w:t>From time to time, the Company has issued subordinated capital notes and junior subordinated debentures associated with trust preferred securities to provide liquidity and enhance regulatory capital ratios. However, pursuant to the Dodd-Frank Act, the Company’s junior subordinated debentures associated with trust preferred securities have been phased-out of the definition of Tier 1 capital but, similar to other subordinated capital notes, are considered Tier 2 capital and are includable in total regulatory capital. Information about the Company’s borrowings is included in note 9 of Notes to Financial Statements.</w:t>
      </w:r>
    </w:p>
    <w:p>
      <w:pPr>
        <w:spacing w:after="0" w:line="4" w:lineRule="exact"/>
        <w:rPr>
          <w:sz w:val="20"/>
          <w:szCs w:val="20"/>
          <w:color w:val="auto"/>
        </w:rPr>
      </w:pPr>
    </w:p>
    <w:p>
      <w:pPr>
        <w:ind w:firstLine="598"/>
        <w:spacing w:after="0" w:line="259" w:lineRule="auto"/>
        <w:rPr>
          <w:sz w:val="20"/>
          <w:szCs w:val="20"/>
          <w:color w:val="auto"/>
        </w:rPr>
      </w:pPr>
      <w:r>
        <w:rPr>
          <w:rFonts w:ascii="Arial" w:cs="Arial" w:eastAsia="Arial" w:hAnsi="Arial"/>
          <w:sz w:val="19"/>
          <w:szCs w:val="19"/>
          <w:color w:val="auto"/>
        </w:rPr>
        <w:t>The Company has informal and sometimes reciprocal sources of funding available through various arrangements for unsecured short-term borrowings from a wide group of banks and other financial institutions. Short-term federal funds borrowings totaled $125 million and $112 million at December 31, 2017 and 2016, respectively. In general, those borrowings were unsecured and matured on the next business day. In addition to satisfying customer demand, Cayman Islands office deposits may be used by the Company as an alternative to short-term borrowings. Cayman Islands office deposits totaled $178 million and $202 million at December 31, 2017 and 2016, respectively. The Company has also benefited from the placement of brokered deposits. The Company has brokered savings and interest-bearing checking deposit accounts that aggregated $1.3 billion and $1.2 billion at December 31, 2017 and 2016, respectively. Brokered time deposits were not a significant source of funding as of those dates.</w:t>
      </w:r>
    </w:p>
    <w:p>
      <w:pPr>
        <w:spacing w:after="0" w:line="6" w:lineRule="exact"/>
        <w:rPr>
          <w:sz w:val="20"/>
          <w:szCs w:val="20"/>
          <w:color w:val="auto"/>
        </w:rPr>
      </w:pPr>
    </w:p>
    <w:p>
      <w:pPr>
        <w:ind w:right="20" w:firstLine="598"/>
        <w:spacing w:after="0" w:line="278" w:lineRule="auto"/>
        <w:rPr>
          <w:sz w:val="20"/>
          <w:szCs w:val="20"/>
          <w:color w:val="auto"/>
        </w:rPr>
      </w:pPr>
      <w:r>
        <w:rPr>
          <w:rFonts w:ascii="Arial" w:cs="Arial" w:eastAsia="Arial" w:hAnsi="Arial"/>
          <w:sz w:val="18"/>
          <w:szCs w:val="18"/>
          <w:color w:val="auto"/>
        </w:rPr>
        <w:t>The Company’s ability to obtain funding from these other sources could be negatively impacted should the Company experience a substantial deterioration in its financial condition or its debt ratings, or should the availability of short-term funding become restricted due to a disruption in the financial markets. The Company attempts to quantify such credit-event risk by modeling scenarios that estimate the liquidity impact resulting from a short-term ratings downgrade over various grading levels. Such impact is estimated by attempting to measure the effect on available unsecured lines of credit, available capacity from secured borrowing sources and securitizable assets. Information about the credit ratings of M&amp;T and M&amp;T Bank is presented in table 15. Additional information regarding the terms and maturities of all of the Company’s short-term and long-term borrowings is provided in note 9 of Notes to Financial Statements. In addition to deposits and borrowings, other sources of liquidity include maturities of investment securities and other earning assets, repayments of loans and investment securities, and cash generated from operations, such as fees collected for services.</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380"/>
          </w:cols>
          <w:pgMar w:left="240" w:top="336" w:right="279" w:bottom="1440" w:gutter="0" w:footer="0" w:header="0"/>
        </w:sectPr>
      </w:pPr>
    </w:p>
    <w:bookmarkStart w:id="86" w:name="page87"/>
    <w:bookmarkEnd w:id="86"/>
    <w:p>
      <w:pPr>
        <w:spacing w:after="0"/>
        <w:rPr>
          <w:sz w:val="20"/>
          <w:szCs w:val="20"/>
          <w:color w:val="auto"/>
        </w:rPr>
      </w:pPr>
      <w:r>
        <w:rPr>
          <w:rFonts w:ascii="Arial" w:cs="Arial" w:eastAsia="Arial" w:hAnsi="Arial"/>
          <w:sz w:val="20"/>
          <w:szCs w:val="20"/>
          <w:b w:val="1"/>
          <w:bCs w:val="1"/>
          <w:color w:val="auto"/>
        </w:rPr>
        <w:t>Table 15</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DEBT RATINGS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tcPr>
          <w:p>
            <w:pPr>
              <w:spacing w:after="0"/>
              <w:rPr>
                <w:sz w:val="14"/>
                <w:szCs w:val="14"/>
                <w:color w:val="auto"/>
              </w:rPr>
            </w:pPr>
          </w:p>
        </w:tc>
        <w:tc>
          <w:tcPr>
            <w:tcW w:w="134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Moody’s</w:t>
            </w: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Standard</w:t>
            </w:r>
          </w:p>
        </w:tc>
        <w:tc>
          <w:tcPr>
            <w:tcW w:w="1120" w:type="dxa"/>
            <w:vAlign w:val="bottom"/>
            <w:vMerge w:val="restart"/>
          </w:tcPr>
          <w:p>
            <w:pPr>
              <w:jc w:val="right"/>
              <w:ind w:right="304"/>
              <w:spacing w:after="0"/>
              <w:rPr>
                <w:sz w:val="20"/>
                <w:szCs w:val="20"/>
                <w:color w:val="auto"/>
              </w:rPr>
            </w:pPr>
            <w:r>
              <w:rPr>
                <w:rFonts w:ascii="Arial" w:cs="Arial" w:eastAsia="Arial" w:hAnsi="Arial"/>
                <w:sz w:val="14"/>
                <w:szCs w:val="14"/>
                <w:b w:val="1"/>
                <w:bCs w:val="1"/>
                <w:color w:val="auto"/>
              </w:rPr>
              <w:t>Fitch</w:t>
            </w:r>
          </w:p>
        </w:tc>
        <w:tc>
          <w:tcPr>
            <w:tcW w:w="0" w:type="dxa"/>
            <w:vAlign w:val="bottom"/>
          </w:tcPr>
          <w:p>
            <w:pPr>
              <w:spacing w:after="0"/>
              <w:rPr>
                <w:sz w:val="1"/>
                <w:szCs w:val="1"/>
                <w:color w:val="auto"/>
              </w:rPr>
            </w:pPr>
          </w:p>
        </w:tc>
      </w:tr>
      <w:tr>
        <w:trPr>
          <w:trHeight w:val="167"/>
        </w:trPr>
        <w:tc>
          <w:tcPr>
            <w:tcW w:w="762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and Poor’s</w:t>
            </w: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7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20"/>
                <w:szCs w:val="20"/>
                <w:color w:val="auto"/>
              </w:rPr>
              <w:t>M&amp;T Bank Corporation</w:t>
            </w:r>
          </w:p>
        </w:tc>
        <w:tc>
          <w:tcPr>
            <w:tcW w:w="1100" w:type="dxa"/>
            <w:vAlign w:val="bottom"/>
            <w:tcBorders>
              <w:top w:val="single" w:sz="8" w:color="auto"/>
            </w:tcBorders>
            <w:shd w:val="clear" w:color="auto" w:fill="CFF0FC"/>
          </w:tcPr>
          <w:p>
            <w:pPr>
              <w:spacing w:after="0"/>
              <w:rPr>
                <w:sz w:val="21"/>
                <w:szCs w:val="21"/>
                <w:color w:val="auto"/>
              </w:rPr>
            </w:pPr>
          </w:p>
        </w:tc>
        <w:tc>
          <w:tcPr>
            <w:tcW w:w="240" w:type="dxa"/>
            <w:vAlign w:val="bottom"/>
            <w:tcBorders>
              <w:top w:val="single" w:sz="8" w:color="CFF0FC"/>
            </w:tcBorders>
            <w:shd w:val="clear" w:color="auto" w:fill="CFF0FC"/>
          </w:tcPr>
          <w:p>
            <w:pPr>
              <w:spacing w:after="0"/>
              <w:rPr>
                <w:sz w:val="21"/>
                <w:szCs w:val="21"/>
                <w:color w:val="auto"/>
              </w:rPr>
            </w:pPr>
          </w:p>
        </w:tc>
        <w:tc>
          <w:tcPr>
            <w:tcW w:w="1100" w:type="dxa"/>
            <w:vAlign w:val="bottom"/>
            <w:tcBorders>
              <w:top w:val="single" w:sz="8" w:color="auto"/>
            </w:tcBorders>
            <w:shd w:val="clear" w:color="auto" w:fill="CFF0FC"/>
          </w:tcPr>
          <w:p>
            <w:pPr>
              <w:spacing w:after="0"/>
              <w:rPr>
                <w:sz w:val="21"/>
                <w:szCs w:val="21"/>
                <w:color w:val="auto"/>
              </w:rPr>
            </w:pPr>
          </w:p>
        </w:tc>
        <w:tc>
          <w:tcPr>
            <w:tcW w:w="240" w:type="dxa"/>
            <w:vAlign w:val="bottom"/>
            <w:tcBorders>
              <w:top w:val="single" w:sz="8" w:color="CFF0FC"/>
            </w:tcBorders>
            <w:shd w:val="clear" w:color="auto" w:fill="CFF0FC"/>
          </w:tcPr>
          <w:p>
            <w:pPr>
              <w:spacing w:after="0"/>
              <w:rPr>
                <w:sz w:val="21"/>
                <w:szCs w:val="21"/>
                <w:color w:val="auto"/>
              </w:rPr>
            </w:pPr>
          </w:p>
        </w:tc>
        <w:tc>
          <w:tcPr>
            <w:tcW w:w="1120" w:type="dxa"/>
            <w:vAlign w:val="bottom"/>
            <w:tcBorders>
              <w:top w:val="single" w:sz="8" w:color="auto"/>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620" w:type="dxa"/>
            <w:vAlign w:val="bottom"/>
          </w:tcPr>
          <w:p>
            <w:pPr>
              <w:ind w:left="240"/>
              <w:spacing w:after="0"/>
              <w:rPr>
                <w:sz w:val="20"/>
                <w:szCs w:val="20"/>
                <w:color w:val="auto"/>
              </w:rPr>
            </w:pPr>
            <w:r>
              <w:rPr>
                <w:rFonts w:ascii="Arial" w:cs="Arial" w:eastAsia="Arial" w:hAnsi="Arial"/>
                <w:sz w:val="20"/>
                <w:szCs w:val="20"/>
                <w:color w:val="auto"/>
              </w:rPr>
              <w:t>Senior debt</w:t>
            </w:r>
          </w:p>
        </w:tc>
        <w:tc>
          <w:tcPr>
            <w:tcW w:w="1340" w:type="dxa"/>
            <w:vAlign w:val="bottom"/>
            <w:gridSpan w:val="2"/>
          </w:tcPr>
          <w:p>
            <w:pPr>
              <w:jc w:val="right"/>
              <w:ind w:right="260"/>
              <w:spacing w:after="0"/>
              <w:rPr>
                <w:sz w:val="20"/>
                <w:szCs w:val="20"/>
                <w:color w:val="auto"/>
              </w:rPr>
            </w:pPr>
            <w:r>
              <w:rPr>
                <w:rFonts w:ascii="Arial" w:cs="Arial" w:eastAsia="Arial" w:hAnsi="Arial"/>
                <w:sz w:val="20"/>
                <w:szCs w:val="20"/>
                <w:color w:val="auto"/>
              </w:rPr>
              <w:t>A3</w:t>
            </w:r>
          </w:p>
        </w:tc>
        <w:tc>
          <w:tcPr>
            <w:tcW w:w="1340" w:type="dxa"/>
            <w:vAlign w:val="bottom"/>
            <w:gridSpan w:val="2"/>
          </w:tcPr>
          <w:p>
            <w:pPr>
              <w:jc w:val="right"/>
              <w:ind w:right="240"/>
              <w:spacing w:after="0"/>
              <w:rPr>
                <w:sz w:val="20"/>
                <w:szCs w:val="20"/>
                <w:color w:val="auto"/>
              </w:rPr>
            </w:pPr>
            <w:r>
              <w:rPr>
                <w:rFonts w:ascii="Arial" w:cs="Arial" w:eastAsia="Arial" w:hAnsi="Arial"/>
                <w:sz w:val="20"/>
                <w:szCs w:val="20"/>
                <w:color w:val="auto"/>
              </w:rPr>
              <w:t>A–</w:t>
            </w:r>
          </w:p>
        </w:tc>
        <w:tc>
          <w:tcPr>
            <w:tcW w:w="1120" w:type="dxa"/>
            <w:vAlign w:val="bottom"/>
          </w:tcPr>
          <w:p>
            <w:pPr>
              <w:jc w:val="right"/>
              <w:spacing w:after="0"/>
              <w:rPr>
                <w:sz w:val="20"/>
                <w:szCs w:val="20"/>
                <w:color w:val="auto"/>
              </w:rPr>
            </w:pPr>
            <w:r>
              <w:rPr>
                <w:rFonts w:ascii="Arial" w:cs="Arial" w:eastAsia="Arial" w:hAnsi="Arial"/>
                <w:sz w:val="20"/>
                <w:szCs w:val="20"/>
                <w:color w:val="auto"/>
              </w:rPr>
              <w:t>A</w:t>
            </w:r>
          </w:p>
        </w:tc>
        <w:tc>
          <w:tcPr>
            <w:tcW w:w="0" w:type="dxa"/>
            <w:vAlign w:val="bottom"/>
          </w:tcPr>
          <w:p>
            <w:pPr>
              <w:spacing w:after="0"/>
              <w:rPr>
                <w:sz w:val="1"/>
                <w:szCs w:val="1"/>
                <w:color w:val="auto"/>
              </w:rPr>
            </w:pPr>
          </w:p>
        </w:tc>
      </w:tr>
      <w:tr>
        <w:trPr>
          <w:trHeight w:val="250"/>
        </w:trPr>
        <w:tc>
          <w:tcPr>
            <w:tcW w:w="76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Subordinated debt</w:t>
            </w:r>
          </w:p>
        </w:tc>
        <w:tc>
          <w:tcPr>
            <w:tcW w:w="1340" w:type="dxa"/>
            <w:vAlign w:val="bottom"/>
            <w:gridSpan w:val="2"/>
            <w:shd w:val="clear" w:color="auto" w:fill="CFF0FC"/>
          </w:tcPr>
          <w:p>
            <w:pPr>
              <w:jc w:val="right"/>
              <w:ind w:right="260"/>
              <w:spacing w:after="0"/>
              <w:rPr>
                <w:sz w:val="20"/>
                <w:szCs w:val="20"/>
                <w:color w:val="auto"/>
              </w:rPr>
            </w:pPr>
            <w:r>
              <w:rPr>
                <w:rFonts w:ascii="Arial" w:cs="Arial" w:eastAsia="Arial" w:hAnsi="Arial"/>
                <w:sz w:val="20"/>
                <w:szCs w:val="20"/>
                <w:color w:val="auto"/>
              </w:rPr>
              <w:t>A3</w:t>
            </w:r>
          </w:p>
        </w:tc>
        <w:tc>
          <w:tcPr>
            <w:tcW w:w="1340" w:type="dxa"/>
            <w:vAlign w:val="bottom"/>
            <w:gridSpan w:val="2"/>
            <w:shd w:val="clear" w:color="auto" w:fill="CFF0FC"/>
          </w:tcPr>
          <w:p>
            <w:pPr>
              <w:jc w:val="right"/>
              <w:ind w:right="240"/>
              <w:spacing w:after="0"/>
              <w:rPr>
                <w:sz w:val="20"/>
                <w:szCs w:val="20"/>
                <w:color w:val="auto"/>
              </w:rPr>
            </w:pPr>
            <w:r>
              <w:rPr>
                <w:rFonts w:ascii="Arial" w:cs="Arial" w:eastAsia="Arial" w:hAnsi="Arial"/>
                <w:sz w:val="20"/>
                <w:szCs w:val="20"/>
                <w:color w:val="auto"/>
              </w:rPr>
              <w:t>BBB+</w:t>
            </w:r>
          </w:p>
        </w:tc>
        <w:tc>
          <w:tcPr>
            <w:tcW w:w="1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A–</w:t>
            </w:r>
          </w:p>
        </w:tc>
        <w:tc>
          <w:tcPr>
            <w:tcW w:w="0" w:type="dxa"/>
            <w:vAlign w:val="bottom"/>
          </w:tcPr>
          <w:p>
            <w:pPr>
              <w:spacing w:after="0"/>
              <w:rPr>
                <w:sz w:val="1"/>
                <w:szCs w:val="1"/>
                <w:color w:val="auto"/>
              </w:rPr>
            </w:pPr>
          </w:p>
        </w:tc>
      </w:tr>
      <w:tr>
        <w:trPr>
          <w:trHeight w:val="250"/>
        </w:trPr>
        <w:tc>
          <w:tcPr>
            <w:tcW w:w="7620" w:type="dxa"/>
            <w:vAlign w:val="bottom"/>
          </w:tcPr>
          <w:p>
            <w:pPr>
              <w:spacing w:after="0"/>
              <w:rPr>
                <w:sz w:val="20"/>
                <w:szCs w:val="20"/>
                <w:color w:val="auto"/>
              </w:rPr>
            </w:pPr>
            <w:r>
              <w:rPr>
                <w:rFonts w:ascii="Arial" w:cs="Arial" w:eastAsia="Arial" w:hAnsi="Arial"/>
                <w:sz w:val="20"/>
                <w:szCs w:val="20"/>
                <w:color w:val="auto"/>
              </w:rPr>
              <w:t>M&amp;T Bank</w:t>
            </w:r>
          </w:p>
        </w:tc>
        <w:tc>
          <w:tcPr>
            <w:tcW w:w="1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6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Short-term deposits</w:t>
            </w:r>
          </w:p>
        </w:tc>
        <w:tc>
          <w:tcPr>
            <w:tcW w:w="1340" w:type="dxa"/>
            <w:vAlign w:val="bottom"/>
            <w:gridSpan w:val="2"/>
            <w:shd w:val="clear" w:color="auto" w:fill="CFF0FC"/>
          </w:tcPr>
          <w:p>
            <w:pPr>
              <w:ind w:left="440"/>
              <w:spacing w:after="0"/>
              <w:rPr>
                <w:sz w:val="20"/>
                <w:szCs w:val="20"/>
                <w:color w:val="auto"/>
              </w:rPr>
            </w:pPr>
            <w:r>
              <w:rPr>
                <w:rFonts w:ascii="Arial" w:cs="Arial" w:eastAsia="Arial" w:hAnsi="Arial"/>
                <w:sz w:val="20"/>
                <w:szCs w:val="20"/>
                <w:color w:val="auto"/>
              </w:rPr>
              <w:t>Prime-1</w:t>
            </w:r>
          </w:p>
        </w:tc>
        <w:tc>
          <w:tcPr>
            <w:tcW w:w="1340" w:type="dxa"/>
            <w:vAlign w:val="bottom"/>
            <w:gridSpan w:val="2"/>
            <w:shd w:val="clear" w:color="auto" w:fill="CFF0FC"/>
          </w:tcPr>
          <w:p>
            <w:pPr>
              <w:jc w:val="right"/>
              <w:ind w:right="240"/>
              <w:spacing w:after="0"/>
              <w:rPr>
                <w:sz w:val="20"/>
                <w:szCs w:val="20"/>
                <w:color w:val="auto"/>
              </w:rPr>
            </w:pPr>
            <w:r>
              <w:rPr>
                <w:rFonts w:ascii="Arial" w:cs="Arial" w:eastAsia="Arial" w:hAnsi="Arial"/>
                <w:sz w:val="20"/>
                <w:szCs w:val="20"/>
                <w:color w:val="auto"/>
              </w:rPr>
              <w:t>A-1</w:t>
            </w:r>
          </w:p>
        </w:tc>
        <w:tc>
          <w:tcPr>
            <w:tcW w:w="1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F1</w:t>
            </w:r>
          </w:p>
        </w:tc>
        <w:tc>
          <w:tcPr>
            <w:tcW w:w="0" w:type="dxa"/>
            <w:vAlign w:val="bottom"/>
          </w:tcPr>
          <w:p>
            <w:pPr>
              <w:spacing w:after="0"/>
              <w:rPr>
                <w:sz w:val="1"/>
                <w:szCs w:val="1"/>
                <w:color w:val="auto"/>
              </w:rPr>
            </w:pPr>
          </w:p>
        </w:tc>
      </w:tr>
      <w:tr>
        <w:trPr>
          <w:trHeight w:val="250"/>
        </w:trPr>
        <w:tc>
          <w:tcPr>
            <w:tcW w:w="7620" w:type="dxa"/>
            <w:vAlign w:val="bottom"/>
          </w:tcPr>
          <w:p>
            <w:pPr>
              <w:ind w:left="240"/>
              <w:spacing w:after="0"/>
              <w:rPr>
                <w:sz w:val="20"/>
                <w:szCs w:val="20"/>
                <w:color w:val="auto"/>
              </w:rPr>
            </w:pPr>
            <w:r>
              <w:rPr>
                <w:rFonts w:ascii="Arial" w:cs="Arial" w:eastAsia="Arial" w:hAnsi="Arial"/>
                <w:sz w:val="20"/>
                <w:szCs w:val="20"/>
                <w:color w:val="auto"/>
              </w:rPr>
              <w:t>Long-term deposits</w:t>
            </w:r>
          </w:p>
        </w:tc>
        <w:tc>
          <w:tcPr>
            <w:tcW w:w="1340" w:type="dxa"/>
            <w:vAlign w:val="bottom"/>
            <w:gridSpan w:val="2"/>
          </w:tcPr>
          <w:p>
            <w:pPr>
              <w:jc w:val="right"/>
              <w:ind w:right="260"/>
              <w:spacing w:after="0"/>
              <w:rPr>
                <w:sz w:val="20"/>
                <w:szCs w:val="20"/>
                <w:color w:val="auto"/>
              </w:rPr>
            </w:pPr>
            <w:r>
              <w:rPr>
                <w:rFonts w:ascii="Arial" w:cs="Arial" w:eastAsia="Arial" w:hAnsi="Arial"/>
                <w:sz w:val="20"/>
                <w:szCs w:val="20"/>
                <w:color w:val="auto"/>
              </w:rPr>
              <w:t>Aa3</w:t>
            </w:r>
          </w:p>
        </w:tc>
        <w:tc>
          <w:tcPr>
            <w:tcW w:w="1340" w:type="dxa"/>
            <w:vAlign w:val="bottom"/>
            <w:gridSpan w:val="2"/>
          </w:tcPr>
          <w:p>
            <w:pPr>
              <w:jc w:val="right"/>
              <w:ind w:right="240"/>
              <w:spacing w:after="0"/>
              <w:rPr>
                <w:sz w:val="20"/>
                <w:szCs w:val="20"/>
                <w:color w:val="auto"/>
              </w:rPr>
            </w:pPr>
            <w:r>
              <w:rPr>
                <w:rFonts w:ascii="Arial" w:cs="Arial" w:eastAsia="Arial" w:hAnsi="Arial"/>
                <w:sz w:val="20"/>
                <w:szCs w:val="20"/>
                <w:color w:val="auto"/>
              </w:rPr>
              <w:t>A</w:t>
            </w:r>
          </w:p>
        </w:tc>
        <w:tc>
          <w:tcPr>
            <w:tcW w:w="1120" w:type="dxa"/>
            <w:vAlign w:val="bottom"/>
          </w:tcPr>
          <w:p>
            <w:pPr>
              <w:jc w:val="right"/>
              <w:spacing w:after="0"/>
              <w:rPr>
                <w:sz w:val="20"/>
                <w:szCs w:val="20"/>
                <w:color w:val="auto"/>
              </w:rPr>
            </w:pPr>
            <w:r>
              <w:rPr>
                <w:rFonts w:ascii="Arial" w:cs="Arial" w:eastAsia="Arial" w:hAnsi="Arial"/>
                <w:sz w:val="20"/>
                <w:szCs w:val="20"/>
                <w:color w:val="auto"/>
              </w:rPr>
              <w:t>A+</w:t>
            </w:r>
          </w:p>
        </w:tc>
        <w:tc>
          <w:tcPr>
            <w:tcW w:w="0" w:type="dxa"/>
            <w:vAlign w:val="bottom"/>
          </w:tcPr>
          <w:p>
            <w:pPr>
              <w:spacing w:after="0"/>
              <w:rPr>
                <w:sz w:val="1"/>
                <w:szCs w:val="1"/>
                <w:color w:val="auto"/>
              </w:rPr>
            </w:pPr>
          </w:p>
        </w:tc>
      </w:tr>
      <w:tr>
        <w:trPr>
          <w:trHeight w:val="250"/>
        </w:trPr>
        <w:tc>
          <w:tcPr>
            <w:tcW w:w="76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Senior debt</w:t>
            </w:r>
          </w:p>
        </w:tc>
        <w:tc>
          <w:tcPr>
            <w:tcW w:w="1340" w:type="dxa"/>
            <w:vAlign w:val="bottom"/>
            <w:gridSpan w:val="2"/>
            <w:shd w:val="clear" w:color="auto" w:fill="CFF0FC"/>
          </w:tcPr>
          <w:p>
            <w:pPr>
              <w:jc w:val="right"/>
              <w:ind w:right="260"/>
              <w:spacing w:after="0"/>
              <w:rPr>
                <w:sz w:val="20"/>
                <w:szCs w:val="20"/>
                <w:color w:val="auto"/>
              </w:rPr>
            </w:pPr>
            <w:r>
              <w:rPr>
                <w:rFonts w:ascii="Arial" w:cs="Arial" w:eastAsia="Arial" w:hAnsi="Arial"/>
                <w:sz w:val="20"/>
                <w:szCs w:val="20"/>
                <w:color w:val="auto"/>
              </w:rPr>
              <w:t>A3</w:t>
            </w:r>
          </w:p>
        </w:tc>
        <w:tc>
          <w:tcPr>
            <w:tcW w:w="1340" w:type="dxa"/>
            <w:vAlign w:val="bottom"/>
            <w:gridSpan w:val="2"/>
            <w:shd w:val="clear" w:color="auto" w:fill="CFF0FC"/>
          </w:tcPr>
          <w:p>
            <w:pPr>
              <w:jc w:val="right"/>
              <w:ind w:right="240"/>
              <w:spacing w:after="0"/>
              <w:rPr>
                <w:sz w:val="20"/>
                <w:szCs w:val="20"/>
                <w:color w:val="auto"/>
              </w:rPr>
            </w:pPr>
            <w:r>
              <w:rPr>
                <w:rFonts w:ascii="Arial" w:cs="Arial" w:eastAsia="Arial" w:hAnsi="Arial"/>
                <w:sz w:val="20"/>
                <w:szCs w:val="20"/>
                <w:color w:val="auto"/>
              </w:rPr>
              <w:t>A</w:t>
            </w:r>
          </w:p>
        </w:tc>
        <w:tc>
          <w:tcPr>
            <w:tcW w:w="1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A</w:t>
            </w:r>
          </w:p>
        </w:tc>
        <w:tc>
          <w:tcPr>
            <w:tcW w:w="0" w:type="dxa"/>
            <w:vAlign w:val="bottom"/>
          </w:tcPr>
          <w:p>
            <w:pPr>
              <w:spacing w:after="0"/>
              <w:rPr>
                <w:sz w:val="1"/>
                <w:szCs w:val="1"/>
                <w:color w:val="auto"/>
              </w:rPr>
            </w:pPr>
          </w:p>
        </w:tc>
      </w:tr>
      <w:tr>
        <w:trPr>
          <w:trHeight w:val="257"/>
        </w:trPr>
        <w:tc>
          <w:tcPr>
            <w:tcW w:w="7620" w:type="dxa"/>
            <w:vAlign w:val="bottom"/>
          </w:tcPr>
          <w:p>
            <w:pPr>
              <w:ind w:left="240"/>
              <w:spacing w:after="0"/>
              <w:rPr>
                <w:sz w:val="20"/>
                <w:szCs w:val="20"/>
                <w:color w:val="auto"/>
              </w:rPr>
            </w:pPr>
            <w:r>
              <w:rPr>
                <w:rFonts w:ascii="Arial" w:cs="Arial" w:eastAsia="Arial" w:hAnsi="Arial"/>
                <w:sz w:val="20"/>
                <w:szCs w:val="20"/>
                <w:color w:val="auto"/>
              </w:rPr>
              <w:t>Subordinated debt</w:t>
            </w:r>
          </w:p>
        </w:tc>
        <w:tc>
          <w:tcPr>
            <w:tcW w:w="1340" w:type="dxa"/>
            <w:vAlign w:val="bottom"/>
            <w:gridSpan w:val="2"/>
          </w:tcPr>
          <w:p>
            <w:pPr>
              <w:jc w:val="right"/>
              <w:ind w:right="260"/>
              <w:spacing w:after="0"/>
              <w:rPr>
                <w:sz w:val="20"/>
                <w:szCs w:val="20"/>
                <w:color w:val="auto"/>
              </w:rPr>
            </w:pPr>
            <w:r>
              <w:rPr>
                <w:rFonts w:ascii="Arial" w:cs="Arial" w:eastAsia="Arial" w:hAnsi="Arial"/>
                <w:sz w:val="20"/>
                <w:szCs w:val="20"/>
                <w:color w:val="auto"/>
              </w:rPr>
              <w:t>A3</w:t>
            </w:r>
          </w:p>
        </w:tc>
        <w:tc>
          <w:tcPr>
            <w:tcW w:w="1340" w:type="dxa"/>
            <w:vAlign w:val="bottom"/>
            <w:gridSpan w:val="2"/>
          </w:tcPr>
          <w:p>
            <w:pPr>
              <w:jc w:val="right"/>
              <w:ind w:right="240"/>
              <w:spacing w:after="0"/>
              <w:rPr>
                <w:sz w:val="20"/>
                <w:szCs w:val="20"/>
                <w:color w:val="auto"/>
              </w:rPr>
            </w:pPr>
            <w:r>
              <w:rPr>
                <w:rFonts w:ascii="Arial" w:cs="Arial" w:eastAsia="Arial" w:hAnsi="Arial"/>
                <w:sz w:val="20"/>
                <w:szCs w:val="20"/>
                <w:color w:val="auto"/>
              </w:rPr>
              <w:t>A–</w:t>
            </w:r>
          </w:p>
        </w:tc>
        <w:tc>
          <w:tcPr>
            <w:tcW w:w="1120" w:type="dxa"/>
            <w:vAlign w:val="bottom"/>
          </w:tcPr>
          <w:p>
            <w:pPr>
              <w:jc w:val="right"/>
              <w:spacing w:after="0"/>
              <w:rPr>
                <w:sz w:val="20"/>
                <w:szCs w:val="20"/>
                <w:color w:val="auto"/>
              </w:rPr>
            </w:pPr>
            <w:r>
              <w:rPr>
                <w:rFonts w:ascii="Arial" w:cs="Arial" w:eastAsia="Arial" w:hAnsi="Arial"/>
                <w:sz w:val="20"/>
                <w:szCs w:val="20"/>
                <w:color w:val="auto"/>
              </w:rPr>
              <w:t>A–</w:t>
            </w:r>
          </w:p>
        </w:tc>
        <w:tc>
          <w:tcPr>
            <w:tcW w:w="0" w:type="dxa"/>
            <w:vAlign w:val="bottom"/>
          </w:tcPr>
          <w:p>
            <w:pPr>
              <w:spacing w:after="0"/>
              <w:rPr>
                <w:sz w:val="1"/>
                <w:szCs w:val="1"/>
                <w:color w:val="auto"/>
              </w:rPr>
            </w:pPr>
          </w:p>
        </w:tc>
      </w:tr>
    </w:tbl>
    <w:p>
      <w:pPr>
        <w:spacing w:after="0" w:line="189" w:lineRule="exact"/>
        <w:rPr>
          <w:sz w:val="20"/>
          <w:szCs w:val="20"/>
          <w:color w:val="auto"/>
        </w:rPr>
      </w:pPr>
    </w:p>
    <w:p>
      <w:pPr>
        <w:ind w:right="40" w:firstLine="598"/>
        <w:spacing w:after="0" w:line="265" w:lineRule="auto"/>
        <w:rPr>
          <w:sz w:val="20"/>
          <w:szCs w:val="20"/>
          <w:color w:val="auto"/>
        </w:rPr>
      </w:pPr>
      <w:r>
        <w:rPr>
          <w:rFonts w:ascii="Arial" w:cs="Arial" w:eastAsia="Arial" w:hAnsi="Arial"/>
          <w:sz w:val="19"/>
          <w:szCs w:val="19"/>
          <w:color w:val="auto"/>
        </w:rPr>
        <w:t>Certain customers of the Company obtain financing through the issuance of variable rate demand bonds (“VRDBs”). The VRDBs are generally enhanced by letters of credit provided by M&amp;T Bank. M&amp;T Bank oftentimes acts as remarketing agent for the VRDBs and, at its discretion, may from time-to-time own some of the VRDBs while such instruments are remarketed. When this occurs, the VRDBs are classified as trading account assets in the Company’s consolidated balance sheet. Nevertheless, M&amp;T Bank is not contractually obligated to purchase the VRDBs. There were no VRDBs in the Company’s trading account at December 31, 2017, while the value of VRDBs in the Company’s trading account at December 31, 2016 totaled $30 million (all of which were remarketed in January 2017). The total amount of VRDBs outstanding backed by M&amp;T Bank letters of credit was $1.0 billion and $1.3 billion at December 31, 2017 and 2016, respectively. M&amp;T Bank also serves as remarketing agent for most of those bonds.</w:t>
      </w: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Table 16</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MATURITY DISTRIBUTION OF SELECTED LOANS(a)</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940" w:type="dxa"/>
            <w:vAlign w:val="bottom"/>
            <w:gridSpan w:val="2"/>
          </w:tcPr>
          <w:p>
            <w:pPr>
              <w:spacing w:after="0"/>
              <w:rPr>
                <w:sz w:val="20"/>
                <w:szCs w:val="20"/>
                <w:color w:val="auto"/>
              </w:rPr>
            </w:pPr>
            <w:r>
              <w:rPr>
                <w:rFonts w:ascii="Arial" w:cs="Arial" w:eastAsia="Arial" w:hAnsi="Arial"/>
                <w:sz w:val="14"/>
                <w:szCs w:val="14"/>
                <w:b w:val="1"/>
                <w:bCs w:val="1"/>
                <w:color w:val="auto"/>
              </w:rPr>
              <w:t>December 31, 2017</w:t>
            </w:r>
          </w:p>
        </w:tc>
        <w:tc>
          <w:tcPr>
            <w:tcW w:w="22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Arial" w:cs="Arial" w:eastAsia="Arial" w:hAnsi="Arial"/>
                <w:sz w:val="14"/>
                <w:szCs w:val="14"/>
                <w:b w:val="1"/>
                <w:bCs w:val="1"/>
                <w:color w:val="auto"/>
              </w:rPr>
              <w:t>Demand</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ind w:right="352"/>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ind w:right="164"/>
              <w:spacing w:after="0"/>
              <w:rPr>
                <w:sz w:val="20"/>
                <w:szCs w:val="20"/>
                <w:color w:val="auto"/>
              </w:rPr>
            </w:pPr>
            <w:r>
              <w:rPr>
                <w:rFonts w:ascii="Arial" w:cs="Arial" w:eastAsia="Arial" w:hAnsi="Arial"/>
                <w:sz w:val="14"/>
                <w:szCs w:val="14"/>
                <w:b w:val="1"/>
                <w:bCs w:val="1"/>
                <w:color w:val="auto"/>
                <w:w w:val="96"/>
              </w:rPr>
              <w:t>2019 - 2022</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After 2022</w:t>
            </w:r>
          </w:p>
        </w:tc>
      </w:tr>
      <w:tr>
        <w:trPr>
          <w:trHeight w:val="183"/>
        </w:trPr>
        <w:tc>
          <w:tcPr>
            <w:tcW w:w="1140" w:type="dxa"/>
            <w:vAlign w:val="bottom"/>
            <w:tcBorders>
              <w:top w:val="single" w:sz="8" w:color="auto"/>
            </w:tcBorders>
          </w:tcPr>
          <w:p>
            <w:pPr>
              <w:spacing w:after="0"/>
              <w:rPr>
                <w:sz w:val="15"/>
                <w:szCs w:val="15"/>
                <w:color w:val="auto"/>
              </w:rPr>
            </w:pPr>
          </w:p>
        </w:tc>
        <w:tc>
          <w:tcPr>
            <w:tcW w:w="48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580" w:type="dxa"/>
            <w:vAlign w:val="bottom"/>
            <w:tcBorders>
              <w:top w:val="single" w:sz="8" w:color="auto"/>
            </w:tcBorders>
            <w:gridSpan w:val="5"/>
          </w:tcPr>
          <w:p>
            <w:pPr>
              <w:ind w:left="64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382"/>
        </w:trPr>
        <w:tc>
          <w:tcPr>
            <w:tcW w:w="5940" w:type="dxa"/>
            <w:vAlign w:val="bottom"/>
            <w:gridSpan w:val="2"/>
          </w:tcPr>
          <w:p>
            <w:pPr>
              <w:spacing w:after="0"/>
              <w:rPr>
                <w:sz w:val="20"/>
                <w:szCs w:val="20"/>
                <w:color w:val="auto"/>
              </w:rPr>
            </w:pPr>
            <w:r>
              <w:rPr>
                <w:rFonts w:ascii="Arial" w:cs="Arial" w:eastAsia="Arial" w:hAnsi="Arial"/>
                <w:sz w:val="20"/>
                <w:szCs w:val="20"/>
                <w:color w:val="auto"/>
              </w:rPr>
              <w:t>Commercial, financial, etc.</w:t>
            </w:r>
          </w:p>
        </w:tc>
        <w:tc>
          <w:tcPr>
            <w:tcW w:w="220" w:type="dxa"/>
            <w:vAlign w:val="bottom"/>
          </w:tcPr>
          <w:p>
            <w:pPr>
              <w:jc w:val="right"/>
              <w:ind w:right="19"/>
              <w:spacing w:after="0"/>
              <w:rPr>
                <w:sz w:val="20"/>
                <w:szCs w:val="20"/>
                <w:color w:val="auto"/>
              </w:rPr>
            </w:pPr>
            <w:r>
              <w:rPr>
                <w:rFonts w:ascii="Arial" w:cs="Arial" w:eastAsia="Arial" w:hAnsi="Arial"/>
                <w:sz w:val="20"/>
                <w:szCs w:val="20"/>
                <w:color w:val="auto"/>
                <w:w w:val="71"/>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6,680,842</w:t>
            </w:r>
          </w:p>
        </w:tc>
        <w:tc>
          <w:tcPr>
            <w:tcW w:w="460" w:type="dxa"/>
            <w:vAlign w:val="bottom"/>
            <w:gridSpan w:val="2"/>
          </w:tcPr>
          <w:p>
            <w:pPr>
              <w:jc w:val="right"/>
              <w:ind w:right="19"/>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3,297,264</w:t>
            </w:r>
          </w:p>
        </w:tc>
        <w:tc>
          <w:tcPr>
            <w:tcW w:w="24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9,054,468</w:t>
            </w:r>
          </w:p>
        </w:tc>
        <w:tc>
          <w:tcPr>
            <w:tcW w:w="220" w:type="dxa"/>
            <w:vAlign w:val="bottom"/>
          </w:tcPr>
          <w:p>
            <w:pPr>
              <w:spacing w:after="0"/>
              <w:rPr>
                <w:sz w:val="24"/>
                <w:szCs w:val="24"/>
                <w:color w:val="auto"/>
              </w:rPr>
            </w:pPr>
          </w:p>
        </w:tc>
        <w:tc>
          <w:tcPr>
            <w:tcW w:w="180" w:type="dxa"/>
            <w:vAlign w:val="bottom"/>
            <w:gridSpan w:val="2"/>
          </w:tcPr>
          <w:p>
            <w:pPr>
              <w:jc w:val="right"/>
              <w:ind w:right="4"/>
              <w:spacing w:after="0"/>
              <w:rPr>
                <w:sz w:val="20"/>
                <w:szCs w:val="20"/>
                <w:color w:val="auto"/>
              </w:rPr>
            </w:pPr>
            <w:r>
              <w:rPr>
                <w:rFonts w:ascii="Arial" w:cs="Arial" w:eastAsia="Arial" w:hAnsi="Arial"/>
                <w:sz w:val="20"/>
                <w:szCs w:val="20"/>
                <w:color w:val="auto"/>
                <w:w w:val="71"/>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1,222,500</w:t>
            </w:r>
          </w:p>
        </w:tc>
        <w:tc>
          <w:tcPr>
            <w:tcW w:w="100" w:type="dxa"/>
            <w:vAlign w:val="bottom"/>
          </w:tcPr>
          <w:p>
            <w:pPr>
              <w:spacing w:after="0"/>
              <w:rPr>
                <w:sz w:val="24"/>
                <w:szCs w:val="24"/>
                <w:color w:val="auto"/>
              </w:rPr>
            </w:pPr>
          </w:p>
        </w:tc>
      </w:tr>
      <w:tr>
        <w:trPr>
          <w:trHeight w:val="250"/>
        </w:trPr>
        <w:tc>
          <w:tcPr>
            <w:tcW w:w="594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Real estate — construction</w:t>
            </w:r>
          </w:p>
        </w:tc>
        <w:tc>
          <w:tcPr>
            <w:tcW w:w="2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39,300</w:t>
            </w:r>
          </w:p>
        </w:tc>
        <w:tc>
          <w:tcPr>
            <w:tcW w:w="24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3,498,792</w:t>
            </w:r>
          </w:p>
        </w:tc>
        <w:tc>
          <w:tcPr>
            <w:tcW w:w="240" w:type="dxa"/>
            <w:vAlign w:val="bottom"/>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4,070,790</w:t>
            </w:r>
          </w:p>
        </w:tc>
        <w:tc>
          <w:tcPr>
            <w:tcW w:w="2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500,088</w:t>
            </w:r>
          </w:p>
        </w:tc>
        <w:tc>
          <w:tcPr>
            <w:tcW w:w="100" w:type="dxa"/>
            <w:vAlign w:val="bottom"/>
            <w:shd w:val="clear" w:color="auto" w:fill="CFF0FC"/>
          </w:tcPr>
          <w:p>
            <w:pPr>
              <w:spacing w:after="0"/>
              <w:rPr>
                <w:sz w:val="21"/>
                <w:szCs w:val="21"/>
                <w:color w:val="auto"/>
              </w:rPr>
            </w:pPr>
          </w:p>
        </w:tc>
      </w:tr>
      <w:tr>
        <w:trPr>
          <w:trHeight w:val="283"/>
        </w:trPr>
        <w:tc>
          <w:tcPr>
            <w:tcW w:w="5940" w:type="dxa"/>
            <w:vAlign w:val="bottom"/>
            <w:tcBorders>
              <w:bottom w:val="single" w:sz="8" w:color="CFF0FC"/>
            </w:tcBorders>
            <w:gridSpan w:val="2"/>
          </w:tcPr>
          <w:p>
            <w:pPr>
              <w:ind w:left="240"/>
              <w:spacing w:after="0"/>
              <w:rPr>
                <w:sz w:val="20"/>
                <w:szCs w:val="20"/>
                <w:color w:val="auto"/>
              </w:rPr>
            </w:pPr>
            <w:r>
              <w:rPr>
                <w:rFonts w:ascii="Arial" w:cs="Arial" w:eastAsia="Arial" w:hAnsi="Arial"/>
                <w:sz w:val="20"/>
                <w:szCs w:val="20"/>
                <w:color w:val="auto"/>
              </w:rPr>
              <w:t>Total</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20"/>
                <w:szCs w:val="20"/>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6,720,142</w:t>
            </w:r>
          </w:p>
        </w:tc>
        <w:tc>
          <w:tcPr>
            <w:tcW w:w="240" w:type="dxa"/>
            <w:vAlign w:val="bottom"/>
            <w:tcBorders>
              <w:bottom w:val="single" w:sz="8" w:color="CFF0FC"/>
            </w:tcBorders>
          </w:tcPr>
          <w:p>
            <w:pPr>
              <w:spacing w:after="0"/>
              <w:rPr>
                <w:sz w:val="24"/>
                <w:szCs w:val="24"/>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20"/>
                <w:szCs w:val="20"/>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6,796,056</w:t>
            </w:r>
          </w:p>
        </w:tc>
        <w:tc>
          <w:tcPr>
            <w:tcW w:w="240" w:type="dxa"/>
            <w:vAlign w:val="bottom"/>
            <w:tcBorders>
              <w:bottom w:val="single" w:sz="8" w:color="CFF0FC"/>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5"/>
              </w:rPr>
              <w:t>13,125,258</w:t>
            </w:r>
          </w:p>
        </w:tc>
        <w:tc>
          <w:tcPr>
            <w:tcW w:w="220" w:type="dxa"/>
            <w:vAlign w:val="bottom"/>
            <w:tcBorders>
              <w:bottom w:val="single" w:sz="8" w:color="CFF0FC"/>
            </w:tcBorders>
          </w:tcPr>
          <w:p>
            <w:pPr>
              <w:spacing w:after="0"/>
              <w:rPr>
                <w:sz w:val="24"/>
                <w:szCs w:val="24"/>
                <w:color w:val="auto"/>
              </w:rPr>
            </w:pPr>
          </w:p>
        </w:tc>
        <w:tc>
          <w:tcPr>
            <w:tcW w:w="20" w:type="dxa"/>
            <w:vAlign w:val="bottom"/>
            <w:tcBorders>
              <w:bottom w:val="single" w:sz="8" w:color="CFF0FC"/>
            </w:tcBorders>
          </w:tcPr>
          <w:p>
            <w:pPr>
              <w:spacing w:after="0"/>
              <w:rPr>
                <w:sz w:val="24"/>
                <w:szCs w:val="24"/>
                <w:color w:val="auto"/>
              </w:rPr>
            </w:pP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1,722,588</w:t>
            </w:r>
          </w:p>
        </w:tc>
        <w:tc>
          <w:tcPr>
            <w:tcW w:w="100" w:type="dxa"/>
            <w:vAlign w:val="bottom"/>
            <w:tcBorders>
              <w:bottom w:val="single" w:sz="8" w:color="CFF0FC"/>
            </w:tcBorders>
          </w:tcPr>
          <w:p>
            <w:pPr>
              <w:spacing w:after="0"/>
              <w:rPr>
                <w:sz w:val="24"/>
                <w:szCs w:val="24"/>
                <w:color w:val="auto"/>
              </w:rPr>
            </w:pPr>
          </w:p>
        </w:tc>
      </w:tr>
      <w:tr>
        <w:trPr>
          <w:trHeight w:val="229"/>
        </w:trPr>
        <w:tc>
          <w:tcPr>
            <w:tcW w:w="1140" w:type="dxa"/>
            <w:vAlign w:val="bottom"/>
            <w:shd w:val="clear" w:color="auto" w:fill="CFF0FC"/>
          </w:tcPr>
          <w:p>
            <w:pPr>
              <w:spacing w:after="0"/>
              <w:rPr>
                <w:sz w:val="19"/>
                <w:szCs w:val="19"/>
                <w:color w:val="auto"/>
              </w:rPr>
            </w:pPr>
          </w:p>
        </w:tc>
        <w:tc>
          <w:tcPr>
            <w:tcW w:w="4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50"/>
        </w:trPr>
        <w:tc>
          <w:tcPr>
            <w:tcW w:w="5940" w:type="dxa"/>
            <w:vAlign w:val="bottom"/>
            <w:gridSpan w:val="2"/>
          </w:tcPr>
          <w:p>
            <w:pPr>
              <w:spacing w:after="0"/>
              <w:rPr>
                <w:sz w:val="20"/>
                <w:szCs w:val="20"/>
                <w:color w:val="auto"/>
              </w:rPr>
            </w:pPr>
            <w:r>
              <w:rPr>
                <w:rFonts w:ascii="Arial" w:cs="Arial" w:eastAsia="Arial" w:hAnsi="Arial"/>
                <w:sz w:val="20"/>
                <w:szCs w:val="20"/>
                <w:color w:val="auto"/>
              </w:rPr>
              <w:t>Floating or adjustable interest rates</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00" w:type="dxa"/>
            <w:vAlign w:val="bottom"/>
          </w:tcPr>
          <w:p>
            <w:pPr>
              <w:jc w:val="right"/>
              <w:spacing w:after="0"/>
              <w:rPr>
                <w:sz w:val="20"/>
                <w:szCs w:val="20"/>
                <w:color w:val="auto"/>
              </w:rPr>
            </w:pPr>
            <w:r>
              <w:rPr>
                <w:rFonts w:ascii="Arial" w:cs="Arial" w:eastAsia="Arial" w:hAnsi="Arial"/>
                <w:sz w:val="20"/>
                <w:szCs w:val="20"/>
                <w:color w:val="auto"/>
                <w:w w:val="95"/>
              </w:rPr>
              <w:t>11,491,904</w:t>
            </w:r>
          </w:p>
        </w:tc>
        <w:tc>
          <w:tcPr>
            <w:tcW w:w="220" w:type="dxa"/>
            <w:vAlign w:val="bottom"/>
          </w:tcPr>
          <w:p>
            <w:pPr>
              <w:spacing w:after="0"/>
              <w:rPr>
                <w:sz w:val="21"/>
                <w:szCs w:val="21"/>
                <w:color w:val="auto"/>
              </w:rPr>
            </w:pPr>
          </w:p>
        </w:tc>
        <w:tc>
          <w:tcPr>
            <w:tcW w:w="180" w:type="dxa"/>
            <w:vAlign w:val="bottom"/>
            <w:gridSpan w:val="2"/>
          </w:tcPr>
          <w:p>
            <w:pPr>
              <w:jc w:val="right"/>
              <w:ind w:right="4"/>
              <w:spacing w:after="0"/>
              <w:rPr>
                <w:sz w:val="20"/>
                <w:szCs w:val="20"/>
                <w:color w:val="auto"/>
              </w:rPr>
            </w:pPr>
            <w:r>
              <w:rPr>
                <w:rFonts w:ascii="Arial" w:cs="Arial" w:eastAsia="Arial" w:hAnsi="Arial"/>
                <w:sz w:val="20"/>
                <w:szCs w:val="20"/>
                <w:color w:val="auto"/>
                <w:w w:val="71"/>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1,127,247</w:t>
            </w:r>
          </w:p>
        </w:tc>
        <w:tc>
          <w:tcPr>
            <w:tcW w:w="100" w:type="dxa"/>
            <w:vAlign w:val="bottom"/>
          </w:tcPr>
          <w:p>
            <w:pPr>
              <w:spacing w:after="0"/>
              <w:rPr>
                <w:sz w:val="21"/>
                <w:szCs w:val="21"/>
                <w:color w:val="auto"/>
              </w:rPr>
            </w:pPr>
          </w:p>
        </w:tc>
      </w:tr>
      <w:tr>
        <w:trPr>
          <w:trHeight w:val="250"/>
        </w:trPr>
        <w:tc>
          <w:tcPr>
            <w:tcW w:w="594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Fixed or predetermined interest rates</w:t>
            </w: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1,633,354</w:t>
            </w:r>
          </w:p>
        </w:tc>
        <w:tc>
          <w:tcPr>
            <w:tcW w:w="2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595,341</w:t>
            </w:r>
          </w:p>
        </w:tc>
        <w:tc>
          <w:tcPr>
            <w:tcW w:w="100" w:type="dxa"/>
            <w:vAlign w:val="bottom"/>
            <w:shd w:val="clear" w:color="auto" w:fill="CFF0FC"/>
          </w:tcPr>
          <w:p>
            <w:pPr>
              <w:spacing w:after="0"/>
              <w:rPr>
                <w:sz w:val="21"/>
                <w:szCs w:val="21"/>
                <w:color w:val="auto"/>
              </w:rPr>
            </w:pPr>
          </w:p>
        </w:tc>
      </w:tr>
      <w:tr>
        <w:trPr>
          <w:trHeight w:val="243"/>
        </w:trPr>
        <w:tc>
          <w:tcPr>
            <w:tcW w:w="5940" w:type="dxa"/>
            <w:vAlign w:val="bottom"/>
            <w:gridSpan w:val="2"/>
          </w:tcPr>
          <w:p>
            <w:pPr>
              <w:ind w:left="240"/>
              <w:spacing w:after="0"/>
              <w:rPr>
                <w:sz w:val="20"/>
                <w:szCs w:val="20"/>
                <w:color w:val="auto"/>
              </w:rPr>
            </w:pPr>
            <w:r>
              <w:rPr>
                <w:rFonts w:ascii="Arial" w:cs="Arial" w:eastAsia="Arial" w:hAnsi="Arial"/>
                <w:sz w:val="20"/>
                <w:szCs w:val="20"/>
                <w:color w:val="auto"/>
              </w:rPr>
              <w:t>Total</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5"/>
              </w:rPr>
              <w:t>13,125,258</w:t>
            </w:r>
          </w:p>
        </w:tc>
        <w:tc>
          <w:tcPr>
            <w:tcW w:w="2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1,722,588</w:t>
            </w:r>
          </w:p>
        </w:tc>
        <w:tc>
          <w:tcPr>
            <w:tcW w:w="100" w:type="dxa"/>
            <w:vAlign w:val="bottom"/>
          </w:tcPr>
          <w:p>
            <w:pPr>
              <w:spacing w:after="0"/>
              <w:rPr>
                <w:sz w:val="21"/>
                <w:szCs w:val="21"/>
                <w:color w:val="auto"/>
              </w:rPr>
            </w:pPr>
          </w:p>
        </w:tc>
      </w:tr>
      <w:tr>
        <w:trPr>
          <w:trHeight w:val="20"/>
        </w:trPr>
        <w:tc>
          <w:tcPr>
            <w:tcW w:w="114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136017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150" w:lineRule="exact"/>
        <w:rPr>
          <w:sz w:val="20"/>
          <w:szCs w:val="20"/>
          <w:color w:val="auto"/>
        </w:rPr>
      </w:pPr>
    </w:p>
    <w:p>
      <w:pPr>
        <w:ind w:left="600" w:hanging="595"/>
        <w:spacing w:after="0"/>
        <w:tabs>
          <w:tab w:leader="none" w:pos="600" w:val="left"/>
        </w:tabs>
        <w:numPr>
          <w:ilvl w:val="0"/>
          <w:numId w:val="36"/>
        </w:numPr>
        <w:rPr>
          <w:rFonts w:ascii="Arial" w:cs="Arial" w:eastAsia="Arial" w:hAnsi="Arial"/>
          <w:sz w:val="20"/>
          <w:szCs w:val="20"/>
          <w:i w:val="1"/>
          <w:iCs w:val="1"/>
          <w:color w:val="auto"/>
        </w:rPr>
      </w:pPr>
      <w:r>
        <w:rPr>
          <w:rFonts w:ascii="Arial" w:cs="Arial" w:eastAsia="Arial" w:hAnsi="Arial"/>
          <w:sz w:val="20"/>
          <w:szCs w:val="20"/>
          <w:i w:val="1"/>
          <w:iCs w:val="1"/>
          <w:color w:val="auto"/>
        </w:rPr>
        <w:t>The data do not include nonaccrual loans.</w:t>
      </w:r>
    </w:p>
    <w:p>
      <w:pPr>
        <w:spacing w:after="0" w:line="230" w:lineRule="exact"/>
        <w:rPr>
          <w:sz w:val="20"/>
          <w:szCs w:val="20"/>
          <w:color w:val="auto"/>
        </w:rPr>
      </w:pPr>
    </w:p>
    <w:p>
      <w:pPr>
        <w:ind w:right="100" w:firstLine="598"/>
        <w:spacing w:after="0" w:line="253" w:lineRule="auto"/>
        <w:rPr>
          <w:sz w:val="20"/>
          <w:szCs w:val="20"/>
          <w:color w:val="auto"/>
        </w:rPr>
      </w:pPr>
      <w:r>
        <w:rPr>
          <w:rFonts w:ascii="Arial" w:cs="Arial" w:eastAsia="Arial" w:hAnsi="Arial"/>
          <w:sz w:val="20"/>
          <w:szCs w:val="20"/>
          <w:color w:val="auto"/>
        </w:rPr>
        <w:t>The Company enters into contractual obligations in the normal course of business that require future cash payments. The contractual amounts and timing of those payments as of December 31, 2017 are summarized in table 17. Off-balance sheet commitments to customers may impact liquidity, including commitments to extend credit, standby letters of credit, commercial letters of credit, financial guarantees and indemnification contracts, and commitments to sell real estate loans. Because many of these commitments or contracts expire without being funded in whole or in part, the contract amounts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647" w:right="239" w:bottom="1440" w:gutter="0" w:footer="0" w:header="0"/>
        </w:sectPr>
      </w:pPr>
    </w:p>
    <w:bookmarkStart w:id="87" w:name="page88"/>
    <w:bookmarkEnd w:id="87"/>
    <w:p>
      <w:pPr>
        <w:jc w:val="both"/>
        <w:ind w:right="700"/>
        <w:spacing w:after="0" w:line="261" w:lineRule="auto"/>
        <w:rPr>
          <w:sz w:val="20"/>
          <w:szCs w:val="20"/>
          <w:color w:val="auto"/>
        </w:rPr>
      </w:pPr>
      <w:r>
        <w:rPr>
          <w:rFonts w:ascii="Arial" w:cs="Arial" w:eastAsia="Arial" w:hAnsi="Arial"/>
          <w:sz w:val="20"/>
          <w:szCs w:val="20"/>
          <w:color w:val="auto"/>
        </w:rPr>
        <w:t>are not necessarily indicative of future cash flows. Further discussion of these commitments is provided in note 21 of Notes to Financial Statements. Table 17 summarizes the Company’s other commitments as of December 31, 2017 and the timing of the expiration of such commitments.</w:t>
      </w:r>
    </w:p>
    <w:p>
      <w:pPr>
        <w:spacing w:after="0" w:line="2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Table 17</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CONTRACTUAL OBLIGATIONS AND OTHER COMMITMENTS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31, 2017</w:t>
            </w:r>
          </w:p>
        </w:tc>
        <w:tc>
          <w:tcPr>
            <w:tcW w:w="158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9"/>
              </w:rPr>
              <w:t>Less Than One</w:t>
            </w:r>
          </w:p>
        </w:tc>
        <w:tc>
          <w:tcPr>
            <w:tcW w:w="120" w:type="dxa"/>
            <w:vAlign w:val="bottom"/>
          </w:tcPr>
          <w:p>
            <w:pPr>
              <w:spacing w:after="0"/>
              <w:rPr>
                <w:sz w:val="14"/>
                <w:szCs w:val="14"/>
                <w:color w:val="auto"/>
              </w:rPr>
            </w:pPr>
          </w:p>
        </w:tc>
        <w:tc>
          <w:tcPr>
            <w:tcW w:w="980" w:type="dxa"/>
            <w:vAlign w:val="bottom"/>
          </w:tcPr>
          <w:p>
            <w:pPr>
              <w:jc w:val="right"/>
              <w:ind w:right="63"/>
              <w:spacing w:after="0"/>
              <w:rPr>
                <w:sz w:val="20"/>
                <w:szCs w:val="20"/>
                <w:color w:val="auto"/>
              </w:rPr>
            </w:pPr>
            <w:r>
              <w:rPr>
                <w:rFonts w:ascii="Arial" w:cs="Arial" w:eastAsia="Arial" w:hAnsi="Arial"/>
                <w:sz w:val="14"/>
                <w:szCs w:val="14"/>
                <w:b w:val="1"/>
                <w:bCs w:val="1"/>
                <w:color w:val="auto"/>
                <w:w w:val="92"/>
              </w:rPr>
              <w:t>One to Three</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1"/>
              </w:rPr>
              <w:t>Three to Five</w:t>
            </w:r>
          </w:p>
        </w:tc>
        <w:tc>
          <w:tcPr>
            <w:tcW w:w="160" w:type="dxa"/>
            <w:vAlign w:val="bottom"/>
          </w:tcPr>
          <w:p>
            <w:pPr>
              <w:spacing w:after="0"/>
              <w:rPr>
                <w:sz w:val="14"/>
                <w:szCs w:val="14"/>
                <w:color w:val="auto"/>
              </w:rPr>
            </w:pPr>
          </w:p>
        </w:tc>
        <w:tc>
          <w:tcPr>
            <w:tcW w:w="940" w:type="dxa"/>
            <w:vAlign w:val="bottom"/>
          </w:tcPr>
          <w:p>
            <w:pPr>
              <w:jc w:val="right"/>
              <w:ind w:right="163"/>
              <w:spacing w:after="0"/>
              <w:rPr>
                <w:sz w:val="20"/>
                <w:szCs w:val="20"/>
                <w:color w:val="auto"/>
              </w:rPr>
            </w:pPr>
            <w:r>
              <w:rPr>
                <w:rFonts w:ascii="Arial" w:cs="Arial" w:eastAsia="Arial" w:hAnsi="Arial"/>
                <w:sz w:val="14"/>
                <w:szCs w:val="14"/>
                <w:b w:val="1"/>
                <w:bCs w:val="1"/>
                <w:color w:val="auto"/>
              </w:rPr>
              <w:t>Over Five</w:t>
            </w: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0"/>
        </w:trPr>
        <w:tc>
          <w:tcPr>
            <w:tcW w:w="39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tcPr>
          <w:p>
            <w:pPr>
              <w:jc w:val="center"/>
              <w:ind w:right="600"/>
              <w:spacing w:after="0" w:line="154" w:lineRule="exact"/>
              <w:rPr>
                <w:sz w:val="20"/>
                <w:szCs w:val="20"/>
                <w:color w:val="auto"/>
              </w:rPr>
            </w:pPr>
            <w:r>
              <w:rPr>
                <w:rFonts w:ascii="Arial" w:cs="Arial" w:eastAsia="Arial" w:hAnsi="Arial"/>
                <w:sz w:val="14"/>
                <w:szCs w:val="14"/>
                <w:b w:val="1"/>
                <w:bCs w:val="1"/>
                <w:color w:val="auto"/>
                <w:w w:val="92"/>
              </w:rPr>
              <w:t>Year</w:t>
            </w:r>
          </w:p>
        </w:tc>
        <w:tc>
          <w:tcPr>
            <w:tcW w:w="120" w:type="dxa"/>
            <w:vAlign w:val="bottom"/>
          </w:tcPr>
          <w:p>
            <w:pPr>
              <w:spacing w:after="0"/>
              <w:rPr>
                <w:sz w:val="13"/>
                <w:szCs w:val="13"/>
                <w:color w:val="auto"/>
              </w:rPr>
            </w:pPr>
          </w:p>
        </w:tc>
        <w:tc>
          <w:tcPr>
            <w:tcW w:w="980" w:type="dxa"/>
            <w:vAlign w:val="bottom"/>
          </w:tcPr>
          <w:p>
            <w:pPr>
              <w:jc w:val="right"/>
              <w:ind w:right="303"/>
              <w:spacing w:after="0" w:line="154" w:lineRule="exact"/>
              <w:rPr>
                <w:sz w:val="20"/>
                <w:szCs w:val="20"/>
                <w:color w:val="auto"/>
              </w:rPr>
            </w:pPr>
            <w:r>
              <w:rPr>
                <w:rFonts w:ascii="Arial" w:cs="Arial" w:eastAsia="Arial" w:hAnsi="Arial"/>
                <w:sz w:val="14"/>
                <w:szCs w:val="14"/>
                <w:b w:val="1"/>
                <w:bCs w:val="1"/>
                <w:color w:val="auto"/>
              </w:rPr>
              <w:t>Years</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tcPr>
          <w:p>
            <w:pPr>
              <w:jc w:val="center"/>
              <w:ind w:right="600"/>
              <w:spacing w:after="0" w:line="154" w:lineRule="exact"/>
              <w:rPr>
                <w:sz w:val="20"/>
                <w:szCs w:val="20"/>
                <w:color w:val="auto"/>
              </w:rPr>
            </w:pPr>
            <w:r>
              <w:rPr>
                <w:rFonts w:ascii="Arial" w:cs="Arial" w:eastAsia="Arial" w:hAnsi="Arial"/>
                <w:sz w:val="14"/>
                <w:szCs w:val="14"/>
                <w:b w:val="1"/>
                <w:bCs w:val="1"/>
                <w:color w:val="auto"/>
                <w:w w:val="89"/>
              </w:rPr>
              <w:t>Years</w:t>
            </w:r>
          </w:p>
        </w:tc>
        <w:tc>
          <w:tcPr>
            <w:tcW w:w="160" w:type="dxa"/>
            <w:vAlign w:val="bottom"/>
          </w:tcPr>
          <w:p>
            <w:pPr>
              <w:spacing w:after="0"/>
              <w:rPr>
                <w:sz w:val="13"/>
                <w:szCs w:val="13"/>
                <w:color w:val="auto"/>
              </w:rPr>
            </w:pPr>
          </w:p>
        </w:tc>
        <w:tc>
          <w:tcPr>
            <w:tcW w:w="940" w:type="dxa"/>
            <w:vAlign w:val="bottom"/>
          </w:tcPr>
          <w:p>
            <w:pPr>
              <w:jc w:val="right"/>
              <w:ind w:right="283"/>
              <w:spacing w:after="0" w:line="154" w:lineRule="exact"/>
              <w:rPr>
                <w:sz w:val="20"/>
                <w:szCs w:val="20"/>
                <w:color w:val="auto"/>
              </w:rPr>
            </w:pPr>
            <w:r>
              <w:rPr>
                <w:rFonts w:ascii="Arial" w:cs="Arial" w:eastAsia="Arial" w:hAnsi="Arial"/>
                <w:sz w:val="14"/>
                <w:szCs w:val="14"/>
                <w:b w:val="1"/>
                <w:bCs w:val="1"/>
                <w:color w:val="auto"/>
              </w:rPr>
              <w:t>Years</w:t>
            </w: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140" w:type="dxa"/>
            <w:vAlign w:val="bottom"/>
            <w:tcBorders>
              <w:top w:val="single" w:sz="8" w:color="auto"/>
            </w:tcBorders>
          </w:tcPr>
          <w:p>
            <w:pPr>
              <w:spacing w:after="0"/>
              <w:rPr>
                <w:sz w:val="13"/>
                <w:szCs w:val="13"/>
                <w:color w:val="auto"/>
              </w:rPr>
            </w:pPr>
          </w:p>
        </w:tc>
        <w:tc>
          <w:tcPr>
            <w:tcW w:w="27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gridSpan w:val="2"/>
          </w:tcPr>
          <w:p>
            <w:pPr>
              <w:jc w:val="center"/>
              <w:ind w:right="560"/>
              <w:spacing w:after="0" w:line="158" w:lineRule="exact"/>
              <w:rPr>
                <w:sz w:val="20"/>
                <w:szCs w:val="20"/>
                <w:color w:val="auto"/>
              </w:rPr>
            </w:pPr>
            <w:r>
              <w:rPr>
                <w:rFonts w:ascii="Arial" w:cs="Arial" w:eastAsia="Arial" w:hAnsi="Arial"/>
                <w:sz w:val="14"/>
                <w:szCs w:val="14"/>
                <w:b w:val="1"/>
                <w:bCs w:val="1"/>
                <w:color w:val="auto"/>
                <w:w w:val="89"/>
              </w:rPr>
              <w:t>(In thousands)</w:t>
            </w:r>
          </w:p>
        </w:tc>
        <w:tc>
          <w:tcPr>
            <w:tcW w:w="1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390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Payments due for contractual</w:t>
            </w:r>
          </w:p>
        </w:tc>
        <w:tc>
          <w:tcPr>
            <w:tcW w:w="14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900" w:type="dxa"/>
            <w:vAlign w:val="bottom"/>
            <w:gridSpan w:val="2"/>
            <w:shd w:val="clear" w:color="auto" w:fill="CFF0FC"/>
          </w:tcPr>
          <w:p>
            <w:pPr>
              <w:ind w:left="160"/>
              <w:spacing w:after="0"/>
              <w:rPr>
                <w:sz w:val="20"/>
                <w:szCs w:val="20"/>
                <w:color w:val="auto"/>
              </w:rPr>
            </w:pPr>
            <w:r>
              <w:rPr>
                <w:rFonts w:ascii="Arial" w:cs="Arial" w:eastAsia="Arial" w:hAnsi="Arial"/>
                <w:sz w:val="20"/>
                <w:szCs w:val="20"/>
                <w:color w:val="auto"/>
              </w:rPr>
              <w:t>obligations</w:t>
            </w: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900" w:type="dxa"/>
            <w:vAlign w:val="bottom"/>
            <w:gridSpan w:val="2"/>
          </w:tcPr>
          <w:p>
            <w:pPr>
              <w:ind w:left="240"/>
              <w:spacing w:after="0"/>
              <w:rPr>
                <w:sz w:val="20"/>
                <w:szCs w:val="20"/>
                <w:color w:val="auto"/>
              </w:rPr>
            </w:pPr>
            <w:r>
              <w:rPr>
                <w:rFonts w:ascii="Arial" w:cs="Arial" w:eastAsia="Arial" w:hAnsi="Arial"/>
                <w:sz w:val="20"/>
                <w:szCs w:val="20"/>
                <w:color w:val="auto"/>
              </w:rPr>
              <w:t>Time deposits</w:t>
            </w: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4,371,128</w:t>
            </w:r>
          </w:p>
        </w:tc>
        <w:tc>
          <w:tcPr>
            <w:tcW w:w="46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1,506,243</w:t>
            </w:r>
          </w:p>
        </w:tc>
        <w:tc>
          <w:tcPr>
            <w:tcW w:w="5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694,392</w:t>
            </w:r>
          </w:p>
        </w:tc>
        <w:tc>
          <w:tcPr>
            <w:tcW w:w="46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9,199</w:t>
            </w:r>
          </w:p>
        </w:tc>
        <w:tc>
          <w:tcPr>
            <w:tcW w:w="6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6,580,962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900" w:type="dxa"/>
            <w:vAlign w:val="bottom"/>
            <w:gridSpan w:val="2"/>
            <w:shd w:val="clear" w:color="auto" w:fill="CFF0FC"/>
          </w:tcPr>
          <w:p>
            <w:pPr>
              <w:ind w:left="240"/>
              <w:spacing w:after="0"/>
              <w:rPr>
                <w:sz w:val="20"/>
                <w:szCs w:val="20"/>
                <w:color w:val="auto"/>
              </w:rPr>
            </w:pPr>
            <w:r>
              <w:rPr>
                <w:rFonts w:ascii="Arial" w:cs="Arial" w:eastAsia="Arial" w:hAnsi="Arial"/>
                <w:sz w:val="20"/>
                <w:szCs w:val="20"/>
                <w:color w:val="auto"/>
              </w:rPr>
              <w:t>Deposits at Cayman</w:t>
            </w:r>
          </w:p>
        </w:tc>
        <w:tc>
          <w:tcPr>
            <w:tcW w:w="14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900" w:type="dxa"/>
            <w:vAlign w:val="bottom"/>
            <w:gridSpan w:val="2"/>
            <w:shd w:val="clear" w:color="auto" w:fill="CFF0FC"/>
          </w:tcPr>
          <w:p>
            <w:pPr>
              <w:ind w:left="400"/>
              <w:spacing w:after="0"/>
              <w:rPr>
                <w:sz w:val="20"/>
                <w:szCs w:val="20"/>
                <w:color w:val="auto"/>
              </w:rPr>
            </w:pPr>
            <w:r>
              <w:rPr>
                <w:rFonts w:ascii="Arial" w:cs="Arial" w:eastAsia="Arial" w:hAnsi="Arial"/>
                <w:sz w:val="20"/>
                <w:szCs w:val="20"/>
                <w:color w:val="auto"/>
              </w:rPr>
              <w:t>Islands office</w:t>
            </w: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177,996</w:t>
            </w:r>
          </w:p>
        </w:tc>
        <w:tc>
          <w:tcPr>
            <w:tcW w:w="4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4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480"/>
              <w:spacing w:after="0"/>
              <w:rPr>
                <w:sz w:val="20"/>
                <w:szCs w:val="20"/>
                <w:color w:val="auto"/>
              </w:rPr>
            </w:pPr>
            <w:r>
              <w:rPr>
                <w:rFonts w:ascii="Arial" w:cs="Arial" w:eastAsia="Arial" w:hAnsi="Arial"/>
                <w:sz w:val="20"/>
                <w:szCs w:val="20"/>
                <w:color w:val="auto"/>
              </w:rPr>
              <w:t>—</w:t>
            </w: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4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177,996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900" w:type="dxa"/>
            <w:vAlign w:val="bottom"/>
            <w:gridSpan w:val="2"/>
          </w:tcPr>
          <w:p>
            <w:pPr>
              <w:ind w:left="240"/>
              <w:spacing w:after="0"/>
              <w:rPr>
                <w:sz w:val="20"/>
                <w:szCs w:val="20"/>
                <w:color w:val="auto"/>
              </w:rPr>
            </w:pPr>
            <w:r>
              <w:rPr>
                <w:rFonts w:ascii="Arial" w:cs="Arial" w:eastAsia="Arial" w:hAnsi="Arial"/>
                <w:sz w:val="20"/>
                <w:szCs w:val="20"/>
                <w:color w:val="auto"/>
              </w:rPr>
              <w:t>Short-term borrowings</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175,099</w:t>
            </w: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w:t>
            </w: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w:t>
            </w: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175,099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900" w:type="dxa"/>
            <w:vAlign w:val="bottom"/>
            <w:gridSpan w:val="2"/>
            <w:shd w:val="clear" w:color="auto" w:fill="CFF0FC"/>
          </w:tcPr>
          <w:p>
            <w:pPr>
              <w:ind w:left="240"/>
              <w:spacing w:after="0"/>
              <w:rPr>
                <w:sz w:val="20"/>
                <w:szCs w:val="20"/>
                <w:color w:val="auto"/>
              </w:rPr>
            </w:pPr>
            <w:r>
              <w:rPr>
                <w:rFonts w:ascii="Arial" w:cs="Arial" w:eastAsia="Arial" w:hAnsi="Arial"/>
                <w:sz w:val="20"/>
                <w:szCs w:val="20"/>
                <w:color w:val="auto"/>
              </w:rPr>
              <w:t>Long-term borrowings</w:t>
            </w: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701,256</w:t>
            </w:r>
          </w:p>
        </w:tc>
        <w:tc>
          <w:tcPr>
            <w:tcW w:w="4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4,287,399</w:t>
            </w:r>
          </w:p>
        </w:tc>
        <w:tc>
          <w:tcPr>
            <w:tcW w:w="4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1,390,917</w:t>
            </w:r>
          </w:p>
        </w:tc>
        <w:tc>
          <w:tcPr>
            <w:tcW w:w="4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1,761,858</w:t>
            </w:r>
          </w:p>
        </w:tc>
        <w:tc>
          <w:tcPr>
            <w:tcW w:w="4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8,141,430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900" w:type="dxa"/>
            <w:vAlign w:val="bottom"/>
            <w:gridSpan w:val="2"/>
          </w:tcPr>
          <w:p>
            <w:pPr>
              <w:ind w:left="240"/>
              <w:spacing w:after="0"/>
              <w:rPr>
                <w:sz w:val="20"/>
                <w:szCs w:val="20"/>
                <w:color w:val="auto"/>
              </w:rPr>
            </w:pPr>
            <w:r>
              <w:rPr>
                <w:rFonts w:ascii="Arial" w:cs="Arial" w:eastAsia="Arial" w:hAnsi="Arial"/>
                <w:sz w:val="20"/>
                <w:szCs w:val="20"/>
                <w:color w:val="auto"/>
              </w:rPr>
              <w:t>Operating leases</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92,824</w:t>
            </w: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157,788</w:t>
            </w: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96,638</w:t>
            </w: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82,195</w:t>
            </w: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429,445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900" w:type="dxa"/>
            <w:vAlign w:val="bottom"/>
            <w:gridSpan w:val="2"/>
            <w:shd w:val="clear" w:color="auto" w:fill="CFF0FC"/>
          </w:tcPr>
          <w:p>
            <w:pPr>
              <w:ind w:left="240"/>
              <w:spacing w:after="0"/>
              <w:rPr>
                <w:sz w:val="20"/>
                <w:szCs w:val="20"/>
                <w:color w:val="auto"/>
              </w:rPr>
            </w:pPr>
            <w:r>
              <w:rPr>
                <w:rFonts w:ascii="Arial" w:cs="Arial" w:eastAsia="Arial" w:hAnsi="Arial"/>
                <w:sz w:val="20"/>
                <w:szCs w:val="20"/>
                <w:color w:val="auto"/>
              </w:rPr>
              <w:t>Other</w:t>
            </w:r>
          </w:p>
        </w:tc>
        <w:tc>
          <w:tcPr>
            <w:tcW w:w="14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125,916</w:t>
            </w:r>
          </w:p>
        </w:tc>
        <w:tc>
          <w:tcPr>
            <w:tcW w:w="460" w:type="dxa"/>
            <w:vAlign w:val="bottom"/>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108,156</w:t>
            </w:r>
          </w:p>
        </w:tc>
        <w:tc>
          <w:tcPr>
            <w:tcW w:w="460" w:type="dxa"/>
            <w:vAlign w:val="bottom"/>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25,077</w:t>
            </w:r>
          </w:p>
        </w:tc>
        <w:tc>
          <w:tcPr>
            <w:tcW w:w="460" w:type="dxa"/>
            <w:vAlign w:val="bottom"/>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35,398</w:t>
            </w:r>
          </w:p>
        </w:tc>
        <w:tc>
          <w:tcPr>
            <w:tcW w:w="460" w:type="dxa"/>
            <w:vAlign w:val="bottom"/>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294,547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3900" w:type="dxa"/>
            <w:vAlign w:val="bottom"/>
            <w:tcBorders>
              <w:bottom w:val="single" w:sz="8" w:color="CFF0FC"/>
            </w:tcBorders>
            <w:gridSpan w:val="2"/>
          </w:tcPr>
          <w:p>
            <w:pPr>
              <w:ind w:left="240"/>
              <w:spacing w:after="0"/>
              <w:rPr>
                <w:sz w:val="20"/>
                <w:szCs w:val="20"/>
                <w:color w:val="auto"/>
              </w:rPr>
            </w:pPr>
            <w:r>
              <w:rPr>
                <w:rFonts w:ascii="Arial" w:cs="Arial" w:eastAsia="Arial" w:hAnsi="Arial"/>
                <w:sz w:val="20"/>
                <w:szCs w:val="20"/>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5,644,219</w:t>
            </w:r>
          </w:p>
        </w:tc>
        <w:tc>
          <w:tcPr>
            <w:tcW w:w="460" w:type="dxa"/>
            <w:vAlign w:val="bottom"/>
            <w:tcBorders>
              <w:bottom w:val="single" w:sz="8" w:color="CFF0FC"/>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6,059,586</w:t>
            </w:r>
          </w:p>
        </w:tc>
        <w:tc>
          <w:tcPr>
            <w:tcW w:w="460" w:type="dxa"/>
            <w:vAlign w:val="bottom"/>
            <w:tcBorders>
              <w:bottom w:val="single" w:sz="8" w:color="CFF0FC"/>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2,207,024</w:t>
            </w:r>
          </w:p>
        </w:tc>
        <w:tc>
          <w:tcPr>
            <w:tcW w:w="460" w:type="dxa"/>
            <w:vAlign w:val="bottom"/>
            <w:tcBorders>
              <w:bottom w:val="single" w:sz="8" w:color="CFF0FC"/>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1,888,650</w:t>
            </w:r>
          </w:p>
        </w:tc>
        <w:tc>
          <w:tcPr>
            <w:tcW w:w="460" w:type="dxa"/>
            <w:vAlign w:val="bottom"/>
            <w:tcBorders>
              <w:bottom w:val="single" w:sz="8" w:color="CFF0FC"/>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3"/>
              </w:rPr>
              <w:t>15,799,479</w:t>
            </w:r>
          </w:p>
        </w:tc>
        <w:tc>
          <w:tcPr>
            <w:tcW w:w="10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90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Other commitments</w:t>
            </w: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900" w:type="dxa"/>
            <w:vAlign w:val="bottom"/>
            <w:gridSpan w:val="2"/>
          </w:tcPr>
          <w:p>
            <w:pPr>
              <w:ind w:left="240"/>
              <w:spacing w:after="0"/>
              <w:rPr>
                <w:sz w:val="20"/>
                <w:szCs w:val="20"/>
                <w:color w:val="auto"/>
              </w:rPr>
            </w:pPr>
            <w:r>
              <w:rPr>
                <w:rFonts w:ascii="Arial" w:cs="Arial" w:eastAsia="Arial" w:hAnsi="Arial"/>
                <w:sz w:val="20"/>
                <w:szCs w:val="20"/>
                <w:color w:val="auto"/>
              </w:rPr>
              <w:t>Commitments to extend</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900" w:type="dxa"/>
            <w:vAlign w:val="bottom"/>
            <w:gridSpan w:val="2"/>
          </w:tcPr>
          <w:p>
            <w:pPr>
              <w:ind w:left="400"/>
              <w:spacing w:after="0"/>
              <w:rPr>
                <w:sz w:val="20"/>
                <w:szCs w:val="20"/>
                <w:color w:val="auto"/>
              </w:rPr>
            </w:pPr>
            <w:r>
              <w:rPr>
                <w:rFonts w:ascii="Arial" w:cs="Arial" w:eastAsia="Arial" w:hAnsi="Arial"/>
                <w:sz w:val="20"/>
                <w:szCs w:val="20"/>
                <w:color w:val="auto"/>
              </w:rPr>
              <w:t>credit</w:t>
            </w: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980" w:type="dxa"/>
            <w:vAlign w:val="bottom"/>
          </w:tcPr>
          <w:p>
            <w:pPr>
              <w:jc w:val="right"/>
              <w:spacing w:after="0"/>
              <w:rPr>
                <w:sz w:val="20"/>
                <w:szCs w:val="20"/>
                <w:color w:val="auto"/>
              </w:rPr>
            </w:pPr>
            <w:r>
              <w:rPr>
                <w:rFonts w:ascii="Arial" w:cs="Arial" w:eastAsia="Arial" w:hAnsi="Arial"/>
                <w:sz w:val="20"/>
                <w:szCs w:val="20"/>
                <w:color w:val="auto"/>
                <w:w w:val="93"/>
              </w:rPr>
              <w:t>10,430,283</w:t>
            </w:r>
          </w:p>
        </w:tc>
        <w:tc>
          <w:tcPr>
            <w:tcW w:w="46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6,166,719</w:t>
            </w:r>
          </w:p>
        </w:tc>
        <w:tc>
          <w:tcPr>
            <w:tcW w:w="5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4,312,025</w:t>
            </w:r>
          </w:p>
        </w:tc>
        <w:tc>
          <w:tcPr>
            <w:tcW w:w="46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4,101,281</w:t>
            </w:r>
          </w:p>
        </w:tc>
        <w:tc>
          <w:tcPr>
            <w:tcW w:w="6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w w:val="93"/>
              </w:rPr>
              <w:t>25,010,308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900" w:type="dxa"/>
            <w:vAlign w:val="bottom"/>
            <w:gridSpan w:val="2"/>
            <w:shd w:val="clear" w:color="auto" w:fill="CFF0FC"/>
          </w:tcPr>
          <w:p>
            <w:pPr>
              <w:ind w:left="240"/>
              <w:spacing w:after="0"/>
              <w:rPr>
                <w:sz w:val="20"/>
                <w:szCs w:val="20"/>
                <w:color w:val="auto"/>
              </w:rPr>
            </w:pPr>
            <w:r>
              <w:rPr>
                <w:rFonts w:ascii="Arial" w:cs="Arial" w:eastAsia="Arial" w:hAnsi="Arial"/>
                <w:sz w:val="20"/>
                <w:szCs w:val="20"/>
                <w:color w:val="auto"/>
              </w:rPr>
              <w:t>Standby letters of credit</w:t>
            </w: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1,613,555</w:t>
            </w:r>
          </w:p>
        </w:tc>
        <w:tc>
          <w:tcPr>
            <w:tcW w:w="4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639,345</w:t>
            </w:r>
          </w:p>
        </w:tc>
        <w:tc>
          <w:tcPr>
            <w:tcW w:w="4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220,572</w:t>
            </w:r>
          </w:p>
        </w:tc>
        <w:tc>
          <w:tcPr>
            <w:tcW w:w="4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24,372</w:t>
            </w:r>
          </w:p>
        </w:tc>
        <w:tc>
          <w:tcPr>
            <w:tcW w:w="4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2,497,844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900" w:type="dxa"/>
            <w:vAlign w:val="bottom"/>
            <w:gridSpan w:val="2"/>
          </w:tcPr>
          <w:p>
            <w:pPr>
              <w:ind w:left="240"/>
              <w:spacing w:after="0"/>
              <w:rPr>
                <w:sz w:val="20"/>
                <w:szCs w:val="20"/>
                <w:color w:val="auto"/>
              </w:rPr>
            </w:pPr>
            <w:r>
              <w:rPr>
                <w:rFonts w:ascii="Arial" w:cs="Arial" w:eastAsia="Arial" w:hAnsi="Arial"/>
                <w:sz w:val="20"/>
                <w:szCs w:val="20"/>
                <w:color w:val="auto"/>
              </w:rPr>
              <w:t>Commercial letters of</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900" w:type="dxa"/>
            <w:vAlign w:val="bottom"/>
            <w:gridSpan w:val="2"/>
          </w:tcPr>
          <w:p>
            <w:pPr>
              <w:ind w:left="400"/>
              <w:spacing w:after="0"/>
              <w:rPr>
                <w:sz w:val="20"/>
                <w:szCs w:val="20"/>
                <w:color w:val="auto"/>
              </w:rPr>
            </w:pPr>
            <w:r>
              <w:rPr>
                <w:rFonts w:ascii="Arial" w:cs="Arial" w:eastAsia="Arial" w:hAnsi="Arial"/>
                <w:sz w:val="20"/>
                <w:szCs w:val="20"/>
                <w:color w:val="auto"/>
              </w:rPr>
              <w:t>credit</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9,965</w:t>
            </w: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794</w:t>
            </w: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35,980</w:t>
            </w: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w:t>
            </w: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46,739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900" w:type="dxa"/>
            <w:vAlign w:val="bottom"/>
            <w:gridSpan w:val="2"/>
            <w:shd w:val="clear" w:color="auto" w:fill="CFF0FC"/>
          </w:tcPr>
          <w:p>
            <w:pPr>
              <w:ind w:left="240"/>
              <w:spacing w:after="0"/>
              <w:rPr>
                <w:sz w:val="20"/>
                <w:szCs w:val="20"/>
                <w:color w:val="auto"/>
              </w:rPr>
            </w:pPr>
            <w:r>
              <w:rPr>
                <w:rFonts w:ascii="Arial" w:cs="Arial" w:eastAsia="Arial" w:hAnsi="Arial"/>
                <w:sz w:val="20"/>
                <w:szCs w:val="20"/>
                <w:color w:val="auto"/>
              </w:rPr>
              <w:t>Financial guarantees and</w:t>
            </w:r>
          </w:p>
        </w:tc>
        <w:tc>
          <w:tcPr>
            <w:tcW w:w="14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900" w:type="dxa"/>
            <w:vAlign w:val="bottom"/>
            <w:gridSpan w:val="2"/>
            <w:shd w:val="clear" w:color="auto" w:fill="CFF0FC"/>
          </w:tcPr>
          <w:p>
            <w:pPr>
              <w:ind w:left="400"/>
              <w:spacing w:after="0"/>
              <w:rPr>
                <w:sz w:val="20"/>
                <w:szCs w:val="20"/>
                <w:color w:val="auto"/>
              </w:rPr>
            </w:pPr>
            <w:r>
              <w:rPr>
                <w:rFonts w:ascii="Arial" w:cs="Arial" w:eastAsia="Arial" w:hAnsi="Arial"/>
                <w:sz w:val="20"/>
                <w:szCs w:val="20"/>
                <w:color w:val="auto"/>
              </w:rPr>
              <w:t>indemnification</w:t>
            </w:r>
          </w:p>
        </w:tc>
        <w:tc>
          <w:tcPr>
            <w:tcW w:w="14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900" w:type="dxa"/>
            <w:vAlign w:val="bottom"/>
            <w:gridSpan w:val="2"/>
            <w:shd w:val="clear" w:color="auto" w:fill="CFF0FC"/>
          </w:tcPr>
          <w:p>
            <w:pPr>
              <w:ind w:left="400"/>
              <w:spacing w:after="0"/>
              <w:rPr>
                <w:sz w:val="20"/>
                <w:szCs w:val="20"/>
                <w:color w:val="auto"/>
              </w:rPr>
            </w:pPr>
            <w:r>
              <w:rPr>
                <w:rFonts w:ascii="Arial" w:cs="Arial" w:eastAsia="Arial" w:hAnsi="Arial"/>
                <w:sz w:val="20"/>
                <w:szCs w:val="20"/>
                <w:color w:val="auto"/>
              </w:rPr>
              <w:t>contracts</w:t>
            </w: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89,640</w:t>
            </w:r>
          </w:p>
        </w:tc>
        <w:tc>
          <w:tcPr>
            <w:tcW w:w="4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395,180</w:t>
            </w:r>
          </w:p>
        </w:tc>
        <w:tc>
          <w:tcPr>
            <w:tcW w:w="4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418,045</w:t>
            </w:r>
          </w:p>
        </w:tc>
        <w:tc>
          <w:tcPr>
            <w:tcW w:w="4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2,531,516</w:t>
            </w:r>
          </w:p>
        </w:tc>
        <w:tc>
          <w:tcPr>
            <w:tcW w:w="4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3,434,381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900" w:type="dxa"/>
            <w:vAlign w:val="bottom"/>
            <w:gridSpan w:val="2"/>
          </w:tcPr>
          <w:p>
            <w:pPr>
              <w:ind w:left="240"/>
              <w:spacing w:after="0"/>
              <w:rPr>
                <w:sz w:val="20"/>
                <w:szCs w:val="20"/>
                <w:color w:val="auto"/>
              </w:rPr>
            </w:pPr>
            <w:r>
              <w:rPr>
                <w:rFonts w:ascii="Arial" w:cs="Arial" w:eastAsia="Arial" w:hAnsi="Arial"/>
                <w:sz w:val="20"/>
                <w:szCs w:val="20"/>
                <w:color w:val="auto"/>
              </w:rPr>
              <w:t>Commitments to sell real</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900" w:type="dxa"/>
            <w:vAlign w:val="bottom"/>
            <w:gridSpan w:val="2"/>
          </w:tcPr>
          <w:p>
            <w:pPr>
              <w:ind w:left="400"/>
              <w:spacing w:after="0"/>
              <w:rPr>
                <w:sz w:val="20"/>
                <w:szCs w:val="20"/>
                <w:color w:val="auto"/>
              </w:rPr>
            </w:pPr>
            <w:r>
              <w:rPr>
                <w:rFonts w:ascii="Arial" w:cs="Arial" w:eastAsia="Arial" w:hAnsi="Arial"/>
                <w:sz w:val="20"/>
                <w:szCs w:val="20"/>
                <w:color w:val="auto"/>
              </w:rPr>
              <w:t>estate loans</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812,217</w:t>
            </w: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w:t>
            </w: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w:t>
            </w: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812,217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tcBorders>
              <w:top w:val="single" w:sz="8" w:color="CFF0FC"/>
              <w:bottom w:val="single" w:sz="8" w:color="CFF0FC"/>
            </w:tcBorders>
            <w:gridSpan w:val="2"/>
            <w:shd w:val="clear" w:color="auto" w:fill="CFF0FC"/>
          </w:tcPr>
          <w:p>
            <w:pPr>
              <w:ind w:left="240"/>
              <w:spacing w:after="0"/>
              <w:rPr>
                <w:sz w:val="20"/>
                <w:szCs w:val="20"/>
                <w:color w:val="auto"/>
              </w:rPr>
            </w:pPr>
            <w:r>
              <w:rPr>
                <w:rFonts w:ascii="Arial" w:cs="Arial" w:eastAsia="Arial" w:hAnsi="Arial"/>
                <w:sz w:val="20"/>
                <w:szCs w:val="20"/>
                <w:color w:val="auto"/>
              </w:rPr>
              <w:t>Total</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93"/>
              </w:rPr>
              <w:t>12,955,660</w:t>
            </w:r>
          </w:p>
        </w:tc>
        <w:tc>
          <w:tcPr>
            <w:tcW w:w="460" w:type="dxa"/>
            <w:vAlign w:val="bottom"/>
            <w:tcBorders>
              <w:top w:val="single" w:sz="8" w:color="CFF0FC"/>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7,202,038</w:t>
            </w:r>
          </w:p>
        </w:tc>
        <w:tc>
          <w:tcPr>
            <w:tcW w:w="460" w:type="dxa"/>
            <w:vAlign w:val="bottom"/>
            <w:tcBorders>
              <w:top w:val="single" w:sz="8" w:color="CFF0FC"/>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4,986,622</w:t>
            </w:r>
          </w:p>
        </w:tc>
        <w:tc>
          <w:tcPr>
            <w:tcW w:w="460" w:type="dxa"/>
            <w:vAlign w:val="bottom"/>
            <w:tcBorders>
              <w:top w:val="single" w:sz="8" w:color="CFF0FC"/>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6,657,169</w:t>
            </w:r>
          </w:p>
        </w:tc>
        <w:tc>
          <w:tcPr>
            <w:tcW w:w="460" w:type="dxa"/>
            <w:vAlign w:val="bottom"/>
            <w:tcBorders>
              <w:top w:val="single" w:sz="8" w:color="CFF0FC"/>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93"/>
              </w:rPr>
              <w:t>31,801,489</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right="140" w:firstLine="598"/>
        <w:spacing w:after="0" w:line="288" w:lineRule="auto"/>
        <w:rPr>
          <w:sz w:val="20"/>
          <w:szCs w:val="20"/>
          <w:color w:val="auto"/>
        </w:rPr>
      </w:pPr>
      <w:r>
        <w:rPr>
          <w:rFonts w:ascii="Arial" w:cs="Arial" w:eastAsia="Arial" w:hAnsi="Arial"/>
          <w:sz w:val="18"/>
          <w:szCs w:val="18"/>
          <w:color w:val="auto"/>
        </w:rPr>
        <w:t>M&amp;T’s primary source of funds to pay for operating expenses, shareholder dividends and treasury stock repurchases has historically been the receipt of dividends from its banking subsidiaries, which are subject to various regulatory limitations. Dividends from any banking subsidiary to M&amp;T are limited by the amount of earnings of the banking subsidiary in the current year and the two preceding years. For purposes of that test, at December 31, 2017 approximately $397 million was available for payment of dividends to M&amp;T from banking subsidiaries. Information regarding the long-term debt obligations of M&amp;T is included in note 9 of Notes to Financial Statements.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46" w:right="239" w:bottom="1440" w:gutter="0" w:footer="0" w:header="0"/>
        </w:sectPr>
      </w:pPr>
    </w:p>
    <w:bookmarkStart w:id="88" w:name="page89"/>
    <w:bookmarkEnd w:id="88"/>
    <w:p>
      <w:pPr>
        <w:spacing w:after="0"/>
        <w:rPr>
          <w:sz w:val="20"/>
          <w:szCs w:val="20"/>
          <w:color w:val="auto"/>
        </w:rPr>
      </w:pPr>
      <w:r>
        <w:rPr>
          <w:rFonts w:ascii="Arial" w:cs="Arial" w:eastAsia="Arial" w:hAnsi="Arial"/>
          <w:sz w:val="20"/>
          <w:szCs w:val="20"/>
          <w:b w:val="1"/>
          <w:bCs w:val="1"/>
          <w:color w:val="auto"/>
        </w:rPr>
        <w:t>Table 18</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MATURITY AND TAXABLE-EQUIVALENT YIELD OF INVESTMENT SECURITIES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31, 2017</w:t>
            </w:r>
          </w:p>
        </w:tc>
        <w:tc>
          <w:tcPr>
            <w:tcW w:w="160" w:type="dxa"/>
            <w:vAlign w:val="bottom"/>
          </w:tcPr>
          <w:p>
            <w:pPr>
              <w:spacing w:after="0"/>
              <w:rPr>
                <w:sz w:val="14"/>
                <w:szCs w:val="14"/>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7"/>
              </w:rPr>
              <w:t>One Year</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290"/>
              <w:spacing w:after="0"/>
              <w:rPr>
                <w:sz w:val="20"/>
                <w:szCs w:val="20"/>
                <w:color w:val="auto"/>
              </w:rPr>
            </w:pPr>
            <w:r>
              <w:rPr>
                <w:rFonts w:ascii="Arial" w:cs="Arial" w:eastAsia="Arial" w:hAnsi="Arial"/>
                <w:sz w:val="14"/>
                <w:szCs w:val="14"/>
                <w:b w:val="1"/>
                <w:bCs w:val="1"/>
                <w:color w:val="auto"/>
                <w:w w:val="91"/>
              </w:rPr>
              <w:t>One to Five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Five to Ten</w:t>
            </w:r>
          </w:p>
        </w:tc>
        <w:tc>
          <w:tcPr>
            <w:tcW w:w="140" w:type="dxa"/>
            <w:vAlign w:val="bottom"/>
          </w:tcPr>
          <w:p>
            <w:pPr>
              <w:spacing w:after="0"/>
              <w:rPr>
                <w:sz w:val="14"/>
                <w:szCs w:val="14"/>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8"/>
              </w:rPr>
              <w:t>Over Ten</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0"/>
        </w:trPr>
        <w:tc>
          <w:tcPr>
            <w:tcW w:w="51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right"/>
              <w:ind w:right="500"/>
              <w:spacing w:after="0" w:line="154" w:lineRule="exact"/>
              <w:rPr>
                <w:sz w:val="20"/>
                <w:szCs w:val="20"/>
                <w:color w:val="auto"/>
              </w:rPr>
            </w:pPr>
            <w:r>
              <w:rPr>
                <w:rFonts w:ascii="Arial" w:cs="Arial" w:eastAsia="Arial" w:hAnsi="Arial"/>
                <w:sz w:val="14"/>
                <w:szCs w:val="14"/>
                <w:b w:val="1"/>
                <w:bCs w:val="1"/>
                <w:color w:val="auto"/>
              </w:rPr>
              <w:t>or Less</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right"/>
              <w:ind w:right="470"/>
              <w:spacing w:after="0" w:line="154" w:lineRule="exact"/>
              <w:rPr>
                <w:sz w:val="20"/>
                <w:szCs w:val="20"/>
                <w:color w:val="auto"/>
              </w:rPr>
            </w:pPr>
            <w:r>
              <w:rPr>
                <w:rFonts w:ascii="Arial" w:cs="Arial" w:eastAsia="Arial" w:hAnsi="Arial"/>
                <w:sz w:val="14"/>
                <w:szCs w:val="14"/>
                <w:b w:val="1"/>
                <w:bCs w:val="1"/>
                <w:color w:val="auto"/>
              </w:rPr>
              <w:t>Years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420"/>
              <w:spacing w:after="0" w:line="154" w:lineRule="exact"/>
              <w:rPr>
                <w:sz w:val="20"/>
                <w:szCs w:val="20"/>
                <w:color w:val="auto"/>
              </w:rPr>
            </w:pPr>
            <w:r>
              <w:rPr>
                <w:rFonts w:ascii="Arial" w:cs="Arial" w:eastAsia="Arial" w:hAnsi="Arial"/>
                <w:sz w:val="14"/>
                <w:szCs w:val="14"/>
                <w:b w:val="1"/>
                <w:bCs w:val="1"/>
                <w:color w:val="auto"/>
                <w:w w:val="89"/>
              </w:rPr>
              <w:t>Years</w:t>
            </w:r>
          </w:p>
        </w:tc>
        <w:tc>
          <w:tcPr>
            <w:tcW w:w="140" w:type="dxa"/>
            <w:vAlign w:val="bottom"/>
          </w:tcPr>
          <w:p>
            <w:pPr>
              <w:spacing w:after="0"/>
              <w:rPr>
                <w:sz w:val="13"/>
                <w:szCs w:val="13"/>
                <w:color w:val="auto"/>
              </w:rPr>
            </w:pPr>
          </w:p>
        </w:tc>
        <w:tc>
          <w:tcPr>
            <w:tcW w:w="1060" w:type="dxa"/>
            <w:vAlign w:val="bottom"/>
            <w:gridSpan w:val="2"/>
          </w:tcPr>
          <w:p>
            <w:pPr>
              <w:jc w:val="right"/>
              <w:ind w:right="540"/>
              <w:spacing w:after="0" w:line="154" w:lineRule="exact"/>
              <w:rPr>
                <w:sz w:val="20"/>
                <w:szCs w:val="20"/>
                <w:color w:val="auto"/>
              </w:rPr>
            </w:pPr>
            <w:r>
              <w:rPr>
                <w:rFonts w:ascii="Arial" w:cs="Arial" w:eastAsia="Arial" w:hAnsi="Arial"/>
                <w:sz w:val="14"/>
                <w:szCs w:val="14"/>
                <w:b w:val="1"/>
                <w:bCs w:val="1"/>
                <w:color w:val="auto"/>
              </w:rPr>
              <w:t>Years</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140" w:type="dxa"/>
            <w:vAlign w:val="bottom"/>
            <w:tcBorders>
              <w:top w:val="single" w:sz="8" w:color="auto"/>
            </w:tcBorders>
          </w:tcPr>
          <w:p>
            <w:pPr>
              <w:spacing w:after="0"/>
              <w:rPr>
                <w:sz w:val="13"/>
                <w:szCs w:val="13"/>
                <w:color w:val="auto"/>
              </w:rPr>
            </w:pPr>
          </w:p>
        </w:tc>
        <w:tc>
          <w:tcPr>
            <w:tcW w:w="40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gridSpan w:val="5"/>
          </w:tcPr>
          <w:p>
            <w:pPr>
              <w:jc w:val="center"/>
              <w:ind w:right="20"/>
              <w:spacing w:after="0" w:line="158" w:lineRule="exact"/>
              <w:rPr>
                <w:sz w:val="20"/>
                <w:szCs w:val="20"/>
                <w:color w:val="auto"/>
              </w:rPr>
            </w:pPr>
            <w:r>
              <w:rPr>
                <w:rFonts w:ascii="Arial" w:cs="Arial" w:eastAsia="Arial" w:hAnsi="Arial"/>
                <w:sz w:val="14"/>
                <w:szCs w:val="14"/>
                <w:b w:val="1"/>
                <w:bCs w:val="1"/>
                <w:color w:val="auto"/>
                <w:w w:val="90"/>
              </w:rPr>
              <w:t>(Dollars in thousands)</w:t>
            </w: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5160" w:type="dxa"/>
            <w:vAlign w:val="bottom"/>
            <w:gridSpan w:val="2"/>
            <w:shd w:val="clear" w:color="auto" w:fill="CFF0FC"/>
          </w:tcPr>
          <w:p>
            <w:pPr>
              <w:spacing w:after="0"/>
              <w:rPr>
                <w:sz w:val="20"/>
                <w:szCs w:val="20"/>
                <w:color w:val="auto"/>
              </w:rPr>
            </w:pPr>
            <w:r>
              <w:rPr>
                <w:rFonts w:ascii="Arial" w:cs="Arial" w:eastAsia="Arial" w:hAnsi="Arial"/>
                <w:sz w:val="17"/>
                <w:szCs w:val="17"/>
                <w:i w:val="1"/>
                <w:iCs w:val="1"/>
                <w:color w:val="auto"/>
              </w:rPr>
              <w:t>Investment securities available for sale(a)</w:t>
            </w: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gridSpan w:val="2"/>
          </w:tcPr>
          <w:p>
            <w:pPr>
              <w:spacing w:after="0"/>
              <w:rPr>
                <w:sz w:val="20"/>
                <w:szCs w:val="20"/>
                <w:color w:val="auto"/>
              </w:rPr>
            </w:pPr>
            <w:r>
              <w:rPr>
                <w:rFonts w:ascii="Arial" w:cs="Arial" w:eastAsia="Arial" w:hAnsi="Arial"/>
                <w:sz w:val="17"/>
                <w:szCs w:val="17"/>
                <w:color w:val="auto"/>
              </w:rPr>
              <w:t>U.S. Treasury and federal agencies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Carrying value</w:t>
            </w:r>
          </w:p>
        </w:tc>
        <w:tc>
          <w:tcPr>
            <w:tcW w:w="16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613,355</w:t>
            </w:r>
          </w:p>
        </w:tc>
        <w:tc>
          <w:tcPr>
            <w:tcW w:w="22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1,334,132</w:t>
            </w:r>
          </w:p>
        </w:tc>
        <w:tc>
          <w:tcPr>
            <w:tcW w:w="20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FF0FC"/>
          </w:tcPr>
          <w:p>
            <w:pPr>
              <w:jc w:val="right"/>
              <w:ind w:right="3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1,947,487</w:t>
            </w: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gridSpan w:val="2"/>
          </w:tcPr>
          <w:p>
            <w:pPr>
              <w:ind w:left="240"/>
              <w:spacing w:after="0"/>
              <w:rPr>
                <w:sz w:val="20"/>
                <w:szCs w:val="20"/>
                <w:color w:val="auto"/>
              </w:rPr>
            </w:pPr>
            <w:r>
              <w:rPr>
                <w:rFonts w:ascii="Arial" w:cs="Arial" w:eastAsia="Arial" w:hAnsi="Arial"/>
                <w:sz w:val="17"/>
                <w:szCs w:val="17"/>
                <w:color w:val="auto"/>
              </w:rPr>
              <w:t>Yield</w:t>
            </w: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7"/>
                <w:szCs w:val="17"/>
                <w:color w:val="auto"/>
              </w:rPr>
              <w:t>.93%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1.15%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7"/>
                <w:szCs w:val="17"/>
                <w:color w:val="auto"/>
              </w:rPr>
              <w:t>1.08%</w:t>
            </w:r>
          </w:p>
        </w:tc>
        <w:tc>
          <w:tcPr>
            <w:tcW w:w="0" w:type="dxa"/>
            <w:vAlign w:val="bottom"/>
          </w:tcPr>
          <w:p>
            <w:pPr>
              <w:spacing w:after="0"/>
              <w:rPr>
                <w:sz w:val="1"/>
                <w:szCs w:val="1"/>
                <w:color w:val="auto"/>
              </w:rPr>
            </w:pPr>
          </w:p>
        </w:tc>
      </w:tr>
      <w:tr>
        <w:trPr>
          <w:trHeight w:val="210"/>
        </w:trPr>
        <w:tc>
          <w:tcPr>
            <w:tcW w:w="51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Obligations of states and political subdivisions</w:t>
            </w: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gridSpan w:val="2"/>
          </w:tcPr>
          <w:p>
            <w:pPr>
              <w:ind w:left="240"/>
              <w:spacing w:after="0"/>
              <w:rPr>
                <w:sz w:val="20"/>
                <w:szCs w:val="20"/>
                <w:color w:val="auto"/>
              </w:rPr>
            </w:pPr>
            <w:r>
              <w:rPr>
                <w:rFonts w:ascii="Arial" w:cs="Arial" w:eastAsia="Arial" w:hAnsi="Arial"/>
                <w:sz w:val="17"/>
                <w:szCs w:val="17"/>
                <w:color w:val="auto"/>
              </w:rPr>
              <w:t>Carrying value</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60</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1,475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1,054</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2,589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Yield</w:t>
            </w:r>
          </w:p>
        </w:tc>
        <w:tc>
          <w:tcPr>
            <w:tcW w:w="1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8.49%</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7.73%</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3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6.28%</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7.15%</w:t>
            </w:r>
          </w:p>
        </w:tc>
        <w:tc>
          <w:tcPr>
            <w:tcW w:w="0" w:type="dxa"/>
            <w:vAlign w:val="bottom"/>
          </w:tcPr>
          <w:p>
            <w:pPr>
              <w:spacing w:after="0"/>
              <w:rPr>
                <w:sz w:val="1"/>
                <w:szCs w:val="1"/>
                <w:color w:val="auto"/>
              </w:rPr>
            </w:pPr>
          </w:p>
        </w:tc>
      </w:tr>
      <w:tr>
        <w:trPr>
          <w:trHeight w:val="210"/>
        </w:trPr>
        <w:tc>
          <w:tcPr>
            <w:tcW w:w="5160" w:type="dxa"/>
            <w:vAlign w:val="bottom"/>
            <w:gridSpan w:val="2"/>
          </w:tcPr>
          <w:p>
            <w:pPr>
              <w:spacing w:after="0"/>
              <w:rPr>
                <w:sz w:val="20"/>
                <w:szCs w:val="20"/>
                <w:color w:val="auto"/>
              </w:rPr>
            </w:pPr>
            <w:r>
              <w:rPr>
                <w:rFonts w:ascii="Arial" w:cs="Arial" w:eastAsia="Arial" w:hAnsi="Arial"/>
                <w:sz w:val="17"/>
                <w:szCs w:val="17"/>
                <w:color w:val="auto"/>
              </w:rPr>
              <w:t>Mortgage-backed securities(b)</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Government issued or guaranteed</w:t>
            </w: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gridSpan w:val="2"/>
          </w:tcPr>
          <w:p>
            <w:pPr>
              <w:ind w:left="480"/>
              <w:spacing w:after="0"/>
              <w:rPr>
                <w:sz w:val="20"/>
                <w:szCs w:val="20"/>
                <w:color w:val="auto"/>
              </w:rPr>
            </w:pPr>
            <w:r>
              <w:rPr>
                <w:rFonts w:ascii="Arial" w:cs="Arial" w:eastAsia="Arial" w:hAnsi="Arial"/>
                <w:sz w:val="17"/>
                <w:szCs w:val="17"/>
                <w:color w:val="auto"/>
              </w:rPr>
              <w:t>Carrying value</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526,508</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2,242,117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3,105,033</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2,842,734</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8,716,392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gridSpan w:val="2"/>
            <w:shd w:val="clear" w:color="auto" w:fill="CFF0FC"/>
          </w:tcPr>
          <w:p>
            <w:pPr>
              <w:ind w:left="480"/>
              <w:spacing w:after="0"/>
              <w:rPr>
                <w:sz w:val="20"/>
                <w:szCs w:val="20"/>
                <w:color w:val="auto"/>
              </w:rPr>
            </w:pPr>
            <w:r>
              <w:rPr>
                <w:rFonts w:ascii="Arial" w:cs="Arial" w:eastAsia="Arial" w:hAnsi="Arial"/>
                <w:sz w:val="17"/>
                <w:szCs w:val="17"/>
                <w:color w:val="auto"/>
              </w:rPr>
              <w:t>Yield</w:t>
            </w:r>
          </w:p>
        </w:tc>
        <w:tc>
          <w:tcPr>
            <w:tcW w:w="1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2.36%</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2.37%</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2.37%</w:t>
            </w:r>
          </w:p>
        </w:tc>
        <w:tc>
          <w:tcPr>
            <w:tcW w:w="1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2.29%</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2.34%</w:t>
            </w:r>
          </w:p>
        </w:tc>
        <w:tc>
          <w:tcPr>
            <w:tcW w:w="0" w:type="dxa"/>
            <w:vAlign w:val="bottom"/>
          </w:tcPr>
          <w:p>
            <w:pPr>
              <w:spacing w:after="0"/>
              <w:rPr>
                <w:sz w:val="1"/>
                <w:szCs w:val="1"/>
                <w:color w:val="auto"/>
              </w:rPr>
            </w:pPr>
          </w:p>
        </w:tc>
      </w:tr>
      <w:tr>
        <w:trPr>
          <w:trHeight w:val="210"/>
        </w:trPr>
        <w:tc>
          <w:tcPr>
            <w:tcW w:w="5160" w:type="dxa"/>
            <w:vAlign w:val="bottom"/>
            <w:gridSpan w:val="2"/>
          </w:tcPr>
          <w:p>
            <w:pPr>
              <w:ind w:left="240"/>
              <w:spacing w:after="0"/>
              <w:rPr>
                <w:sz w:val="20"/>
                <w:szCs w:val="20"/>
                <w:color w:val="auto"/>
              </w:rPr>
            </w:pPr>
            <w:r>
              <w:rPr>
                <w:rFonts w:ascii="Arial" w:cs="Arial" w:eastAsia="Arial" w:hAnsi="Arial"/>
                <w:sz w:val="17"/>
                <w:szCs w:val="17"/>
                <w:color w:val="auto"/>
              </w:rPr>
              <w:t>Privately issued</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gridSpan w:val="2"/>
            <w:shd w:val="clear" w:color="auto" w:fill="CFF0FC"/>
          </w:tcPr>
          <w:p>
            <w:pPr>
              <w:ind w:left="480"/>
              <w:spacing w:after="0"/>
              <w:rPr>
                <w:sz w:val="20"/>
                <w:szCs w:val="20"/>
                <w:color w:val="auto"/>
              </w:rPr>
            </w:pPr>
            <w:r>
              <w:rPr>
                <w:rFonts w:ascii="Arial" w:cs="Arial" w:eastAsia="Arial" w:hAnsi="Arial"/>
                <w:sz w:val="17"/>
                <w:szCs w:val="17"/>
                <w:color w:val="auto"/>
              </w:rPr>
              <w:t>Carrying value</w:t>
            </w: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w:t>
            </w: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w:t>
            </w: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gridSpan w:val="2"/>
          </w:tcPr>
          <w:p>
            <w:pPr>
              <w:ind w:left="480"/>
              <w:spacing w:after="0"/>
              <w:rPr>
                <w:sz w:val="20"/>
                <w:szCs w:val="20"/>
                <w:color w:val="auto"/>
              </w:rPr>
            </w:pPr>
            <w:r>
              <w:rPr>
                <w:rFonts w:ascii="Arial" w:cs="Arial" w:eastAsia="Arial" w:hAnsi="Arial"/>
                <w:sz w:val="17"/>
                <w:szCs w:val="17"/>
                <w:color w:val="auto"/>
              </w:rPr>
              <w:t>Yield</w:t>
            </w: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7"/>
                <w:szCs w:val="17"/>
                <w:color w:val="auto"/>
              </w:rPr>
              <w:t>3.27%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4.57%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5.07%</w:t>
            </w:r>
          </w:p>
        </w:tc>
        <w:tc>
          <w:tcPr>
            <w:tcW w:w="1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7"/>
                <w:szCs w:val="17"/>
                <w:color w:val="auto"/>
              </w:rPr>
              <w:t>5.07%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7"/>
                <w:szCs w:val="17"/>
                <w:color w:val="auto"/>
              </w:rPr>
              <w:t>4.39%</w:t>
            </w:r>
          </w:p>
        </w:tc>
        <w:tc>
          <w:tcPr>
            <w:tcW w:w="0" w:type="dxa"/>
            <w:vAlign w:val="bottom"/>
          </w:tcPr>
          <w:p>
            <w:pPr>
              <w:spacing w:after="0"/>
              <w:rPr>
                <w:sz w:val="1"/>
                <w:szCs w:val="1"/>
                <w:color w:val="auto"/>
              </w:rPr>
            </w:pPr>
          </w:p>
        </w:tc>
      </w:tr>
      <w:tr>
        <w:trPr>
          <w:trHeight w:val="210"/>
        </w:trPr>
        <w:tc>
          <w:tcPr>
            <w:tcW w:w="51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Other debt securities</w:t>
            </w: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gridSpan w:val="2"/>
          </w:tcPr>
          <w:p>
            <w:pPr>
              <w:ind w:left="240"/>
              <w:spacing w:after="0"/>
              <w:rPr>
                <w:sz w:val="20"/>
                <w:szCs w:val="20"/>
                <w:color w:val="auto"/>
              </w:rPr>
            </w:pPr>
            <w:r>
              <w:rPr>
                <w:rFonts w:ascii="Arial" w:cs="Arial" w:eastAsia="Arial" w:hAnsi="Arial"/>
                <w:sz w:val="17"/>
                <w:szCs w:val="17"/>
                <w:color w:val="auto"/>
              </w:rPr>
              <w:t>Carrying value</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451</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5,737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72,580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50,064</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128,832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Yield</w:t>
            </w:r>
          </w:p>
        </w:tc>
        <w:tc>
          <w:tcPr>
            <w:tcW w:w="1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3.23%</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2.85%</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2.88%</w:t>
            </w:r>
          </w:p>
        </w:tc>
        <w:tc>
          <w:tcPr>
            <w:tcW w:w="1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3.19%</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3.01%</w:t>
            </w:r>
          </w:p>
        </w:tc>
        <w:tc>
          <w:tcPr>
            <w:tcW w:w="0" w:type="dxa"/>
            <w:vAlign w:val="bottom"/>
          </w:tcPr>
          <w:p>
            <w:pPr>
              <w:spacing w:after="0"/>
              <w:rPr>
                <w:sz w:val="1"/>
                <w:szCs w:val="1"/>
                <w:color w:val="auto"/>
              </w:rPr>
            </w:pPr>
          </w:p>
        </w:tc>
      </w:tr>
      <w:tr>
        <w:trPr>
          <w:trHeight w:val="210"/>
        </w:trPr>
        <w:tc>
          <w:tcPr>
            <w:tcW w:w="5160" w:type="dxa"/>
            <w:vAlign w:val="bottom"/>
            <w:gridSpan w:val="2"/>
          </w:tcPr>
          <w:p>
            <w:pPr>
              <w:spacing w:after="0"/>
              <w:rPr>
                <w:sz w:val="20"/>
                <w:szCs w:val="20"/>
                <w:color w:val="auto"/>
              </w:rPr>
            </w:pPr>
            <w:r>
              <w:rPr>
                <w:rFonts w:ascii="Arial" w:cs="Arial" w:eastAsia="Arial" w:hAnsi="Arial"/>
                <w:sz w:val="17"/>
                <w:szCs w:val="17"/>
                <w:color w:val="auto"/>
              </w:rPr>
              <w:t>Equity securities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Carrying value</w:t>
            </w:r>
          </w:p>
        </w:tc>
        <w:tc>
          <w:tcPr>
            <w:tcW w:w="1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5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3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100,956</w:t>
            </w: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gridSpan w:val="2"/>
          </w:tcPr>
          <w:p>
            <w:pPr>
              <w:ind w:left="240"/>
              <w:spacing w:after="0"/>
              <w:rPr>
                <w:sz w:val="20"/>
                <w:szCs w:val="20"/>
                <w:color w:val="auto"/>
              </w:rPr>
            </w:pPr>
            <w:r>
              <w:rPr>
                <w:rFonts w:ascii="Arial" w:cs="Arial" w:eastAsia="Arial" w:hAnsi="Arial"/>
                <w:sz w:val="17"/>
                <w:szCs w:val="17"/>
                <w:color w:val="auto"/>
              </w:rPr>
              <w:t>Yield</w:t>
            </w: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5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7"/>
                <w:szCs w:val="17"/>
                <w:color w:val="auto"/>
              </w:rPr>
              <w:t>1.11%</w:t>
            </w:r>
          </w:p>
        </w:tc>
        <w:tc>
          <w:tcPr>
            <w:tcW w:w="0" w:type="dxa"/>
            <w:vAlign w:val="bottom"/>
          </w:tcPr>
          <w:p>
            <w:pPr>
              <w:spacing w:after="0"/>
              <w:rPr>
                <w:sz w:val="1"/>
                <w:szCs w:val="1"/>
                <w:color w:val="auto"/>
              </w:rPr>
            </w:pPr>
          </w:p>
        </w:tc>
      </w:tr>
      <w:tr>
        <w:trPr>
          <w:trHeight w:val="203"/>
        </w:trPr>
        <w:tc>
          <w:tcPr>
            <w:tcW w:w="51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7"/>
                <w:szCs w:val="17"/>
                <w:color w:val="auto"/>
              </w:rPr>
              <w:t>Total investment securities available for sale</w:t>
            </w:r>
          </w:p>
        </w:tc>
        <w:tc>
          <w:tcPr>
            <w:tcW w:w="16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160" w:type="dxa"/>
            <w:vAlign w:val="bottom"/>
            <w:gridSpan w:val="2"/>
          </w:tcPr>
          <w:p>
            <w:pPr>
              <w:ind w:left="240"/>
              <w:spacing w:after="0"/>
              <w:rPr>
                <w:sz w:val="20"/>
                <w:szCs w:val="20"/>
                <w:color w:val="auto"/>
              </w:rPr>
            </w:pPr>
            <w:r>
              <w:rPr>
                <w:rFonts w:ascii="Arial" w:cs="Arial" w:eastAsia="Arial" w:hAnsi="Arial"/>
                <w:sz w:val="17"/>
                <w:szCs w:val="17"/>
                <w:color w:val="auto"/>
              </w:rPr>
              <w:t>Carrying value</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1,140,383</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3,583,464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3,177,615</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2,893,866</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w w:val="96"/>
              </w:rPr>
              <w:t>10,896,284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Yield</w:t>
            </w:r>
          </w:p>
        </w:tc>
        <w:tc>
          <w:tcPr>
            <w:tcW w:w="1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1.59%</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1.92%</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2.38%</w:t>
            </w:r>
          </w:p>
        </w:tc>
        <w:tc>
          <w:tcPr>
            <w:tcW w:w="1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2.31%</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2.12%</w:t>
            </w:r>
          </w:p>
        </w:tc>
        <w:tc>
          <w:tcPr>
            <w:tcW w:w="0" w:type="dxa"/>
            <w:vAlign w:val="bottom"/>
          </w:tcPr>
          <w:p>
            <w:pPr>
              <w:spacing w:after="0"/>
              <w:rPr>
                <w:sz w:val="1"/>
                <w:szCs w:val="1"/>
                <w:color w:val="auto"/>
              </w:rPr>
            </w:pPr>
          </w:p>
        </w:tc>
      </w:tr>
      <w:tr>
        <w:trPr>
          <w:trHeight w:val="202"/>
        </w:trPr>
        <w:tc>
          <w:tcPr>
            <w:tcW w:w="5160" w:type="dxa"/>
            <w:vAlign w:val="bottom"/>
            <w:gridSpan w:val="2"/>
          </w:tcPr>
          <w:p>
            <w:pPr>
              <w:spacing w:after="0"/>
              <w:rPr>
                <w:sz w:val="20"/>
                <w:szCs w:val="20"/>
                <w:color w:val="auto"/>
              </w:rPr>
            </w:pPr>
            <w:r>
              <w:rPr>
                <w:rFonts w:ascii="Arial" w:cs="Arial" w:eastAsia="Arial" w:hAnsi="Arial"/>
                <w:sz w:val="17"/>
                <w:szCs w:val="17"/>
                <w:i w:val="1"/>
                <w:iCs w:val="1"/>
                <w:color w:val="auto"/>
              </w:rPr>
              <w:t>Investment securities held to maturity</w:t>
            </w: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1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Obligations of states and political subdivisions</w:t>
            </w: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gridSpan w:val="2"/>
          </w:tcPr>
          <w:p>
            <w:pPr>
              <w:ind w:left="240"/>
              <w:spacing w:after="0"/>
              <w:rPr>
                <w:sz w:val="20"/>
                <w:szCs w:val="20"/>
                <w:color w:val="auto"/>
              </w:rPr>
            </w:pPr>
            <w:r>
              <w:rPr>
                <w:rFonts w:ascii="Arial" w:cs="Arial" w:eastAsia="Arial" w:hAnsi="Arial"/>
                <w:sz w:val="17"/>
                <w:szCs w:val="17"/>
                <w:color w:val="auto"/>
              </w:rPr>
              <w:t>Carrying value</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14,622</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9,844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96</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24,562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Yield</w:t>
            </w:r>
          </w:p>
        </w:tc>
        <w:tc>
          <w:tcPr>
            <w:tcW w:w="1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5.42%</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5.96%</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6.76%</w:t>
            </w:r>
          </w:p>
        </w:tc>
        <w:tc>
          <w:tcPr>
            <w:tcW w:w="1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5.64%</w:t>
            </w:r>
          </w:p>
        </w:tc>
        <w:tc>
          <w:tcPr>
            <w:tcW w:w="0" w:type="dxa"/>
            <w:vAlign w:val="bottom"/>
          </w:tcPr>
          <w:p>
            <w:pPr>
              <w:spacing w:after="0"/>
              <w:rPr>
                <w:sz w:val="1"/>
                <w:szCs w:val="1"/>
                <w:color w:val="auto"/>
              </w:rPr>
            </w:pPr>
          </w:p>
        </w:tc>
      </w:tr>
      <w:tr>
        <w:trPr>
          <w:trHeight w:val="210"/>
        </w:trPr>
        <w:tc>
          <w:tcPr>
            <w:tcW w:w="5160" w:type="dxa"/>
            <w:vAlign w:val="bottom"/>
            <w:gridSpan w:val="2"/>
          </w:tcPr>
          <w:p>
            <w:pPr>
              <w:spacing w:after="0"/>
              <w:rPr>
                <w:sz w:val="20"/>
                <w:szCs w:val="20"/>
                <w:color w:val="auto"/>
              </w:rPr>
            </w:pPr>
            <w:r>
              <w:rPr>
                <w:rFonts w:ascii="Arial" w:cs="Arial" w:eastAsia="Arial" w:hAnsi="Arial"/>
                <w:sz w:val="17"/>
                <w:szCs w:val="17"/>
                <w:color w:val="auto"/>
              </w:rPr>
              <w:t>Mortgage-backed securities(b)</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Government issued or guaranteed</w:t>
            </w: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gridSpan w:val="2"/>
          </w:tcPr>
          <w:p>
            <w:pPr>
              <w:ind w:left="480"/>
              <w:spacing w:after="0"/>
              <w:rPr>
                <w:sz w:val="20"/>
                <w:szCs w:val="20"/>
                <w:color w:val="auto"/>
              </w:rPr>
            </w:pPr>
            <w:r>
              <w:rPr>
                <w:rFonts w:ascii="Arial" w:cs="Arial" w:eastAsia="Arial" w:hAnsi="Arial"/>
                <w:sz w:val="17"/>
                <w:szCs w:val="17"/>
                <w:color w:val="auto"/>
              </w:rPr>
              <w:t>Carrying value</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131,026</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568,983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755,646</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1,732,298</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3,187,953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gridSpan w:val="2"/>
            <w:shd w:val="clear" w:color="auto" w:fill="CFF0FC"/>
          </w:tcPr>
          <w:p>
            <w:pPr>
              <w:ind w:left="480"/>
              <w:spacing w:after="0"/>
              <w:rPr>
                <w:sz w:val="20"/>
                <w:szCs w:val="20"/>
                <w:color w:val="auto"/>
              </w:rPr>
            </w:pPr>
            <w:r>
              <w:rPr>
                <w:rFonts w:ascii="Arial" w:cs="Arial" w:eastAsia="Arial" w:hAnsi="Arial"/>
                <w:sz w:val="17"/>
                <w:szCs w:val="17"/>
                <w:color w:val="auto"/>
              </w:rPr>
              <w:t>Yield</w:t>
            </w:r>
          </w:p>
        </w:tc>
        <w:tc>
          <w:tcPr>
            <w:tcW w:w="1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2.71%</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2.71%</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2.71%</w:t>
            </w:r>
          </w:p>
        </w:tc>
        <w:tc>
          <w:tcPr>
            <w:tcW w:w="1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2.70%</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2.71%</w:t>
            </w:r>
          </w:p>
        </w:tc>
        <w:tc>
          <w:tcPr>
            <w:tcW w:w="0" w:type="dxa"/>
            <w:vAlign w:val="bottom"/>
          </w:tcPr>
          <w:p>
            <w:pPr>
              <w:spacing w:after="0"/>
              <w:rPr>
                <w:sz w:val="1"/>
                <w:szCs w:val="1"/>
                <w:color w:val="auto"/>
              </w:rPr>
            </w:pPr>
          </w:p>
        </w:tc>
      </w:tr>
      <w:tr>
        <w:trPr>
          <w:trHeight w:val="210"/>
        </w:trPr>
        <w:tc>
          <w:tcPr>
            <w:tcW w:w="5160" w:type="dxa"/>
            <w:vAlign w:val="bottom"/>
            <w:gridSpan w:val="2"/>
          </w:tcPr>
          <w:p>
            <w:pPr>
              <w:ind w:left="240"/>
              <w:spacing w:after="0"/>
              <w:rPr>
                <w:sz w:val="20"/>
                <w:szCs w:val="20"/>
                <w:color w:val="auto"/>
              </w:rPr>
            </w:pPr>
            <w:r>
              <w:rPr>
                <w:rFonts w:ascii="Arial" w:cs="Arial" w:eastAsia="Arial" w:hAnsi="Arial"/>
                <w:sz w:val="17"/>
                <w:szCs w:val="17"/>
                <w:color w:val="auto"/>
              </w:rPr>
              <w:t>Privately issued</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gridSpan w:val="2"/>
            <w:shd w:val="clear" w:color="auto" w:fill="CFF0FC"/>
          </w:tcPr>
          <w:p>
            <w:pPr>
              <w:ind w:left="480"/>
              <w:spacing w:after="0"/>
              <w:rPr>
                <w:sz w:val="20"/>
                <w:szCs w:val="20"/>
                <w:color w:val="auto"/>
              </w:rPr>
            </w:pPr>
            <w:r>
              <w:rPr>
                <w:rFonts w:ascii="Arial" w:cs="Arial" w:eastAsia="Arial" w:hAnsi="Arial"/>
                <w:sz w:val="17"/>
                <w:szCs w:val="17"/>
                <w:color w:val="auto"/>
              </w:rPr>
              <w:t>Carrying value</w:t>
            </w: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5,396</w:t>
            </w: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22,216</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29,548</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78,528</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135,688</w:t>
            </w: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gridSpan w:val="2"/>
          </w:tcPr>
          <w:p>
            <w:pPr>
              <w:ind w:left="480"/>
              <w:spacing w:after="0"/>
              <w:rPr>
                <w:sz w:val="20"/>
                <w:szCs w:val="20"/>
                <w:color w:val="auto"/>
              </w:rPr>
            </w:pPr>
            <w:r>
              <w:rPr>
                <w:rFonts w:ascii="Arial" w:cs="Arial" w:eastAsia="Arial" w:hAnsi="Arial"/>
                <w:sz w:val="17"/>
                <w:szCs w:val="17"/>
                <w:color w:val="auto"/>
              </w:rPr>
              <w:t>Yield</w:t>
            </w: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7"/>
                <w:szCs w:val="17"/>
                <w:color w:val="auto"/>
              </w:rPr>
              <w:t>1.38%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1.39%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1.41%</w:t>
            </w:r>
          </w:p>
        </w:tc>
        <w:tc>
          <w:tcPr>
            <w:tcW w:w="1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7"/>
                <w:szCs w:val="17"/>
                <w:color w:val="auto"/>
              </w:rPr>
              <w:t>2.24%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7"/>
                <w:szCs w:val="17"/>
                <w:color w:val="auto"/>
              </w:rPr>
              <w:t>1.89%</w:t>
            </w:r>
          </w:p>
        </w:tc>
        <w:tc>
          <w:tcPr>
            <w:tcW w:w="0" w:type="dxa"/>
            <w:vAlign w:val="bottom"/>
          </w:tcPr>
          <w:p>
            <w:pPr>
              <w:spacing w:after="0"/>
              <w:rPr>
                <w:sz w:val="1"/>
                <w:szCs w:val="1"/>
                <w:color w:val="auto"/>
              </w:rPr>
            </w:pPr>
          </w:p>
        </w:tc>
      </w:tr>
      <w:tr>
        <w:trPr>
          <w:trHeight w:val="210"/>
        </w:trPr>
        <w:tc>
          <w:tcPr>
            <w:tcW w:w="51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Other debt securities</w:t>
            </w: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gridSpan w:val="2"/>
          </w:tcPr>
          <w:p>
            <w:pPr>
              <w:ind w:left="240"/>
              <w:spacing w:after="0"/>
              <w:rPr>
                <w:sz w:val="20"/>
                <w:szCs w:val="20"/>
                <w:color w:val="auto"/>
              </w:rPr>
            </w:pPr>
            <w:r>
              <w:rPr>
                <w:rFonts w:ascii="Arial" w:cs="Arial" w:eastAsia="Arial" w:hAnsi="Arial"/>
                <w:sz w:val="17"/>
                <w:szCs w:val="17"/>
                <w:color w:val="auto"/>
              </w:rPr>
              <w:t>Carrying value</w:t>
            </w: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5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5,010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5,010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Yield</w:t>
            </w:r>
          </w:p>
        </w:tc>
        <w:tc>
          <w:tcPr>
            <w:tcW w:w="1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5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3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4.56%</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4.56%</w:t>
            </w:r>
          </w:p>
        </w:tc>
        <w:tc>
          <w:tcPr>
            <w:tcW w:w="0" w:type="dxa"/>
            <w:vAlign w:val="bottom"/>
          </w:tcPr>
          <w:p>
            <w:pPr>
              <w:spacing w:after="0"/>
              <w:rPr>
                <w:sz w:val="1"/>
                <w:szCs w:val="1"/>
                <w:color w:val="auto"/>
              </w:rPr>
            </w:pPr>
          </w:p>
        </w:tc>
      </w:tr>
      <w:tr>
        <w:trPr>
          <w:trHeight w:val="202"/>
        </w:trPr>
        <w:tc>
          <w:tcPr>
            <w:tcW w:w="5160" w:type="dxa"/>
            <w:vAlign w:val="bottom"/>
            <w:gridSpan w:val="2"/>
          </w:tcPr>
          <w:p>
            <w:pPr>
              <w:spacing w:after="0"/>
              <w:rPr>
                <w:sz w:val="20"/>
                <w:szCs w:val="20"/>
                <w:color w:val="auto"/>
              </w:rPr>
            </w:pPr>
            <w:r>
              <w:rPr>
                <w:rFonts w:ascii="Arial" w:cs="Arial" w:eastAsia="Arial" w:hAnsi="Arial"/>
                <w:sz w:val="17"/>
                <w:szCs w:val="17"/>
                <w:color w:val="auto"/>
              </w:rPr>
              <w:t>Total investment securities held to maturity</w:t>
            </w: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16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Carrying value</w:t>
            </w: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151,044</w:t>
            </w: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601,043</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785,290</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1,815,836</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3,353,213</w:t>
            </w: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gridSpan w:val="2"/>
          </w:tcPr>
          <w:p>
            <w:pPr>
              <w:ind w:left="240"/>
              <w:spacing w:after="0"/>
              <w:rPr>
                <w:sz w:val="20"/>
                <w:szCs w:val="20"/>
                <w:color w:val="auto"/>
              </w:rPr>
            </w:pPr>
            <w:r>
              <w:rPr>
                <w:rFonts w:ascii="Arial" w:cs="Arial" w:eastAsia="Arial" w:hAnsi="Arial"/>
                <w:sz w:val="17"/>
                <w:szCs w:val="17"/>
                <w:color w:val="auto"/>
              </w:rPr>
              <w:t>Yield</w:t>
            </w: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7"/>
                <w:szCs w:val="17"/>
                <w:color w:val="auto"/>
              </w:rPr>
              <w:t>2.93%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2.72%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2.66%</w:t>
            </w:r>
          </w:p>
        </w:tc>
        <w:tc>
          <w:tcPr>
            <w:tcW w:w="1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7"/>
                <w:szCs w:val="17"/>
                <w:color w:val="auto"/>
              </w:rPr>
              <w:t>2.69%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7"/>
                <w:szCs w:val="17"/>
                <w:color w:val="auto"/>
              </w:rPr>
              <w:t>2.70%</w:t>
            </w:r>
          </w:p>
        </w:tc>
        <w:tc>
          <w:tcPr>
            <w:tcW w:w="0" w:type="dxa"/>
            <w:vAlign w:val="bottom"/>
          </w:tcPr>
          <w:p>
            <w:pPr>
              <w:spacing w:after="0"/>
              <w:rPr>
                <w:sz w:val="1"/>
                <w:szCs w:val="1"/>
                <w:color w:val="auto"/>
              </w:rPr>
            </w:pPr>
          </w:p>
        </w:tc>
      </w:tr>
      <w:tr>
        <w:trPr>
          <w:trHeight w:val="203"/>
        </w:trPr>
        <w:tc>
          <w:tcPr>
            <w:tcW w:w="51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7"/>
                <w:szCs w:val="17"/>
                <w:i w:val="1"/>
                <w:iCs w:val="1"/>
                <w:color w:val="auto"/>
              </w:rPr>
              <w:t>Other investment securities</w:t>
            </w:r>
          </w:p>
        </w:tc>
        <w:tc>
          <w:tcPr>
            <w:tcW w:w="160" w:type="dxa"/>
            <w:vAlign w:val="bottom"/>
            <w:tcBorders>
              <w:top w:val="single" w:sz="8" w:color="auto"/>
              <w:bottom w:val="single" w:sz="8" w:color="auto"/>
            </w:tcBorders>
            <w:shd w:val="clear" w:color="auto" w:fill="CFF0FC"/>
          </w:tcPr>
          <w:p>
            <w:pPr>
              <w:spacing w:after="0"/>
              <w:rPr>
                <w:sz w:val="17"/>
                <w:szCs w:val="17"/>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spacing w:after="0"/>
              <w:rPr>
                <w:sz w:val="17"/>
                <w:szCs w:val="17"/>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spacing w:after="0"/>
              <w:rPr>
                <w:sz w:val="17"/>
                <w:szCs w:val="17"/>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spacing w:after="0"/>
              <w:rPr>
                <w:sz w:val="17"/>
                <w:szCs w:val="17"/>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spacing w:after="0"/>
              <w:rPr>
                <w:sz w:val="17"/>
                <w:szCs w:val="17"/>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415,028</w:t>
            </w:r>
          </w:p>
        </w:tc>
        <w:tc>
          <w:tcPr>
            <w:tcW w:w="16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160" w:type="dxa"/>
            <w:vAlign w:val="bottom"/>
            <w:gridSpan w:val="2"/>
          </w:tcPr>
          <w:p>
            <w:pPr>
              <w:spacing w:after="0"/>
              <w:rPr>
                <w:sz w:val="20"/>
                <w:szCs w:val="20"/>
                <w:color w:val="auto"/>
              </w:rPr>
            </w:pPr>
            <w:r>
              <w:rPr>
                <w:rFonts w:ascii="Arial" w:cs="Arial" w:eastAsia="Arial" w:hAnsi="Arial"/>
                <w:sz w:val="17"/>
                <w:szCs w:val="17"/>
                <w:color w:val="auto"/>
              </w:rPr>
              <w:t>Total investment securities</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16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Carrying value</w:t>
            </w:r>
          </w:p>
        </w:tc>
        <w:tc>
          <w:tcPr>
            <w:tcW w:w="16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1,291,427</w:t>
            </w:r>
          </w:p>
        </w:tc>
        <w:tc>
          <w:tcPr>
            <w:tcW w:w="22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4,184,507</w:t>
            </w:r>
          </w:p>
        </w:tc>
        <w:tc>
          <w:tcPr>
            <w:tcW w:w="20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3,962,905</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4,709,702</w:t>
            </w:r>
          </w:p>
        </w:tc>
        <w:tc>
          <w:tcPr>
            <w:tcW w:w="20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6"/>
              </w:rPr>
              <w:t>14,664,525</w:t>
            </w: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gridSpan w:val="2"/>
          </w:tcPr>
          <w:p>
            <w:pPr>
              <w:ind w:left="240"/>
              <w:spacing w:after="0"/>
              <w:rPr>
                <w:sz w:val="20"/>
                <w:szCs w:val="20"/>
                <w:color w:val="auto"/>
              </w:rPr>
            </w:pPr>
            <w:r>
              <w:rPr>
                <w:rFonts w:ascii="Arial" w:cs="Arial" w:eastAsia="Arial" w:hAnsi="Arial"/>
                <w:sz w:val="17"/>
                <w:szCs w:val="17"/>
                <w:color w:val="auto"/>
              </w:rPr>
              <w:t>Yield</w:t>
            </w: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7"/>
                <w:szCs w:val="17"/>
                <w:color w:val="auto"/>
              </w:rPr>
              <w:t>1.74%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2.03%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2.44%</w:t>
            </w:r>
          </w:p>
        </w:tc>
        <w:tc>
          <w:tcPr>
            <w:tcW w:w="1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7"/>
                <w:szCs w:val="17"/>
                <w:color w:val="auto"/>
              </w:rPr>
              <w:t>2.46%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7"/>
                <w:szCs w:val="17"/>
                <w:color w:val="auto"/>
              </w:rPr>
              <w:t>2.19%</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136017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146" w:lineRule="exact"/>
        <w:rPr>
          <w:sz w:val="20"/>
          <w:szCs w:val="20"/>
          <w:color w:val="auto"/>
        </w:rPr>
      </w:pPr>
    </w:p>
    <w:p>
      <w:pPr>
        <w:ind w:left="600" w:hanging="595"/>
        <w:spacing w:after="0"/>
        <w:tabs>
          <w:tab w:leader="none" w:pos="600" w:val="left"/>
        </w:tabs>
        <w:numPr>
          <w:ilvl w:val="0"/>
          <w:numId w:val="37"/>
        </w:numPr>
        <w:rPr>
          <w:rFonts w:ascii="Arial" w:cs="Arial" w:eastAsia="Arial" w:hAnsi="Arial"/>
          <w:sz w:val="17"/>
          <w:szCs w:val="17"/>
          <w:i w:val="1"/>
          <w:iCs w:val="1"/>
          <w:color w:val="auto"/>
        </w:rPr>
      </w:pPr>
      <w:r>
        <w:rPr>
          <w:rFonts w:ascii="Arial" w:cs="Arial" w:eastAsia="Arial" w:hAnsi="Arial"/>
          <w:sz w:val="17"/>
          <w:szCs w:val="17"/>
          <w:i w:val="1"/>
          <w:iCs w:val="1"/>
          <w:color w:val="auto"/>
        </w:rPr>
        <w:t>Investment securities available for sale are presented at estimated fair value. Yields on such securities are based on amortized cost.</w:t>
      </w:r>
    </w:p>
    <w:p>
      <w:pPr>
        <w:spacing w:after="0" w:line="16" w:lineRule="exact"/>
        <w:rPr>
          <w:rFonts w:ascii="Arial" w:cs="Arial" w:eastAsia="Arial" w:hAnsi="Arial"/>
          <w:sz w:val="17"/>
          <w:szCs w:val="17"/>
          <w:i w:val="1"/>
          <w:iCs w:val="1"/>
          <w:color w:val="auto"/>
        </w:rPr>
      </w:pPr>
    </w:p>
    <w:p>
      <w:pPr>
        <w:ind w:left="600" w:right="380" w:hanging="595"/>
        <w:spacing w:after="0" w:line="260" w:lineRule="auto"/>
        <w:tabs>
          <w:tab w:leader="none" w:pos="600" w:val="left"/>
        </w:tabs>
        <w:numPr>
          <w:ilvl w:val="0"/>
          <w:numId w:val="37"/>
        </w:numPr>
        <w:rPr>
          <w:rFonts w:ascii="Arial" w:cs="Arial" w:eastAsia="Arial" w:hAnsi="Arial"/>
          <w:sz w:val="17"/>
          <w:szCs w:val="17"/>
          <w:i w:val="1"/>
          <w:iCs w:val="1"/>
          <w:color w:val="auto"/>
        </w:rPr>
      </w:pPr>
      <w:r>
        <w:rPr>
          <w:rFonts w:ascii="Arial" w:cs="Arial" w:eastAsia="Arial" w:hAnsi="Arial"/>
          <w:sz w:val="17"/>
          <w:szCs w:val="17"/>
          <w:i w:val="1"/>
          <w:iCs w:val="1"/>
          <w:color w:val="auto"/>
        </w:rPr>
        <w:t>Maturities are reflected based upon contractual payments due. Actual maturities are expected to be significantly shorter as a result of loan repayments in the underlying mortgage pools.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89" w:name="page90"/>
    <w:bookmarkEnd w:id="89"/>
    <w:p>
      <w:pPr>
        <w:spacing w:after="0"/>
        <w:rPr>
          <w:sz w:val="20"/>
          <w:szCs w:val="20"/>
          <w:color w:val="auto"/>
        </w:rPr>
      </w:pPr>
      <w:r>
        <w:rPr>
          <w:rFonts w:ascii="Arial" w:cs="Arial" w:eastAsia="Arial" w:hAnsi="Arial"/>
          <w:sz w:val="20"/>
          <w:szCs w:val="20"/>
          <w:b w:val="1"/>
          <w:bCs w:val="1"/>
          <w:color w:val="auto"/>
        </w:rPr>
        <w:t>Table 19</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640" w:type="dxa"/>
            <w:vAlign w:val="bottom"/>
          </w:tcPr>
          <w:p>
            <w:pPr>
              <w:spacing w:after="0"/>
              <w:rPr>
                <w:sz w:val="20"/>
                <w:szCs w:val="20"/>
                <w:color w:val="auto"/>
              </w:rPr>
            </w:pPr>
          </w:p>
        </w:tc>
        <w:tc>
          <w:tcPr>
            <w:tcW w:w="8540" w:type="dxa"/>
            <w:vAlign w:val="bottom"/>
            <w:gridSpan w:val="2"/>
          </w:tcPr>
          <w:p>
            <w:pPr>
              <w:jc w:val="right"/>
              <w:ind w:right="619"/>
              <w:spacing w:after="0"/>
              <w:rPr>
                <w:sz w:val="20"/>
                <w:szCs w:val="20"/>
                <w:color w:val="auto"/>
              </w:rPr>
            </w:pPr>
            <w:r>
              <w:rPr>
                <w:rFonts w:ascii="Arial" w:cs="Arial" w:eastAsia="Arial" w:hAnsi="Arial"/>
                <w:sz w:val="20"/>
                <w:szCs w:val="20"/>
                <w:b w:val="1"/>
                <w:bCs w:val="1"/>
                <w:color w:val="auto"/>
              </w:rPr>
              <w:t>MATURITY OF DOMESTIC CERTIFICATES OF DEPOSIT AND TIME DEPOSITS</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61"/>
        </w:trPr>
        <w:tc>
          <w:tcPr>
            <w:tcW w:w="1640" w:type="dxa"/>
            <w:vAlign w:val="bottom"/>
          </w:tcPr>
          <w:p>
            <w:pPr>
              <w:spacing w:after="0"/>
              <w:rPr>
                <w:sz w:val="22"/>
                <w:szCs w:val="22"/>
                <w:color w:val="auto"/>
              </w:rPr>
            </w:pPr>
          </w:p>
        </w:tc>
        <w:tc>
          <w:tcPr>
            <w:tcW w:w="8540" w:type="dxa"/>
            <w:vAlign w:val="bottom"/>
            <w:gridSpan w:val="2"/>
          </w:tcPr>
          <w:p>
            <w:pPr>
              <w:jc w:val="right"/>
              <w:ind w:right="2419"/>
              <w:spacing w:after="0"/>
              <w:rPr>
                <w:sz w:val="20"/>
                <w:szCs w:val="20"/>
                <w:color w:val="auto"/>
              </w:rPr>
            </w:pPr>
            <w:r>
              <w:rPr>
                <w:rFonts w:ascii="Arial" w:cs="Arial" w:eastAsia="Arial" w:hAnsi="Arial"/>
                <w:sz w:val="20"/>
                <w:szCs w:val="20"/>
                <w:b w:val="1"/>
                <w:bCs w:val="1"/>
                <w:color w:val="auto"/>
              </w:rPr>
              <w:t>WITH BALANCES OF $100,000 OR MORE</w:t>
            </w: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430"/>
        </w:trPr>
        <w:tc>
          <w:tcPr>
            <w:tcW w:w="1640" w:type="dxa"/>
            <w:vAlign w:val="bottom"/>
          </w:tcPr>
          <w:p>
            <w:pPr>
              <w:spacing w:after="0"/>
              <w:rPr>
                <w:sz w:val="24"/>
                <w:szCs w:val="24"/>
                <w:color w:val="auto"/>
              </w:rPr>
            </w:pPr>
          </w:p>
        </w:tc>
        <w:tc>
          <w:tcPr>
            <w:tcW w:w="8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December 31,</w:t>
            </w:r>
          </w:p>
        </w:tc>
      </w:tr>
      <w:tr>
        <w:trPr>
          <w:trHeight w:val="167"/>
        </w:trPr>
        <w:tc>
          <w:tcPr>
            <w:tcW w:w="164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91"/>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4"/>
                <w:szCs w:val="14"/>
                <w:color w:val="auto"/>
              </w:rPr>
            </w:pPr>
          </w:p>
        </w:tc>
      </w:tr>
      <w:tr>
        <w:trPr>
          <w:trHeight w:val="176"/>
        </w:trPr>
        <w:tc>
          <w:tcPr>
            <w:tcW w:w="1640" w:type="dxa"/>
            <w:vAlign w:val="bottom"/>
          </w:tcPr>
          <w:p>
            <w:pPr>
              <w:spacing w:after="0"/>
              <w:rPr>
                <w:sz w:val="15"/>
                <w:szCs w:val="15"/>
                <w:color w:val="auto"/>
              </w:rPr>
            </w:pPr>
          </w:p>
        </w:tc>
        <w:tc>
          <w:tcPr>
            <w:tcW w:w="8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center"/>
              <w:ind w:right="91"/>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5"/>
                <w:szCs w:val="15"/>
                <w:color w:val="auto"/>
              </w:rPr>
            </w:pPr>
          </w:p>
        </w:tc>
      </w:tr>
      <w:tr>
        <w:trPr>
          <w:trHeight w:val="133"/>
        </w:trPr>
        <w:tc>
          <w:tcPr>
            <w:tcW w:w="1640" w:type="dxa"/>
            <w:vAlign w:val="bottom"/>
          </w:tcPr>
          <w:p>
            <w:pPr>
              <w:spacing w:after="0"/>
              <w:rPr>
                <w:sz w:val="11"/>
                <w:szCs w:val="11"/>
                <w:color w:val="auto"/>
              </w:rPr>
            </w:pPr>
          </w:p>
        </w:tc>
        <w:tc>
          <w:tcPr>
            <w:tcW w:w="8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50"/>
        </w:trPr>
        <w:tc>
          <w:tcPr>
            <w:tcW w:w="1640" w:type="dxa"/>
            <w:vAlign w:val="bottom"/>
            <w:shd w:val="clear" w:color="auto" w:fill="CFF0FC"/>
          </w:tcPr>
          <w:p>
            <w:pPr>
              <w:spacing w:after="0"/>
              <w:rPr>
                <w:sz w:val="20"/>
                <w:szCs w:val="20"/>
                <w:color w:val="auto"/>
              </w:rPr>
            </w:pPr>
            <w:r>
              <w:rPr>
                <w:rFonts w:ascii="Arial" w:cs="Arial" w:eastAsia="Arial" w:hAnsi="Arial"/>
                <w:sz w:val="20"/>
                <w:szCs w:val="20"/>
                <w:color w:val="auto"/>
              </w:rPr>
              <w:t>Under 3 months</w:t>
            </w:r>
          </w:p>
        </w:tc>
        <w:tc>
          <w:tcPr>
            <w:tcW w:w="854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582,191</w:t>
            </w:r>
          </w:p>
        </w:tc>
        <w:tc>
          <w:tcPr>
            <w:tcW w:w="100" w:type="dxa"/>
            <w:vAlign w:val="bottom"/>
            <w:shd w:val="clear" w:color="auto" w:fill="CFF0FC"/>
          </w:tcPr>
          <w:p>
            <w:pPr>
              <w:spacing w:after="0"/>
              <w:rPr>
                <w:sz w:val="21"/>
                <w:szCs w:val="21"/>
                <w:color w:val="auto"/>
              </w:rPr>
            </w:pPr>
          </w:p>
        </w:tc>
      </w:tr>
      <w:tr>
        <w:trPr>
          <w:trHeight w:val="250"/>
        </w:trPr>
        <w:tc>
          <w:tcPr>
            <w:tcW w:w="1640" w:type="dxa"/>
            <w:vAlign w:val="bottom"/>
          </w:tcPr>
          <w:p>
            <w:pPr>
              <w:spacing w:after="0"/>
              <w:rPr>
                <w:sz w:val="20"/>
                <w:szCs w:val="20"/>
                <w:color w:val="auto"/>
              </w:rPr>
            </w:pPr>
            <w:r>
              <w:rPr>
                <w:rFonts w:ascii="Arial" w:cs="Arial" w:eastAsia="Arial" w:hAnsi="Arial"/>
                <w:sz w:val="20"/>
                <w:szCs w:val="20"/>
                <w:color w:val="auto"/>
              </w:rPr>
              <w:t>3 to 6 months</w:t>
            </w:r>
          </w:p>
        </w:tc>
        <w:tc>
          <w:tcPr>
            <w:tcW w:w="8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409,847</w:t>
            </w:r>
          </w:p>
        </w:tc>
        <w:tc>
          <w:tcPr>
            <w:tcW w:w="100" w:type="dxa"/>
            <w:vAlign w:val="bottom"/>
          </w:tcPr>
          <w:p>
            <w:pPr>
              <w:spacing w:after="0"/>
              <w:rPr>
                <w:sz w:val="21"/>
                <w:szCs w:val="21"/>
                <w:color w:val="auto"/>
              </w:rPr>
            </w:pPr>
          </w:p>
        </w:tc>
      </w:tr>
      <w:tr>
        <w:trPr>
          <w:trHeight w:val="250"/>
        </w:trPr>
        <w:tc>
          <w:tcPr>
            <w:tcW w:w="1640" w:type="dxa"/>
            <w:vAlign w:val="bottom"/>
            <w:shd w:val="clear" w:color="auto" w:fill="CFF0FC"/>
          </w:tcPr>
          <w:p>
            <w:pPr>
              <w:spacing w:after="0"/>
              <w:rPr>
                <w:sz w:val="20"/>
                <w:szCs w:val="20"/>
                <w:color w:val="auto"/>
              </w:rPr>
            </w:pPr>
            <w:r>
              <w:rPr>
                <w:rFonts w:ascii="Arial" w:cs="Arial" w:eastAsia="Arial" w:hAnsi="Arial"/>
                <w:sz w:val="20"/>
                <w:szCs w:val="20"/>
                <w:color w:val="auto"/>
              </w:rPr>
              <w:t>6 to 12 months</w:t>
            </w:r>
          </w:p>
        </w:tc>
        <w:tc>
          <w:tcPr>
            <w:tcW w:w="83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479,884</w:t>
            </w:r>
          </w:p>
        </w:tc>
        <w:tc>
          <w:tcPr>
            <w:tcW w:w="100" w:type="dxa"/>
            <w:vAlign w:val="bottom"/>
            <w:shd w:val="clear" w:color="auto" w:fill="CFF0FC"/>
          </w:tcPr>
          <w:p>
            <w:pPr>
              <w:spacing w:after="0"/>
              <w:rPr>
                <w:sz w:val="21"/>
                <w:szCs w:val="21"/>
                <w:color w:val="auto"/>
              </w:rPr>
            </w:pPr>
          </w:p>
        </w:tc>
      </w:tr>
      <w:tr>
        <w:trPr>
          <w:trHeight w:val="250"/>
        </w:trPr>
        <w:tc>
          <w:tcPr>
            <w:tcW w:w="164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Over 12 months</w:t>
            </w:r>
          </w:p>
        </w:tc>
        <w:tc>
          <w:tcPr>
            <w:tcW w:w="838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929,073</w:t>
            </w:r>
          </w:p>
        </w:tc>
        <w:tc>
          <w:tcPr>
            <w:tcW w:w="100" w:type="dxa"/>
            <w:vAlign w:val="bottom"/>
            <w:tcBorders>
              <w:bottom w:val="single" w:sz="8" w:color="CFF0FC"/>
            </w:tcBorders>
          </w:tcPr>
          <w:p>
            <w:pPr>
              <w:spacing w:after="0"/>
              <w:rPr>
                <w:sz w:val="21"/>
                <w:szCs w:val="21"/>
                <w:color w:val="auto"/>
              </w:rPr>
            </w:pPr>
          </w:p>
        </w:tc>
      </w:tr>
      <w:tr>
        <w:trPr>
          <w:trHeight w:val="243"/>
        </w:trPr>
        <w:tc>
          <w:tcPr>
            <w:tcW w:w="16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20"/>
                <w:szCs w:val="20"/>
                <w:color w:val="auto"/>
              </w:rPr>
              <w:t>Total</w:t>
            </w:r>
          </w:p>
        </w:tc>
        <w:tc>
          <w:tcPr>
            <w:tcW w:w="83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2,400,995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0"/>
        </w:trPr>
        <w:tc>
          <w:tcPr>
            <w:tcW w:w="164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7" w:lineRule="exact"/>
        <w:rPr>
          <w:sz w:val="20"/>
          <w:szCs w:val="20"/>
          <w:color w:val="auto"/>
        </w:rPr>
      </w:pPr>
    </w:p>
    <w:p>
      <w:pPr>
        <w:ind w:right="280" w:firstLine="598"/>
        <w:spacing w:after="0" w:line="263" w:lineRule="auto"/>
        <w:rPr>
          <w:sz w:val="20"/>
          <w:szCs w:val="20"/>
          <w:color w:val="auto"/>
        </w:rPr>
      </w:pPr>
      <w:r>
        <w:rPr>
          <w:rFonts w:ascii="Arial" w:cs="Arial" w:eastAsia="Arial" w:hAnsi="Arial"/>
          <w:sz w:val="19"/>
          <w:szCs w:val="19"/>
          <w:color w:val="auto"/>
        </w:rPr>
        <w:t>Management closely monitors the Company’s liquidity position on an ongoing basis for compliance with internal policies and believes that available sources of liquidity are adequate to meet funding needs anticipated in the normal course of business. Management does not anticipate engaging in any activities, either currently or in the long-term, for which adequate funding would not be available and would therefore result in a significant strain on liquidity at either M&amp;T or its subsidiary banks. Banking regulators have enacted the LCR rules requiring a banking company to maintain a minimum amount of liquid assets to withstand a standardized supervisory liquidity stress scenario. The Company is in compliance with the requirements of those rules.</w:t>
      </w:r>
    </w:p>
    <w:p>
      <w:pPr>
        <w:ind w:firstLine="598"/>
        <w:spacing w:after="0" w:line="274" w:lineRule="auto"/>
        <w:rPr>
          <w:sz w:val="20"/>
          <w:szCs w:val="20"/>
          <w:color w:val="auto"/>
        </w:rPr>
      </w:pPr>
      <w:r>
        <w:rPr>
          <w:rFonts w:ascii="Arial" w:cs="Arial" w:eastAsia="Arial" w:hAnsi="Arial"/>
          <w:sz w:val="18"/>
          <w:szCs w:val="18"/>
          <w:color w:val="auto"/>
        </w:rPr>
        <w:t>Market risk is the risk of loss from adverse changes in the market prices and/or interest rates of the Company’s financial instruments. The primary market risk the Company is exposed to is interest rate risk. Interest rate risk arises from the Company’s core banking activities of lending and deposit-taking, because assets and liabilities reprice at different times and by different amounts as interest rates change. As a result, net interest income earned by the Company is subject to the effects of changing interest rates. The Company measures interest rate risk by calculating the variability of net interest income in future periods under various interest rate scenarios using projected balances for earning assets, interest-bearing liabilities and derivatives used to hedge interest rate risk. Management’s philosophy toward interest rate risk management is to limit the variability of net interest income. The balances of financial instruments used in the projections are based on expected growth from forecasted business opportunities, anticipated prepayments of loans and investment securities, and expected maturities of investment securities, loans and deposits. Management uses a “value of equity” model to supplement the modeling technique described above. Those supplemental analyses are based on discounted cash flows associated with on- and off-balance sheet financial instruments. Such analyses are modeled to reflect changes in interest rates and provide management with a long-term interest rate risk metric. The Company has entered into interest rate swap agreements to help manage exposure to interest rate risk. At December 31, 2017, the aggregate notional amount of interest rate swap agreements entered into for interest rate risk management purposes that were currently in effect was $7.4 billion. In addition, the Company has entered into $2.0 billion of forward-starting interest rate swap agreements that will become effective as a like amount of currently effective swap agreements mature. Information about interest rate swap agreements entered into for interest rate risk management purposes is included herein under the heading “Net Interest Income/Lending and Funding Activities” and in note 18 of Notes to Financial Statements.</w:t>
      </w:r>
    </w:p>
    <w:p>
      <w:pPr>
        <w:spacing w:after="0" w:line="3" w:lineRule="exact"/>
        <w:rPr>
          <w:sz w:val="20"/>
          <w:szCs w:val="20"/>
          <w:color w:val="auto"/>
        </w:rPr>
      </w:pPr>
    </w:p>
    <w:p>
      <w:pPr>
        <w:ind w:right="880" w:firstLine="598"/>
        <w:spacing w:after="0" w:line="256" w:lineRule="auto"/>
        <w:rPr>
          <w:sz w:val="20"/>
          <w:szCs w:val="20"/>
          <w:color w:val="auto"/>
        </w:rPr>
      </w:pPr>
      <w:r>
        <w:rPr>
          <w:rFonts w:ascii="Arial" w:cs="Arial" w:eastAsia="Arial" w:hAnsi="Arial"/>
          <w:sz w:val="20"/>
          <w:szCs w:val="20"/>
          <w:color w:val="auto"/>
        </w:rPr>
        <w:t>The Company’s Asset-Liability Committee, which includes members of senior management, monitors the sensitivity of the Company’s net interest income to changes in interest rates with the aid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647" w:right="239" w:bottom="1440" w:gutter="0" w:footer="0" w:header="0"/>
        </w:sectPr>
      </w:pPr>
    </w:p>
    <w:bookmarkStart w:id="90" w:name="page91"/>
    <w:bookmarkEnd w:id="90"/>
    <w:p>
      <w:pPr>
        <w:spacing w:after="0" w:line="276" w:lineRule="auto"/>
        <w:rPr>
          <w:sz w:val="20"/>
          <w:szCs w:val="20"/>
          <w:color w:val="auto"/>
        </w:rPr>
      </w:pPr>
      <w:r>
        <w:rPr>
          <w:rFonts w:ascii="Arial" w:cs="Arial" w:eastAsia="Arial" w:hAnsi="Arial"/>
          <w:sz w:val="18"/>
          <w:szCs w:val="18"/>
          <w:color w:val="auto"/>
        </w:rPr>
        <w:t>of a computer model that forecasts net interest income under different interest rate scenarios. In modeling changing interest rates, the Company considers different yield curve shapes that consider both parallel (that is, simultaneous changes in interest rates at each point on the yield curve) and non-parallel (that is, allowing interest rates at points on the yield curve to vary by different amounts) shifts in the yield curve. In utilizing the model, projections of net interest income calculated under the varying interest rate scenarios are compared to a base interest rate scenario. The model considers the impact of ongoing lending and deposit-gathering activities, as well as interrelationships in the magnitude and timing of the repricing of financial instruments, including the effect of changing interest rates on expected prepayments and maturities. When deemed prudent, management has taken actions to mitigate exposure to interest rate risk through the use of on- or off-balance sheet financial instruments and intends to do so in the future. Possible actions include, but are not limited to, changes in the pricing of loan and deposit products, modifying the composition of earning assets and interest-bearing liabilities, and adding to, modifying or terminating existing interest rate swap agreements or other financial instruments used for interest rate risk management purposes.</w:t>
      </w:r>
    </w:p>
    <w:p>
      <w:pPr>
        <w:spacing w:after="0" w:line="3" w:lineRule="exact"/>
        <w:rPr>
          <w:sz w:val="20"/>
          <w:szCs w:val="20"/>
          <w:color w:val="auto"/>
        </w:rPr>
      </w:pPr>
    </w:p>
    <w:p>
      <w:pPr>
        <w:ind w:right="140" w:firstLine="598"/>
        <w:spacing w:after="0" w:line="256" w:lineRule="auto"/>
        <w:rPr>
          <w:sz w:val="20"/>
          <w:szCs w:val="20"/>
          <w:color w:val="auto"/>
        </w:rPr>
      </w:pPr>
      <w:r>
        <w:rPr>
          <w:rFonts w:ascii="Arial" w:cs="Arial" w:eastAsia="Arial" w:hAnsi="Arial"/>
          <w:sz w:val="20"/>
          <w:szCs w:val="20"/>
          <w:color w:val="auto"/>
        </w:rPr>
        <w:t>Table 20 displays as of December 31, 2017 and 2016 the estimated impact on net interest income in the base scenario resulting from parallel changes in interest rates across repricing categories during the first modeling year.</w:t>
      </w:r>
    </w:p>
    <w:p>
      <w:pPr>
        <w:spacing w:after="0" w:line="2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Table 20</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SENSITIVITY OF NET INTEREST INCOME TO CHANGES IN INTEREST RATES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920" w:type="dxa"/>
            <w:vAlign w:val="bottom"/>
            <w:gridSpan w:val="5"/>
          </w:tcPr>
          <w:p>
            <w:pPr>
              <w:jc w:val="center"/>
              <w:ind w:right="512"/>
              <w:spacing w:after="0"/>
              <w:rPr>
                <w:sz w:val="20"/>
                <w:szCs w:val="20"/>
                <w:color w:val="auto"/>
              </w:rPr>
            </w:pPr>
            <w:r>
              <w:rPr>
                <w:rFonts w:ascii="Arial" w:cs="Arial" w:eastAsia="Arial" w:hAnsi="Arial"/>
                <w:sz w:val="14"/>
                <w:szCs w:val="14"/>
                <w:b w:val="1"/>
                <w:bCs w:val="1"/>
                <w:color w:val="auto"/>
                <w:w w:val="88"/>
              </w:rPr>
              <w:t>Calculated Increase (Decrease)</w:t>
            </w:r>
          </w:p>
        </w:tc>
      </w:tr>
      <w:tr>
        <w:trPr>
          <w:trHeight w:val="145"/>
        </w:trPr>
        <w:tc>
          <w:tcPr>
            <w:tcW w:w="148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920" w:type="dxa"/>
            <w:vAlign w:val="bottom"/>
            <w:gridSpan w:val="5"/>
          </w:tcPr>
          <w:p>
            <w:pPr>
              <w:jc w:val="center"/>
              <w:ind w:right="512"/>
              <w:spacing w:after="0" w:line="145" w:lineRule="exact"/>
              <w:rPr>
                <w:sz w:val="20"/>
                <w:szCs w:val="20"/>
                <w:color w:val="auto"/>
              </w:rPr>
            </w:pPr>
            <w:r>
              <w:rPr>
                <w:rFonts w:ascii="Arial" w:cs="Arial" w:eastAsia="Arial" w:hAnsi="Arial"/>
                <w:sz w:val="14"/>
                <w:szCs w:val="14"/>
                <w:b w:val="1"/>
                <w:bCs w:val="1"/>
                <w:color w:val="auto"/>
                <w:w w:val="91"/>
              </w:rPr>
              <w:t>in Projected Net Interest Income</w:t>
            </w:r>
          </w:p>
        </w:tc>
      </w:tr>
      <w:tr>
        <w:trPr>
          <w:trHeight w:val="167"/>
        </w:trPr>
        <w:tc>
          <w:tcPr>
            <w:tcW w:w="14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2"/>
          </w:tcPr>
          <w:p>
            <w:pPr>
              <w:jc w:val="center"/>
              <w:ind w:left="502"/>
              <w:spacing w:after="0"/>
              <w:rPr>
                <w:sz w:val="20"/>
                <w:szCs w:val="20"/>
                <w:color w:val="auto"/>
              </w:rPr>
            </w:pPr>
            <w:r>
              <w:rPr>
                <w:rFonts w:ascii="Arial" w:cs="Arial" w:eastAsia="Arial" w:hAnsi="Arial"/>
                <w:sz w:val="14"/>
                <w:szCs w:val="14"/>
                <w:b w:val="1"/>
                <w:bCs w:val="1"/>
                <w:color w:val="auto"/>
                <w:w w:val="89"/>
              </w:rPr>
              <w:t>December 31</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210"/>
        </w:trPr>
        <w:tc>
          <w:tcPr>
            <w:tcW w:w="4800" w:type="dxa"/>
            <w:vAlign w:val="bottom"/>
            <w:gridSpan w:val="2"/>
          </w:tcPr>
          <w:p>
            <w:pPr>
              <w:spacing w:after="0"/>
              <w:rPr>
                <w:sz w:val="20"/>
                <w:szCs w:val="20"/>
                <w:color w:val="auto"/>
              </w:rPr>
            </w:pPr>
            <w:r>
              <w:rPr>
                <w:rFonts w:ascii="Arial" w:cs="Arial" w:eastAsia="Arial" w:hAnsi="Arial"/>
                <w:sz w:val="14"/>
                <w:szCs w:val="14"/>
                <w:b w:val="1"/>
                <w:bCs w:val="1"/>
                <w:color w:val="auto"/>
              </w:rPr>
              <w:t>Changes in interest rates</w:t>
            </w:r>
          </w:p>
        </w:tc>
        <w:tc>
          <w:tcPr>
            <w:tcW w:w="3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542"/>
              <w:spacing w:after="0"/>
              <w:rPr>
                <w:sz w:val="20"/>
                <w:szCs w:val="20"/>
                <w:color w:val="auto"/>
              </w:rPr>
            </w:pPr>
            <w:r>
              <w:rPr>
                <w:rFonts w:ascii="Arial" w:cs="Arial" w:eastAsia="Arial" w:hAnsi="Arial"/>
                <w:sz w:val="14"/>
                <w:szCs w:val="14"/>
                <w:b w:val="1"/>
                <w:bCs w:val="1"/>
                <w:color w:val="auto"/>
              </w:rPr>
              <w:t>2017</w:t>
            </w:r>
          </w:p>
        </w:tc>
        <w:tc>
          <w:tcPr>
            <w:tcW w:w="640" w:type="dxa"/>
            <w:vAlign w:val="bottom"/>
          </w:tcPr>
          <w:p>
            <w:pPr>
              <w:spacing w:after="0"/>
              <w:rPr>
                <w:sz w:val="18"/>
                <w:szCs w:val="18"/>
                <w:color w:val="auto"/>
              </w:rPr>
            </w:pPr>
          </w:p>
        </w:tc>
        <w:tc>
          <w:tcPr>
            <w:tcW w:w="900" w:type="dxa"/>
            <w:vAlign w:val="bottom"/>
          </w:tcPr>
          <w:p>
            <w:pPr>
              <w:jc w:val="right"/>
              <w:ind w:right="41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183"/>
        </w:trPr>
        <w:tc>
          <w:tcPr>
            <w:tcW w:w="1480" w:type="dxa"/>
            <w:vAlign w:val="bottom"/>
            <w:tcBorders>
              <w:top w:val="single" w:sz="8" w:color="auto"/>
            </w:tcBorders>
          </w:tcPr>
          <w:p>
            <w:pPr>
              <w:spacing w:after="0"/>
              <w:rPr>
                <w:sz w:val="15"/>
                <w:szCs w:val="15"/>
                <w:color w:val="auto"/>
              </w:rPr>
            </w:pPr>
          </w:p>
        </w:tc>
        <w:tc>
          <w:tcPr>
            <w:tcW w:w="33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720" w:type="dxa"/>
            <w:vAlign w:val="bottom"/>
            <w:tcBorders>
              <w:top w:val="single" w:sz="8" w:color="auto"/>
            </w:tcBorders>
            <w:gridSpan w:val="2"/>
          </w:tcPr>
          <w:p>
            <w:pPr>
              <w:jc w:val="center"/>
              <w:ind w:left="522"/>
              <w:spacing w:after="0"/>
              <w:rPr>
                <w:sz w:val="20"/>
                <w:szCs w:val="20"/>
                <w:color w:val="auto"/>
              </w:rPr>
            </w:pPr>
            <w:r>
              <w:rPr>
                <w:rFonts w:ascii="Arial" w:cs="Arial" w:eastAsia="Arial" w:hAnsi="Arial"/>
                <w:sz w:val="14"/>
                <w:szCs w:val="14"/>
                <w:b w:val="1"/>
                <w:bCs w:val="1"/>
                <w:color w:val="auto"/>
                <w:w w:val="91"/>
              </w:rPr>
              <w:t>(In thousands)</w:t>
            </w: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64"/>
        </w:trPr>
        <w:tc>
          <w:tcPr>
            <w:tcW w:w="148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r>
      <w:tr>
        <w:trPr>
          <w:trHeight w:val="223"/>
        </w:trPr>
        <w:tc>
          <w:tcPr>
            <w:tcW w:w="48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+200 basis points</w:t>
            </w:r>
          </w:p>
        </w:tc>
        <w:tc>
          <w:tcPr>
            <w:tcW w:w="36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62"/>
              <w:spacing w:after="0"/>
              <w:rPr>
                <w:sz w:val="20"/>
                <w:szCs w:val="20"/>
                <w:color w:val="auto"/>
              </w:rPr>
            </w:pPr>
            <w:r>
              <w:rPr>
                <w:rFonts w:ascii="Arial" w:cs="Arial" w:eastAsia="Arial" w:hAnsi="Arial"/>
                <w:sz w:val="18"/>
                <w:szCs w:val="18"/>
                <w:color w:val="auto"/>
              </w:rPr>
              <w:t>81,570</w:t>
            </w:r>
          </w:p>
        </w:tc>
        <w:tc>
          <w:tcPr>
            <w:tcW w:w="640" w:type="dxa"/>
            <w:vAlign w:val="bottom"/>
            <w:shd w:val="clear" w:color="auto" w:fill="CFF0FC"/>
          </w:tcPr>
          <w:p>
            <w:pPr>
              <w:jc w:val="right"/>
              <w:ind w:right="172"/>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227,283</w:t>
            </w:r>
          </w:p>
        </w:tc>
        <w:tc>
          <w:tcPr>
            <w:tcW w:w="100" w:type="dxa"/>
            <w:vAlign w:val="bottom"/>
            <w:shd w:val="clear" w:color="auto" w:fill="CFF0FC"/>
          </w:tcPr>
          <w:p>
            <w:pPr>
              <w:spacing w:after="0"/>
              <w:rPr>
                <w:sz w:val="19"/>
                <w:szCs w:val="19"/>
                <w:color w:val="auto"/>
              </w:rPr>
            </w:pPr>
          </w:p>
        </w:tc>
        <w:tc>
          <w:tcPr>
            <w:tcW w:w="200" w:type="dxa"/>
            <w:vAlign w:val="bottom"/>
          </w:tcPr>
          <w:p>
            <w:pPr>
              <w:spacing w:after="0"/>
              <w:rPr>
                <w:sz w:val="19"/>
                <w:szCs w:val="19"/>
                <w:color w:val="auto"/>
              </w:rPr>
            </w:pPr>
          </w:p>
        </w:tc>
      </w:tr>
      <w:tr>
        <w:trPr>
          <w:trHeight w:val="223"/>
        </w:trPr>
        <w:tc>
          <w:tcPr>
            <w:tcW w:w="4800" w:type="dxa"/>
            <w:vAlign w:val="bottom"/>
            <w:gridSpan w:val="2"/>
          </w:tcPr>
          <w:p>
            <w:pPr>
              <w:spacing w:after="0"/>
              <w:rPr>
                <w:sz w:val="20"/>
                <w:szCs w:val="20"/>
                <w:color w:val="auto"/>
              </w:rPr>
            </w:pPr>
            <w:r>
              <w:rPr>
                <w:rFonts w:ascii="Arial" w:cs="Arial" w:eastAsia="Arial" w:hAnsi="Arial"/>
                <w:sz w:val="18"/>
                <w:szCs w:val="18"/>
                <w:color w:val="auto"/>
              </w:rPr>
              <w:t>+100 basis points</w:t>
            </w:r>
          </w:p>
        </w:tc>
        <w:tc>
          <w:tcPr>
            <w:tcW w:w="3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ind w:right="62"/>
              <w:spacing w:after="0"/>
              <w:rPr>
                <w:sz w:val="20"/>
                <w:szCs w:val="20"/>
                <w:color w:val="auto"/>
              </w:rPr>
            </w:pPr>
            <w:r>
              <w:rPr>
                <w:rFonts w:ascii="Arial" w:cs="Arial" w:eastAsia="Arial" w:hAnsi="Arial"/>
                <w:sz w:val="18"/>
                <w:szCs w:val="18"/>
                <w:color w:val="auto"/>
              </w:rPr>
              <w:t>64,434</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147,400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24"/>
        </w:trPr>
        <w:tc>
          <w:tcPr>
            <w:tcW w:w="48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-50 basis points</w:t>
            </w:r>
          </w:p>
        </w:tc>
        <w:tc>
          <w:tcPr>
            <w:tcW w:w="3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62"/>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ind w:right="272"/>
              <w:spacing w:after="0"/>
              <w:rPr>
                <w:sz w:val="20"/>
                <w:szCs w:val="20"/>
                <w:color w:val="auto"/>
              </w:rPr>
            </w:pPr>
            <w:r>
              <w:rPr>
                <w:rFonts w:ascii="Arial" w:cs="Arial" w:eastAsia="Arial" w:hAnsi="Arial"/>
                <w:sz w:val="18"/>
                <w:szCs w:val="18"/>
                <w:color w:val="auto"/>
              </w:rPr>
              <w:t>(a)</w:t>
            </w: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(98,945)</w:t>
            </w:r>
          </w:p>
        </w:tc>
        <w:tc>
          <w:tcPr>
            <w:tcW w:w="200" w:type="dxa"/>
            <w:vAlign w:val="bottom"/>
          </w:tcPr>
          <w:p>
            <w:pPr>
              <w:spacing w:after="0"/>
              <w:rPr>
                <w:sz w:val="19"/>
                <w:szCs w:val="19"/>
                <w:color w:val="auto"/>
              </w:rPr>
            </w:pPr>
          </w:p>
        </w:tc>
      </w:tr>
      <w:tr>
        <w:trPr>
          <w:trHeight w:val="246"/>
        </w:trPr>
        <w:tc>
          <w:tcPr>
            <w:tcW w:w="4800" w:type="dxa"/>
            <w:vAlign w:val="bottom"/>
            <w:gridSpan w:val="2"/>
          </w:tcPr>
          <w:p>
            <w:pPr>
              <w:spacing w:after="0"/>
              <w:rPr>
                <w:sz w:val="20"/>
                <w:szCs w:val="20"/>
                <w:color w:val="auto"/>
              </w:rPr>
            </w:pPr>
            <w:r>
              <w:rPr>
                <w:rFonts w:ascii="Arial" w:cs="Arial" w:eastAsia="Arial" w:hAnsi="Arial"/>
                <w:sz w:val="18"/>
                <w:szCs w:val="18"/>
                <w:color w:val="auto"/>
              </w:rPr>
              <w:t>-100 basis points</w:t>
            </w:r>
          </w:p>
        </w:tc>
        <w:tc>
          <w:tcPr>
            <w:tcW w:w="3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(94,014)</w:t>
            </w:r>
          </w:p>
        </w:tc>
        <w:tc>
          <w:tcPr>
            <w:tcW w:w="64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9"/>
                <w:szCs w:val="19"/>
                <w:color w:val="auto"/>
              </w:rPr>
              <w:t>—</w:t>
            </w:r>
          </w:p>
        </w:tc>
        <w:tc>
          <w:tcPr>
            <w:tcW w:w="200" w:type="dxa"/>
            <w:vAlign w:val="bottom"/>
          </w:tcPr>
          <w:p>
            <w:pPr>
              <w:spacing w:after="0"/>
              <w:rPr>
                <w:sz w:val="20"/>
                <w:szCs w:val="20"/>
                <w:color w:val="auto"/>
              </w:rPr>
            </w:pPr>
            <w:r>
              <w:rPr>
                <w:rFonts w:ascii="Arial" w:cs="Arial" w:eastAsia="Arial" w:hAnsi="Arial"/>
                <w:sz w:val="18"/>
                <w:szCs w:val="18"/>
                <w:color w:val="auto"/>
                <w:w w:val="81"/>
              </w:rPr>
              <w:t>(a)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85725</wp:posOffset>
            </wp:positionV>
            <wp:extent cx="136017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137" w:lineRule="exact"/>
        <w:rPr>
          <w:sz w:val="20"/>
          <w:szCs w:val="20"/>
          <w:color w:val="auto"/>
        </w:rPr>
      </w:pPr>
    </w:p>
    <w:p>
      <w:pPr>
        <w:ind w:left="820" w:hanging="815"/>
        <w:spacing w:after="0"/>
        <w:tabs>
          <w:tab w:leader="none" w:pos="820" w:val="left"/>
        </w:tabs>
        <w:numPr>
          <w:ilvl w:val="0"/>
          <w:numId w:val="38"/>
        </w:numPr>
        <w:rPr>
          <w:rFonts w:ascii="Arial" w:cs="Arial" w:eastAsia="Arial" w:hAnsi="Arial"/>
          <w:sz w:val="17"/>
          <w:szCs w:val="17"/>
          <w:i w:val="1"/>
          <w:iCs w:val="1"/>
          <w:color w:val="auto"/>
        </w:rPr>
      </w:pPr>
      <w:r>
        <w:rPr>
          <w:rFonts w:ascii="Arial" w:cs="Arial" w:eastAsia="Arial" w:hAnsi="Arial"/>
          <w:sz w:val="17"/>
          <w:szCs w:val="17"/>
          <w:i w:val="1"/>
          <w:iCs w:val="1"/>
          <w:color w:val="auto"/>
        </w:rPr>
        <w:t>The Company did not analyze this scenario.</w:t>
      </w:r>
    </w:p>
    <w:p>
      <w:pPr>
        <w:spacing w:after="0" w:line="216" w:lineRule="exact"/>
        <w:rPr>
          <w:sz w:val="20"/>
          <w:szCs w:val="20"/>
          <w:color w:val="auto"/>
        </w:rPr>
      </w:pPr>
    </w:p>
    <w:p>
      <w:pPr>
        <w:ind w:firstLine="598"/>
        <w:spacing w:after="0" w:line="280" w:lineRule="auto"/>
        <w:rPr>
          <w:sz w:val="20"/>
          <w:szCs w:val="20"/>
          <w:color w:val="auto"/>
        </w:rPr>
      </w:pPr>
      <w:r>
        <w:rPr>
          <w:rFonts w:ascii="Arial" w:cs="Arial" w:eastAsia="Arial" w:hAnsi="Arial"/>
          <w:sz w:val="18"/>
          <w:szCs w:val="18"/>
          <w:color w:val="auto"/>
        </w:rPr>
        <w:t>The Company utilized many assumptions to calculate the impact that changes in interest rates may have on net interest income. The more significant of those assumptions included the rate of prepayments of mortgage-related assets, cash flows from derivative and other financial instruments held for non-trading purposes, loan and deposit volumes and pricing, and deposit maturities. In the scenarios presented, the Company also assumed gradual increases and decreases in interest rates during a twelve-month period as compared with the base scenario. In the declining rate scenario, the rate changes may be limited to lesser amounts such that interest rates remain positive on all points of the yield curve. In 2016, the Company suspended the -100 basis point scenario due to the persistent low level of interest rates. This scenario was reinstated in June 2017. The assumptions used in interest rate sensitivity modeling are inherently uncertain and, as a result, the Company cannot precisely predict the impact of changes in interest rates on net interest income. Actual results may differ significantly from those presented due to the timing, magnitude and frequency of changes in interest rates and changes in market conditions and interest rate differentials (spreads) between maturity/repricing categories, as well as any actions, such as those previously described, which management may take to counter such changes. Given recent increases in short-term interest rates,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00"/>
          </w:cols>
          <w:pgMar w:left="240" w:top="336" w:right="259" w:bottom="1440" w:gutter="0" w:footer="0" w:header="0"/>
        </w:sectPr>
      </w:pPr>
    </w:p>
    <w:bookmarkStart w:id="91" w:name="page92"/>
    <w:bookmarkEnd w:id="91"/>
    <w:p>
      <w:pPr>
        <w:ind w:right="40"/>
        <w:spacing w:after="0" w:line="249" w:lineRule="auto"/>
        <w:rPr>
          <w:sz w:val="20"/>
          <w:szCs w:val="20"/>
          <w:color w:val="auto"/>
        </w:rPr>
      </w:pPr>
      <w:r>
        <w:rPr>
          <w:rFonts w:ascii="Arial" w:cs="Arial" w:eastAsia="Arial" w:hAnsi="Arial"/>
          <w:sz w:val="20"/>
          <w:szCs w:val="20"/>
          <w:color w:val="auto"/>
        </w:rPr>
        <w:t>management believes that the likelihood of potential volatility of interest rates has increased. As a result, in 2017 management added interest rate swap agreements designated as hedging instruments to mitigate the Company’s exposure to such potential volatility. As previously noted, the Company has also entered into interest rate floor agreements that are included in the trading account. Such floor agreements provide the Company with protection against the possibility of future declines in interest rates on its earning assets. In light of the uncertainties and assumptions associated with the process, the amounts presented in the table are not considered significant to the Company’s past or projected net interest income.</w:t>
      </w:r>
    </w:p>
    <w:p>
      <w:pPr>
        <w:spacing w:after="0" w:line="5" w:lineRule="exact"/>
        <w:rPr>
          <w:sz w:val="20"/>
          <w:szCs w:val="20"/>
          <w:color w:val="auto"/>
        </w:rPr>
      </w:pPr>
    </w:p>
    <w:p>
      <w:pPr>
        <w:ind w:right="240" w:firstLine="598"/>
        <w:spacing w:after="0" w:line="281" w:lineRule="auto"/>
        <w:rPr>
          <w:sz w:val="20"/>
          <w:szCs w:val="20"/>
          <w:color w:val="auto"/>
        </w:rPr>
      </w:pPr>
      <w:r>
        <w:rPr>
          <w:rFonts w:ascii="Arial" w:cs="Arial" w:eastAsia="Arial" w:hAnsi="Arial"/>
          <w:sz w:val="18"/>
          <w:szCs w:val="18"/>
          <w:color w:val="auto"/>
        </w:rPr>
        <w:t>Table 21 presents cumulative totals of net assets (liabilities) repricing on a contractual basis within the specified time frames, as adjusted for the impact of interest rate swap agreements entered into for interest rate risk management purposes. Management believes that this measure does not appropriately depict interest rate risk since changes in interest rates do not necessarily affect all categories of earning assets and interest-bearing liabilities equally nor, as assumed in the table, on the contractual maturity or repricing date. Furthermore, this static presentation of interest rate risk fails to consider the effect of ongoing lending and deposit gathering activities, projected changes in balance sheet composition or any subsequent interest rate risk management activities the Company is likely to implement.</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Table 21</w:t>
      </w: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CONTRACTUAL REPRICING DATA</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31, 2017</w:t>
            </w:r>
          </w:p>
        </w:tc>
        <w:tc>
          <w:tcPr>
            <w:tcW w:w="13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Three Months</w:t>
            </w:r>
          </w:p>
        </w:tc>
        <w:tc>
          <w:tcPr>
            <w:tcW w:w="1380" w:type="dxa"/>
            <w:vAlign w:val="bottom"/>
            <w:gridSpan w:val="3"/>
          </w:tcPr>
          <w:p>
            <w:pPr>
              <w:jc w:val="right"/>
              <w:ind w:right="350"/>
              <w:spacing w:after="0"/>
              <w:rPr>
                <w:sz w:val="20"/>
                <w:szCs w:val="20"/>
                <w:color w:val="auto"/>
              </w:rPr>
            </w:pPr>
            <w:r>
              <w:rPr>
                <w:rFonts w:ascii="Arial" w:cs="Arial" w:eastAsia="Arial" w:hAnsi="Arial"/>
                <w:sz w:val="14"/>
                <w:szCs w:val="14"/>
                <w:b w:val="1"/>
                <w:bCs w:val="1"/>
                <w:color w:val="auto"/>
                <w:w w:val="95"/>
              </w:rPr>
              <w:t>Four to Twelve</w:t>
            </w: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One to</w:t>
            </w:r>
          </w:p>
        </w:tc>
        <w:tc>
          <w:tcPr>
            <w:tcW w:w="80" w:type="dxa"/>
            <w:vAlign w:val="bottom"/>
          </w:tcPr>
          <w:p>
            <w:pPr>
              <w:spacing w:after="0"/>
              <w:rPr>
                <w:sz w:val="14"/>
                <w:szCs w:val="14"/>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After</w:t>
            </w:r>
          </w:p>
        </w:tc>
        <w:tc>
          <w:tcPr>
            <w:tcW w:w="100" w:type="dxa"/>
            <w:vAlign w:val="bottom"/>
          </w:tcPr>
          <w:p>
            <w:pPr>
              <w:spacing w:after="0"/>
              <w:rPr>
                <w:sz w:val="14"/>
                <w:szCs w:val="14"/>
                <w:color w:val="auto"/>
              </w:rPr>
            </w:pPr>
          </w:p>
        </w:tc>
        <w:tc>
          <w:tcPr>
            <w:tcW w:w="110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820" w:type="dxa"/>
            <w:vAlign w:val="bottom"/>
            <w:gridSpan w:val="2"/>
            <w:vMerge w:val="continue"/>
          </w:tcPr>
          <w:p>
            <w:pPr>
              <w:spacing w:after="0"/>
              <w:rPr>
                <w:sz w:val="13"/>
                <w:szCs w:val="13"/>
                <w:color w:val="auto"/>
              </w:rPr>
            </w:pPr>
          </w:p>
        </w:tc>
        <w:tc>
          <w:tcPr>
            <w:tcW w:w="1380" w:type="dxa"/>
            <w:vAlign w:val="bottom"/>
            <w:gridSpan w:val="2"/>
          </w:tcPr>
          <w:p>
            <w:pPr>
              <w:jc w:val="right"/>
              <w:ind w:right="660"/>
              <w:spacing w:after="0" w:line="154" w:lineRule="exact"/>
              <w:rPr>
                <w:sz w:val="20"/>
                <w:szCs w:val="20"/>
                <w:color w:val="auto"/>
              </w:rPr>
            </w:pPr>
            <w:r>
              <w:rPr>
                <w:rFonts w:ascii="Arial" w:cs="Arial" w:eastAsia="Arial" w:hAnsi="Arial"/>
                <w:sz w:val="14"/>
                <w:szCs w:val="14"/>
                <w:b w:val="1"/>
                <w:bCs w:val="1"/>
                <w:color w:val="auto"/>
              </w:rPr>
              <w:t>or Less</w:t>
            </w:r>
          </w:p>
        </w:tc>
        <w:tc>
          <w:tcPr>
            <w:tcW w:w="160" w:type="dxa"/>
            <w:vAlign w:val="bottom"/>
          </w:tcPr>
          <w:p>
            <w:pPr>
              <w:spacing w:after="0"/>
              <w:rPr>
                <w:sz w:val="13"/>
                <w:szCs w:val="13"/>
                <w:color w:val="auto"/>
              </w:rPr>
            </w:pPr>
          </w:p>
        </w:tc>
        <w:tc>
          <w:tcPr>
            <w:tcW w:w="1220" w:type="dxa"/>
            <w:vAlign w:val="bottom"/>
            <w:gridSpan w:val="2"/>
          </w:tcPr>
          <w:p>
            <w:pPr>
              <w:jc w:val="right"/>
              <w:ind w:right="570"/>
              <w:spacing w:after="0" w:line="154" w:lineRule="exact"/>
              <w:rPr>
                <w:sz w:val="20"/>
                <w:szCs w:val="20"/>
                <w:color w:val="auto"/>
              </w:rPr>
            </w:pPr>
            <w:r>
              <w:rPr>
                <w:rFonts w:ascii="Arial" w:cs="Arial" w:eastAsia="Arial" w:hAnsi="Arial"/>
                <w:sz w:val="14"/>
                <w:szCs w:val="14"/>
                <w:b w:val="1"/>
                <w:bCs w:val="1"/>
                <w:color w:val="auto"/>
              </w:rPr>
              <w:t>Months</w:t>
            </w:r>
          </w:p>
        </w:tc>
        <w:tc>
          <w:tcPr>
            <w:tcW w:w="1240" w:type="dxa"/>
            <w:vAlign w:val="bottom"/>
            <w:gridSpan w:val="2"/>
          </w:tcPr>
          <w:p>
            <w:pPr>
              <w:jc w:val="center"/>
              <w:ind w:right="220"/>
              <w:spacing w:after="0" w:line="154" w:lineRule="exact"/>
              <w:rPr>
                <w:sz w:val="20"/>
                <w:szCs w:val="20"/>
                <w:color w:val="auto"/>
              </w:rPr>
            </w:pPr>
            <w:r>
              <w:rPr>
                <w:rFonts w:ascii="Arial" w:cs="Arial" w:eastAsia="Arial" w:hAnsi="Arial"/>
                <w:sz w:val="14"/>
                <w:szCs w:val="14"/>
                <w:b w:val="1"/>
                <w:bCs w:val="1"/>
                <w:color w:val="auto"/>
                <w:w w:val="88"/>
              </w:rPr>
              <w:t>Five Years</w:t>
            </w:r>
          </w:p>
        </w:tc>
        <w:tc>
          <w:tcPr>
            <w:tcW w:w="80" w:type="dxa"/>
            <w:vAlign w:val="bottom"/>
          </w:tcPr>
          <w:p>
            <w:pPr>
              <w:spacing w:after="0"/>
              <w:rPr>
                <w:sz w:val="13"/>
                <w:szCs w:val="13"/>
                <w:color w:val="auto"/>
              </w:rPr>
            </w:pPr>
          </w:p>
        </w:tc>
        <w:tc>
          <w:tcPr>
            <w:tcW w:w="1320" w:type="dxa"/>
            <w:vAlign w:val="bottom"/>
            <w:gridSpan w:val="2"/>
          </w:tcPr>
          <w:p>
            <w:pPr>
              <w:jc w:val="right"/>
              <w:ind w:right="500"/>
              <w:spacing w:after="0" w:line="154" w:lineRule="exact"/>
              <w:rPr>
                <w:sz w:val="20"/>
                <w:szCs w:val="20"/>
                <w:color w:val="auto"/>
              </w:rPr>
            </w:pPr>
            <w:r>
              <w:rPr>
                <w:rFonts w:ascii="Arial" w:cs="Arial" w:eastAsia="Arial" w:hAnsi="Arial"/>
                <w:sz w:val="14"/>
                <w:szCs w:val="14"/>
                <w:b w:val="1"/>
                <w:bCs w:val="1"/>
                <w:color w:val="auto"/>
              </w:rPr>
              <w:t>Five Years</w:t>
            </w:r>
          </w:p>
        </w:tc>
        <w:tc>
          <w:tcPr>
            <w:tcW w:w="10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140" w:type="dxa"/>
            <w:vAlign w:val="bottom"/>
            <w:tcBorders>
              <w:top w:val="single" w:sz="8" w:color="auto"/>
            </w:tcBorders>
          </w:tcPr>
          <w:p>
            <w:pPr>
              <w:spacing w:after="0"/>
              <w:rPr>
                <w:sz w:val="15"/>
                <w:szCs w:val="15"/>
                <w:color w:val="auto"/>
              </w:rPr>
            </w:pPr>
          </w:p>
        </w:tc>
        <w:tc>
          <w:tcPr>
            <w:tcW w:w="3680" w:type="dxa"/>
            <w:vAlign w:val="bottom"/>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600" w:type="dxa"/>
            <w:vAlign w:val="bottom"/>
            <w:tcBorders>
              <w:top w:val="single" w:sz="8" w:color="auto"/>
            </w:tcBorders>
            <w:gridSpan w:val="3"/>
          </w:tcPr>
          <w:p>
            <w:pPr>
              <w:jc w:val="center"/>
              <w:ind w:left="10"/>
              <w:spacing w:after="0"/>
              <w:rPr>
                <w:sz w:val="20"/>
                <w:szCs w:val="20"/>
                <w:color w:val="auto"/>
              </w:rPr>
            </w:pPr>
            <w:r>
              <w:rPr>
                <w:rFonts w:ascii="Arial" w:cs="Arial" w:eastAsia="Arial" w:hAnsi="Arial"/>
                <w:sz w:val="14"/>
                <w:szCs w:val="14"/>
                <w:b w:val="1"/>
                <w:bCs w:val="1"/>
                <w:color w:val="auto"/>
                <w:w w:val="89"/>
              </w:rPr>
              <w:t>(Dollars in thousands)</w:t>
            </w:r>
          </w:p>
        </w:tc>
        <w:tc>
          <w:tcPr>
            <w:tcW w:w="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9"/>
        </w:trPr>
        <w:tc>
          <w:tcPr>
            <w:tcW w:w="4820" w:type="dxa"/>
            <w:vAlign w:val="bottom"/>
            <w:gridSpan w:val="2"/>
          </w:tcPr>
          <w:p>
            <w:pPr>
              <w:spacing w:after="0"/>
              <w:rPr>
                <w:sz w:val="20"/>
                <w:szCs w:val="20"/>
                <w:color w:val="auto"/>
              </w:rPr>
            </w:pPr>
            <w:r>
              <w:rPr>
                <w:rFonts w:ascii="Arial" w:cs="Arial" w:eastAsia="Arial" w:hAnsi="Arial"/>
                <w:sz w:val="19"/>
                <w:szCs w:val="19"/>
                <w:color w:val="auto"/>
              </w:rPr>
              <w:t>Loans and leases, net</w:t>
            </w:r>
          </w:p>
        </w:tc>
        <w:tc>
          <w:tcPr>
            <w:tcW w:w="1020" w:type="dxa"/>
            <w:vAlign w:val="bottom"/>
          </w:tcPr>
          <w:p>
            <w:pPr>
              <w:jc w:val="right"/>
              <w:spacing w:after="0"/>
              <w:rPr>
                <w:sz w:val="20"/>
                <w:szCs w:val="20"/>
                <w:color w:val="auto"/>
              </w:rPr>
            </w:pPr>
            <w:r>
              <w:rPr>
                <w:rFonts w:ascii="Arial" w:cs="Arial" w:eastAsia="Arial" w:hAnsi="Arial"/>
                <w:sz w:val="19"/>
                <w:szCs w:val="19"/>
                <w:color w:val="auto"/>
                <w:w w:val="88"/>
              </w:rPr>
              <w:t>$ 51,842,785</w:t>
            </w:r>
          </w:p>
        </w:tc>
        <w:tc>
          <w:tcPr>
            <w:tcW w:w="3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860" w:type="dxa"/>
            <w:vAlign w:val="bottom"/>
          </w:tcPr>
          <w:p>
            <w:pPr>
              <w:jc w:val="right"/>
              <w:spacing w:after="0"/>
              <w:rPr>
                <w:sz w:val="20"/>
                <w:szCs w:val="20"/>
                <w:color w:val="auto"/>
              </w:rPr>
            </w:pPr>
            <w:r>
              <w:rPr>
                <w:rFonts w:ascii="Arial" w:cs="Arial" w:eastAsia="Arial" w:hAnsi="Arial"/>
                <w:sz w:val="19"/>
                <w:szCs w:val="19"/>
                <w:color w:val="auto"/>
                <w:w w:val="96"/>
              </w:rPr>
              <w:t>6,054,727</w:t>
            </w:r>
          </w:p>
        </w:tc>
        <w:tc>
          <w:tcPr>
            <w:tcW w:w="3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color w:val="auto"/>
                <w:w w:val="88"/>
              </w:rPr>
              <w:t>$ 16,871,871</w:t>
            </w:r>
          </w:p>
        </w:tc>
        <w:tc>
          <w:tcPr>
            <w:tcW w:w="22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Arial" w:cs="Arial" w:eastAsia="Arial" w:hAnsi="Arial"/>
                <w:sz w:val="19"/>
                <w:szCs w:val="19"/>
                <w:color w:val="auto"/>
                <w:w w:val="95"/>
              </w:rPr>
              <w:t>$ 13,219,600</w:t>
            </w:r>
          </w:p>
        </w:tc>
        <w:tc>
          <w:tcPr>
            <w:tcW w:w="3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000" w:type="dxa"/>
            <w:vAlign w:val="bottom"/>
          </w:tcPr>
          <w:p>
            <w:pPr>
              <w:jc w:val="right"/>
              <w:spacing w:after="0"/>
              <w:rPr>
                <w:sz w:val="20"/>
                <w:szCs w:val="20"/>
                <w:color w:val="auto"/>
              </w:rPr>
            </w:pPr>
            <w:r>
              <w:rPr>
                <w:rFonts w:ascii="Arial" w:cs="Arial" w:eastAsia="Arial" w:hAnsi="Arial"/>
                <w:sz w:val="19"/>
                <w:szCs w:val="19"/>
                <w:color w:val="auto"/>
              </w:rPr>
              <w:t>87,988,983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820" w:type="dxa"/>
            <w:vAlign w:val="bottom"/>
            <w:gridSpan w:val="2"/>
            <w:shd w:val="clear" w:color="auto" w:fill="CFF0FC"/>
          </w:tcPr>
          <w:p>
            <w:pPr>
              <w:spacing w:after="0"/>
              <w:rPr>
                <w:sz w:val="20"/>
                <w:szCs w:val="20"/>
                <w:color w:val="auto"/>
              </w:rPr>
            </w:pPr>
            <w:r>
              <w:rPr>
                <w:rFonts w:ascii="Arial" w:cs="Arial" w:eastAsia="Arial" w:hAnsi="Arial"/>
                <w:sz w:val="19"/>
                <w:szCs w:val="19"/>
                <w:color w:val="auto"/>
              </w:rPr>
              <w:t>Investment securities</w:t>
            </w:r>
          </w:p>
        </w:tc>
        <w:tc>
          <w:tcPr>
            <w:tcW w:w="10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520,333</w:t>
            </w:r>
          </w:p>
        </w:tc>
        <w:tc>
          <w:tcPr>
            <w:tcW w:w="3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9"/>
                <w:szCs w:val="19"/>
                <w:color w:val="auto"/>
                <w:w w:val="96"/>
              </w:rPr>
              <w:t>1,328,986</w:t>
            </w:r>
          </w:p>
        </w:tc>
        <w:tc>
          <w:tcPr>
            <w:tcW w:w="36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4,242,086</w:t>
            </w:r>
          </w:p>
        </w:tc>
        <w:tc>
          <w:tcPr>
            <w:tcW w:w="22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9"/>
                <w:szCs w:val="19"/>
                <w:color w:val="auto"/>
              </w:rPr>
              <w:t>8,573,120</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9"/>
                <w:szCs w:val="19"/>
                <w:color w:val="auto"/>
              </w:rPr>
              <w:t>14,664,525</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820" w:type="dxa"/>
            <w:vAlign w:val="bottom"/>
            <w:gridSpan w:val="2"/>
          </w:tcPr>
          <w:p>
            <w:pPr>
              <w:spacing w:after="0"/>
              <w:rPr>
                <w:sz w:val="20"/>
                <w:szCs w:val="20"/>
                <w:color w:val="auto"/>
              </w:rPr>
            </w:pPr>
            <w:r>
              <w:rPr>
                <w:rFonts w:ascii="Arial" w:cs="Arial" w:eastAsia="Arial" w:hAnsi="Arial"/>
                <w:sz w:val="19"/>
                <w:szCs w:val="19"/>
                <w:color w:val="auto"/>
              </w:rPr>
              <w:t>Other earning assets</w:t>
            </w:r>
          </w:p>
        </w:tc>
        <w:tc>
          <w:tcPr>
            <w:tcW w:w="1020" w:type="dxa"/>
            <w:vAlign w:val="bottom"/>
          </w:tcPr>
          <w:p>
            <w:pPr>
              <w:jc w:val="right"/>
              <w:spacing w:after="0"/>
              <w:rPr>
                <w:sz w:val="20"/>
                <w:szCs w:val="20"/>
                <w:color w:val="auto"/>
              </w:rPr>
            </w:pPr>
            <w:r>
              <w:rPr>
                <w:rFonts w:ascii="Arial" w:cs="Arial" w:eastAsia="Arial" w:hAnsi="Arial"/>
                <w:sz w:val="19"/>
                <w:szCs w:val="19"/>
                <w:color w:val="auto"/>
              </w:rPr>
              <w:t>5,131,215</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777</w:t>
            </w:r>
          </w:p>
        </w:tc>
        <w:tc>
          <w:tcPr>
            <w:tcW w:w="36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0"/>
                <w:szCs w:val="20"/>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9"/>
                <w:szCs w:val="19"/>
                <w:color w:val="auto"/>
              </w:rPr>
              <w:t>—</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9"/>
                <w:szCs w:val="19"/>
                <w:color w:val="auto"/>
              </w:rPr>
              <w:t>5,131,992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20" w:type="dxa"/>
            <w:vAlign w:val="bottom"/>
            <w:tcBorders>
              <w:top w:val="single" w:sz="8" w:color="CFF0FC"/>
            </w:tcBorders>
            <w:gridSpan w:val="2"/>
            <w:shd w:val="clear" w:color="auto" w:fill="CFF0FC"/>
          </w:tcPr>
          <w:p>
            <w:pPr>
              <w:ind w:left="240"/>
              <w:spacing w:after="0"/>
              <w:rPr>
                <w:sz w:val="20"/>
                <w:szCs w:val="20"/>
                <w:color w:val="auto"/>
              </w:rPr>
            </w:pPr>
            <w:r>
              <w:rPr>
                <w:rFonts w:ascii="Arial" w:cs="Arial" w:eastAsia="Arial" w:hAnsi="Arial"/>
                <w:sz w:val="19"/>
                <w:szCs w:val="19"/>
                <w:i w:val="1"/>
                <w:iCs w:val="1"/>
                <w:color w:val="auto"/>
              </w:rPr>
              <w:t>Total earning assets</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57,494,333</w:t>
            </w:r>
          </w:p>
        </w:tc>
        <w:tc>
          <w:tcPr>
            <w:tcW w:w="3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w w:val="96"/>
              </w:rPr>
              <w:t>7,384,490</w:t>
            </w:r>
          </w:p>
        </w:tc>
        <w:tc>
          <w:tcPr>
            <w:tcW w:w="36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21,113,957</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21,792,720</w:t>
            </w:r>
          </w:p>
        </w:tc>
        <w:tc>
          <w:tcPr>
            <w:tcW w:w="3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w w:val="90"/>
              </w:rPr>
              <w:t>107,785,500</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820" w:type="dxa"/>
            <w:vAlign w:val="bottom"/>
            <w:gridSpan w:val="2"/>
          </w:tcPr>
          <w:p>
            <w:pPr>
              <w:spacing w:after="0" w:line="213" w:lineRule="exact"/>
              <w:rPr>
                <w:sz w:val="20"/>
                <w:szCs w:val="20"/>
                <w:color w:val="auto"/>
              </w:rPr>
            </w:pPr>
            <w:r>
              <w:rPr>
                <w:rFonts w:ascii="Arial" w:cs="Arial" w:eastAsia="Arial" w:hAnsi="Arial"/>
                <w:sz w:val="19"/>
                <w:szCs w:val="19"/>
                <w:color w:val="auto"/>
              </w:rPr>
              <w:t>Savings and interest-</w:t>
            </w: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4820" w:type="dxa"/>
            <w:vAlign w:val="bottom"/>
            <w:gridSpan w:val="2"/>
          </w:tcPr>
          <w:p>
            <w:pPr>
              <w:ind w:left="140"/>
              <w:spacing w:after="0"/>
              <w:rPr>
                <w:sz w:val="20"/>
                <w:szCs w:val="20"/>
                <w:color w:val="auto"/>
              </w:rPr>
            </w:pPr>
            <w:r>
              <w:rPr>
                <w:rFonts w:ascii="Arial" w:cs="Arial" w:eastAsia="Arial" w:hAnsi="Arial"/>
                <w:sz w:val="19"/>
                <w:szCs w:val="19"/>
                <w:color w:val="auto"/>
              </w:rPr>
              <w:t>checking deposits</w:t>
            </w:r>
          </w:p>
        </w:tc>
        <w:tc>
          <w:tcPr>
            <w:tcW w:w="1020" w:type="dxa"/>
            <w:vAlign w:val="bottom"/>
          </w:tcPr>
          <w:p>
            <w:pPr>
              <w:jc w:val="right"/>
              <w:spacing w:after="0"/>
              <w:rPr>
                <w:sz w:val="20"/>
                <w:szCs w:val="20"/>
                <w:color w:val="auto"/>
              </w:rPr>
            </w:pPr>
            <w:r>
              <w:rPr>
                <w:rFonts w:ascii="Arial" w:cs="Arial" w:eastAsia="Arial" w:hAnsi="Arial"/>
                <w:sz w:val="19"/>
                <w:szCs w:val="19"/>
                <w:color w:val="auto"/>
              </w:rPr>
              <w:t>51,698,008</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310"/>
              <w:spacing w:after="0"/>
              <w:rPr>
                <w:sz w:val="20"/>
                <w:szCs w:val="20"/>
                <w:color w:val="auto"/>
              </w:rPr>
            </w:pPr>
            <w:r>
              <w:rPr>
                <w:rFonts w:ascii="Arial" w:cs="Arial" w:eastAsia="Arial" w:hAnsi="Arial"/>
                <w:sz w:val="19"/>
                <w:szCs w:val="19"/>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0"/>
                <w:szCs w:val="20"/>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9"/>
                <w:szCs w:val="19"/>
                <w:color w:val="auto"/>
              </w:rPr>
              <w:t>—</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9"/>
                <w:szCs w:val="19"/>
                <w:color w:val="auto"/>
              </w:rPr>
              <w:t>51,698,008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820" w:type="dxa"/>
            <w:vAlign w:val="bottom"/>
            <w:gridSpan w:val="2"/>
            <w:shd w:val="clear" w:color="auto" w:fill="CFF0FC"/>
          </w:tcPr>
          <w:p>
            <w:pPr>
              <w:spacing w:after="0"/>
              <w:rPr>
                <w:sz w:val="20"/>
                <w:szCs w:val="20"/>
                <w:color w:val="auto"/>
              </w:rPr>
            </w:pPr>
            <w:r>
              <w:rPr>
                <w:rFonts w:ascii="Arial" w:cs="Arial" w:eastAsia="Arial" w:hAnsi="Arial"/>
                <w:sz w:val="19"/>
                <w:szCs w:val="19"/>
                <w:color w:val="auto"/>
              </w:rPr>
              <w:t>Time deposits</w:t>
            </w:r>
          </w:p>
        </w:tc>
        <w:tc>
          <w:tcPr>
            <w:tcW w:w="10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1,727,540</w:t>
            </w:r>
          </w:p>
        </w:tc>
        <w:tc>
          <w:tcPr>
            <w:tcW w:w="3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9"/>
                <w:szCs w:val="19"/>
                <w:color w:val="auto"/>
                <w:w w:val="96"/>
              </w:rPr>
              <w:t>2,643,588</w:t>
            </w:r>
          </w:p>
        </w:tc>
        <w:tc>
          <w:tcPr>
            <w:tcW w:w="36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2,200,635</w:t>
            </w:r>
          </w:p>
        </w:tc>
        <w:tc>
          <w:tcPr>
            <w:tcW w:w="22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9"/>
                <w:szCs w:val="19"/>
                <w:color w:val="auto"/>
              </w:rPr>
              <w:t>9,199</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9"/>
                <w:szCs w:val="19"/>
                <w:color w:val="auto"/>
              </w:rPr>
              <w:t>6,580,962</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820" w:type="dxa"/>
            <w:vAlign w:val="bottom"/>
            <w:gridSpan w:val="2"/>
          </w:tcPr>
          <w:p>
            <w:pPr>
              <w:spacing w:after="0"/>
              <w:rPr>
                <w:sz w:val="20"/>
                <w:szCs w:val="20"/>
                <w:color w:val="auto"/>
              </w:rPr>
            </w:pPr>
            <w:r>
              <w:rPr>
                <w:rFonts w:ascii="Arial" w:cs="Arial" w:eastAsia="Arial" w:hAnsi="Arial"/>
                <w:sz w:val="19"/>
                <w:szCs w:val="19"/>
                <w:color w:val="auto"/>
              </w:rPr>
              <w:t>Deposits at Cayman Islands</w:t>
            </w: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820" w:type="dxa"/>
            <w:vAlign w:val="bottom"/>
            <w:gridSpan w:val="2"/>
          </w:tcPr>
          <w:p>
            <w:pPr>
              <w:ind w:left="140"/>
              <w:spacing w:after="0"/>
              <w:rPr>
                <w:sz w:val="20"/>
                <w:szCs w:val="20"/>
                <w:color w:val="auto"/>
              </w:rPr>
            </w:pPr>
            <w:r>
              <w:rPr>
                <w:rFonts w:ascii="Arial" w:cs="Arial" w:eastAsia="Arial" w:hAnsi="Arial"/>
                <w:sz w:val="19"/>
                <w:szCs w:val="19"/>
                <w:color w:val="auto"/>
              </w:rPr>
              <w:t>office</w:t>
            </w:r>
          </w:p>
        </w:tc>
        <w:tc>
          <w:tcPr>
            <w:tcW w:w="1020" w:type="dxa"/>
            <w:vAlign w:val="bottom"/>
          </w:tcPr>
          <w:p>
            <w:pPr>
              <w:jc w:val="right"/>
              <w:spacing w:after="0"/>
              <w:rPr>
                <w:sz w:val="20"/>
                <w:szCs w:val="20"/>
                <w:color w:val="auto"/>
              </w:rPr>
            </w:pPr>
            <w:r>
              <w:rPr>
                <w:rFonts w:ascii="Arial" w:cs="Arial" w:eastAsia="Arial" w:hAnsi="Arial"/>
                <w:sz w:val="19"/>
                <w:szCs w:val="19"/>
                <w:color w:val="auto"/>
              </w:rPr>
              <w:t>177,996</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310"/>
              <w:spacing w:after="0"/>
              <w:rPr>
                <w:sz w:val="20"/>
                <w:szCs w:val="20"/>
                <w:color w:val="auto"/>
              </w:rPr>
            </w:pPr>
            <w:r>
              <w:rPr>
                <w:rFonts w:ascii="Arial" w:cs="Arial" w:eastAsia="Arial" w:hAnsi="Arial"/>
                <w:sz w:val="19"/>
                <w:szCs w:val="19"/>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0"/>
                <w:szCs w:val="20"/>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9"/>
                <w:szCs w:val="19"/>
                <w:color w:val="auto"/>
              </w:rPr>
              <w:t>—</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9"/>
                <w:szCs w:val="19"/>
                <w:color w:val="auto"/>
              </w:rPr>
              <w:t>177,996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4820" w:type="dxa"/>
            <w:vAlign w:val="bottom"/>
            <w:tcBorders>
              <w:top w:val="single" w:sz="8" w:color="CFF0FC"/>
            </w:tcBorders>
            <w:gridSpan w:val="2"/>
            <w:shd w:val="clear" w:color="auto" w:fill="CFF0FC"/>
          </w:tcPr>
          <w:p>
            <w:pPr>
              <w:ind w:left="240"/>
              <w:spacing w:after="0" w:line="213" w:lineRule="exact"/>
              <w:rPr>
                <w:sz w:val="20"/>
                <w:szCs w:val="20"/>
                <w:color w:val="auto"/>
              </w:rPr>
            </w:pPr>
            <w:r>
              <w:rPr>
                <w:rFonts w:ascii="Arial" w:cs="Arial" w:eastAsia="Arial" w:hAnsi="Arial"/>
                <w:sz w:val="19"/>
                <w:szCs w:val="19"/>
                <w:i w:val="1"/>
                <w:iCs w:val="1"/>
                <w:color w:val="auto"/>
              </w:rPr>
              <w:t>Total interest-bearing</w:t>
            </w:r>
          </w:p>
        </w:tc>
        <w:tc>
          <w:tcPr>
            <w:tcW w:w="102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4820" w:type="dxa"/>
            <w:vAlign w:val="bottom"/>
            <w:gridSpan w:val="2"/>
            <w:shd w:val="clear" w:color="auto" w:fill="CFF0FC"/>
          </w:tcPr>
          <w:p>
            <w:pPr>
              <w:ind w:left="380"/>
              <w:spacing w:after="0"/>
              <w:rPr>
                <w:sz w:val="20"/>
                <w:szCs w:val="20"/>
                <w:color w:val="auto"/>
              </w:rPr>
            </w:pPr>
            <w:r>
              <w:rPr>
                <w:rFonts w:ascii="Arial" w:cs="Arial" w:eastAsia="Arial" w:hAnsi="Arial"/>
                <w:sz w:val="19"/>
                <w:szCs w:val="19"/>
                <w:i w:val="1"/>
                <w:iCs w:val="1"/>
                <w:color w:val="auto"/>
              </w:rPr>
              <w:t>deposits</w:t>
            </w:r>
          </w:p>
        </w:tc>
        <w:tc>
          <w:tcPr>
            <w:tcW w:w="10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53,603,544</w:t>
            </w:r>
          </w:p>
        </w:tc>
        <w:tc>
          <w:tcPr>
            <w:tcW w:w="3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9"/>
                <w:szCs w:val="19"/>
                <w:color w:val="auto"/>
                <w:w w:val="96"/>
              </w:rPr>
              <w:t>2,643,588</w:t>
            </w:r>
          </w:p>
        </w:tc>
        <w:tc>
          <w:tcPr>
            <w:tcW w:w="36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2,200,635</w:t>
            </w:r>
          </w:p>
        </w:tc>
        <w:tc>
          <w:tcPr>
            <w:tcW w:w="22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9"/>
                <w:szCs w:val="19"/>
                <w:color w:val="auto"/>
              </w:rPr>
              <w:t>9,199</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9"/>
                <w:szCs w:val="19"/>
                <w:color w:val="auto"/>
              </w:rPr>
              <w:t>58,456,966</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820" w:type="dxa"/>
            <w:vAlign w:val="bottom"/>
            <w:gridSpan w:val="2"/>
          </w:tcPr>
          <w:p>
            <w:pPr>
              <w:spacing w:after="0"/>
              <w:rPr>
                <w:sz w:val="20"/>
                <w:szCs w:val="20"/>
                <w:color w:val="auto"/>
              </w:rPr>
            </w:pPr>
            <w:r>
              <w:rPr>
                <w:rFonts w:ascii="Arial" w:cs="Arial" w:eastAsia="Arial" w:hAnsi="Arial"/>
                <w:sz w:val="19"/>
                <w:szCs w:val="19"/>
                <w:color w:val="auto"/>
              </w:rPr>
              <w:t>Short-term borrowings</w:t>
            </w:r>
          </w:p>
        </w:tc>
        <w:tc>
          <w:tcPr>
            <w:tcW w:w="1020" w:type="dxa"/>
            <w:vAlign w:val="bottom"/>
          </w:tcPr>
          <w:p>
            <w:pPr>
              <w:jc w:val="right"/>
              <w:spacing w:after="0"/>
              <w:rPr>
                <w:sz w:val="20"/>
                <w:szCs w:val="20"/>
                <w:color w:val="auto"/>
              </w:rPr>
            </w:pPr>
            <w:r>
              <w:rPr>
                <w:rFonts w:ascii="Arial" w:cs="Arial" w:eastAsia="Arial" w:hAnsi="Arial"/>
                <w:sz w:val="19"/>
                <w:szCs w:val="19"/>
                <w:color w:val="auto"/>
              </w:rPr>
              <w:t>175,099</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310"/>
              <w:spacing w:after="0"/>
              <w:rPr>
                <w:sz w:val="20"/>
                <w:szCs w:val="20"/>
                <w:color w:val="auto"/>
              </w:rPr>
            </w:pPr>
            <w:r>
              <w:rPr>
                <w:rFonts w:ascii="Arial" w:cs="Arial" w:eastAsia="Arial" w:hAnsi="Arial"/>
                <w:sz w:val="19"/>
                <w:szCs w:val="19"/>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0"/>
                <w:szCs w:val="20"/>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9"/>
                <w:szCs w:val="19"/>
                <w:color w:val="auto"/>
              </w:rPr>
              <w:t>—</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9"/>
                <w:szCs w:val="19"/>
                <w:color w:val="auto"/>
              </w:rPr>
              <w:t>175,099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820" w:type="dxa"/>
            <w:vAlign w:val="bottom"/>
            <w:gridSpan w:val="2"/>
            <w:shd w:val="clear" w:color="auto" w:fill="CFF0FC"/>
          </w:tcPr>
          <w:p>
            <w:pPr>
              <w:spacing w:after="0"/>
              <w:rPr>
                <w:sz w:val="20"/>
                <w:szCs w:val="20"/>
                <w:color w:val="auto"/>
              </w:rPr>
            </w:pPr>
            <w:r>
              <w:rPr>
                <w:rFonts w:ascii="Arial" w:cs="Arial" w:eastAsia="Arial" w:hAnsi="Arial"/>
                <w:sz w:val="19"/>
                <w:szCs w:val="19"/>
                <w:color w:val="auto"/>
              </w:rPr>
              <w:t>Long-term borrowings</w:t>
            </w:r>
          </w:p>
        </w:tc>
        <w:tc>
          <w:tcPr>
            <w:tcW w:w="10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2,129,940</w:t>
            </w:r>
          </w:p>
        </w:tc>
        <w:tc>
          <w:tcPr>
            <w:tcW w:w="3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200,268</w:t>
            </w:r>
          </w:p>
        </w:tc>
        <w:tc>
          <w:tcPr>
            <w:tcW w:w="36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4,519,396</w:t>
            </w:r>
          </w:p>
        </w:tc>
        <w:tc>
          <w:tcPr>
            <w:tcW w:w="22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9"/>
                <w:szCs w:val="19"/>
                <w:color w:val="auto"/>
              </w:rPr>
              <w:t>1,291,826</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9"/>
                <w:szCs w:val="19"/>
                <w:color w:val="auto"/>
              </w:rPr>
              <w:t>8,141,430</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4820" w:type="dxa"/>
            <w:vAlign w:val="bottom"/>
            <w:gridSpan w:val="2"/>
          </w:tcPr>
          <w:p>
            <w:pPr>
              <w:ind w:left="240"/>
              <w:spacing w:after="0" w:line="213" w:lineRule="exact"/>
              <w:rPr>
                <w:sz w:val="20"/>
                <w:szCs w:val="20"/>
                <w:color w:val="auto"/>
              </w:rPr>
            </w:pPr>
            <w:r>
              <w:rPr>
                <w:rFonts w:ascii="Arial" w:cs="Arial" w:eastAsia="Arial" w:hAnsi="Arial"/>
                <w:sz w:val="19"/>
                <w:szCs w:val="19"/>
                <w:i w:val="1"/>
                <w:iCs w:val="1"/>
                <w:color w:val="auto"/>
              </w:rPr>
              <w:t>Total interest-bearing</w:t>
            </w:r>
          </w:p>
        </w:tc>
        <w:tc>
          <w:tcPr>
            <w:tcW w:w="10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4820" w:type="dxa"/>
            <w:vAlign w:val="bottom"/>
            <w:gridSpan w:val="2"/>
          </w:tcPr>
          <w:p>
            <w:pPr>
              <w:ind w:left="380"/>
              <w:spacing w:after="0"/>
              <w:rPr>
                <w:sz w:val="20"/>
                <w:szCs w:val="20"/>
                <w:color w:val="auto"/>
              </w:rPr>
            </w:pPr>
            <w:r>
              <w:rPr>
                <w:rFonts w:ascii="Arial" w:cs="Arial" w:eastAsia="Arial" w:hAnsi="Arial"/>
                <w:sz w:val="19"/>
                <w:szCs w:val="19"/>
                <w:i w:val="1"/>
                <w:iCs w:val="1"/>
                <w:color w:val="auto"/>
              </w:rPr>
              <w:t>liabilities</w:t>
            </w:r>
          </w:p>
        </w:tc>
        <w:tc>
          <w:tcPr>
            <w:tcW w:w="1020" w:type="dxa"/>
            <w:vAlign w:val="bottom"/>
          </w:tcPr>
          <w:p>
            <w:pPr>
              <w:jc w:val="right"/>
              <w:spacing w:after="0"/>
              <w:rPr>
                <w:sz w:val="20"/>
                <w:szCs w:val="20"/>
                <w:color w:val="auto"/>
              </w:rPr>
            </w:pPr>
            <w:r>
              <w:rPr>
                <w:rFonts w:ascii="Arial" w:cs="Arial" w:eastAsia="Arial" w:hAnsi="Arial"/>
                <w:sz w:val="19"/>
                <w:szCs w:val="19"/>
                <w:color w:val="auto"/>
              </w:rPr>
              <w:t>55,908,583</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w w:val="96"/>
              </w:rPr>
              <w:t>2,843,856</w:t>
            </w:r>
          </w:p>
        </w:tc>
        <w:tc>
          <w:tcPr>
            <w:tcW w:w="3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9"/>
                <w:szCs w:val="19"/>
                <w:color w:val="auto"/>
              </w:rPr>
              <w:t>6,720,031</w:t>
            </w:r>
          </w:p>
        </w:tc>
        <w:tc>
          <w:tcPr>
            <w:tcW w:w="22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9"/>
                <w:szCs w:val="19"/>
                <w:color w:val="auto"/>
              </w:rPr>
              <w:t>1,301,025</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9"/>
                <w:szCs w:val="19"/>
                <w:color w:val="auto"/>
              </w:rPr>
              <w:t>66,773,495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4820" w:type="dxa"/>
            <w:vAlign w:val="bottom"/>
            <w:tcBorders>
              <w:top w:val="single" w:sz="8" w:color="CFF0FC"/>
            </w:tcBorders>
            <w:gridSpan w:val="2"/>
            <w:shd w:val="clear" w:color="auto" w:fill="CFF0FC"/>
          </w:tcPr>
          <w:p>
            <w:pPr>
              <w:spacing w:after="0" w:line="213" w:lineRule="exact"/>
              <w:rPr>
                <w:sz w:val="20"/>
                <w:szCs w:val="20"/>
                <w:color w:val="auto"/>
              </w:rPr>
            </w:pPr>
            <w:r>
              <w:rPr>
                <w:rFonts w:ascii="Arial" w:cs="Arial" w:eastAsia="Arial" w:hAnsi="Arial"/>
                <w:sz w:val="19"/>
                <w:szCs w:val="19"/>
                <w:color w:val="auto"/>
              </w:rPr>
              <w:t>Interest rate swap</w:t>
            </w:r>
          </w:p>
        </w:tc>
        <w:tc>
          <w:tcPr>
            <w:tcW w:w="102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4820" w:type="dxa"/>
            <w:vAlign w:val="bottom"/>
            <w:gridSpan w:val="2"/>
            <w:shd w:val="clear" w:color="auto" w:fill="CFF0FC"/>
          </w:tcPr>
          <w:p>
            <w:pPr>
              <w:ind w:left="140"/>
              <w:spacing w:after="0"/>
              <w:rPr>
                <w:sz w:val="20"/>
                <w:szCs w:val="20"/>
                <w:color w:val="auto"/>
              </w:rPr>
            </w:pPr>
            <w:r>
              <w:rPr>
                <w:rFonts w:ascii="Arial" w:cs="Arial" w:eastAsia="Arial" w:hAnsi="Arial"/>
                <w:sz w:val="19"/>
                <w:szCs w:val="19"/>
                <w:color w:val="auto"/>
              </w:rPr>
              <w:t>agreements</w:t>
            </w:r>
          </w:p>
        </w:tc>
        <w:tc>
          <w:tcPr>
            <w:tcW w:w="1380" w:type="dxa"/>
            <w:vAlign w:val="bottom"/>
            <w:gridSpan w:val="2"/>
            <w:shd w:val="clear" w:color="auto" w:fill="CFF0FC"/>
          </w:tcPr>
          <w:p>
            <w:pPr>
              <w:jc w:val="right"/>
              <w:ind w:right="300"/>
              <w:spacing w:after="0"/>
              <w:rPr>
                <w:sz w:val="20"/>
                <w:szCs w:val="20"/>
                <w:color w:val="auto"/>
              </w:rPr>
            </w:pPr>
            <w:r>
              <w:rPr>
                <w:rFonts w:ascii="Arial" w:cs="Arial" w:eastAsia="Arial" w:hAnsi="Arial"/>
                <w:sz w:val="19"/>
                <w:szCs w:val="19"/>
                <w:color w:val="auto"/>
              </w:rPr>
              <w:t>(6,900,000)</w:t>
            </w:r>
          </w:p>
        </w:tc>
        <w:tc>
          <w:tcPr>
            <w:tcW w:w="16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310"/>
              <w:spacing w:after="0"/>
              <w:rPr>
                <w:sz w:val="20"/>
                <w:szCs w:val="20"/>
                <w:color w:val="auto"/>
              </w:rPr>
            </w:pPr>
            <w:r>
              <w:rPr>
                <w:rFonts w:ascii="Arial" w:cs="Arial" w:eastAsia="Arial" w:hAnsi="Arial"/>
                <w:sz w:val="19"/>
                <w:szCs w:val="19"/>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6,400,000</w:t>
            </w:r>
          </w:p>
        </w:tc>
        <w:tc>
          <w:tcPr>
            <w:tcW w:w="22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9"/>
                <w:szCs w:val="19"/>
                <w:color w:val="auto"/>
              </w:rPr>
              <w:t>500,000</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9"/>
                <w:szCs w:val="19"/>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20" w:type="dxa"/>
            <w:vAlign w:val="bottom"/>
            <w:gridSpan w:val="2"/>
          </w:tcPr>
          <w:p>
            <w:pPr>
              <w:spacing w:after="0"/>
              <w:rPr>
                <w:sz w:val="20"/>
                <w:szCs w:val="20"/>
                <w:color w:val="auto"/>
              </w:rPr>
            </w:pPr>
            <w:r>
              <w:rPr>
                <w:rFonts w:ascii="Arial" w:cs="Arial" w:eastAsia="Arial" w:hAnsi="Arial"/>
                <w:sz w:val="19"/>
                <w:szCs w:val="19"/>
                <w:color w:val="auto"/>
              </w:rPr>
              <w:t>Periodic gap</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w w:val="88"/>
              </w:rPr>
              <w:t>$ (5,314,250)</w:t>
            </w:r>
          </w:p>
        </w:tc>
        <w:tc>
          <w:tcPr>
            <w:tcW w:w="36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w w:val="96"/>
              </w:rPr>
              <w:t>4,540,634</w:t>
            </w:r>
          </w:p>
        </w:tc>
        <w:tc>
          <w:tcPr>
            <w:tcW w:w="36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w w:val="88"/>
              </w:rPr>
              <w:t>$ 20,793,926</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w w:val="88"/>
              </w:rPr>
              <w:t>$ 20,991,695</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820" w:type="dxa"/>
            <w:vAlign w:val="bottom"/>
            <w:gridSpan w:val="2"/>
            <w:shd w:val="clear" w:color="auto" w:fill="CFF0FC"/>
          </w:tcPr>
          <w:p>
            <w:pPr>
              <w:spacing w:after="0"/>
              <w:rPr>
                <w:sz w:val="20"/>
                <w:szCs w:val="20"/>
                <w:color w:val="auto"/>
              </w:rPr>
            </w:pPr>
            <w:r>
              <w:rPr>
                <w:rFonts w:ascii="Arial" w:cs="Arial" w:eastAsia="Arial" w:hAnsi="Arial"/>
                <w:sz w:val="19"/>
                <w:szCs w:val="19"/>
                <w:color w:val="auto"/>
              </w:rPr>
              <w:t>Cumulative gap</w:t>
            </w:r>
          </w:p>
        </w:tc>
        <w:tc>
          <w:tcPr>
            <w:tcW w:w="1380" w:type="dxa"/>
            <w:vAlign w:val="bottom"/>
            <w:gridSpan w:val="2"/>
            <w:shd w:val="clear" w:color="auto" w:fill="CFF0FC"/>
          </w:tcPr>
          <w:p>
            <w:pPr>
              <w:jc w:val="right"/>
              <w:ind w:right="300"/>
              <w:spacing w:after="0"/>
              <w:rPr>
                <w:sz w:val="20"/>
                <w:szCs w:val="20"/>
                <w:color w:val="auto"/>
              </w:rPr>
            </w:pPr>
            <w:r>
              <w:rPr>
                <w:rFonts w:ascii="Arial" w:cs="Arial" w:eastAsia="Arial" w:hAnsi="Arial"/>
                <w:sz w:val="19"/>
                <w:szCs w:val="19"/>
                <w:color w:val="auto"/>
              </w:rPr>
              <w:t>(5,314,250)</w:t>
            </w:r>
          </w:p>
        </w:tc>
        <w:tc>
          <w:tcPr>
            <w:tcW w:w="16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230"/>
              <w:spacing w:after="0"/>
              <w:rPr>
                <w:sz w:val="20"/>
                <w:szCs w:val="20"/>
                <w:color w:val="auto"/>
              </w:rPr>
            </w:pPr>
            <w:r>
              <w:rPr>
                <w:rFonts w:ascii="Arial" w:cs="Arial" w:eastAsia="Arial" w:hAnsi="Arial"/>
                <w:sz w:val="19"/>
                <w:szCs w:val="19"/>
                <w:color w:val="auto"/>
              </w:rPr>
              <w:t>(773,616)</w:t>
            </w:r>
          </w:p>
        </w:tc>
        <w:tc>
          <w:tcPr>
            <w:tcW w:w="10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20,020,310</w:t>
            </w:r>
          </w:p>
        </w:tc>
        <w:tc>
          <w:tcPr>
            <w:tcW w:w="22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9"/>
                <w:szCs w:val="19"/>
                <w:color w:val="auto"/>
              </w:rPr>
              <w:t>41,012,005</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820" w:type="dxa"/>
            <w:vAlign w:val="bottom"/>
            <w:gridSpan w:val="2"/>
          </w:tcPr>
          <w:p>
            <w:pPr>
              <w:spacing w:after="0"/>
              <w:rPr>
                <w:sz w:val="20"/>
                <w:szCs w:val="20"/>
                <w:color w:val="auto"/>
              </w:rPr>
            </w:pPr>
            <w:r>
              <w:rPr>
                <w:rFonts w:ascii="Arial" w:cs="Arial" w:eastAsia="Arial" w:hAnsi="Arial"/>
                <w:sz w:val="19"/>
                <w:szCs w:val="19"/>
                <w:color w:val="auto"/>
              </w:rPr>
              <w:t>Cumulative gap as a % of</w:t>
            </w: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4820" w:type="dxa"/>
            <w:vAlign w:val="bottom"/>
            <w:gridSpan w:val="2"/>
          </w:tcPr>
          <w:p>
            <w:pPr>
              <w:ind w:left="140"/>
              <w:spacing w:after="0"/>
              <w:rPr>
                <w:sz w:val="20"/>
                <w:szCs w:val="20"/>
                <w:color w:val="auto"/>
              </w:rPr>
            </w:pPr>
            <w:r>
              <w:rPr>
                <w:rFonts w:ascii="Arial" w:cs="Arial" w:eastAsia="Arial" w:hAnsi="Arial"/>
                <w:sz w:val="19"/>
                <w:szCs w:val="19"/>
                <w:color w:val="auto"/>
              </w:rPr>
              <w:t>total earning assets</w:t>
            </w:r>
          </w:p>
        </w:tc>
        <w:tc>
          <w:tcPr>
            <w:tcW w:w="1380" w:type="dxa"/>
            <w:vAlign w:val="bottom"/>
            <w:gridSpan w:val="2"/>
          </w:tcPr>
          <w:p>
            <w:pPr>
              <w:jc w:val="right"/>
              <w:ind w:right="140"/>
              <w:spacing w:after="0"/>
              <w:rPr>
                <w:sz w:val="20"/>
                <w:szCs w:val="20"/>
                <w:color w:val="auto"/>
              </w:rPr>
            </w:pPr>
            <w:r>
              <w:rPr>
                <w:rFonts w:ascii="Arial" w:cs="Arial" w:eastAsia="Arial" w:hAnsi="Arial"/>
                <w:sz w:val="19"/>
                <w:szCs w:val="19"/>
                <w:color w:val="auto"/>
              </w:rPr>
              <w:t>(4.9)%</w:t>
            </w:r>
          </w:p>
        </w:tc>
        <w:tc>
          <w:tcPr>
            <w:tcW w:w="160" w:type="dxa"/>
            <w:vAlign w:val="bottom"/>
          </w:tcPr>
          <w:p>
            <w:pPr>
              <w:spacing w:after="0"/>
              <w:rPr>
                <w:sz w:val="21"/>
                <w:szCs w:val="21"/>
                <w:color w:val="auto"/>
              </w:rPr>
            </w:pPr>
          </w:p>
        </w:tc>
        <w:tc>
          <w:tcPr>
            <w:tcW w:w="1220" w:type="dxa"/>
            <w:vAlign w:val="bottom"/>
            <w:gridSpan w:val="2"/>
          </w:tcPr>
          <w:p>
            <w:pPr>
              <w:jc w:val="right"/>
              <w:ind w:right="70"/>
              <w:spacing w:after="0"/>
              <w:rPr>
                <w:sz w:val="20"/>
                <w:szCs w:val="20"/>
                <w:color w:val="auto"/>
              </w:rPr>
            </w:pPr>
            <w:r>
              <w:rPr>
                <w:rFonts w:ascii="Arial" w:cs="Arial" w:eastAsia="Arial" w:hAnsi="Arial"/>
                <w:sz w:val="19"/>
                <w:szCs w:val="19"/>
                <w:color w:val="auto"/>
              </w:rPr>
              <w:t>(0.7)%</w:t>
            </w:r>
          </w:p>
        </w:tc>
        <w:tc>
          <w:tcPr>
            <w:tcW w:w="1240" w:type="dxa"/>
            <w:vAlign w:val="bottom"/>
            <w:gridSpan w:val="2"/>
          </w:tcPr>
          <w:p>
            <w:pPr>
              <w:jc w:val="right"/>
              <w:ind w:right="60"/>
              <w:spacing w:after="0"/>
              <w:rPr>
                <w:sz w:val="20"/>
                <w:szCs w:val="20"/>
                <w:color w:val="auto"/>
              </w:rPr>
            </w:pPr>
            <w:r>
              <w:rPr>
                <w:rFonts w:ascii="Arial" w:cs="Arial" w:eastAsia="Arial" w:hAnsi="Arial"/>
                <w:sz w:val="19"/>
                <w:szCs w:val="19"/>
                <w:color w:val="auto"/>
              </w:rPr>
              <w:t>18.6%</w:t>
            </w:r>
          </w:p>
        </w:tc>
        <w:tc>
          <w:tcPr>
            <w:tcW w:w="1400" w:type="dxa"/>
            <w:vAlign w:val="bottom"/>
            <w:gridSpan w:val="3"/>
          </w:tcPr>
          <w:p>
            <w:pPr>
              <w:jc w:val="right"/>
              <w:ind w:right="140"/>
              <w:spacing w:after="0"/>
              <w:rPr>
                <w:sz w:val="20"/>
                <w:szCs w:val="20"/>
                <w:color w:val="auto"/>
              </w:rPr>
            </w:pPr>
            <w:r>
              <w:rPr>
                <w:rFonts w:ascii="Arial" w:cs="Arial" w:eastAsia="Arial" w:hAnsi="Arial"/>
                <w:sz w:val="19"/>
                <w:szCs w:val="19"/>
                <w:color w:val="auto"/>
              </w:rPr>
              <w:t>38.0%</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5"/>
        </w:trPr>
        <w:tc>
          <w:tcPr>
            <w:tcW w:w="11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92</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1140" w:type="dxa"/>
            <w:vAlign w:val="bottom"/>
            <w:tcBorders>
              <w:bottom w:val="single" w:sz="8" w:color="9A9A9A"/>
            </w:tcBorders>
          </w:tcPr>
          <w:p>
            <w:pPr>
              <w:spacing w:after="0"/>
              <w:rPr>
                <w:sz w:val="9"/>
                <w:szCs w:val="9"/>
                <w:color w:val="auto"/>
              </w:rPr>
            </w:pPr>
          </w:p>
        </w:tc>
        <w:tc>
          <w:tcPr>
            <w:tcW w:w="368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546" w:right="219" w:bottom="1440" w:gutter="0" w:footer="0" w:header="0"/>
        </w:sectPr>
      </w:pPr>
    </w:p>
    <w:bookmarkStart w:id="92" w:name="page93"/>
    <w:bookmarkEnd w:id="92"/>
    <w:p>
      <w:pPr>
        <w:ind w:firstLine="598"/>
        <w:spacing w:after="0" w:line="251" w:lineRule="auto"/>
        <w:rPr>
          <w:sz w:val="20"/>
          <w:szCs w:val="20"/>
          <w:color w:val="auto"/>
        </w:rPr>
      </w:pPr>
      <w:r>
        <w:rPr>
          <w:rFonts w:ascii="Arial" w:cs="Arial" w:eastAsia="Arial" w:hAnsi="Arial"/>
          <w:sz w:val="20"/>
          <w:szCs w:val="20"/>
          <w:color w:val="auto"/>
        </w:rPr>
        <w:t>Changes in fair value of the Company’s financial instruments can also result from a lack of trading activity for similar instruments in the financial markets. That impact is most notable on the values assigned to some of the Company’s investment securities. Information about the fair valuation of investment securities is presented herein under the heading “Capital” and in notes 3 and 20 of Notes to Financial Statements.</w:t>
      </w:r>
    </w:p>
    <w:p>
      <w:pPr>
        <w:spacing w:after="0" w:line="2" w:lineRule="exact"/>
        <w:rPr>
          <w:sz w:val="20"/>
          <w:szCs w:val="20"/>
          <w:color w:val="auto"/>
        </w:rPr>
      </w:pPr>
    </w:p>
    <w:p>
      <w:pPr>
        <w:ind w:right="20" w:firstLine="598"/>
        <w:spacing w:after="0" w:line="259" w:lineRule="auto"/>
        <w:rPr>
          <w:sz w:val="20"/>
          <w:szCs w:val="20"/>
          <w:color w:val="auto"/>
        </w:rPr>
      </w:pPr>
      <w:r>
        <w:rPr>
          <w:rFonts w:ascii="Arial" w:cs="Arial" w:eastAsia="Arial" w:hAnsi="Arial"/>
          <w:sz w:val="19"/>
          <w:szCs w:val="19"/>
          <w:color w:val="auto"/>
        </w:rPr>
        <w:t>The Company engages in limited trading account activities to meet the financial needs of customers and to fund the Company’s obligations under certain deferred compensation plans. Financial instruments utilized for trading account activities consist predominantly of interest rate contracts, such as interest rate swap agreements, and forward and futures contracts related to foreign currencies. The Company generally mitigates the foreign currency and interest rate risk associated with trading account activities by entering into offsetting trading positions that are also included in the trading account. The fair values of trading account positions associated with interest rate contracts and foreign currency and other option and futures contracts are presented in note 18 of Notes to Financial Statements. The amounts of gross and net trading account positions, as well as the type of trading account activities conducted by the Company, are subject to a well-defined series of potential loss exposure limits established by management and approved by M&amp;T’s Board of Directors. However, as with any non-government guaranteed financial instrument, the Company is exposed to credit risk associated with counterparties to the Company’s trading account activities.</w:t>
      </w:r>
    </w:p>
    <w:p>
      <w:pPr>
        <w:spacing w:after="0" w:line="7" w:lineRule="exact"/>
        <w:rPr>
          <w:sz w:val="20"/>
          <w:szCs w:val="20"/>
          <w:color w:val="auto"/>
        </w:rPr>
      </w:pPr>
    </w:p>
    <w:p>
      <w:pPr>
        <w:ind w:right="40" w:firstLine="598"/>
        <w:spacing w:after="0" w:line="274" w:lineRule="auto"/>
        <w:rPr>
          <w:sz w:val="20"/>
          <w:szCs w:val="20"/>
          <w:color w:val="auto"/>
        </w:rPr>
      </w:pPr>
      <w:r>
        <w:rPr>
          <w:rFonts w:ascii="Arial" w:cs="Arial" w:eastAsia="Arial" w:hAnsi="Arial"/>
          <w:sz w:val="18"/>
          <w:szCs w:val="18"/>
          <w:color w:val="auto"/>
        </w:rPr>
        <w:t>The notional amounts of interest rate contracts entered into for trading account purposes totaled $29.9 billion at December 31, 2017 and $21.6 billion at December 31, 2016. The notional amounts of foreign currency and other option and futures contracts entered into for trading account purposes were $530 million and $471 million at December 31, 2017 and 2016, respectively. Although the notional amounts of these contracts are not recorded in the consolidated balance sheet, the unsettled fair values of all financial instruments used for trading account activities are recorded in the consolidated balance sheet. The fair values of all trading account assets and liabilities were $133 million and $137 million, respectively, at December 31, 2017 and $324 million and $174 million, respectively, at December 31, 2016. Effective January 2017, certain clearinghouse exchanges revised their rules to re-characterize required collateral postings for changes in fair value of exchange-traded derivatives as legal settlements of those positions. As a result, the fair value asset and liability amounts at December 31, 2017 have been reduced by contractual settlements of $136 million and $12 million, respectively. Included in trading account assets at December 31, 2017 and 2016 were $23 million and $22 million, respectively, of assets related to deferred compensation plans. Changes in the fair values of such assets are recorded as “trading account and foreign exchange gains” in the consolidated statement of income. Included in “other liabilities” in the consolidated balance sheet at December 31, 2017 and 2016 were $27 million and $26 million, respectively, of liabilities related to deferred compensation plans. Changes in the balances of such liabilities due to the valuation of allocated investment options to which the liabilities are indexed are recorded in “other costs of operations” in the consolidated statement of income. Also included in trading account assets were investments in mutual funds and other assets that the Company was required to hold under terms of certain non-qualified supplemental retirement and other benefit plans that were assumed by the Company in various acquisitions. Those assets totaled $24 million at each of December 31, 2017 and 2016.</w:t>
      </w:r>
    </w:p>
    <w:p>
      <w:pPr>
        <w:spacing w:after="0" w:line="3" w:lineRule="exact"/>
        <w:rPr>
          <w:sz w:val="20"/>
          <w:szCs w:val="20"/>
          <w:color w:val="auto"/>
        </w:rPr>
      </w:pPr>
    </w:p>
    <w:p>
      <w:pPr>
        <w:ind w:right="20" w:firstLine="598"/>
        <w:spacing w:after="0" w:line="286" w:lineRule="auto"/>
        <w:rPr>
          <w:sz w:val="20"/>
          <w:szCs w:val="20"/>
          <w:color w:val="auto"/>
        </w:rPr>
      </w:pPr>
      <w:r>
        <w:rPr>
          <w:rFonts w:ascii="Arial" w:cs="Arial" w:eastAsia="Arial" w:hAnsi="Arial"/>
          <w:sz w:val="18"/>
          <w:szCs w:val="18"/>
          <w:color w:val="auto"/>
        </w:rPr>
        <w:t>Given the Company’s policies, limits and positions, management believes that the potential loss exposure to the Company resulting from market risk associated with trading account activities was not material, however, as previously noted, the Company is exposed to credit risk associated with counterparties to transactions related to the Company’s trading account activities. Additional information about the Company’s use of derivative financial instruments in its trading account activities is included in note 18 of Notes to Financial Statements.</w:t>
      </w:r>
    </w:p>
    <w:p>
      <w:pPr>
        <w:spacing w:after="0" w:line="200" w:lineRule="exact"/>
        <w:rPr>
          <w:sz w:val="20"/>
          <w:szCs w:val="20"/>
          <w:color w:val="auto"/>
        </w:rPr>
      </w:pPr>
    </w:p>
    <w:p>
      <w:pPr>
        <w:spacing w:after="0" w:line="3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360"/>
          </w:cols>
          <w:pgMar w:left="240" w:top="336" w:right="299" w:bottom="1440" w:gutter="0" w:footer="0" w:header="0"/>
        </w:sectPr>
      </w:pPr>
    </w:p>
    <w:bookmarkStart w:id="93" w:name="page94"/>
    <w:bookmarkEnd w:id="93"/>
    <w:p>
      <w:pPr>
        <w:spacing w:after="0"/>
        <w:rPr>
          <w:sz w:val="20"/>
          <w:szCs w:val="20"/>
          <w:color w:val="auto"/>
        </w:rPr>
      </w:pPr>
      <w:r>
        <w:rPr>
          <w:rFonts w:ascii="Arial" w:cs="Arial" w:eastAsia="Arial" w:hAnsi="Arial"/>
          <w:sz w:val="20"/>
          <w:szCs w:val="20"/>
          <w:b w:val="1"/>
          <w:bCs w:val="1"/>
          <w:color w:val="auto"/>
        </w:rPr>
        <w:t>Capital</w:t>
      </w:r>
    </w:p>
    <w:p>
      <w:pPr>
        <w:spacing w:after="0" w:line="29" w:lineRule="exact"/>
        <w:rPr>
          <w:sz w:val="20"/>
          <w:szCs w:val="20"/>
          <w:color w:val="auto"/>
        </w:rPr>
      </w:pPr>
    </w:p>
    <w:p>
      <w:pPr>
        <w:ind w:right="60"/>
        <w:spacing w:after="0" w:line="246" w:lineRule="auto"/>
        <w:rPr>
          <w:sz w:val="20"/>
          <w:szCs w:val="20"/>
          <w:color w:val="auto"/>
        </w:rPr>
      </w:pPr>
      <w:r>
        <w:rPr>
          <w:rFonts w:ascii="Arial" w:cs="Arial" w:eastAsia="Arial" w:hAnsi="Arial"/>
          <w:sz w:val="20"/>
          <w:szCs w:val="20"/>
          <w:color w:val="auto"/>
        </w:rPr>
        <w:t>Shareholders’ equity was $16.3 billion at December 31, 2017 and represented 13.70% of total assets, compared with $16.5 billion or 13.35% at December 31, 2016 and $16.2 billion or 13.17% at December 31, 2015.</w:t>
      </w:r>
    </w:p>
    <w:p>
      <w:pPr>
        <w:spacing w:after="0" w:line="2" w:lineRule="exact"/>
        <w:rPr>
          <w:sz w:val="20"/>
          <w:szCs w:val="20"/>
          <w:color w:val="auto"/>
        </w:rPr>
      </w:pPr>
    </w:p>
    <w:p>
      <w:pPr>
        <w:ind w:right="200" w:firstLine="598"/>
        <w:spacing w:after="0" w:line="259" w:lineRule="auto"/>
        <w:rPr>
          <w:sz w:val="20"/>
          <w:szCs w:val="20"/>
          <w:color w:val="auto"/>
        </w:rPr>
      </w:pPr>
      <w:r>
        <w:rPr>
          <w:rFonts w:ascii="Arial" w:cs="Arial" w:eastAsia="Arial" w:hAnsi="Arial"/>
          <w:sz w:val="19"/>
          <w:szCs w:val="19"/>
          <w:color w:val="auto"/>
        </w:rPr>
        <w:t>Included in shareholders’ equity was preferred stock with financial statement carrying values of $1.2 billion at December 31, 2017 and 2016. On October 28, 2016, M&amp;T issued 50,000 shares of Series F Perpetual Fixed-to-Floating Rate Non-cumulative Preferred Stock, par value $1.00 per share and liquidation preference of $10,000 per share. On December 15, 2016, M&amp;T redeemed 50,000 shares of the Series D Fixed Rate Non-cumulative Perpetual Preferred Stock, par value $1.00 per share and liquidation preference of $10,000 per share, having received the approval of the Federal Reserve to redeem such shares after issuing the Series F preferred stock. Further information concerning M&amp;T’s preferred stock can be found in note 10 of Notes to Financial Statements.</w:t>
      </w:r>
    </w:p>
    <w:p>
      <w:pPr>
        <w:spacing w:after="0" w:line="4" w:lineRule="exact"/>
        <w:rPr>
          <w:sz w:val="20"/>
          <w:szCs w:val="20"/>
          <w:color w:val="auto"/>
        </w:rPr>
      </w:pPr>
    </w:p>
    <w:p>
      <w:pPr>
        <w:ind w:right="40" w:firstLine="598"/>
        <w:spacing w:after="0" w:line="259" w:lineRule="auto"/>
        <w:rPr>
          <w:sz w:val="20"/>
          <w:szCs w:val="20"/>
          <w:color w:val="auto"/>
        </w:rPr>
      </w:pPr>
      <w:r>
        <w:rPr>
          <w:rFonts w:ascii="Arial" w:cs="Arial" w:eastAsia="Arial" w:hAnsi="Arial"/>
          <w:sz w:val="19"/>
          <w:szCs w:val="19"/>
          <w:color w:val="auto"/>
        </w:rPr>
        <w:t>Common shareholders’ equity was $15.0 billion, or $100.03 per share, at December 31, 2017, compared with $15.3 billion, or $97.64 per share, at December 31, 2016 and $14.9 billion, or $93.60 per share, at December 31, 2015. Tangible equity per common share, which excludes goodwill and core deposit and other intangible assets and applicable deferred tax balances, was $69.08 at December 31, 2017, compared with $67.85 and $64.28 at December 31, 2016 and 2015, respectively. The Company’s ratio of tangible common equity to tangible assets was 9.10% at December 31, 2017, compared with 8.92% and 8.69% at December 31, 2016 and 2015, respectively. Reconciliations of total common shareholders’ equity and tangible common equity and total assets and tangible assets as of December 31, 2017, 2016 and 2015 are presented in table 2. During 2017, 2016 and 2015, the ratio of average total shareholders’ equity to average total assets was 13.48%, 13.21% and 13.00%, respectively. The ratio of average common shareholders’ equity to average total assets was 12.46%, 12.16% and 11.79% in 2017, 2016 and 2015, respectively.</w:t>
      </w:r>
    </w:p>
    <w:p>
      <w:pPr>
        <w:spacing w:after="0" w:line="6" w:lineRule="exact"/>
        <w:rPr>
          <w:sz w:val="20"/>
          <w:szCs w:val="20"/>
          <w:color w:val="auto"/>
        </w:rPr>
      </w:pPr>
    </w:p>
    <w:p>
      <w:pPr>
        <w:ind w:firstLine="598"/>
        <w:spacing w:after="0" w:line="274" w:lineRule="auto"/>
        <w:rPr>
          <w:sz w:val="20"/>
          <w:szCs w:val="20"/>
          <w:color w:val="auto"/>
        </w:rPr>
      </w:pPr>
      <w:r>
        <w:rPr>
          <w:rFonts w:ascii="Arial" w:cs="Arial" w:eastAsia="Arial" w:hAnsi="Arial"/>
          <w:sz w:val="18"/>
          <w:szCs w:val="18"/>
          <w:color w:val="auto"/>
        </w:rPr>
        <w:t>Shareholders’ equity reflects accumulated other comprehensive income or loss, which includes the net after-tax impact of unrealized gains or losses on investment securities classified as available for sale, unrealized losses on held-to-maturity securities for which an other-than-temporary impairment charge has been recognized, gains or losses associated with interest rate swap agreements designated as cash flow hedges, foreign currency translation adjustments and adjustments to reflect the funded status of defined benefit pension and other postretirement plans. Net unrealized losses on investment securities reflected in shareholders’ equity, net of applicable tax effect, were $44 million, or $.29 per common share, at December 31, 2017 and $16 million, or $.10 per common share, at December 31, 2016, compared with net unrealized gains of $48 million, or $.30 per common share, at December 31, 2015. Changes in unrealized gains and losses on investment securities are predominantly reflective of the impact of changes in interest rates on the values of such securities. Information about unrealized gains and losses as of December 31, 2017 and 2016 is included in note 3 of Notes to Financial Statements.</w:t>
      </w:r>
    </w:p>
    <w:p>
      <w:pPr>
        <w:spacing w:after="0" w:line="2" w:lineRule="exact"/>
        <w:rPr>
          <w:sz w:val="20"/>
          <w:szCs w:val="20"/>
          <w:color w:val="auto"/>
        </w:rPr>
      </w:pPr>
    </w:p>
    <w:p>
      <w:pPr>
        <w:ind w:right="80" w:firstLine="598"/>
        <w:spacing w:after="0" w:line="246" w:lineRule="auto"/>
        <w:rPr>
          <w:sz w:val="20"/>
          <w:szCs w:val="20"/>
          <w:color w:val="auto"/>
        </w:rPr>
      </w:pPr>
      <w:r>
        <w:rPr>
          <w:rFonts w:ascii="Arial" w:cs="Arial" w:eastAsia="Arial" w:hAnsi="Arial"/>
          <w:sz w:val="20"/>
          <w:szCs w:val="20"/>
          <w:color w:val="auto"/>
        </w:rPr>
        <w:t>Reflected in the carrying amount of available-for-sale investment securities at December 31, 2017 were pre-tax effect unrealized gains of $85 million on securities with an amortized cost of $3.5 billion and pre-tax effect unrealized losses of $128 million on securities with an amortized cost of $7.4 billion. Information concerning the Company’s fair valuations of investment securities is provided in note 20 of Notes to Financial Statements.</w:t>
      </w:r>
    </w:p>
    <w:p>
      <w:pPr>
        <w:spacing w:after="0" w:line="3" w:lineRule="exact"/>
        <w:rPr>
          <w:sz w:val="20"/>
          <w:szCs w:val="20"/>
          <w:color w:val="auto"/>
        </w:rPr>
      </w:pPr>
    </w:p>
    <w:p>
      <w:pPr>
        <w:ind w:firstLine="598"/>
        <w:spacing w:after="0" w:line="248" w:lineRule="auto"/>
        <w:rPr>
          <w:sz w:val="20"/>
          <w:szCs w:val="20"/>
          <w:color w:val="auto"/>
        </w:rPr>
      </w:pPr>
      <w:r>
        <w:rPr>
          <w:rFonts w:ascii="Arial" w:cs="Arial" w:eastAsia="Arial" w:hAnsi="Arial"/>
          <w:sz w:val="20"/>
          <w:szCs w:val="20"/>
          <w:color w:val="auto"/>
        </w:rPr>
        <w:t>Each reporting period the Company reviews its investment securities for other-than-temporary impairment. For equity securities, the Company considers various factors to determine if the decline in value is other than temporary, including the duration and extent of the decline in value, the factors contributing to the decline in fair value, including the financial condition of the issuer as well as the conditions of the industry in which it operates, and the prospects for a recovery in fair value of the equity security. For debt securities, the Company analyzes the creditworthiness of the issuer or reviews the credit performance of the underlying collateral supporting the bond. For debt securities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94" w:name="page95"/>
    <w:bookmarkEnd w:id="94"/>
    <w:p>
      <w:pPr>
        <w:ind w:right="40"/>
        <w:spacing w:after="0" w:line="249" w:lineRule="auto"/>
        <w:rPr>
          <w:sz w:val="20"/>
          <w:szCs w:val="20"/>
          <w:color w:val="auto"/>
        </w:rPr>
      </w:pPr>
      <w:r>
        <w:rPr>
          <w:rFonts w:ascii="Arial" w:cs="Arial" w:eastAsia="Arial" w:hAnsi="Arial"/>
          <w:sz w:val="20"/>
          <w:szCs w:val="20"/>
          <w:color w:val="auto"/>
        </w:rPr>
        <w:t>backed by pools of loans, such as privately issued mortgage-backed securities, the Company estimates the cash flows of the underlying loan collateral using forward-looking assumptions for default rates, loss severities and prepayment speeds. Estimated collateral cash flows are then utilized to estimate bond-specific cash flows to determine the ultimate collectibility of the bond. If the present value of the cash flows indicates that the Company should not expect to recover the entire amortized cost basis of a bond or if the Company intends to sell the bond or it more likely than not will be required to sell the bond before recovery of its amortized cost basis, an other-than-temporary impairment loss is recognized. If an other-than-temporary impairment loss is deemed to have occurred, the investment security’s cost basis is adjusted, as appropriate for the circumstances.</w:t>
      </w:r>
    </w:p>
    <w:p>
      <w:pPr>
        <w:spacing w:after="0" w:line="3" w:lineRule="exact"/>
        <w:rPr>
          <w:sz w:val="20"/>
          <w:szCs w:val="20"/>
          <w:color w:val="auto"/>
        </w:rPr>
      </w:pPr>
    </w:p>
    <w:p>
      <w:pPr>
        <w:ind w:right="40" w:firstLine="598"/>
        <w:spacing w:after="0" w:line="259" w:lineRule="auto"/>
        <w:rPr>
          <w:sz w:val="20"/>
          <w:szCs w:val="20"/>
          <w:color w:val="auto"/>
        </w:rPr>
      </w:pPr>
      <w:r>
        <w:rPr>
          <w:rFonts w:ascii="Arial" w:cs="Arial" w:eastAsia="Arial" w:hAnsi="Arial"/>
          <w:sz w:val="19"/>
          <w:szCs w:val="19"/>
          <w:color w:val="auto"/>
        </w:rPr>
        <w:t>As of December 31, 2017, based on a review of each of the securities in the investment securities portfolio, the Company concluded that the declines in the values of any securities containing an unrealized loss were temporary and that any additional other-than-temporary impairment charges were not appropriate. At December 31, 2017, the Company did not intend to sell nor is it anticipated that it would be required to sell any of its impaired securities, that is, where fair value is less than the cost basis of the security. The Company intends to continue to closely monitor the performance of its securities because changes in their underlying credit performance or other events could cause the cost basis of those securities to become other-than-temporarily impaired. However, because the unrealized losses on available-for-sale investment securities have generally already been reflected in the financial statement values for investment securities and shareholders’ equity, any recognition of an other-than-temporary decline in value of those investment securities would not have a material effect on the Company’s consolidated financial condition. Any other-than-temporary impairment charge related to held-to-maturity securities would result in reductions in the financial statement values for investment securities and shareholders’ equity. Additional information concerning fair value measurements and the Company’s approach to the classification of such measurements is included in note 20 of the Notes to Financial Statements.</w:t>
      </w:r>
    </w:p>
    <w:p>
      <w:pPr>
        <w:spacing w:after="0" w:line="9" w:lineRule="exact"/>
        <w:rPr>
          <w:sz w:val="20"/>
          <w:szCs w:val="20"/>
          <w:color w:val="auto"/>
        </w:rPr>
      </w:pPr>
    </w:p>
    <w:p>
      <w:pPr>
        <w:ind w:firstLine="598"/>
        <w:spacing w:after="0" w:line="261" w:lineRule="auto"/>
        <w:rPr>
          <w:sz w:val="20"/>
          <w:szCs w:val="20"/>
          <w:color w:val="auto"/>
        </w:rPr>
      </w:pPr>
      <w:r>
        <w:rPr>
          <w:rFonts w:ascii="Arial" w:cs="Arial" w:eastAsia="Arial" w:hAnsi="Arial"/>
          <w:sz w:val="19"/>
          <w:szCs w:val="19"/>
          <w:color w:val="auto"/>
        </w:rPr>
        <w:t>The Company assessed impairment losses on privately issued mortgage-backed securities in the held-to-maturity portfolio by performing internal modeling to estimate bond-specific cash flows considering recent performance of the mortgage loan collateral and utilizing assumptions about future defaults and loss severity. These bond-specific cash flows also reflect the placement of the bond in the overall securitization structure and the remaining subordination levels. In total, at December 31, 2017 and 2016, the Company had in its held-to-maturity portfolio privately issued mortgage-backed securities with an amortized cost basis of $136 million and $158 million, respectively, and a fair value of $111 million and $121 million, respectively. At December 31, 2017, 87% of the mortgage-backed securities were in the most senior tranche of the securitization structure with 21% being independently rated as investment grade. The mortgage-backed securities are generally collateralized by residential and small-balance commercial real estate loans originated between 2004 and 2008 and had a weighted-average credit enhancement of 17% at December 31, 2017, calculated by dividing the remaining unpaid principal balance of bonds subordinate to the bonds owned by the Company plus any overcollateralization remaining in the securitization structure by the remaining unpaid principal balance of all bonds in the securitization structure. The weighted-average default percentage and loss severity assumptions utilized in the Company’s internal modeling were 33% and 61%, respectively. Given the terms of the securitization structure, some of the bonds held by the Company may defer interest payments in certain circumstances, but after considering the repayment structure and estimated future collateral cash flows of each individual senior and subordinate tranche bond, the Company has concluded that as of December 31, 2017 those privately issued mortgage-backed securities were not other-than-temporarily impaired. Nevertheless, it is possible that adverse changes in the future performance of mortgage loan collateral underlying such securities could impact the Company’s conclusions.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95" w:name="page96"/>
    <w:bookmarkEnd w:id="95"/>
    <w:p>
      <w:pPr>
        <w:ind w:left="600"/>
        <w:spacing w:after="0"/>
        <w:rPr>
          <w:sz w:val="20"/>
          <w:szCs w:val="20"/>
          <w:color w:val="auto"/>
        </w:rPr>
      </w:pPr>
      <w:r>
        <w:rPr>
          <w:rFonts w:ascii="Arial" w:cs="Arial" w:eastAsia="Arial" w:hAnsi="Arial"/>
          <w:sz w:val="19"/>
          <w:szCs w:val="19"/>
          <w:color w:val="auto"/>
        </w:rPr>
        <w:t>Adjustments to reflect the funded status of defined benefit pension and other postretirement plans, net of applicable tax effect,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reduced accumulated other comprehensive income by $305 million, or $2.03 per common share, at December 31, 2017, $273 million, or</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$1.75 per common share, at December 31, 2016 and $297 million, or $1.86 per common share, at December 31, 2015. Information about the</w:t>
      </w:r>
    </w:p>
    <w:p>
      <w:pPr>
        <w:spacing w:after="0" w:line="30" w:lineRule="exact"/>
        <w:rPr>
          <w:sz w:val="20"/>
          <w:szCs w:val="20"/>
          <w:color w:val="auto"/>
        </w:rPr>
      </w:pPr>
    </w:p>
    <w:p>
      <w:pPr>
        <w:spacing w:after="0"/>
        <w:rPr>
          <w:sz w:val="20"/>
          <w:szCs w:val="20"/>
          <w:color w:val="auto"/>
        </w:rPr>
      </w:pPr>
      <w:r>
        <w:rPr>
          <w:rFonts w:ascii="Arial" w:cs="Arial" w:eastAsia="Arial" w:hAnsi="Arial"/>
          <w:sz w:val="19"/>
          <w:szCs w:val="19"/>
          <w:color w:val="auto"/>
        </w:rPr>
        <w:t>funded status of the Company’s pension and other postretirement benefit plans is included in note 12 of Notes to Financial Statements.</w:t>
      </w:r>
    </w:p>
    <w:p>
      <w:pPr>
        <w:spacing w:after="0" w:line="18" w:lineRule="exact"/>
        <w:rPr>
          <w:sz w:val="20"/>
          <w:szCs w:val="20"/>
          <w:color w:val="auto"/>
        </w:rPr>
      </w:pPr>
    </w:p>
    <w:p>
      <w:pPr>
        <w:ind w:right="60" w:firstLine="598"/>
        <w:spacing w:after="0" w:line="259" w:lineRule="auto"/>
        <w:rPr>
          <w:sz w:val="20"/>
          <w:szCs w:val="20"/>
          <w:color w:val="auto"/>
        </w:rPr>
      </w:pPr>
      <w:r>
        <w:rPr>
          <w:rFonts w:ascii="Arial" w:cs="Arial" w:eastAsia="Arial" w:hAnsi="Arial"/>
          <w:sz w:val="19"/>
          <w:szCs w:val="19"/>
          <w:color w:val="auto"/>
        </w:rPr>
        <w:t>As described herein under the heading “Overview,” M&amp;T announced on June 28, 2017 that the Federal Reserve did not object to M&amp;T’s 2017 Capital Plan. Furthermore, on July 18, 2017, M&amp;T’s Board of Directors authorized a new stock repurchase program to repurchase up to $900 million of shares of M&amp;T’s common stock subject to all applicable regulatory limitations, including those set forth in M&amp;T’s 2017 Capital Plan. During 2017, in accordance with the 2017 and 2016 Capital Plans, M&amp;T repurchased 7,369,105 common shares for $1.21 billion. The remaining amount of authorized common share repurchases pursuant to the 2017 Capital Plan at December 31, 2017 totaled $451 million and is expected to be repurchased during the first two quarters of 2018, along with the additional $745 million approved by M&amp;T’s Board of Directors on February 21, 2018. In 2016, M&amp;T repurchased 5,607,595 common shares for $641 million. M&amp;T did not repurchase any shares of its common stock in 2015.</w:t>
      </w:r>
    </w:p>
    <w:p>
      <w:pPr>
        <w:spacing w:after="0" w:line="6" w:lineRule="exact"/>
        <w:rPr>
          <w:sz w:val="20"/>
          <w:szCs w:val="20"/>
          <w:color w:val="auto"/>
        </w:rPr>
      </w:pPr>
    </w:p>
    <w:p>
      <w:pPr>
        <w:ind w:right="100" w:firstLine="598"/>
        <w:spacing w:after="0" w:line="246" w:lineRule="auto"/>
        <w:rPr>
          <w:sz w:val="20"/>
          <w:szCs w:val="20"/>
          <w:color w:val="auto"/>
        </w:rPr>
      </w:pPr>
      <w:r>
        <w:rPr>
          <w:rFonts w:ascii="Arial" w:cs="Arial" w:eastAsia="Arial" w:hAnsi="Arial"/>
          <w:sz w:val="20"/>
          <w:szCs w:val="20"/>
          <w:color w:val="auto"/>
        </w:rPr>
        <w:t>Cash dividends declared on M&amp;T’s common stock totaled $457 million in 2017, compared with $442 million and $375 million in 2016 and 2015, respectively. Dividends per common share totaled $3.00 in 2017, compared with $2.80 in each of 2016 and 2015. Dividends of $73 million in 2017 and $81 million in each of 2016 and 2015 were declared on preferred stock in accordance with the terms of each series. The decline in preferred stock dividends in 2017 from the two immediately preceding years resulted from the lower dividend rate for the $500 million of Series F preferred stock issued in October 2016 as compared with the like-amount of Series D preferred stock that had been redeemed in December 2016.</w:t>
      </w:r>
    </w:p>
    <w:p>
      <w:pPr>
        <w:spacing w:after="0" w:line="5" w:lineRule="exact"/>
        <w:rPr>
          <w:sz w:val="20"/>
          <w:szCs w:val="20"/>
          <w:color w:val="auto"/>
        </w:rPr>
      </w:pPr>
    </w:p>
    <w:p>
      <w:pPr>
        <w:ind w:right="200" w:firstLine="598"/>
        <w:spacing w:after="0" w:line="246" w:lineRule="auto"/>
        <w:rPr>
          <w:sz w:val="20"/>
          <w:szCs w:val="20"/>
          <w:color w:val="auto"/>
        </w:rPr>
      </w:pPr>
      <w:r>
        <w:rPr>
          <w:rFonts w:ascii="Arial" w:cs="Arial" w:eastAsia="Arial" w:hAnsi="Arial"/>
          <w:sz w:val="20"/>
          <w:szCs w:val="20"/>
          <w:color w:val="auto"/>
        </w:rPr>
        <w:t>M&amp;T and its subsidiary banks are required to comply with applicable capital adequacy standards established by the federal banking agencies. Pursuant to those regulations, the minimum capital ratios are as follows:</w:t>
      </w:r>
    </w:p>
    <w:p>
      <w:pPr>
        <w:spacing w:after="0" w:line="2" w:lineRule="exact"/>
        <w:rPr>
          <w:sz w:val="20"/>
          <w:szCs w:val="20"/>
          <w:color w:val="auto"/>
        </w:rPr>
      </w:pPr>
    </w:p>
    <w:p>
      <w:pPr>
        <w:ind w:left="1180" w:hanging="584"/>
        <w:spacing w:after="0"/>
        <w:tabs>
          <w:tab w:leader="none" w:pos="1180" w:val="left"/>
        </w:tabs>
        <w:numPr>
          <w:ilvl w:val="0"/>
          <w:numId w:val="39"/>
        </w:numPr>
        <w:rPr>
          <w:rFonts w:ascii="Arial" w:cs="Arial" w:eastAsia="Arial" w:hAnsi="Arial"/>
          <w:sz w:val="20"/>
          <w:szCs w:val="20"/>
          <w:color w:val="auto"/>
        </w:rPr>
      </w:pPr>
      <w:r>
        <w:rPr>
          <w:rFonts w:ascii="Arial" w:cs="Arial" w:eastAsia="Arial" w:hAnsi="Arial"/>
          <w:sz w:val="20"/>
          <w:szCs w:val="20"/>
          <w:color w:val="auto"/>
        </w:rPr>
        <w:t>4.5% Common Equity Tier 1 (“CET1”) to risk-weighted assets (each as defined in the capital regulations);</w:t>
      </w:r>
    </w:p>
    <w:p>
      <w:pPr>
        <w:spacing w:after="0" w:line="6" w:lineRule="exact"/>
        <w:rPr>
          <w:rFonts w:ascii="Arial" w:cs="Arial" w:eastAsia="Arial" w:hAnsi="Arial"/>
          <w:sz w:val="20"/>
          <w:szCs w:val="20"/>
          <w:color w:val="auto"/>
        </w:rPr>
      </w:pPr>
    </w:p>
    <w:p>
      <w:pPr>
        <w:ind w:left="1180" w:right="700" w:hanging="584"/>
        <w:spacing w:after="0" w:line="246" w:lineRule="auto"/>
        <w:tabs>
          <w:tab w:leader="none" w:pos="1180" w:val="left"/>
        </w:tabs>
        <w:numPr>
          <w:ilvl w:val="0"/>
          <w:numId w:val="39"/>
        </w:numPr>
        <w:rPr>
          <w:rFonts w:ascii="Arial" w:cs="Arial" w:eastAsia="Arial" w:hAnsi="Arial"/>
          <w:sz w:val="20"/>
          <w:szCs w:val="20"/>
          <w:color w:val="auto"/>
        </w:rPr>
      </w:pPr>
      <w:r>
        <w:rPr>
          <w:rFonts w:ascii="Arial" w:cs="Arial" w:eastAsia="Arial" w:hAnsi="Arial"/>
          <w:sz w:val="20"/>
          <w:szCs w:val="20"/>
          <w:color w:val="auto"/>
        </w:rPr>
        <w:t>6.0% Tier 1 capital (that is, CET1 plus Additional Tier 1 capital) to risk-weighted assets (each as defined in the capital regulations);</w:t>
      </w:r>
    </w:p>
    <w:p>
      <w:pPr>
        <w:spacing w:after="0" w:line="1" w:lineRule="exact"/>
        <w:rPr>
          <w:rFonts w:ascii="Arial" w:cs="Arial" w:eastAsia="Arial" w:hAnsi="Arial"/>
          <w:sz w:val="20"/>
          <w:szCs w:val="20"/>
          <w:color w:val="auto"/>
        </w:rPr>
      </w:pPr>
    </w:p>
    <w:p>
      <w:pPr>
        <w:ind w:left="1180" w:right="20" w:hanging="584"/>
        <w:spacing w:after="0" w:line="246" w:lineRule="auto"/>
        <w:tabs>
          <w:tab w:leader="none" w:pos="1180" w:val="left"/>
        </w:tabs>
        <w:numPr>
          <w:ilvl w:val="0"/>
          <w:numId w:val="39"/>
        </w:numPr>
        <w:rPr>
          <w:rFonts w:ascii="Arial" w:cs="Arial" w:eastAsia="Arial" w:hAnsi="Arial"/>
          <w:sz w:val="20"/>
          <w:szCs w:val="20"/>
          <w:color w:val="auto"/>
        </w:rPr>
      </w:pPr>
      <w:r>
        <w:rPr>
          <w:rFonts w:ascii="Arial" w:cs="Arial" w:eastAsia="Arial" w:hAnsi="Arial"/>
          <w:sz w:val="20"/>
          <w:szCs w:val="20"/>
          <w:color w:val="auto"/>
        </w:rPr>
        <w:t>8.0% Total capital (that is, Tier 1 capital plus Tier 2 capital) to risk-weighted assets (each as defined in the capital regulations); and</w:t>
      </w:r>
    </w:p>
    <w:p>
      <w:pPr>
        <w:spacing w:after="0" w:line="1" w:lineRule="exact"/>
        <w:rPr>
          <w:rFonts w:ascii="Arial" w:cs="Arial" w:eastAsia="Arial" w:hAnsi="Arial"/>
          <w:sz w:val="20"/>
          <w:szCs w:val="20"/>
          <w:color w:val="auto"/>
        </w:rPr>
      </w:pPr>
    </w:p>
    <w:p>
      <w:pPr>
        <w:ind w:left="1180" w:right="300" w:hanging="584"/>
        <w:spacing w:after="0" w:line="256" w:lineRule="auto"/>
        <w:tabs>
          <w:tab w:leader="none" w:pos="1180" w:val="left"/>
        </w:tabs>
        <w:numPr>
          <w:ilvl w:val="0"/>
          <w:numId w:val="39"/>
        </w:numPr>
        <w:rPr>
          <w:rFonts w:ascii="Arial" w:cs="Arial" w:eastAsia="Arial" w:hAnsi="Arial"/>
          <w:sz w:val="20"/>
          <w:szCs w:val="20"/>
          <w:color w:val="auto"/>
        </w:rPr>
      </w:pPr>
      <w:r>
        <w:rPr>
          <w:rFonts w:ascii="Arial" w:cs="Arial" w:eastAsia="Arial" w:hAnsi="Arial"/>
          <w:sz w:val="20"/>
          <w:szCs w:val="20"/>
          <w:color w:val="auto"/>
        </w:rPr>
        <w:t>4.0% Tier 1 capital to average consolidated assets as reported on consolidated financial statements (known as the “leverage ratio”), as defined in the capital regulations.</w:t>
      </w:r>
    </w:p>
    <w:p>
      <w:pPr>
        <w:spacing w:after="0" w:line="175" w:lineRule="exact"/>
        <w:rPr>
          <w:sz w:val="20"/>
          <w:szCs w:val="20"/>
          <w:color w:val="auto"/>
        </w:rPr>
      </w:pPr>
    </w:p>
    <w:p>
      <w:pPr>
        <w:ind w:firstLine="598"/>
        <w:spacing w:after="0" w:line="250" w:lineRule="auto"/>
        <w:rPr>
          <w:sz w:val="20"/>
          <w:szCs w:val="20"/>
          <w:color w:val="auto"/>
        </w:rPr>
      </w:pPr>
      <w:r>
        <w:rPr>
          <w:rFonts w:ascii="Arial" w:cs="Arial" w:eastAsia="Arial" w:hAnsi="Arial"/>
          <w:sz w:val="20"/>
          <w:szCs w:val="20"/>
          <w:color w:val="auto"/>
        </w:rPr>
        <w:t>In addition, capital regulations provide for the phase-in of a “capital conservation buffer” composed entirely of CET1 on top of these minimum risk-weighted asset ratios. When fully phased-in on January 1, 2019 the capital conservation buffer will be 2.5%. For 2017, the phase-in transition portion of that buffer was 1.25 %. The regulatory capital amounts and ratios of M&amp;T and its bank subsidiaries as of December 31, 2017 are presented in note 23 of Notes to Financial Statements. A detailed discussion of the regulatory capital rules is included in Part I, Item 1 of this Form 10-K under the heading “Capital Requirements.”</w:t>
      </w:r>
    </w:p>
    <w:p>
      <w:pPr>
        <w:spacing w:after="0" w:line="3" w:lineRule="exact"/>
        <w:rPr>
          <w:sz w:val="20"/>
          <w:szCs w:val="20"/>
          <w:color w:val="auto"/>
        </w:rPr>
      </w:pPr>
    </w:p>
    <w:p>
      <w:pPr>
        <w:ind w:right="280" w:firstLine="598"/>
        <w:spacing w:after="0" w:line="293" w:lineRule="auto"/>
        <w:rPr>
          <w:sz w:val="20"/>
          <w:szCs w:val="20"/>
          <w:color w:val="auto"/>
        </w:rPr>
      </w:pPr>
      <w:r>
        <w:rPr>
          <w:rFonts w:ascii="Arial" w:cs="Arial" w:eastAsia="Arial" w:hAnsi="Arial"/>
          <w:sz w:val="18"/>
          <w:szCs w:val="18"/>
          <w:color w:val="auto"/>
        </w:rPr>
        <w:t>The Company is subject to the comprehensive regulatory framework applicable to bank and financial holding companies and their subsidiaries, which includes regular examinations by a number of federal regulators. Regulation of financial institutions such as M&amp;T and its subsidiaries is intended primarily for the protection of depositors, the Deposit Insurance Fund of the FDIC and the banking and</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96" w:name="page97"/>
    <w:bookmarkEnd w:id="96"/>
    <w:p>
      <w:pPr>
        <w:ind w:right="20"/>
        <w:spacing w:after="0" w:line="270" w:lineRule="auto"/>
        <w:rPr>
          <w:sz w:val="20"/>
          <w:szCs w:val="20"/>
          <w:color w:val="auto"/>
        </w:rPr>
      </w:pPr>
      <w:r>
        <w:rPr>
          <w:rFonts w:ascii="Arial" w:cs="Arial" w:eastAsia="Arial" w:hAnsi="Arial"/>
          <w:sz w:val="19"/>
          <w:szCs w:val="19"/>
          <w:color w:val="auto"/>
        </w:rPr>
        <w:t>financial system as a whole, and generally is not intended for the protection of shareholders, investors or creditors other than insured depositors. Changes in laws, regulations and regulatory policies applicable to the Company’s operations can increase or decrease the cost of doing business, limit or expand permissible activities or affect the competitive environment in which the Company operates, all of which could have a material effect on the business, financial condition or results of operations of the Company and in M&amp;T’s ability to pay dividends. For additional information concerning this comprehensive regulatory framework, refer to Part I, Item 1 of this Form 10-K.</w:t>
      </w: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Fourth Quarter Results</w:t>
      </w:r>
    </w:p>
    <w:p>
      <w:pPr>
        <w:spacing w:after="0" w:line="29" w:lineRule="exact"/>
        <w:rPr>
          <w:sz w:val="20"/>
          <w:szCs w:val="20"/>
          <w:color w:val="auto"/>
        </w:rPr>
      </w:pPr>
    </w:p>
    <w:p>
      <w:pPr>
        <w:ind w:right="60"/>
        <w:spacing w:after="0" w:line="274" w:lineRule="auto"/>
        <w:rPr>
          <w:sz w:val="20"/>
          <w:szCs w:val="20"/>
          <w:color w:val="auto"/>
        </w:rPr>
      </w:pPr>
      <w:r>
        <w:rPr>
          <w:rFonts w:ascii="Arial" w:cs="Arial" w:eastAsia="Arial" w:hAnsi="Arial"/>
          <w:sz w:val="18"/>
          <w:szCs w:val="18"/>
          <w:color w:val="auto"/>
        </w:rPr>
        <w:t>Net income during the fourth quarter of 2017 was $322 million, compared with $331 million in the year-earlier quarter. Diluted and basic earnings per common share were each $2.01 in 2017’s final quarter, compared with diluted and basic earnings per common share of $1.98 in the corresponding 2016 quarter. The annualized rates of return on average assets and average common shareholders’ equity for the fourth quarter of 2017 were 1.06% and 8.03%, respectively, compared with 1.05% and 8.13%, respectively, in the final quarter of 2016.</w:t>
      </w:r>
    </w:p>
    <w:p>
      <w:pPr>
        <w:spacing w:after="0" w:line="1" w:lineRule="exact"/>
        <w:rPr>
          <w:sz w:val="20"/>
          <w:szCs w:val="20"/>
          <w:color w:val="auto"/>
        </w:rPr>
      </w:pPr>
    </w:p>
    <w:p>
      <w:pPr>
        <w:ind w:right="20" w:firstLine="598"/>
        <w:spacing w:after="0" w:line="274" w:lineRule="auto"/>
        <w:rPr>
          <w:sz w:val="20"/>
          <w:szCs w:val="20"/>
          <w:color w:val="auto"/>
        </w:rPr>
      </w:pPr>
      <w:r>
        <w:rPr>
          <w:rFonts w:ascii="Arial" w:cs="Arial" w:eastAsia="Arial" w:hAnsi="Arial"/>
          <w:sz w:val="18"/>
          <w:szCs w:val="18"/>
          <w:color w:val="auto"/>
        </w:rPr>
        <w:t>Net operating income during the fourth quarter of 2017 was $327 million, compared with $336 million in the similar 2016 quarter. Diluted net operating earnings per common share were $2.04 and $2.01 in the fourth quarters of 2017 and 2016, respectively. The annualized net operating returns on average tangible assets and average tangible common equity in the last three months of 2017 were 1.12% and</w:t>
      </w:r>
    </w:p>
    <w:p>
      <w:pPr>
        <w:spacing w:after="0" w:line="1" w:lineRule="exact"/>
        <w:rPr>
          <w:sz w:val="20"/>
          <w:szCs w:val="20"/>
          <w:color w:val="auto"/>
        </w:rPr>
      </w:pPr>
    </w:p>
    <w:p>
      <w:pPr>
        <w:ind w:right="60"/>
        <w:spacing w:after="0" w:line="246" w:lineRule="auto"/>
        <w:rPr>
          <w:sz w:val="20"/>
          <w:szCs w:val="20"/>
          <w:color w:val="auto"/>
        </w:rPr>
      </w:pPr>
      <w:r>
        <w:rPr>
          <w:rFonts w:ascii="Arial" w:cs="Arial" w:eastAsia="Arial" w:hAnsi="Arial"/>
          <w:sz w:val="20"/>
          <w:szCs w:val="20"/>
          <w:color w:val="auto"/>
        </w:rPr>
        <w:t>11.77%, respectively, compared with 1.10% and 11.93%, respectively, in the like period of 2016. Reconciliations of GAAP results with non-GAAP results for the quarterly periods of 2017 and 2016 are provided in table 23.</w:t>
      </w:r>
    </w:p>
    <w:p>
      <w:pPr>
        <w:spacing w:after="0" w:line="2" w:lineRule="exact"/>
        <w:rPr>
          <w:sz w:val="20"/>
          <w:szCs w:val="20"/>
          <w:color w:val="auto"/>
        </w:rPr>
      </w:pPr>
    </w:p>
    <w:p>
      <w:pPr>
        <w:ind w:right="60" w:firstLine="598"/>
        <w:spacing w:after="0" w:line="274" w:lineRule="auto"/>
        <w:rPr>
          <w:sz w:val="20"/>
          <w:szCs w:val="20"/>
          <w:color w:val="auto"/>
        </w:rPr>
      </w:pPr>
      <w:r>
        <w:rPr>
          <w:rFonts w:ascii="Arial" w:cs="Arial" w:eastAsia="Arial" w:hAnsi="Arial"/>
          <w:sz w:val="18"/>
          <w:szCs w:val="18"/>
          <w:color w:val="auto"/>
        </w:rPr>
        <w:t>Taxable-equivalent net interest income totaled $980 million in the final quarter of 2017, up 11% from $883 million recorded in the year-earlier period. That growth was attributable to a 48 basis point widening of net interest margin to 3.56% in the fourth quarter of 2017 from</w:t>
      </w:r>
    </w:p>
    <w:p>
      <w:pPr>
        <w:ind w:right="60"/>
        <w:spacing w:after="0" w:line="290" w:lineRule="auto"/>
        <w:rPr>
          <w:sz w:val="20"/>
          <w:szCs w:val="20"/>
          <w:color w:val="auto"/>
        </w:rPr>
      </w:pPr>
      <w:r>
        <w:rPr>
          <w:rFonts w:ascii="Arial" w:cs="Arial" w:eastAsia="Arial" w:hAnsi="Arial"/>
          <w:sz w:val="17"/>
          <w:szCs w:val="17"/>
          <w:color w:val="auto"/>
        </w:rPr>
        <w:t>3.08% in the year-earlier quarter. Partially offsetting the favorable impact of the higher margin was a 4% decline in average earning assets from $114.3 billion in the fourth quarter of 2016 to $109.4 billion in the final 2017 quarter. Average commercial loan and lease balances were $21.6 billion in the recent quarter, down $375 million or 2% from $21.9 billion in the last quarter of 2016. Average balances of commercial real estate loans aggregated $33.1 billion in the fourth quarter of 2017, $316 million or 1% higher than $32.8 billion in the year-earlier quarter. Included in the commercial real estate loan portfolio were average balances of loans held for sale of $259 million in the final 2017 quarter, compared with $524 million in the year-earlier period. Average residential real estate loan balances decreased $3.1 billion to $20.0 billion in 2017’s fourth quarter from $23.1 billion in the similar quarter of 2016, reflecting ongoing repayments of loans obtained in the acquisition of Hudson</w:t>
      </w:r>
    </w:p>
    <w:p>
      <w:pPr>
        <w:spacing w:after="0" w:line="2" w:lineRule="exact"/>
        <w:rPr>
          <w:sz w:val="20"/>
          <w:szCs w:val="20"/>
          <w:color w:val="auto"/>
        </w:rPr>
      </w:pPr>
    </w:p>
    <w:p>
      <w:pPr>
        <w:spacing w:after="0" w:line="262" w:lineRule="auto"/>
        <w:rPr>
          <w:sz w:val="20"/>
          <w:szCs w:val="20"/>
          <w:color w:val="auto"/>
        </w:rPr>
      </w:pPr>
      <w:r>
        <w:rPr>
          <w:rFonts w:ascii="Arial" w:cs="Arial" w:eastAsia="Arial" w:hAnsi="Arial"/>
          <w:sz w:val="19"/>
          <w:szCs w:val="19"/>
          <w:color w:val="auto"/>
        </w:rPr>
        <w:t>City. Included in the residential real estate loan portfolio were average balances of loans held for sale of $372 million and $410 million in the fourth quarters of 2017 and 2016, respectively. Consumer loans averaged $13.2 billion in the final 2017 quarter, up $1.0 billion, or 9%, from the last three months of 2016. That increase resulted from higher average balances of automobile and recreational vehicle loans. Total loans and leases at December 31, 2017 increased $64 million to $88.0 billion from $87.9 billion at September 30, 2017. Higher commercial real estate and consumer loans were predominantly offset by lower residential real estate loans, reflecting ongoing repayments of loans obtained in the Hudson City acquisition. The net interest spread widened in the fourth quarter of 2017 to 3.34%, up 46 basis points from 2.88% in the year-earlier quarter. The yield on earning assets in the final three months of 2017 was 3.93%, up 48 basis points from the corresponding 2016 quarter. That rise reflects the impact of increases in short-term interest rates initiated by the Federal Reserve in mid-December 2016 and in 2017 that contributed to higher yields on loans and leases. The rate paid on interest-bearing liabilities in the 2017’s fourth quarter was .59%, up two basis points from .57% in the similar 2016 quarter. That</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00"/>
          </w:cols>
          <w:pgMar w:left="240" w:top="336" w:right="259" w:bottom="1440" w:gutter="0" w:footer="0" w:header="0"/>
        </w:sectPr>
      </w:pPr>
    </w:p>
    <w:bookmarkStart w:id="97" w:name="page98"/>
    <w:bookmarkEnd w:id="97"/>
    <w:p>
      <w:pPr>
        <w:ind w:right="220"/>
        <w:spacing w:after="0" w:line="253" w:lineRule="auto"/>
        <w:rPr>
          <w:sz w:val="20"/>
          <w:szCs w:val="20"/>
          <w:color w:val="auto"/>
        </w:rPr>
      </w:pPr>
      <w:r>
        <w:rPr>
          <w:rFonts w:ascii="Arial" w:cs="Arial" w:eastAsia="Arial" w:hAnsi="Arial"/>
          <w:sz w:val="20"/>
          <w:szCs w:val="20"/>
          <w:color w:val="auto"/>
        </w:rPr>
        <w:t>increase was largely due to higher rates paid on deposits. The contribution of net interest-free funds to the Company’s net interest margin was .22% and .20% in the fourth quarters of 2017 and 2016, respectively. As a result, the Company’s net interest margin widened to 3.56% in the final quarter of 2017 from 3.08% in the corresponding 2016 period.</w:t>
      </w:r>
    </w:p>
    <w:p>
      <w:pPr>
        <w:ind w:firstLine="598"/>
        <w:spacing w:after="0" w:line="259" w:lineRule="auto"/>
        <w:rPr>
          <w:sz w:val="20"/>
          <w:szCs w:val="20"/>
          <w:color w:val="auto"/>
        </w:rPr>
      </w:pPr>
      <w:r>
        <w:rPr>
          <w:rFonts w:ascii="Arial" w:cs="Arial" w:eastAsia="Arial" w:hAnsi="Arial"/>
          <w:sz w:val="19"/>
          <w:szCs w:val="19"/>
          <w:color w:val="auto"/>
        </w:rPr>
        <w:t>The provision for credit losses in the final quarter of 2017 was $31 million, compared with $62 million in the year-earlier period. Net loan charge-offs were $27 million in the last three months of 2017, representing an annualized .12% of average loans and leases outstanding, compared with $49 million or .22% during the similar period of 2016. Net charge-offs in the fourth quarters of 2017 and 2016 included: residential real estate loans of $2 million in 2017 and $5 million in 2016; net recoveries of previously charged-off commercial real estate loans of $4 million in 2017, compared with net charge-offs of $1 million in 2016; net charge-offs of commercial loans of $5 million in 2017 and $17 million in 2016; and net charge-offs of consumer loans of $25 million and $26 million in 2017 and 2016, respectively. The net recoveries of commercial real estate loans in 2017’s final quarter reflected $4 million of recoveries on a previously charged-off loan to a residential builder and developer. Net charge-offs of commercial loans and leases in the fourth quarter of 2016 included a $12 million charge-off associated with a multi-regional manufacturer of refractory brick and other castable products.</w:t>
      </w:r>
    </w:p>
    <w:p>
      <w:pPr>
        <w:spacing w:after="0" w:line="6" w:lineRule="exact"/>
        <w:rPr>
          <w:sz w:val="20"/>
          <w:szCs w:val="20"/>
          <w:color w:val="auto"/>
        </w:rPr>
      </w:pPr>
    </w:p>
    <w:p>
      <w:pPr>
        <w:ind w:right="180" w:firstLine="598"/>
        <w:spacing w:after="0" w:line="259" w:lineRule="auto"/>
        <w:rPr>
          <w:sz w:val="20"/>
          <w:szCs w:val="20"/>
          <w:color w:val="auto"/>
        </w:rPr>
      </w:pPr>
      <w:r>
        <w:rPr>
          <w:rFonts w:ascii="Arial" w:cs="Arial" w:eastAsia="Arial" w:hAnsi="Arial"/>
          <w:sz w:val="19"/>
          <w:szCs w:val="19"/>
          <w:color w:val="auto"/>
        </w:rPr>
        <w:t>Other income aggregated $484 million in the fourth quarter of 2017, up 4% from $465 million in the year-earlier period. That improvement resulted predominantly from increased gains on bank investment securities and higher trust income. An $18 million gain was recognized on the sale of a portion of the Company’s Fannie Mae and Freddie Mac preferred stock holdings in December 2017. The $8 million increase in trust income was primarily the result of higher revenues in the ICS business, reflecting increased fees earned from sales activities, and the WAS business, reflecting stronger sales activities and improved equity market performance.</w:t>
      </w:r>
    </w:p>
    <w:p>
      <w:pPr>
        <w:spacing w:after="0" w:line="4" w:lineRule="exact"/>
        <w:rPr>
          <w:sz w:val="20"/>
          <w:szCs w:val="20"/>
          <w:color w:val="auto"/>
        </w:rPr>
      </w:pPr>
    </w:p>
    <w:p>
      <w:pPr>
        <w:ind w:firstLine="598"/>
        <w:spacing w:after="0" w:line="262" w:lineRule="auto"/>
        <w:rPr>
          <w:sz w:val="20"/>
          <w:szCs w:val="20"/>
          <w:color w:val="auto"/>
        </w:rPr>
      </w:pPr>
      <w:r>
        <w:rPr>
          <w:rFonts w:ascii="Arial" w:cs="Arial" w:eastAsia="Arial" w:hAnsi="Arial"/>
          <w:sz w:val="19"/>
          <w:szCs w:val="19"/>
          <w:color w:val="auto"/>
        </w:rPr>
        <w:t>Other expense totaled $796 million during the fourth quarter of 2017, compared with $769 million in the year-earlier quarter. Included in such amounts are expenses considered to be “nonoperating” in nature consisting of amortization of core deposit and other intangible assets of $7 million and $9 million during the quarters ended December 31, 2017 and 2016, respectively. Exclusive of those nonoperating expenses, noninterest operating expenses were $789 million in the final 2017 quarter, compared with $760 million in the year-earlier quarter. That increase reflects higher contributions to The M&amp;T Charitable Foundation in 2017 and increased expenses for salaries and employee benefits. The rise in salaries and employee benefits expenses in the last three months of 2017 as compared with the year-earlier period was largely attributable to the impact of annual merit increases. The Company’s efficiency ratio during the fourth quarters of 2017 and 2016 was 54.7% and 56.4%, respectively. Table 23 includes a reconciliation of other expense to noninterest operating expense and the calculation of the efficiency ratio for each of the quarters of 2017 and 2016.</w:t>
      </w:r>
    </w:p>
    <w:p>
      <w:pPr>
        <w:spacing w:after="0" w:line="3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Segment Information</w:t>
      </w:r>
    </w:p>
    <w:p>
      <w:pPr>
        <w:spacing w:after="0" w:line="247" w:lineRule="exact"/>
        <w:rPr>
          <w:sz w:val="20"/>
          <w:szCs w:val="20"/>
          <w:color w:val="auto"/>
        </w:rPr>
      </w:pPr>
    </w:p>
    <w:p>
      <w:pPr>
        <w:ind w:right="180"/>
        <w:spacing w:after="0" w:line="250" w:lineRule="auto"/>
        <w:rPr>
          <w:sz w:val="20"/>
          <w:szCs w:val="20"/>
          <w:color w:val="auto"/>
        </w:rPr>
      </w:pPr>
      <w:r>
        <w:rPr>
          <w:rFonts w:ascii="Arial" w:cs="Arial" w:eastAsia="Arial" w:hAnsi="Arial"/>
          <w:sz w:val="20"/>
          <w:szCs w:val="20"/>
          <w:color w:val="auto"/>
        </w:rPr>
        <w:t>In accordance with GAAP, the Company’s reportable segments have been determined based upon its internal profitability reporting system, which is organized by strategic business unit. Certain strategic business units have been combined for segment information reporting purposes where the nature of the products and services, the type of customer, and the distribution of those products and services are similar. The reportable segments are Business Banking, Commercial Banking, Commercial Real Estate, Discretionary Portfolio, Residential Mortgage Banking and Retail Banking.</w:t>
      </w:r>
    </w:p>
    <w:p>
      <w:pPr>
        <w:spacing w:after="0" w:line="3" w:lineRule="exact"/>
        <w:rPr>
          <w:sz w:val="20"/>
          <w:szCs w:val="20"/>
          <w:color w:val="auto"/>
        </w:rPr>
      </w:pPr>
    </w:p>
    <w:p>
      <w:pPr>
        <w:ind w:right="500" w:firstLine="878"/>
        <w:spacing w:after="0" w:line="256" w:lineRule="auto"/>
        <w:rPr>
          <w:sz w:val="20"/>
          <w:szCs w:val="20"/>
          <w:color w:val="auto"/>
        </w:rPr>
      </w:pPr>
      <w:r>
        <w:rPr>
          <w:rFonts w:ascii="Arial" w:cs="Arial" w:eastAsia="Arial" w:hAnsi="Arial"/>
          <w:sz w:val="20"/>
          <w:szCs w:val="20"/>
          <w:color w:val="auto"/>
        </w:rPr>
        <w:t>The financial information of the Company’s segments was compiled utilizing the accounting policies described in note 22 of Notes to Financial Statements. The management accounting policies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98" w:name="page99"/>
    <w:bookmarkEnd w:id="98"/>
    <w:p>
      <w:pPr>
        <w:ind w:right="120"/>
        <w:spacing w:after="0" w:line="249" w:lineRule="auto"/>
        <w:rPr>
          <w:sz w:val="20"/>
          <w:szCs w:val="20"/>
          <w:color w:val="auto"/>
        </w:rPr>
      </w:pPr>
      <w:r>
        <w:rPr>
          <w:rFonts w:ascii="Arial" w:cs="Arial" w:eastAsia="Arial" w:hAnsi="Arial"/>
          <w:sz w:val="20"/>
          <w:szCs w:val="20"/>
          <w:color w:val="auto"/>
        </w:rPr>
        <w:t>and processes utilized in compiling segment financial information are highly subjective and, unlike financial accounting, are not based on authoritative guidance similar to GAAP. As a result, reported segments and the financial information of the reported segments are not necessarily comparable with similar information reported by other financial institutions. Furthermore, changes in management structure or allocation methodologies and procedures may result in changes in reported segment financial data. During 2017, the Company revised its funds transfer pricing allocation related to certain deposit categories. Accordingly, prior period financial information for 2016 and 2015 has been reclassified to provide segment information on a comparable basis. Financial information about the Company’s segments is presented in note 22 of Notes to Financial Statements.</w:t>
      </w:r>
    </w:p>
    <w:p>
      <w:pPr>
        <w:spacing w:after="0" w:line="3" w:lineRule="exact"/>
        <w:rPr>
          <w:sz w:val="20"/>
          <w:szCs w:val="20"/>
          <w:color w:val="auto"/>
        </w:rPr>
      </w:pPr>
    </w:p>
    <w:p>
      <w:pPr>
        <w:ind w:right="60" w:firstLine="878"/>
        <w:spacing w:after="0" w:line="259" w:lineRule="auto"/>
        <w:rPr>
          <w:sz w:val="20"/>
          <w:szCs w:val="20"/>
          <w:color w:val="auto"/>
        </w:rPr>
      </w:pPr>
      <w:r>
        <w:rPr>
          <w:rFonts w:ascii="Arial" w:cs="Arial" w:eastAsia="Arial" w:hAnsi="Arial"/>
          <w:sz w:val="19"/>
          <w:szCs w:val="19"/>
          <w:color w:val="auto"/>
        </w:rPr>
        <w:t>The Business Banking segment provides a wide range of services to small businesses and professionals within markets served by the Company through the Company’s branch network, business banking centers and other delivery channels such as telephone banking, Internet banking and automated teller machines. Services and products offered by this segment include various business loans and leases, including loans guaranteed by the Small Business Administration, business credit cards, deposit products, and financial services such as cash management, payroll and direct deposit, merchant credit card and letters of credit. The Business Banking segment contributed net income of $116 million in 2017, up 12% from $104 million in 2016. That improvement resulted from a $22 million increase in net interest income, reflecting a widening of the net interest margin, and higher merchant discount and credit card fees. This segment recorded net income of $110 million in 2015. The 5% decline in net income in 2016 as compared with 2015 was attributable to higher centrally-allocated costs largely associated with the acquired Hudson City operations, an increase in FDIC assessments of $3 million and higher personnel costs and advertising and marketing expenses of $2 million each, offset, in part, by a $15 million rise in net interest income and a $3 million decline in the provision for credit losses. The growth in net interest income reflected an increase in average outstanding deposit balances of $986 million.</w:t>
      </w:r>
    </w:p>
    <w:p>
      <w:pPr>
        <w:spacing w:after="0" w:line="9" w:lineRule="exact"/>
        <w:rPr>
          <w:sz w:val="20"/>
          <w:szCs w:val="20"/>
          <w:color w:val="auto"/>
        </w:rPr>
      </w:pPr>
    </w:p>
    <w:p>
      <w:pPr>
        <w:ind w:firstLine="878"/>
        <w:spacing w:after="0" w:line="259" w:lineRule="auto"/>
        <w:rPr>
          <w:sz w:val="20"/>
          <w:szCs w:val="20"/>
          <w:color w:val="auto"/>
        </w:rPr>
      </w:pPr>
      <w:r>
        <w:rPr>
          <w:rFonts w:ascii="Arial" w:cs="Arial" w:eastAsia="Arial" w:hAnsi="Arial"/>
          <w:sz w:val="19"/>
          <w:szCs w:val="19"/>
          <w:color w:val="auto"/>
        </w:rPr>
        <w:t>The Commercial Banking segment provides a wide range of credit products and banking services for middle-market and large commercial customers, mainly within the markets served by the Company. Services provided by this segment include commercial lending and leasing, letters of credit, deposit products, and cash management services. The Commercial Banking segment recorded net income of $437 million in 2017, compared with $411 million in 2016. That 6% improvement resulted from a $24 million increase in net interest income and a lower provision for credit losses of $23 million. Those favorable factors were partially offset by higher allocated operating expenses associated with data processing, risk management and other support services provided to the Commercial Banking segment. The increase in net interest income resulted from a widening of the net interest margin on deposits of 32 basis points and higher average outstanding loan balances of $961 million offset, in part, by a narrowing of the net interest margin on loans of 15 basis points. Net income for the Commercial Banking segment totaled $431 million in 2015. The 5% decline in net income from 2015 to 2016 reflects the following factors: lower letter of credit and other credit-related fees of $15 million, largely due to loan syndication fees; higher FDIC assessments of $13 million; an increase in the provision for credit losses of $10 million; lower gains on the sale of previously leased equipment of $9 million; an increase in personnel costs of $5 million; and higher allocated operating expenses associated with data processing, risk management and other support services provided to the Commercial Banking segment. Those unfavorable factors were largely offset by a $32 million rise in net interest income and a $4 million increase in corporate advisory fees. The higher net interest income resulted from higher average outstanding loan and deposit balances of $1.4 billion and $794 million, respectively.</w:t>
      </w:r>
    </w:p>
    <w:p>
      <w:pPr>
        <w:spacing w:after="0" w:line="11" w:lineRule="exact"/>
        <w:rPr>
          <w:sz w:val="20"/>
          <w:szCs w:val="20"/>
          <w:color w:val="auto"/>
        </w:rPr>
      </w:pPr>
    </w:p>
    <w:p>
      <w:pPr>
        <w:ind w:right="260" w:firstLine="878"/>
        <w:spacing w:after="0" w:line="251" w:lineRule="auto"/>
        <w:rPr>
          <w:sz w:val="20"/>
          <w:szCs w:val="20"/>
          <w:color w:val="auto"/>
        </w:rPr>
      </w:pPr>
      <w:r>
        <w:rPr>
          <w:rFonts w:ascii="Arial" w:cs="Arial" w:eastAsia="Arial" w:hAnsi="Arial"/>
          <w:sz w:val="20"/>
          <w:szCs w:val="20"/>
          <w:color w:val="auto"/>
        </w:rPr>
        <w:t>The Commercial Real Estate segment provides credit and deposit services to its customers. Real estate securing loans in this segment is generally located in New York State, Maryland, New Jersey, Pennsylvania, Delaware, Connecticut, Virginia, West Virginia, the District of Columbia and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99" w:name="page100"/>
    <w:bookmarkEnd w:id="99"/>
    <w:p>
      <w:pPr>
        <w:spacing w:after="0" w:line="275" w:lineRule="auto"/>
        <w:rPr>
          <w:sz w:val="20"/>
          <w:szCs w:val="20"/>
          <w:color w:val="auto"/>
        </w:rPr>
      </w:pPr>
      <w:r>
        <w:rPr>
          <w:rFonts w:ascii="Arial" w:cs="Arial" w:eastAsia="Arial" w:hAnsi="Arial"/>
          <w:sz w:val="18"/>
          <w:szCs w:val="18"/>
          <w:color w:val="auto"/>
        </w:rPr>
        <w:t>the western portion of the United States. Commercial real estate loans may be secured by apartment/multifamily buildings; office, retail and industrial space; or other types of collateral. Activities of this segment also include the origination, sales and servicing of commercial real estate loans through the Fannie Mae DUS program and other programs. Commercial real estate loans held for sale are included in this segment. Net income for the Commercial Real Estate segment was $364 million in 2017, up 4% from $350 million in 2016. That improvement resulted from higher net interest income of $41 million and a lower provision for credit losses of $4 million, offset in part, by lower trading account and foreign exchange gains of $11 million, largely due to decreased volumes of interest rate swap transactions executed by commercial customers, and higher operating expenses. The increase in net interest income was attributable to a $1.5 billion increase in average loan balances and a 38 basis point widening of the net interest margin on deposits, offset, in part, by a seven basis point narrowing of the net interest margin on loans. This segment’s net income increased 3% in 2016 from $341 million in 2015. That improvement resulted from: a rise in net interest income of $30 million; higher mortgage banking revenues of $27 million, resulting from increased loan origination activities; and higher trading account and foreign exchange gains of $8 million, largely due to increased volumes of interest rate swap transactions executed by commercial customers. Those favorable factors were partially offset by increased FDIC assessments of $14 million, a $10 million rise in personnel-related expenses, a $5 million increase in the provision for credit losses and higher allocated operating expenses associated with data processing, risk management and other support services provided to the Commercial Real Estate segment. The higher net interest income was attributable to a $2.3 billion increase in average loan balances and a 19 basis point widening of the net interest margin on deposits, offset, in part, by a 22 basis point narrowing of the net interest margin on loans.</w:t>
      </w:r>
    </w:p>
    <w:p>
      <w:pPr>
        <w:spacing w:after="0" w:line="7" w:lineRule="exact"/>
        <w:rPr>
          <w:sz w:val="20"/>
          <w:szCs w:val="20"/>
          <w:color w:val="auto"/>
        </w:rPr>
      </w:pPr>
    </w:p>
    <w:p>
      <w:pPr>
        <w:ind w:right="20" w:firstLine="878"/>
        <w:spacing w:after="0" w:line="274" w:lineRule="auto"/>
        <w:rPr>
          <w:sz w:val="20"/>
          <w:szCs w:val="20"/>
          <w:color w:val="auto"/>
        </w:rPr>
      </w:pPr>
      <w:r>
        <w:rPr>
          <w:rFonts w:ascii="Arial" w:cs="Arial" w:eastAsia="Arial" w:hAnsi="Arial"/>
          <w:sz w:val="18"/>
          <w:szCs w:val="18"/>
          <w:color w:val="auto"/>
        </w:rPr>
        <w:t>The Discretionary Portfolio segment includes investment and trading account securities, residential real estate loans and other assets; short-term and long-term borrowed funds; brokered deposits; and Cayman Islands office deposits. This segment also provides foreign exchange services to customers. Net income of the Discretionary Portfolio segment aggregated $135 million in 2017 and $164 million in 2016. The decline in net income in 2017 was due to a $69 million decrease in net interest income, reflecting a $3.5 billion decrease in average loan balances and a 10 basis point narrowing of the net interest margin on loans, and lower gains realized on investment securities. The decline in average loan balances resulted from ongoing repayments of loans obtained in the Hudson City acquisition. Those unfavorable factors were partially offset by lower loan and other real estate-related servicing costs. The Discretionary Portfolio segment recorded net income of $59 million in 2015. The improved performance of this segment in 2016 as compared with 2015 was due to a $248 million rise in net interest income, which reflects the impact of residential real estate loans obtained in the acquisition of Hudson City, and higher gains realized on investment securities. Those favorable factors were partially offset by increases of $25 million in the provision for credit losses and $16 million in FDIC assessments, and higher loan and other real estate servicing costs.</w:t>
      </w:r>
    </w:p>
    <w:p>
      <w:pPr>
        <w:spacing w:after="0" w:line="2" w:lineRule="exact"/>
        <w:rPr>
          <w:sz w:val="20"/>
          <w:szCs w:val="20"/>
          <w:color w:val="auto"/>
        </w:rPr>
      </w:pPr>
    </w:p>
    <w:p>
      <w:pPr>
        <w:ind w:firstLine="878"/>
        <w:spacing w:after="0" w:line="279" w:lineRule="auto"/>
        <w:rPr>
          <w:sz w:val="20"/>
          <w:szCs w:val="20"/>
          <w:color w:val="auto"/>
        </w:rPr>
      </w:pPr>
      <w:r>
        <w:rPr>
          <w:rFonts w:ascii="Arial" w:cs="Arial" w:eastAsia="Arial" w:hAnsi="Arial"/>
          <w:sz w:val="18"/>
          <w:szCs w:val="18"/>
          <w:color w:val="auto"/>
        </w:rPr>
        <w:t>The Residential Mortgage Banking segment originates and services residential mortgage loans and sells substantially all of those loans in the secondary market to investors or to the Discretionary Portfolio segment. In addition to the geographic regions served by or contiguous with the Company’s branch network, the Company maintains mortgage loan origination offices in several western states. The Company periodically purchases the rights to service loans and also sub-services residential real estate loans for others. Residential real estate loans held for sale are included in this segment. The Residential Mortgage Banking segment’s net income declined 18% to $46 million in 2017 from $55 million in 2016. That decline reflected lower revenues from mortgage origination and sales activities of $14 million and from servicing residential real estate loans of $6 million (each including intersegment revenues). Partially offsetting those unfavorable factors were lower expenses associated with intersegment loan servicing. Net income for the Residential Mortgage Banking</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00" w:name="page101"/>
    <w:bookmarkEnd w:id="100"/>
    <w:p>
      <w:pPr>
        <w:ind w:right="80"/>
        <w:spacing w:after="0" w:line="284" w:lineRule="auto"/>
        <w:rPr>
          <w:sz w:val="20"/>
          <w:szCs w:val="20"/>
          <w:color w:val="auto"/>
        </w:rPr>
      </w:pPr>
      <w:r>
        <w:rPr>
          <w:rFonts w:ascii="Arial" w:cs="Arial" w:eastAsia="Arial" w:hAnsi="Arial"/>
          <w:sz w:val="18"/>
          <w:szCs w:val="18"/>
          <w:color w:val="auto"/>
        </w:rPr>
        <w:t>segment in 2016 was down 25% from $74 million in 2015. That decline reflected lower revenues from servicing residential real estate loans for unaffiliated parties of $23 million and a $10 million decrease in net interest income offset, in part, by increased intersegment revenues.</w:t>
      </w:r>
    </w:p>
    <w:p>
      <w:pPr>
        <w:spacing w:after="0" w:line="1" w:lineRule="exact"/>
        <w:rPr>
          <w:sz w:val="20"/>
          <w:szCs w:val="20"/>
          <w:color w:val="auto"/>
        </w:rPr>
      </w:pPr>
    </w:p>
    <w:p>
      <w:pPr>
        <w:ind w:firstLine="878"/>
        <w:spacing w:after="0" w:line="259" w:lineRule="auto"/>
        <w:rPr>
          <w:sz w:val="20"/>
          <w:szCs w:val="20"/>
          <w:color w:val="auto"/>
        </w:rPr>
      </w:pPr>
      <w:r>
        <w:rPr>
          <w:rFonts w:ascii="Arial" w:cs="Arial" w:eastAsia="Arial" w:hAnsi="Arial"/>
          <w:sz w:val="19"/>
          <w:szCs w:val="19"/>
          <w:color w:val="auto"/>
        </w:rPr>
        <w:t>The Retail Banking segment offers a variety of services to consumers through several delivery channels which include branch offices, automated teller machines, telephone, mobile and Internet banking. The Company has branch offices in New York State, Maryland, New Jersey, Pennsylvania, Delaware, Connecticut, Virginia, West Virginia and the District of Columbia. Credit services offered by this segment include consumer installment loans, automobile and recreational vehicle loans (originated both directly and indirectly through dealers), home equity loans and lines of credit, and credit cards. The segment also offers to its customers deposit products, including demand, savings and time accounts; investment products, including mutual funds and annuities; and other services. Net income for the Retail Banking segment totaled $377 million in 2017, up 28% from $294 million in 2016. That improvement was predominately due to an increase in net interest income of $103 million, a $13 million decrease in the provision for credit losses and lower personnel-related expenses of $7 million. The higher net interest income was primarily due to a widening of the net interest margin on deposits of 34 basis points offset, in part, by lower average outstanding deposit balances of $3.4 billion reflecting net maturities of time deposits obtained in the Hudson City acquisition. This segment’s net income was up 2% in 2016 from $288 million in 2015. The rise in net income 2016 as compared with 2015 reflected an increase in net interest income of $156 million, predominantly due to the impact of deposits obtained in the acquisition of Hudson City. That benefit was largely offset by the following unfavorable factors: a $47 million rise in the provision for credit losses, including partial charge-offs of $32 million recognized on loans for which the customer was either bankrupt or deceased; increases in expenses for personnel, equipment and net occupancy, and advertising and marketing of $45 million, $18 million and $11 million, respectively, that include the impact of the expanded operations associated with the acquisition of Hudson City; higher FDIC assessments of $10 million; and higher allocated operating expenses associated with data processing, risk management and other support services provided from centralized service areas.</w:t>
      </w:r>
    </w:p>
    <w:p>
      <w:pPr>
        <w:spacing w:after="0" w:line="13" w:lineRule="exact"/>
        <w:rPr>
          <w:sz w:val="20"/>
          <w:szCs w:val="20"/>
          <w:color w:val="auto"/>
        </w:rPr>
      </w:pPr>
    </w:p>
    <w:p>
      <w:pPr>
        <w:ind w:right="20" w:firstLine="878"/>
        <w:spacing w:after="0" w:line="261" w:lineRule="auto"/>
        <w:rPr>
          <w:sz w:val="20"/>
          <w:szCs w:val="20"/>
          <w:color w:val="auto"/>
        </w:rPr>
      </w:pPr>
      <w:r>
        <w:rPr>
          <w:rFonts w:ascii="Arial" w:cs="Arial" w:eastAsia="Arial" w:hAnsi="Arial"/>
          <w:sz w:val="19"/>
          <w:szCs w:val="19"/>
          <w:color w:val="auto"/>
        </w:rPr>
        <w:t>The “All Other” category reflects other activities of the Company that are not directly attributable to the reported segments. Reflected in this category are the amortization of core deposit and other intangible assets resulting from the acquisitions of financial institutions, M&amp;T’s share of the operating results of BLG, merger-related expenses resulting from acquisitions, and the net impact of the Company’s allocation methodologies for internal transfers for funding charges and credits associated with the earning assets and interest-bearing liabilities of the Company’s reportable segments and the provision for credit losses. The “All Other” category also includes trust income of the Company that reflects the ICS and WAS business activities. The various components of the “All Other” category resulted in net losses of $66 million, $64 million and $223 million in 2017, 2016 and 2015, respectively. The modestly higher net loss in 2017 as compared with 2016 reflected the incremental income tax expense of $85 million recorded as a result of the enactment of the Tax Act, higher legal-related and professional services costs of $95 million, including additions to the reserve for legal matters, and an increase in personnel-related expenses. Partially offsetting those unfavorable factors were: lower merger-related expenses of $36 million (there were no such expenses in 2017); higher trust income of $29 million in 2017; tax benefits of $22 million recognized in 2017 associated with the adoption of new accounting guidance requiring that excess tax benefits associated with share-based compensation be recognized in income tax expense in the income statement; and the favorable impact from the Company’s allocation methodologies. The improved performance in 2016 as compared with 2015 was predominantly due to the favorable impact from the Company’s allocation methodologies and a $61 million decrease in merger-related expenses associated with the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01" w:name="page102"/>
    <w:bookmarkEnd w:id="101"/>
    <w:p>
      <w:pPr>
        <w:ind w:right="200"/>
        <w:spacing w:after="0" w:line="275" w:lineRule="auto"/>
        <w:rPr>
          <w:sz w:val="20"/>
          <w:szCs w:val="20"/>
          <w:color w:val="auto"/>
        </w:rPr>
      </w:pPr>
      <w:r>
        <w:rPr>
          <w:rFonts w:ascii="Arial" w:cs="Arial" w:eastAsia="Arial" w:hAnsi="Arial"/>
          <w:sz w:val="20"/>
          <w:szCs w:val="20"/>
          <w:color w:val="auto"/>
        </w:rPr>
        <w:t>acquisition of Hudson City. Reflected in 2015’s results was the $45 million pre-tax gain related to the sale of the trade processing business within the retirement services division.</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Accounting Developments</w:t>
      </w:r>
    </w:p>
    <w:p>
      <w:pPr>
        <w:spacing w:after="0" w:line="29" w:lineRule="exact"/>
        <w:rPr>
          <w:sz w:val="20"/>
          <w:szCs w:val="20"/>
          <w:color w:val="auto"/>
        </w:rPr>
      </w:pPr>
    </w:p>
    <w:p>
      <w:pPr>
        <w:spacing w:after="0"/>
        <w:rPr>
          <w:sz w:val="20"/>
          <w:szCs w:val="20"/>
          <w:color w:val="auto"/>
        </w:rPr>
      </w:pPr>
      <w:r>
        <w:rPr>
          <w:rFonts w:ascii="Arial" w:cs="Arial" w:eastAsia="Arial" w:hAnsi="Arial"/>
          <w:sz w:val="20"/>
          <w:szCs w:val="20"/>
          <w:color w:val="auto"/>
        </w:rPr>
        <w:t>A discussion of recent accounting developments is included in note 26 of Notes to Financial Statements.</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9" w:lineRule="exact"/>
        <w:rPr>
          <w:sz w:val="20"/>
          <w:szCs w:val="20"/>
          <w:color w:val="auto"/>
        </w:rPr>
      </w:pPr>
    </w:p>
    <w:p>
      <w:pPr>
        <w:ind w:right="40"/>
        <w:spacing w:after="0" w:line="274" w:lineRule="auto"/>
        <w:rPr>
          <w:sz w:val="20"/>
          <w:szCs w:val="20"/>
          <w:color w:val="auto"/>
        </w:rPr>
      </w:pPr>
      <w:r>
        <w:rPr>
          <w:rFonts w:ascii="Arial" w:cs="Arial" w:eastAsia="Arial" w:hAnsi="Arial"/>
          <w:sz w:val="18"/>
          <w:szCs w:val="18"/>
          <w:color w:val="auto"/>
        </w:rPr>
        <w:t>Management’s Discussion and Analysis of Financial Condition and Results of Operations and other sections of this Annual Report contain forward-looking statements that are based on current expectations, estimates and projections about the Company’s business, management’s beliefs and assumptions made by management. Forward-looking statements are typically identified by words such as “believe,” “expect,” “anticipate,” “intend,” “target,” “estimate,” “continue,” “positions,” “prospects” or “potential,” by future conditional verbs such as “will,” “would,” “should,” “could,” or “may,” or by variations of such words or by similar expressions. These statements are not guarantees of future performance and involve certain risks, uncertainties and assumptions (“Future Factors”) which are difficult to predict. Therefore, actual outcomes and results may differ materially from what is expressed or forecasted in such forward-looking statements. Forward-looking statements speak only as of the date they are made and the Company assumes no duty to update forward-looking statements.</w:t>
      </w:r>
    </w:p>
    <w:p>
      <w:pPr>
        <w:spacing w:after="0" w:line="2" w:lineRule="exact"/>
        <w:rPr>
          <w:sz w:val="20"/>
          <w:szCs w:val="20"/>
          <w:color w:val="auto"/>
        </w:rPr>
      </w:pPr>
    </w:p>
    <w:p>
      <w:pPr>
        <w:ind w:firstLine="598"/>
        <w:spacing w:after="0" w:line="274" w:lineRule="auto"/>
        <w:rPr>
          <w:sz w:val="20"/>
          <w:szCs w:val="20"/>
          <w:color w:val="auto"/>
        </w:rPr>
      </w:pPr>
      <w:r>
        <w:rPr>
          <w:rFonts w:ascii="Arial" w:cs="Arial" w:eastAsia="Arial" w:hAnsi="Arial"/>
          <w:sz w:val="18"/>
          <w:szCs w:val="18"/>
          <w:color w:val="auto"/>
        </w:rPr>
        <w:t>Future Factors include changes in interest rates, spreads on earning assets and interest-bearing liabilities, and interest rate sensitivity; prepayment speeds, loan originations, credit losses and market values of loans, collateral securing loans and other assets; sources of liquidity; common shares outstanding; common stock price volatility; fair value of and number of stock-based compensation awards to be issued in future periods; the impact of changes in market values on trust-related revenues; legislation and/or regulation affecting the financial services industry as a whole, and M&amp;T and its subsidiaries individually or collectively, including tax legislation or regulation; regulatory supervision and oversight, including monetary policy and capital requirements; changes in accounting policies or procedures as may be required by the FASB or regulatory agencies; increasing price and product/service competition by competitors, including new entrants; rapid technological developments and changes; the ability to continue to introduce competitive new products and services on a timely, cost-effective basis; the mix of products/services; containing costs and expenses; governmental and public policy changes; protection and validity of intellectual property rights; reliance on large customers; technological, implementation and cost/financial risks in large, multi-year contracts; the outcome of pending and future litigation and governmental proceedings, including tax-related examinations and other matters; continued availability of financing; financial resources in the amounts, at the times and on the terms required to support M&amp;T and its subsidiaries’ future businesses; and material differences in the actual financial results of merger, acquisition and investment activities compared with M&amp;T’s initial expectations, including the full realization of anticipated cost savings and revenue enhancements.</w:t>
      </w:r>
    </w:p>
    <w:p>
      <w:pPr>
        <w:spacing w:after="0" w:line="3" w:lineRule="exact"/>
        <w:rPr>
          <w:sz w:val="20"/>
          <w:szCs w:val="20"/>
          <w:color w:val="auto"/>
        </w:rPr>
      </w:pPr>
    </w:p>
    <w:p>
      <w:pPr>
        <w:ind w:right="240" w:firstLine="598"/>
        <w:spacing w:after="0" w:line="250" w:lineRule="auto"/>
        <w:rPr>
          <w:sz w:val="20"/>
          <w:szCs w:val="20"/>
          <w:color w:val="auto"/>
        </w:rPr>
      </w:pPr>
      <w:r>
        <w:rPr>
          <w:rFonts w:ascii="Arial" w:cs="Arial" w:eastAsia="Arial" w:hAnsi="Arial"/>
          <w:sz w:val="20"/>
          <w:szCs w:val="20"/>
          <w:color w:val="auto"/>
        </w:rPr>
        <w:t>These are representative of the Future Factors that could affect the outcome of the forward-looking statements. In addition, such statements could be affected by general industry and market conditions and growth rates, general economic and political conditions, either nationally or in the states in which M&amp;T and its subsidiaries do business, including interest rate and currency exchange rate fluctuations, changes and trends in the securities markets, and other Future Factors.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00"/>
          </w:cols>
          <w:pgMar w:left="240" w:top="336" w:right="259" w:bottom="1440" w:gutter="0" w:footer="0" w:header="0"/>
        </w:sectPr>
      </w:pPr>
    </w:p>
    <w:bookmarkStart w:id="102" w:name="page103"/>
    <w:bookmarkEnd w:id="102"/>
    <w:p>
      <w:pPr>
        <w:spacing w:after="0"/>
        <w:rPr>
          <w:sz w:val="20"/>
          <w:szCs w:val="20"/>
          <w:color w:val="auto"/>
        </w:rPr>
      </w:pPr>
      <w:r>
        <w:rPr>
          <w:rFonts w:ascii="Arial" w:cs="Arial" w:eastAsia="Arial" w:hAnsi="Arial"/>
          <w:sz w:val="20"/>
          <w:szCs w:val="20"/>
          <w:b w:val="1"/>
          <w:bCs w:val="1"/>
          <w:color w:val="auto"/>
        </w:rPr>
        <w:t>Table 22</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QUARTERLY TRENDS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1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3"/>
          </w:tcPr>
          <w:p>
            <w:pPr>
              <w:jc w:val="right"/>
              <w:ind w:right="339"/>
              <w:spacing w:after="0"/>
              <w:rPr>
                <w:sz w:val="20"/>
                <w:szCs w:val="20"/>
                <w:color w:val="auto"/>
              </w:rPr>
            </w:pPr>
            <w:r>
              <w:rPr>
                <w:rFonts w:ascii="Arial" w:cs="Arial" w:eastAsia="Arial" w:hAnsi="Arial"/>
                <w:sz w:val="12"/>
                <w:szCs w:val="12"/>
                <w:b w:val="1"/>
                <w:bCs w:val="1"/>
                <w:color w:val="auto"/>
              </w:rPr>
              <w:t>2017 Quarters</w:t>
            </w:r>
          </w:p>
        </w:tc>
        <w:tc>
          <w:tcPr>
            <w:tcW w:w="2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3"/>
          </w:tcPr>
          <w:p>
            <w:pPr>
              <w:jc w:val="right"/>
              <w:ind w:right="279"/>
              <w:spacing w:after="0"/>
              <w:rPr>
                <w:sz w:val="20"/>
                <w:szCs w:val="20"/>
                <w:color w:val="auto"/>
              </w:rPr>
            </w:pPr>
            <w:r>
              <w:rPr>
                <w:rFonts w:ascii="Arial" w:cs="Arial" w:eastAsia="Arial" w:hAnsi="Arial"/>
                <w:sz w:val="12"/>
                <w:szCs w:val="12"/>
                <w:b w:val="1"/>
                <w:bCs w:val="1"/>
                <w:color w:val="auto"/>
              </w:rPr>
              <w:t>2016 Quarters</w:t>
            </w:r>
          </w:p>
        </w:tc>
        <w:tc>
          <w:tcPr>
            <w:tcW w:w="2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r>
      <w:tr>
        <w:trPr>
          <w:trHeight w:val="151"/>
        </w:trPr>
        <w:tc>
          <w:tcPr>
            <w:tcW w:w="2140" w:type="dxa"/>
            <w:vAlign w:val="bottom"/>
            <w:tcBorders>
              <w:bottom w:val="single" w:sz="8" w:color="CFF0FC"/>
            </w:tcBorders>
          </w:tcPr>
          <w:p>
            <w:pPr>
              <w:spacing w:after="0"/>
              <w:rPr>
                <w:sz w:val="13"/>
                <w:szCs w:val="13"/>
                <w:color w:val="auto"/>
              </w:rPr>
            </w:pPr>
          </w:p>
        </w:tc>
        <w:tc>
          <w:tcPr>
            <w:tcW w:w="1400" w:type="dxa"/>
            <w:vAlign w:val="bottom"/>
            <w:tcBorders>
              <w:bottom w:val="single" w:sz="8" w:color="CFF0FC"/>
            </w:tcBorders>
          </w:tcPr>
          <w:p>
            <w:pPr>
              <w:spacing w:after="0"/>
              <w:rPr>
                <w:sz w:val="13"/>
                <w:szCs w:val="13"/>
                <w:color w:val="auto"/>
              </w:rPr>
            </w:pPr>
          </w:p>
        </w:tc>
        <w:tc>
          <w:tcPr>
            <w:tcW w:w="8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b w:val="1"/>
                <w:bCs w:val="1"/>
                <w:color w:val="auto"/>
                <w:w w:val="99"/>
              </w:rPr>
              <w:t>Fourth</w:t>
            </w:r>
          </w:p>
        </w:tc>
        <w:tc>
          <w:tcPr>
            <w:tcW w:w="280" w:type="dxa"/>
            <w:vAlign w:val="bottom"/>
            <w:tcBorders>
              <w:bottom w:val="single" w:sz="8" w:color="CFF0FC"/>
            </w:tcBorders>
          </w:tcPr>
          <w:p>
            <w:pPr>
              <w:spacing w:after="0"/>
              <w:rPr>
                <w:sz w:val="13"/>
                <w:szCs w:val="13"/>
                <w:color w:val="auto"/>
              </w:rPr>
            </w:pPr>
          </w:p>
        </w:tc>
        <w:tc>
          <w:tcPr>
            <w:tcW w:w="62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b w:val="1"/>
                <w:bCs w:val="1"/>
                <w:color w:val="auto"/>
              </w:rPr>
              <w:t>Third</w:t>
            </w:r>
          </w:p>
        </w:tc>
        <w:tc>
          <w:tcPr>
            <w:tcW w:w="280" w:type="dxa"/>
            <w:vAlign w:val="bottom"/>
            <w:tcBorders>
              <w:bottom w:val="single" w:sz="8" w:color="CFF0FC"/>
            </w:tcBorders>
          </w:tcPr>
          <w:p>
            <w:pPr>
              <w:spacing w:after="0"/>
              <w:rPr>
                <w:sz w:val="13"/>
                <w:szCs w:val="13"/>
                <w:color w:val="auto"/>
              </w:rPr>
            </w:pPr>
          </w:p>
        </w:tc>
        <w:tc>
          <w:tcPr>
            <w:tcW w:w="62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b w:val="1"/>
                <w:bCs w:val="1"/>
                <w:color w:val="auto"/>
              </w:rPr>
              <w:t>Second</w:t>
            </w:r>
          </w:p>
        </w:tc>
        <w:tc>
          <w:tcPr>
            <w:tcW w:w="260" w:type="dxa"/>
            <w:vAlign w:val="bottom"/>
            <w:tcBorders>
              <w:bottom w:val="single" w:sz="8" w:color="CFF0FC"/>
            </w:tcBorders>
          </w:tcPr>
          <w:p>
            <w:pPr>
              <w:spacing w:after="0"/>
              <w:rPr>
                <w:sz w:val="13"/>
                <w:szCs w:val="13"/>
                <w:color w:val="auto"/>
              </w:rPr>
            </w:pPr>
          </w:p>
        </w:tc>
        <w:tc>
          <w:tcPr>
            <w:tcW w:w="620" w:type="dxa"/>
            <w:vAlign w:val="bottom"/>
            <w:tcBorders>
              <w:bottom w:val="single" w:sz="8" w:color="auto"/>
            </w:tcBorders>
          </w:tcPr>
          <w:p>
            <w:pPr>
              <w:jc w:val="right"/>
              <w:ind w:right="119"/>
              <w:spacing w:after="0"/>
              <w:rPr>
                <w:sz w:val="20"/>
                <w:szCs w:val="20"/>
                <w:color w:val="auto"/>
              </w:rPr>
            </w:pPr>
            <w:r>
              <w:rPr>
                <w:rFonts w:ascii="Arial" w:cs="Arial" w:eastAsia="Arial" w:hAnsi="Arial"/>
                <w:sz w:val="12"/>
                <w:szCs w:val="12"/>
                <w:b w:val="1"/>
                <w:bCs w:val="1"/>
                <w:color w:val="auto"/>
              </w:rPr>
              <w:t>First</w:t>
            </w:r>
          </w:p>
        </w:tc>
        <w:tc>
          <w:tcPr>
            <w:tcW w:w="280" w:type="dxa"/>
            <w:vAlign w:val="bottom"/>
            <w:tcBorders>
              <w:bottom w:val="single" w:sz="8" w:color="CFF0FC"/>
            </w:tcBorders>
          </w:tcPr>
          <w:p>
            <w:pPr>
              <w:spacing w:after="0"/>
              <w:rPr>
                <w:sz w:val="13"/>
                <w:szCs w:val="13"/>
                <w:color w:val="auto"/>
              </w:rPr>
            </w:pPr>
          </w:p>
        </w:tc>
        <w:tc>
          <w:tcPr>
            <w:tcW w:w="60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b w:val="1"/>
                <w:bCs w:val="1"/>
                <w:color w:val="auto"/>
              </w:rPr>
              <w:t>Fourth</w:t>
            </w:r>
          </w:p>
        </w:tc>
        <w:tc>
          <w:tcPr>
            <w:tcW w:w="260" w:type="dxa"/>
            <w:vAlign w:val="bottom"/>
            <w:tcBorders>
              <w:bottom w:val="single" w:sz="8" w:color="CFF0FC"/>
            </w:tcBorders>
          </w:tcPr>
          <w:p>
            <w:pPr>
              <w:spacing w:after="0"/>
              <w:rPr>
                <w:sz w:val="13"/>
                <w:szCs w:val="13"/>
                <w:color w:val="auto"/>
              </w:rPr>
            </w:pPr>
          </w:p>
        </w:tc>
        <w:tc>
          <w:tcPr>
            <w:tcW w:w="60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b w:val="1"/>
                <w:bCs w:val="1"/>
                <w:color w:val="auto"/>
              </w:rPr>
              <w:t>Third</w:t>
            </w:r>
          </w:p>
        </w:tc>
        <w:tc>
          <w:tcPr>
            <w:tcW w:w="28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b w:val="1"/>
                <w:bCs w:val="1"/>
                <w:color w:val="auto"/>
              </w:rPr>
              <w:t>Second</w:t>
            </w:r>
          </w:p>
        </w:tc>
        <w:tc>
          <w:tcPr>
            <w:tcW w:w="280" w:type="dxa"/>
            <w:vAlign w:val="bottom"/>
            <w:tcBorders>
              <w:bottom w:val="single" w:sz="8" w:color="CFF0FC"/>
            </w:tcBorders>
          </w:tcPr>
          <w:p>
            <w:pPr>
              <w:spacing w:after="0"/>
              <w:rPr>
                <w:sz w:val="13"/>
                <w:szCs w:val="13"/>
                <w:color w:val="auto"/>
              </w:rPr>
            </w:pPr>
          </w:p>
        </w:tc>
        <w:tc>
          <w:tcPr>
            <w:tcW w:w="600" w:type="dxa"/>
            <w:vAlign w:val="bottom"/>
            <w:tcBorders>
              <w:bottom w:val="single" w:sz="8" w:color="auto"/>
            </w:tcBorders>
          </w:tcPr>
          <w:p>
            <w:pPr>
              <w:jc w:val="right"/>
              <w:ind w:right="119"/>
              <w:spacing w:after="0"/>
              <w:rPr>
                <w:sz w:val="20"/>
                <w:szCs w:val="20"/>
                <w:color w:val="auto"/>
              </w:rPr>
            </w:pPr>
            <w:r>
              <w:rPr>
                <w:rFonts w:ascii="Arial" w:cs="Arial" w:eastAsia="Arial" w:hAnsi="Arial"/>
                <w:sz w:val="12"/>
                <w:szCs w:val="12"/>
                <w:b w:val="1"/>
                <w:bCs w:val="1"/>
                <w:color w:val="auto"/>
              </w:rPr>
              <w:t>First</w:t>
            </w:r>
          </w:p>
        </w:tc>
        <w:tc>
          <w:tcPr>
            <w:tcW w:w="280" w:type="dxa"/>
            <w:vAlign w:val="bottom"/>
            <w:tcBorders>
              <w:bottom w:val="single" w:sz="8" w:color="CFF0FC"/>
            </w:tcBorders>
          </w:tcPr>
          <w:p>
            <w:pPr>
              <w:spacing w:after="0"/>
              <w:rPr>
                <w:sz w:val="13"/>
                <w:szCs w:val="13"/>
                <w:color w:val="auto"/>
              </w:rPr>
            </w:pPr>
          </w:p>
        </w:tc>
      </w:tr>
      <w:tr>
        <w:trPr>
          <w:trHeight w:val="138"/>
        </w:trPr>
        <w:tc>
          <w:tcPr>
            <w:tcW w:w="3540" w:type="dxa"/>
            <w:vAlign w:val="bottom"/>
            <w:gridSpan w:val="2"/>
            <w:shd w:val="clear" w:color="auto" w:fill="CFF0FC"/>
          </w:tcPr>
          <w:p>
            <w:pPr>
              <w:spacing w:after="0"/>
              <w:rPr>
                <w:sz w:val="20"/>
                <w:szCs w:val="20"/>
                <w:color w:val="auto"/>
              </w:rPr>
            </w:pPr>
            <w:r>
              <w:rPr>
                <w:rFonts w:ascii="Arial" w:cs="Arial" w:eastAsia="Arial" w:hAnsi="Arial"/>
                <w:sz w:val="12"/>
                <w:szCs w:val="12"/>
                <w:b w:val="1"/>
                <w:bCs w:val="1"/>
                <w:color w:val="auto"/>
              </w:rPr>
              <w:t>Earnings and dividends</w:t>
            </w:r>
          </w:p>
        </w:tc>
        <w:tc>
          <w:tcPr>
            <w:tcW w:w="8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r>
      <w:tr>
        <w:trPr>
          <w:trHeight w:val="145"/>
        </w:trPr>
        <w:tc>
          <w:tcPr>
            <w:tcW w:w="3540" w:type="dxa"/>
            <w:vAlign w:val="bottom"/>
            <w:gridSpan w:val="2"/>
          </w:tcPr>
          <w:p>
            <w:pPr>
              <w:spacing w:after="0"/>
              <w:rPr>
                <w:sz w:val="20"/>
                <w:szCs w:val="20"/>
                <w:color w:val="auto"/>
              </w:rPr>
            </w:pPr>
            <w:r>
              <w:rPr>
                <w:rFonts w:ascii="Arial" w:cs="Arial" w:eastAsia="Arial" w:hAnsi="Arial"/>
                <w:sz w:val="12"/>
                <w:szCs w:val="12"/>
                <w:i w:val="1"/>
                <w:iCs w:val="1"/>
                <w:color w:val="auto"/>
              </w:rPr>
              <w:t>Amounts in thousands, except per share</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45"/>
        </w:trPr>
        <w:tc>
          <w:tcPr>
            <w:tcW w:w="35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Interest income (taxable-equivalent basis)</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3"/>
              </w:rPr>
              <w:t>1,083,146</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1,066,038</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1,039,149</w:t>
            </w: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1,014,032</w:t>
            </w:r>
          </w:p>
        </w:tc>
        <w:tc>
          <w:tcPr>
            <w:tcW w:w="2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990,284</w:t>
            </w:r>
          </w:p>
        </w:tc>
        <w:tc>
          <w:tcPr>
            <w:tcW w:w="2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976,240</w:t>
            </w:r>
          </w:p>
        </w:tc>
        <w:tc>
          <w:tcPr>
            <w:tcW w:w="28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977,143</w:t>
            </w:r>
          </w:p>
        </w:tc>
        <w:tc>
          <w:tcPr>
            <w:tcW w:w="2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979,166</w:t>
            </w:r>
          </w:p>
        </w:tc>
        <w:tc>
          <w:tcPr>
            <w:tcW w:w="280" w:type="dxa"/>
            <w:vAlign w:val="bottom"/>
            <w:shd w:val="clear" w:color="auto" w:fill="CFF0FC"/>
          </w:tcPr>
          <w:p>
            <w:pPr>
              <w:spacing w:after="0"/>
              <w:rPr>
                <w:sz w:val="12"/>
                <w:szCs w:val="12"/>
                <w:color w:val="auto"/>
              </w:rPr>
            </w:pPr>
          </w:p>
        </w:tc>
      </w:tr>
      <w:tr>
        <w:trPr>
          <w:trHeight w:val="145"/>
        </w:trPr>
        <w:tc>
          <w:tcPr>
            <w:tcW w:w="3540" w:type="dxa"/>
            <w:vAlign w:val="bottom"/>
            <w:tcBorders>
              <w:bottom w:val="single" w:sz="8" w:color="CFF0FC"/>
            </w:tcBorders>
            <w:gridSpan w:val="2"/>
          </w:tcPr>
          <w:p>
            <w:pPr>
              <w:spacing w:after="0"/>
              <w:rPr>
                <w:sz w:val="20"/>
                <w:szCs w:val="20"/>
                <w:color w:val="auto"/>
              </w:rPr>
            </w:pPr>
            <w:r>
              <w:rPr>
                <w:rFonts w:ascii="Arial" w:cs="Arial" w:eastAsia="Arial" w:hAnsi="Arial"/>
                <w:sz w:val="12"/>
                <w:szCs w:val="12"/>
                <w:color w:val="auto"/>
              </w:rPr>
              <w:t>Interest expense</w:t>
            </w:r>
          </w:p>
        </w:tc>
        <w:tc>
          <w:tcPr>
            <w:tcW w:w="82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102,689</w:t>
            </w:r>
          </w:p>
        </w:tc>
        <w:tc>
          <w:tcPr>
            <w:tcW w:w="280" w:type="dxa"/>
            <w:vAlign w:val="bottom"/>
            <w:tcBorders>
              <w:bottom w:val="single" w:sz="8" w:color="CFF0FC"/>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100,076</w:t>
            </w:r>
          </w:p>
        </w:tc>
        <w:tc>
          <w:tcPr>
            <w:tcW w:w="280" w:type="dxa"/>
            <w:vAlign w:val="bottom"/>
            <w:tcBorders>
              <w:bottom w:val="single" w:sz="8" w:color="CFF0FC"/>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92,213</w:t>
            </w:r>
          </w:p>
        </w:tc>
        <w:tc>
          <w:tcPr>
            <w:tcW w:w="260" w:type="dxa"/>
            <w:vAlign w:val="bottom"/>
            <w:tcBorders>
              <w:bottom w:val="single" w:sz="8" w:color="CFF0FC"/>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91,773</w:t>
            </w:r>
          </w:p>
        </w:tc>
        <w:tc>
          <w:tcPr>
            <w:tcW w:w="280" w:type="dxa"/>
            <w:vAlign w:val="bottom"/>
            <w:tcBorders>
              <w:bottom w:val="single" w:sz="8" w:color="CFF0FC"/>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107,137</w:t>
            </w:r>
          </w:p>
        </w:tc>
        <w:tc>
          <w:tcPr>
            <w:tcW w:w="260" w:type="dxa"/>
            <w:vAlign w:val="bottom"/>
            <w:tcBorders>
              <w:bottom w:val="single" w:sz="8" w:color="CFF0FC"/>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111,175</w:t>
            </w:r>
          </w:p>
        </w:tc>
        <w:tc>
          <w:tcPr>
            <w:tcW w:w="280" w:type="dxa"/>
            <w:vAlign w:val="bottom"/>
            <w:tcBorders>
              <w:bottom w:val="single" w:sz="8" w:color="CFF0FC"/>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106,802</w:t>
            </w:r>
          </w:p>
        </w:tc>
        <w:tc>
          <w:tcPr>
            <w:tcW w:w="280" w:type="dxa"/>
            <w:vAlign w:val="bottom"/>
            <w:tcBorders>
              <w:bottom w:val="single" w:sz="8" w:color="CFF0FC"/>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100,870</w:t>
            </w:r>
          </w:p>
        </w:tc>
        <w:tc>
          <w:tcPr>
            <w:tcW w:w="280" w:type="dxa"/>
            <w:vAlign w:val="bottom"/>
            <w:tcBorders>
              <w:bottom w:val="single" w:sz="8" w:color="CFF0FC"/>
            </w:tcBorders>
          </w:tcPr>
          <w:p>
            <w:pPr>
              <w:spacing w:after="0"/>
              <w:rPr>
                <w:sz w:val="12"/>
                <w:szCs w:val="12"/>
                <w:color w:val="auto"/>
              </w:rPr>
            </w:pPr>
          </w:p>
        </w:tc>
      </w:tr>
      <w:tr>
        <w:trPr>
          <w:trHeight w:val="138"/>
        </w:trPr>
        <w:tc>
          <w:tcPr>
            <w:tcW w:w="35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Net interest income</w:t>
            </w:r>
          </w:p>
        </w:tc>
        <w:tc>
          <w:tcPr>
            <w:tcW w:w="8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980,457</w:t>
            </w:r>
          </w:p>
        </w:tc>
        <w:tc>
          <w:tcPr>
            <w:tcW w:w="28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965,962</w:t>
            </w:r>
          </w:p>
        </w:tc>
        <w:tc>
          <w:tcPr>
            <w:tcW w:w="28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946,936</w:t>
            </w:r>
          </w:p>
        </w:tc>
        <w:tc>
          <w:tcPr>
            <w:tcW w:w="26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922,259</w:t>
            </w:r>
          </w:p>
        </w:tc>
        <w:tc>
          <w:tcPr>
            <w:tcW w:w="28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883,147</w:t>
            </w:r>
          </w:p>
        </w:tc>
        <w:tc>
          <w:tcPr>
            <w:tcW w:w="26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865,065</w:t>
            </w:r>
          </w:p>
        </w:tc>
        <w:tc>
          <w:tcPr>
            <w:tcW w:w="28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870,341</w:t>
            </w:r>
          </w:p>
        </w:tc>
        <w:tc>
          <w:tcPr>
            <w:tcW w:w="28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878,296</w:t>
            </w:r>
          </w:p>
        </w:tc>
        <w:tc>
          <w:tcPr>
            <w:tcW w:w="280" w:type="dxa"/>
            <w:vAlign w:val="bottom"/>
            <w:shd w:val="clear" w:color="auto" w:fill="CFF0FC"/>
          </w:tcPr>
          <w:p>
            <w:pPr>
              <w:spacing w:after="0"/>
              <w:rPr>
                <w:sz w:val="11"/>
                <w:szCs w:val="11"/>
                <w:color w:val="auto"/>
              </w:rPr>
            </w:pPr>
          </w:p>
        </w:tc>
      </w:tr>
      <w:tr>
        <w:trPr>
          <w:trHeight w:val="145"/>
        </w:trPr>
        <w:tc>
          <w:tcPr>
            <w:tcW w:w="3540" w:type="dxa"/>
            <w:vAlign w:val="bottom"/>
            <w:gridSpan w:val="2"/>
          </w:tcPr>
          <w:p>
            <w:pPr>
              <w:spacing w:after="0"/>
              <w:rPr>
                <w:sz w:val="20"/>
                <w:szCs w:val="20"/>
                <w:color w:val="auto"/>
              </w:rPr>
            </w:pPr>
            <w:r>
              <w:rPr>
                <w:rFonts w:ascii="Arial" w:cs="Arial" w:eastAsia="Arial" w:hAnsi="Arial"/>
                <w:sz w:val="12"/>
                <w:szCs w:val="12"/>
                <w:color w:val="auto"/>
              </w:rPr>
              <w:t>Less: provision for credit losses</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31,000</w:t>
            </w:r>
          </w:p>
        </w:tc>
        <w:tc>
          <w:tcPr>
            <w:tcW w:w="2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30,000</w:t>
            </w:r>
          </w:p>
        </w:tc>
        <w:tc>
          <w:tcPr>
            <w:tcW w:w="2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52,000</w:t>
            </w:r>
          </w:p>
        </w:tc>
        <w:tc>
          <w:tcPr>
            <w:tcW w:w="2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55,000</w:t>
            </w:r>
          </w:p>
        </w:tc>
        <w:tc>
          <w:tcPr>
            <w:tcW w:w="2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62,000</w:t>
            </w:r>
          </w:p>
        </w:tc>
        <w:tc>
          <w:tcPr>
            <w:tcW w:w="2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47,000</w:t>
            </w:r>
          </w:p>
        </w:tc>
        <w:tc>
          <w:tcPr>
            <w:tcW w:w="2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32,000</w:t>
            </w:r>
          </w:p>
        </w:tc>
        <w:tc>
          <w:tcPr>
            <w:tcW w:w="2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49,000</w:t>
            </w:r>
          </w:p>
        </w:tc>
        <w:tc>
          <w:tcPr>
            <w:tcW w:w="280" w:type="dxa"/>
            <w:vAlign w:val="bottom"/>
          </w:tcPr>
          <w:p>
            <w:pPr>
              <w:spacing w:after="0"/>
              <w:rPr>
                <w:sz w:val="12"/>
                <w:szCs w:val="12"/>
                <w:color w:val="auto"/>
              </w:rPr>
            </w:pPr>
          </w:p>
        </w:tc>
      </w:tr>
      <w:tr>
        <w:trPr>
          <w:trHeight w:val="145"/>
        </w:trPr>
        <w:tc>
          <w:tcPr>
            <w:tcW w:w="35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Other income</w:t>
            </w:r>
          </w:p>
        </w:tc>
        <w:tc>
          <w:tcPr>
            <w:tcW w:w="8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484,053</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459,429</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460,816</w:t>
            </w: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446,845</w:t>
            </w:r>
          </w:p>
        </w:tc>
        <w:tc>
          <w:tcPr>
            <w:tcW w:w="2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465,459</w:t>
            </w:r>
          </w:p>
        </w:tc>
        <w:tc>
          <w:tcPr>
            <w:tcW w:w="2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491,350</w:t>
            </w:r>
          </w:p>
        </w:tc>
        <w:tc>
          <w:tcPr>
            <w:tcW w:w="28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448,254</w:t>
            </w:r>
          </w:p>
        </w:tc>
        <w:tc>
          <w:tcPr>
            <w:tcW w:w="2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420,933</w:t>
            </w:r>
          </w:p>
        </w:tc>
        <w:tc>
          <w:tcPr>
            <w:tcW w:w="280" w:type="dxa"/>
            <w:vAlign w:val="bottom"/>
            <w:shd w:val="clear" w:color="auto" w:fill="CFF0FC"/>
          </w:tcPr>
          <w:p>
            <w:pPr>
              <w:spacing w:after="0"/>
              <w:rPr>
                <w:sz w:val="12"/>
                <w:szCs w:val="12"/>
                <w:color w:val="auto"/>
              </w:rPr>
            </w:pPr>
          </w:p>
        </w:tc>
      </w:tr>
      <w:tr>
        <w:trPr>
          <w:trHeight w:val="145"/>
        </w:trPr>
        <w:tc>
          <w:tcPr>
            <w:tcW w:w="3540" w:type="dxa"/>
            <w:vAlign w:val="bottom"/>
            <w:tcBorders>
              <w:bottom w:val="single" w:sz="8" w:color="CFF0FC"/>
            </w:tcBorders>
            <w:gridSpan w:val="2"/>
          </w:tcPr>
          <w:p>
            <w:pPr>
              <w:spacing w:after="0"/>
              <w:rPr>
                <w:sz w:val="20"/>
                <w:szCs w:val="20"/>
                <w:color w:val="auto"/>
              </w:rPr>
            </w:pPr>
            <w:r>
              <w:rPr>
                <w:rFonts w:ascii="Arial" w:cs="Arial" w:eastAsia="Arial" w:hAnsi="Arial"/>
                <w:sz w:val="12"/>
                <w:szCs w:val="12"/>
                <w:color w:val="auto"/>
              </w:rPr>
              <w:t>Less: other expense</w:t>
            </w:r>
          </w:p>
        </w:tc>
        <w:tc>
          <w:tcPr>
            <w:tcW w:w="82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795,813</w:t>
            </w:r>
          </w:p>
        </w:tc>
        <w:tc>
          <w:tcPr>
            <w:tcW w:w="280" w:type="dxa"/>
            <w:vAlign w:val="bottom"/>
            <w:tcBorders>
              <w:bottom w:val="single" w:sz="8" w:color="CFF0FC"/>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806,025</w:t>
            </w:r>
          </w:p>
        </w:tc>
        <w:tc>
          <w:tcPr>
            <w:tcW w:w="280" w:type="dxa"/>
            <w:vAlign w:val="bottom"/>
            <w:tcBorders>
              <w:bottom w:val="single" w:sz="8" w:color="CFF0FC"/>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750,635</w:t>
            </w:r>
          </w:p>
        </w:tc>
        <w:tc>
          <w:tcPr>
            <w:tcW w:w="260" w:type="dxa"/>
            <w:vAlign w:val="bottom"/>
            <w:tcBorders>
              <w:bottom w:val="single" w:sz="8" w:color="CFF0FC"/>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787,852</w:t>
            </w:r>
          </w:p>
        </w:tc>
        <w:tc>
          <w:tcPr>
            <w:tcW w:w="280" w:type="dxa"/>
            <w:vAlign w:val="bottom"/>
            <w:tcBorders>
              <w:bottom w:val="single" w:sz="8" w:color="CFF0FC"/>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769,103</w:t>
            </w:r>
          </w:p>
        </w:tc>
        <w:tc>
          <w:tcPr>
            <w:tcW w:w="260" w:type="dxa"/>
            <w:vAlign w:val="bottom"/>
            <w:tcBorders>
              <w:bottom w:val="single" w:sz="8" w:color="CFF0FC"/>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752,392</w:t>
            </w:r>
          </w:p>
        </w:tc>
        <w:tc>
          <w:tcPr>
            <w:tcW w:w="280" w:type="dxa"/>
            <w:vAlign w:val="bottom"/>
            <w:tcBorders>
              <w:bottom w:val="single" w:sz="8" w:color="CFF0FC"/>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749,895</w:t>
            </w:r>
          </w:p>
        </w:tc>
        <w:tc>
          <w:tcPr>
            <w:tcW w:w="280" w:type="dxa"/>
            <w:vAlign w:val="bottom"/>
            <w:tcBorders>
              <w:bottom w:val="single" w:sz="8" w:color="CFF0FC"/>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776,095</w:t>
            </w:r>
          </w:p>
        </w:tc>
        <w:tc>
          <w:tcPr>
            <w:tcW w:w="280" w:type="dxa"/>
            <w:vAlign w:val="bottom"/>
            <w:tcBorders>
              <w:bottom w:val="single" w:sz="8" w:color="CFF0FC"/>
            </w:tcBorders>
          </w:tcPr>
          <w:p>
            <w:pPr>
              <w:spacing w:after="0"/>
              <w:rPr>
                <w:sz w:val="12"/>
                <w:szCs w:val="12"/>
                <w:color w:val="auto"/>
              </w:rPr>
            </w:pPr>
          </w:p>
        </w:tc>
      </w:tr>
      <w:tr>
        <w:trPr>
          <w:trHeight w:val="138"/>
        </w:trPr>
        <w:tc>
          <w:tcPr>
            <w:tcW w:w="35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Income before income taxes</w:t>
            </w:r>
          </w:p>
        </w:tc>
        <w:tc>
          <w:tcPr>
            <w:tcW w:w="8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637,697</w:t>
            </w:r>
          </w:p>
        </w:tc>
        <w:tc>
          <w:tcPr>
            <w:tcW w:w="28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589,366</w:t>
            </w:r>
          </w:p>
        </w:tc>
        <w:tc>
          <w:tcPr>
            <w:tcW w:w="28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605,117</w:t>
            </w:r>
          </w:p>
        </w:tc>
        <w:tc>
          <w:tcPr>
            <w:tcW w:w="26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526,252</w:t>
            </w:r>
          </w:p>
        </w:tc>
        <w:tc>
          <w:tcPr>
            <w:tcW w:w="28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517,503</w:t>
            </w:r>
          </w:p>
        </w:tc>
        <w:tc>
          <w:tcPr>
            <w:tcW w:w="26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557,023</w:t>
            </w:r>
          </w:p>
        </w:tc>
        <w:tc>
          <w:tcPr>
            <w:tcW w:w="28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536,700</w:t>
            </w:r>
          </w:p>
        </w:tc>
        <w:tc>
          <w:tcPr>
            <w:tcW w:w="28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474,134</w:t>
            </w:r>
          </w:p>
        </w:tc>
        <w:tc>
          <w:tcPr>
            <w:tcW w:w="280" w:type="dxa"/>
            <w:vAlign w:val="bottom"/>
            <w:shd w:val="clear" w:color="auto" w:fill="CFF0FC"/>
          </w:tcPr>
          <w:p>
            <w:pPr>
              <w:spacing w:after="0"/>
              <w:rPr>
                <w:sz w:val="11"/>
                <w:szCs w:val="11"/>
                <w:color w:val="auto"/>
              </w:rPr>
            </w:pPr>
          </w:p>
        </w:tc>
      </w:tr>
      <w:tr>
        <w:trPr>
          <w:trHeight w:val="145"/>
        </w:trPr>
        <w:tc>
          <w:tcPr>
            <w:tcW w:w="3540" w:type="dxa"/>
            <w:vAlign w:val="bottom"/>
            <w:gridSpan w:val="2"/>
          </w:tcPr>
          <w:p>
            <w:pPr>
              <w:spacing w:after="0"/>
              <w:rPr>
                <w:sz w:val="20"/>
                <w:szCs w:val="20"/>
                <w:color w:val="auto"/>
              </w:rPr>
            </w:pPr>
            <w:r>
              <w:rPr>
                <w:rFonts w:ascii="Arial" w:cs="Arial" w:eastAsia="Arial" w:hAnsi="Arial"/>
                <w:sz w:val="12"/>
                <w:szCs w:val="12"/>
                <w:color w:val="auto"/>
              </w:rPr>
              <w:t>Applicable income taxes</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306,287</w:t>
            </w:r>
          </w:p>
        </w:tc>
        <w:tc>
          <w:tcPr>
            <w:tcW w:w="2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224,615</w:t>
            </w:r>
          </w:p>
        </w:tc>
        <w:tc>
          <w:tcPr>
            <w:tcW w:w="2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215,328</w:t>
            </w:r>
          </w:p>
        </w:tc>
        <w:tc>
          <w:tcPr>
            <w:tcW w:w="2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169,326</w:t>
            </w:r>
          </w:p>
        </w:tc>
        <w:tc>
          <w:tcPr>
            <w:tcW w:w="2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179,549</w:t>
            </w:r>
          </w:p>
        </w:tc>
        <w:tc>
          <w:tcPr>
            <w:tcW w:w="2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200,314</w:t>
            </w:r>
          </w:p>
        </w:tc>
        <w:tc>
          <w:tcPr>
            <w:tcW w:w="2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194,147</w:t>
            </w:r>
          </w:p>
        </w:tc>
        <w:tc>
          <w:tcPr>
            <w:tcW w:w="2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169,274</w:t>
            </w:r>
          </w:p>
        </w:tc>
        <w:tc>
          <w:tcPr>
            <w:tcW w:w="280" w:type="dxa"/>
            <w:vAlign w:val="bottom"/>
          </w:tcPr>
          <w:p>
            <w:pPr>
              <w:spacing w:after="0"/>
              <w:rPr>
                <w:sz w:val="12"/>
                <w:szCs w:val="12"/>
                <w:color w:val="auto"/>
              </w:rPr>
            </w:pPr>
          </w:p>
        </w:tc>
      </w:tr>
      <w:tr>
        <w:trPr>
          <w:trHeight w:val="145"/>
        </w:trPr>
        <w:tc>
          <w:tcPr>
            <w:tcW w:w="35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Taxable-equivalent adjustment</w:t>
            </w:r>
          </w:p>
        </w:tc>
        <w:tc>
          <w:tcPr>
            <w:tcW w:w="820" w:type="dxa"/>
            <w:vAlign w:val="bottom"/>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9,007</w:t>
            </w:r>
          </w:p>
        </w:tc>
        <w:tc>
          <w:tcPr>
            <w:tcW w:w="280" w:type="dxa"/>
            <w:vAlign w:val="bottom"/>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8,828</w:t>
            </w:r>
          </w:p>
        </w:tc>
        <w:tc>
          <w:tcPr>
            <w:tcW w:w="280" w:type="dxa"/>
            <w:vAlign w:val="bottom"/>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8,736</w:t>
            </w:r>
          </w:p>
        </w:tc>
        <w:tc>
          <w:tcPr>
            <w:tcW w:w="260" w:type="dxa"/>
            <w:vAlign w:val="bottom"/>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7,999</w:t>
            </w:r>
          </w:p>
        </w:tc>
        <w:tc>
          <w:tcPr>
            <w:tcW w:w="280" w:type="dxa"/>
            <w:vAlign w:val="bottom"/>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7,383</w:t>
            </w:r>
          </w:p>
        </w:tc>
        <w:tc>
          <w:tcPr>
            <w:tcW w:w="260" w:type="dxa"/>
            <w:vAlign w:val="bottom"/>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6,725</w:t>
            </w:r>
          </w:p>
        </w:tc>
        <w:tc>
          <w:tcPr>
            <w:tcW w:w="280" w:type="dxa"/>
            <w:vAlign w:val="bottom"/>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6,522</w:t>
            </w:r>
          </w:p>
        </w:tc>
        <w:tc>
          <w:tcPr>
            <w:tcW w:w="280" w:type="dxa"/>
            <w:vAlign w:val="bottom"/>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6,332</w:t>
            </w:r>
          </w:p>
        </w:tc>
        <w:tc>
          <w:tcPr>
            <w:tcW w:w="280" w:type="dxa"/>
            <w:vAlign w:val="bottom"/>
            <w:shd w:val="clear" w:color="auto" w:fill="CFF0FC"/>
          </w:tcPr>
          <w:p>
            <w:pPr>
              <w:spacing w:after="0"/>
              <w:rPr>
                <w:sz w:val="12"/>
                <w:szCs w:val="12"/>
                <w:color w:val="auto"/>
              </w:rPr>
            </w:pPr>
          </w:p>
        </w:tc>
      </w:tr>
      <w:tr>
        <w:trPr>
          <w:trHeight w:val="178"/>
        </w:trPr>
        <w:tc>
          <w:tcPr>
            <w:tcW w:w="3540" w:type="dxa"/>
            <w:vAlign w:val="bottom"/>
            <w:tcBorders>
              <w:bottom w:val="single" w:sz="8" w:color="CFF0FC"/>
            </w:tcBorders>
            <w:gridSpan w:val="2"/>
          </w:tcPr>
          <w:p>
            <w:pPr>
              <w:spacing w:after="0"/>
              <w:rPr>
                <w:sz w:val="20"/>
                <w:szCs w:val="20"/>
                <w:color w:val="auto"/>
              </w:rPr>
            </w:pPr>
            <w:r>
              <w:rPr>
                <w:rFonts w:ascii="Arial" w:cs="Arial" w:eastAsia="Arial" w:hAnsi="Arial"/>
                <w:sz w:val="12"/>
                <w:szCs w:val="12"/>
                <w:color w:val="auto"/>
              </w:rPr>
              <w:t>Net income</w:t>
            </w:r>
          </w:p>
        </w:tc>
        <w:tc>
          <w:tcPr>
            <w:tcW w:w="82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322,403</w:t>
            </w:r>
          </w:p>
        </w:tc>
        <w:tc>
          <w:tcPr>
            <w:tcW w:w="280" w:type="dxa"/>
            <w:vAlign w:val="bottom"/>
            <w:tcBorders>
              <w:bottom w:val="single" w:sz="8" w:color="CFF0FC"/>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355,923</w:t>
            </w:r>
          </w:p>
        </w:tc>
        <w:tc>
          <w:tcPr>
            <w:tcW w:w="280" w:type="dxa"/>
            <w:vAlign w:val="bottom"/>
            <w:tcBorders>
              <w:bottom w:val="single" w:sz="8" w:color="CFF0FC"/>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381,053</w:t>
            </w:r>
          </w:p>
        </w:tc>
        <w:tc>
          <w:tcPr>
            <w:tcW w:w="260" w:type="dxa"/>
            <w:vAlign w:val="bottom"/>
            <w:tcBorders>
              <w:bottom w:val="single" w:sz="8" w:color="CFF0FC"/>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348,927</w:t>
            </w:r>
          </w:p>
        </w:tc>
        <w:tc>
          <w:tcPr>
            <w:tcW w:w="280" w:type="dxa"/>
            <w:vAlign w:val="bottom"/>
            <w:tcBorders>
              <w:bottom w:val="single" w:sz="8" w:color="CFF0FC"/>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330,571</w:t>
            </w:r>
          </w:p>
        </w:tc>
        <w:tc>
          <w:tcPr>
            <w:tcW w:w="260" w:type="dxa"/>
            <w:vAlign w:val="bottom"/>
            <w:tcBorders>
              <w:bottom w:val="single" w:sz="8" w:color="CFF0FC"/>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349,984</w:t>
            </w:r>
          </w:p>
        </w:tc>
        <w:tc>
          <w:tcPr>
            <w:tcW w:w="280" w:type="dxa"/>
            <w:vAlign w:val="bottom"/>
            <w:tcBorders>
              <w:bottom w:val="single" w:sz="8" w:color="CFF0FC"/>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336,031</w:t>
            </w:r>
          </w:p>
        </w:tc>
        <w:tc>
          <w:tcPr>
            <w:tcW w:w="280" w:type="dxa"/>
            <w:vAlign w:val="bottom"/>
            <w:tcBorders>
              <w:bottom w:val="single" w:sz="8" w:color="CFF0FC"/>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298,528</w:t>
            </w:r>
          </w:p>
        </w:tc>
        <w:tc>
          <w:tcPr>
            <w:tcW w:w="280" w:type="dxa"/>
            <w:vAlign w:val="bottom"/>
            <w:tcBorders>
              <w:bottom w:val="single" w:sz="8" w:color="CFF0FC"/>
            </w:tcBorders>
          </w:tcPr>
          <w:p>
            <w:pPr>
              <w:spacing w:after="0"/>
              <w:rPr>
                <w:sz w:val="15"/>
                <w:szCs w:val="15"/>
                <w:color w:val="auto"/>
              </w:rPr>
            </w:pPr>
          </w:p>
        </w:tc>
      </w:tr>
      <w:tr>
        <w:trPr>
          <w:trHeight w:val="124"/>
        </w:trPr>
        <w:tc>
          <w:tcPr>
            <w:tcW w:w="3540" w:type="dxa"/>
            <w:vAlign w:val="bottom"/>
            <w:gridSpan w:val="2"/>
            <w:shd w:val="clear" w:color="auto" w:fill="CFF0FC"/>
          </w:tcPr>
          <w:p>
            <w:pPr>
              <w:spacing w:after="0" w:line="124" w:lineRule="exact"/>
              <w:rPr>
                <w:sz w:val="20"/>
                <w:szCs w:val="20"/>
                <w:color w:val="auto"/>
              </w:rPr>
            </w:pPr>
            <w:r>
              <w:rPr>
                <w:rFonts w:ascii="Arial" w:cs="Arial" w:eastAsia="Arial" w:hAnsi="Arial"/>
                <w:sz w:val="12"/>
                <w:szCs w:val="12"/>
                <w:color w:val="auto"/>
              </w:rPr>
              <w:t>Net income available to common shareholders-diluted</w:t>
            </w:r>
          </w:p>
        </w:tc>
        <w:tc>
          <w:tcPr>
            <w:tcW w:w="820" w:type="dxa"/>
            <w:vAlign w:val="bottom"/>
            <w:shd w:val="clear" w:color="auto" w:fill="CFF0FC"/>
          </w:tcPr>
          <w:p>
            <w:pPr>
              <w:spacing w:after="0"/>
              <w:rPr>
                <w:sz w:val="10"/>
                <w:szCs w:val="1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FF0FC"/>
          </w:tcPr>
          <w:p>
            <w:pPr>
              <w:jc w:val="right"/>
              <w:spacing w:after="0" w:line="124" w:lineRule="exact"/>
              <w:rPr>
                <w:sz w:val="20"/>
                <w:szCs w:val="20"/>
                <w:color w:val="auto"/>
              </w:rPr>
            </w:pPr>
            <w:r>
              <w:rPr>
                <w:rFonts w:ascii="Arial" w:cs="Arial" w:eastAsia="Arial" w:hAnsi="Arial"/>
                <w:sz w:val="12"/>
                <w:szCs w:val="12"/>
                <w:color w:val="auto"/>
              </w:rPr>
              <w:t>302,486</w:t>
            </w:r>
          </w:p>
        </w:tc>
        <w:tc>
          <w:tcPr>
            <w:tcW w:w="28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24" w:lineRule="exact"/>
              <w:rPr>
                <w:sz w:val="20"/>
                <w:szCs w:val="20"/>
                <w:color w:val="auto"/>
              </w:rPr>
            </w:pPr>
            <w:r>
              <w:rPr>
                <w:rFonts w:ascii="Arial" w:cs="Arial" w:eastAsia="Arial" w:hAnsi="Arial"/>
                <w:sz w:val="12"/>
                <w:szCs w:val="12"/>
                <w:color w:val="auto"/>
              </w:rPr>
              <w:t>335,804</w:t>
            </w:r>
          </w:p>
        </w:tc>
        <w:tc>
          <w:tcPr>
            <w:tcW w:w="28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24" w:lineRule="exact"/>
              <w:rPr>
                <w:sz w:val="20"/>
                <w:szCs w:val="20"/>
                <w:color w:val="auto"/>
              </w:rPr>
            </w:pPr>
            <w:r>
              <w:rPr>
                <w:rFonts w:ascii="Arial" w:cs="Arial" w:eastAsia="Arial" w:hAnsi="Arial"/>
                <w:sz w:val="12"/>
                <w:szCs w:val="12"/>
                <w:color w:val="auto"/>
              </w:rPr>
              <w:t>360,662</w:t>
            </w:r>
          </w:p>
        </w:tc>
        <w:tc>
          <w:tcPr>
            <w:tcW w:w="26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24" w:lineRule="exact"/>
              <w:rPr>
                <w:sz w:val="20"/>
                <w:szCs w:val="20"/>
                <w:color w:val="auto"/>
              </w:rPr>
            </w:pPr>
            <w:r>
              <w:rPr>
                <w:rFonts w:ascii="Arial" w:cs="Arial" w:eastAsia="Arial" w:hAnsi="Arial"/>
                <w:sz w:val="12"/>
                <w:szCs w:val="12"/>
                <w:color w:val="auto"/>
              </w:rPr>
              <w:t>328,567</w:t>
            </w:r>
          </w:p>
        </w:tc>
        <w:tc>
          <w:tcPr>
            <w:tcW w:w="28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24" w:lineRule="exact"/>
              <w:rPr>
                <w:sz w:val="20"/>
                <w:szCs w:val="20"/>
                <w:color w:val="auto"/>
              </w:rPr>
            </w:pPr>
            <w:r>
              <w:rPr>
                <w:rFonts w:ascii="Arial" w:cs="Arial" w:eastAsia="Arial" w:hAnsi="Arial"/>
                <w:sz w:val="12"/>
                <w:szCs w:val="12"/>
                <w:color w:val="auto"/>
              </w:rPr>
              <w:t>307,797</w:t>
            </w:r>
          </w:p>
        </w:tc>
        <w:tc>
          <w:tcPr>
            <w:tcW w:w="26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24" w:lineRule="exact"/>
              <w:rPr>
                <w:sz w:val="20"/>
                <w:szCs w:val="20"/>
                <w:color w:val="auto"/>
              </w:rPr>
            </w:pPr>
            <w:r>
              <w:rPr>
                <w:rFonts w:ascii="Arial" w:cs="Arial" w:eastAsia="Arial" w:hAnsi="Arial"/>
                <w:sz w:val="12"/>
                <w:szCs w:val="12"/>
                <w:color w:val="auto"/>
              </w:rPr>
              <w:t>326,998</w:t>
            </w:r>
          </w:p>
        </w:tc>
        <w:tc>
          <w:tcPr>
            <w:tcW w:w="28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line="124" w:lineRule="exact"/>
              <w:rPr>
                <w:sz w:val="20"/>
                <w:szCs w:val="20"/>
                <w:color w:val="auto"/>
              </w:rPr>
            </w:pPr>
            <w:r>
              <w:rPr>
                <w:rFonts w:ascii="Arial" w:cs="Arial" w:eastAsia="Arial" w:hAnsi="Arial"/>
                <w:sz w:val="12"/>
                <w:szCs w:val="12"/>
                <w:color w:val="auto"/>
              </w:rPr>
              <w:t>312,974</w:t>
            </w:r>
          </w:p>
        </w:tc>
        <w:tc>
          <w:tcPr>
            <w:tcW w:w="28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24" w:lineRule="exact"/>
              <w:rPr>
                <w:sz w:val="20"/>
                <w:szCs w:val="20"/>
                <w:color w:val="auto"/>
              </w:rPr>
            </w:pPr>
            <w:r>
              <w:rPr>
                <w:rFonts w:ascii="Arial" w:cs="Arial" w:eastAsia="Arial" w:hAnsi="Arial"/>
                <w:sz w:val="12"/>
                <w:szCs w:val="12"/>
                <w:color w:val="auto"/>
              </w:rPr>
              <w:t>275,748</w:t>
            </w:r>
          </w:p>
        </w:tc>
        <w:tc>
          <w:tcPr>
            <w:tcW w:w="280" w:type="dxa"/>
            <w:vAlign w:val="bottom"/>
            <w:shd w:val="clear" w:color="auto" w:fill="CFF0FC"/>
          </w:tcPr>
          <w:p>
            <w:pPr>
              <w:spacing w:after="0"/>
              <w:rPr>
                <w:sz w:val="10"/>
                <w:szCs w:val="10"/>
                <w:color w:val="auto"/>
              </w:rPr>
            </w:pPr>
          </w:p>
        </w:tc>
      </w:tr>
      <w:tr>
        <w:trPr>
          <w:trHeight w:val="145"/>
        </w:trPr>
        <w:tc>
          <w:tcPr>
            <w:tcW w:w="3540" w:type="dxa"/>
            <w:vAlign w:val="bottom"/>
            <w:gridSpan w:val="2"/>
          </w:tcPr>
          <w:p>
            <w:pPr>
              <w:spacing w:after="0"/>
              <w:rPr>
                <w:sz w:val="20"/>
                <w:szCs w:val="20"/>
                <w:color w:val="auto"/>
              </w:rPr>
            </w:pPr>
            <w:r>
              <w:rPr>
                <w:rFonts w:ascii="Arial" w:cs="Arial" w:eastAsia="Arial" w:hAnsi="Arial"/>
                <w:sz w:val="12"/>
                <w:szCs w:val="12"/>
                <w:color w:val="auto"/>
              </w:rPr>
              <w:t>Per common share data</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45"/>
        </w:trPr>
        <w:tc>
          <w:tcPr>
            <w:tcW w:w="3540" w:type="dxa"/>
            <w:vAlign w:val="bottom"/>
            <w:gridSpan w:val="2"/>
            <w:shd w:val="clear" w:color="auto" w:fill="CFF0FC"/>
          </w:tcPr>
          <w:p>
            <w:pPr>
              <w:ind w:left="240"/>
              <w:spacing w:after="0"/>
              <w:rPr>
                <w:sz w:val="20"/>
                <w:szCs w:val="20"/>
                <w:color w:val="auto"/>
              </w:rPr>
            </w:pPr>
            <w:r>
              <w:rPr>
                <w:rFonts w:ascii="Arial" w:cs="Arial" w:eastAsia="Arial" w:hAnsi="Arial"/>
                <w:sz w:val="12"/>
                <w:szCs w:val="12"/>
                <w:color w:val="auto"/>
              </w:rPr>
              <w:t>Basic earnings</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2.01</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2.22</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2.36</w:t>
            </w: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2.13</w:t>
            </w:r>
          </w:p>
        </w:tc>
        <w:tc>
          <w:tcPr>
            <w:tcW w:w="2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1.98</w:t>
            </w:r>
          </w:p>
        </w:tc>
        <w:tc>
          <w:tcPr>
            <w:tcW w:w="2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2.10</w:t>
            </w:r>
          </w:p>
        </w:tc>
        <w:tc>
          <w:tcPr>
            <w:tcW w:w="28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1.98</w:t>
            </w:r>
          </w:p>
        </w:tc>
        <w:tc>
          <w:tcPr>
            <w:tcW w:w="2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1.74</w:t>
            </w:r>
          </w:p>
        </w:tc>
        <w:tc>
          <w:tcPr>
            <w:tcW w:w="280" w:type="dxa"/>
            <w:vAlign w:val="bottom"/>
            <w:shd w:val="clear" w:color="auto" w:fill="CFF0FC"/>
          </w:tcPr>
          <w:p>
            <w:pPr>
              <w:spacing w:after="0"/>
              <w:rPr>
                <w:sz w:val="12"/>
                <w:szCs w:val="12"/>
                <w:color w:val="auto"/>
              </w:rPr>
            </w:pPr>
          </w:p>
        </w:tc>
      </w:tr>
      <w:tr>
        <w:trPr>
          <w:trHeight w:val="145"/>
        </w:trPr>
        <w:tc>
          <w:tcPr>
            <w:tcW w:w="3540" w:type="dxa"/>
            <w:vAlign w:val="bottom"/>
            <w:gridSpan w:val="2"/>
          </w:tcPr>
          <w:p>
            <w:pPr>
              <w:ind w:left="240"/>
              <w:spacing w:after="0"/>
              <w:rPr>
                <w:sz w:val="20"/>
                <w:szCs w:val="20"/>
                <w:color w:val="auto"/>
              </w:rPr>
            </w:pPr>
            <w:r>
              <w:rPr>
                <w:rFonts w:ascii="Arial" w:cs="Arial" w:eastAsia="Arial" w:hAnsi="Arial"/>
                <w:sz w:val="12"/>
                <w:szCs w:val="12"/>
                <w:color w:val="auto"/>
              </w:rPr>
              <w:t>Diluted earnings</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2.01</w:t>
            </w:r>
          </w:p>
        </w:tc>
        <w:tc>
          <w:tcPr>
            <w:tcW w:w="2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2.21</w:t>
            </w:r>
          </w:p>
        </w:tc>
        <w:tc>
          <w:tcPr>
            <w:tcW w:w="2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2.35</w:t>
            </w:r>
          </w:p>
        </w:tc>
        <w:tc>
          <w:tcPr>
            <w:tcW w:w="2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2.12</w:t>
            </w:r>
          </w:p>
        </w:tc>
        <w:tc>
          <w:tcPr>
            <w:tcW w:w="2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1.98</w:t>
            </w:r>
          </w:p>
        </w:tc>
        <w:tc>
          <w:tcPr>
            <w:tcW w:w="2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2.10</w:t>
            </w:r>
          </w:p>
        </w:tc>
        <w:tc>
          <w:tcPr>
            <w:tcW w:w="2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1.98</w:t>
            </w:r>
          </w:p>
        </w:tc>
        <w:tc>
          <w:tcPr>
            <w:tcW w:w="2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1.73</w:t>
            </w:r>
          </w:p>
        </w:tc>
        <w:tc>
          <w:tcPr>
            <w:tcW w:w="280" w:type="dxa"/>
            <w:vAlign w:val="bottom"/>
          </w:tcPr>
          <w:p>
            <w:pPr>
              <w:spacing w:after="0"/>
              <w:rPr>
                <w:sz w:val="12"/>
                <w:szCs w:val="12"/>
                <w:color w:val="auto"/>
              </w:rPr>
            </w:pPr>
          </w:p>
        </w:tc>
      </w:tr>
      <w:tr>
        <w:trPr>
          <w:trHeight w:val="145"/>
        </w:trPr>
        <w:tc>
          <w:tcPr>
            <w:tcW w:w="3540" w:type="dxa"/>
            <w:vAlign w:val="bottom"/>
            <w:gridSpan w:val="2"/>
            <w:shd w:val="clear" w:color="auto" w:fill="CFF0FC"/>
          </w:tcPr>
          <w:p>
            <w:pPr>
              <w:ind w:left="240"/>
              <w:spacing w:after="0"/>
              <w:rPr>
                <w:sz w:val="20"/>
                <w:szCs w:val="20"/>
                <w:color w:val="auto"/>
              </w:rPr>
            </w:pPr>
            <w:r>
              <w:rPr>
                <w:rFonts w:ascii="Arial" w:cs="Arial" w:eastAsia="Arial" w:hAnsi="Arial"/>
                <w:sz w:val="12"/>
                <w:szCs w:val="12"/>
                <w:color w:val="auto"/>
              </w:rPr>
              <w:t>Cash dividends</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.75</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.75</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.75</w:t>
            </w: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.75</w:t>
            </w:r>
          </w:p>
        </w:tc>
        <w:tc>
          <w:tcPr>
            <w:tcW w:w="2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.70</w:t>
            </w:r>
          </w:p>
        </w:tc>
        <w:tc>
          <w:tcPr>
            <w:tcW w:w="2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.70</w:t>
            </w:r>
          </w:p>
        </w:tc>
        <w:tc>
          <w:tcPr>
            <w:tcW w:w="28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.70</w:t>
            </w:r>
          </w:p>
        </w:tc>
        <w:tc>
          <w:tcPr>
            <w:tcW w:w="2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.70</w:t>
            </w:r>
          </w:p>
        </w:tc>
        <w:tc>
          <w:tcPr>
            <w:tcW w:w="280" w:type="dxa"/>
            <w:vAlign w:val="bottom"/>
            <w:shd w:val="clear" w:color="auto" w:fill="CFF0FC"/>
          </w:tcPr>
          <w:p>
            <w:pPr>
              <w:spacing w:after="0"/>
              <w:rPr>
                <w:sz w:val="12"/>
                <w:szCs w:val="12"/>
                <w:color w:val="auto"/>
              </w:rPr>
            </w:pPr>
          </w:p>
        </w:tc>
      </w:tr>
      <w:tr>
        <w:trPr>
          <w:trHeight w:val="145"/>
        </w:trPr>
        <w:tc>
          <w:tcPr>
            <w:tcW w:w="3540" w:type="dxa"/>
            <w:vAlign w:val="bottom"/>
            <w:gridSpan w:val="2"/>
          </w:tcPr>
          <w:p>
            <w:pPr>
              <w:spacing w:after="0"/>
              <w:rPr>
                <w:sz w:val="20"/>
                <w:szCs w:val="20"/>
                <w:color w:val="auto"/>
              </w:rPr>
            </w:pPr>
            <w:r>
              <w:rPr>
                <w:rFonts w:ascii="Arial" w:cs="Arial" w:eastAsia="Arial" w:hAnsi="Arial"/>
                <w:sz w:val="12"/>
                <w:szCs w:val="12"/>
                <w:color w:val="auto"/>
              </w:rPr>
              <w:t>Average common shares outstanding</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45"/>
        </w:trPr>
        <w:tc>
          <w:tcPr>
            <w:tcW w:w="3540" w:type="dxa"/>
            <w:vAlign w:val="bottom"/>
            <w:gridSpan w:val="2"/>
            <w:shd w:val="clear" w:color="auto" w:fill="CFF0FC"/>
          </w:tcPr>
          <w:p>
            <w:pPr>
              <w:ind w:left="240"/>
              <w:spacing w:after="0"/>
              <w:rPr>
                <w:sz w:val="20"/>
                <w:szCs w:val="20"/>
                <w:color w:val="auto"/>
              </w:rPr>
            </w:pPr>
            <w:r>
              <w:rPr>
                <w:rFonts w:ascii="Arial" w:cs="Arial" w:eastAsia="Arial" w:hAnsi="Arial"/>
                <w:sz w:val="12"/>
                <w:szCs w:val="12"/>
                <w:color w:val="auto"/>
              </w:rPr>
              <w:t>Basic</w:t>
            </w:r>
          </w:p>
        </w:tc>
        <w:tc>
          <w:tcPr>
            <w:tcW w:w="8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150,063</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151,347</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152,857</w:t>
            </w: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154,427</w:t>
            </w:r>
          </w:p>
        </w:tc>
        <w:tc>
          <w:tcPr>
            <w:tcW w:w="2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155,123</w:t>
            </w:r>
          </w:p>
        </w:tc>
        <w:tc>
          <w:tcPr>
            <w:tcW w:w="2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155,493</w:t>
            </w:r>
          </w:p>
        </w:tc>
        <w:tc>
          <w:tcPr>
            <w:tcW w:w="28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157,802</w:t>
            </w:r>
          </w:p>
        </w:tc>
        <w:tc>
          <w:tcPr>
            <w:tcW w:w="2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158,734</w:t>
            </w:r>
          </w:p>
        </w:tc>
        <w:tc>
          <w:tcPr>
            <w:tcW w:w="280" w:type="dxa"/>
            <w:vAlign w:val="bottom"/>
            <w:shd w:val="clear" w:color="auto" w:fill="CFF0FC"/>
          </w:tcPr>
          <w:p>
            <w:pPr>
              <w:spacing w:after="0"/>
              <w:rPr>
                <w:sz w:val="12"/>
                <w:szCs w:val="12"/>
                <w:color w:val="auto"/>
              </w:rPr>
            </w:pPr>
          </w:p>
        </w:tc>
      </w:tr>
      <w:tr>
        <w:trPr>
          <w:trHeight w:val="145"/>
        </w:trPr>
        <w:tc>
          <w:tcPr>
            <w:tcW w:w="3540" w:type="dxa"/>
            <w:vAlign w:val="bottom"/>
            <w:gridSpan w:val="2"/>
          </w:tcPr>
          <w:p>
            <w:pPr>
              <w:ind w:left="240"/>
              <w:spacing w:after="0"/>
              <w:rPr>
                <w:sz w:val="20"/>
                <w:szCs w:val="20"/>
                <w:color w:val="auto"/>
              </w:rPr>
            </w:pPr>
            <w:r>
              <w:rPr>
                <w:rFonts w:ascii="Arial" w:cs="Arial" w:eastAsia="Arial" w:hAnsi="Arial"/>
                <w:sz w:val="12"/>
                <w:szCs w:val="12"/>
                <w:color w:val="auto"/>
              </w:rPr>
              <w:t>Diluted</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150,348</w:t>
            </w:r>
          </w:p>
        </w:tc>
        <w:tc>
          <w:tcPr>
            <w:tcW w:w="2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151,691</w:t>
            </w:r>
          </w:p>
        </w:tc>
        <w:tc>
          <w:tcPr>
            <w:tcW w:w="2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153,276</w:t>
            </w:r>
          </w:p>
        </w:tc>
        <w:tc>
          <w:tcPr>
            <w:tcW w:w="2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154,949</w:t>
            </w:r>
          </w:p>
        </w:tc>
        <w:tc>
          <w:tcPr>
            <w:tcW w:w="2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155,700</w:t>
            </w:r>
          </w:p>
        </w:tc>
        <w:tc>
          <w:tcPr>
            <w:tcW w:w="2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156,026</w:t>
            </w:r>
          </w:p>
        </w:tc>
        <w:tc>
          <w:tcPr>
            <w:tcW w:w="2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158,341</w:t>
            </w:r>
          </w:p>
        </w:tc>
        <w:tc>
          <w:tcPr>
            <w:tcW w:w="2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159,181</w:t>
            </w:r>
          </w:p>
        </w:tc>
        <w:tc>
          <w:tcPr>
            <w:tcW w:w="280" w:type="dxa"/>
            <w:vAlign w:val="bottom"/>
          </w:tcPr>
          <w:p>
            <w:pPr>
              <w:spacing w:after="0"/>
              <w:rPr>
                <w:sz w:val="12"/>
                <w:szCs w:val="12"/>
                <w:color w:val="auto"/>
              </w:rPr>
            </w:pPr>
          </w:p>
        </w:tc>
      </w:tr>
      <w:tr>
        <w:trPr>
          <w:trHeight w:val="145"/>
        </w:trPr>
        <w:tc>
          <w:tcPr>
            <w:tcW w:w="3540" w:type="dxa"/>
            <w:vAlign w:val="bottom"/>
            <w:gridSpan w:val="2"/>
            <w:shd w:val="clear" w:color="auto" w:fill="CFF0FC"/>
          </w:tcPr>
          <w:p>
            <w:pPr>
              <w:spacing w:after="0"/>
              <w:rPr>
                <w:sz w:val="20"/>
                <w:szCs w:val="20"/>
                <w:color w:val="auto"/>
              </w:rPr>
            </w:pPr>
            <w:r>
              <w:rPr>
                <w:rFonts w:ascii="Arial" w:cs="Arial" w:eastAsia="Arial" w:hAnsi="Arial"/>
                <w:sz w:val="12"/>
                <w:szCs w:val="12"/>
                <w:b w:val="1"/>
                <w:bCs w:val="1"/>
                <w:color w:val="auto"/>
              </w:rPr>
              <w:t>Performance ratios, annualized</w:t>
            </w:r>
          </w:p>
        </w:tc>
        <w:tc>
          <w:tcPr>
            <w:tcW w:w="8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r>
      <w:tr>
        <w:trPr>
          <w:trHeight w:val="145"/>
        </w:trPr>
        <w:tc>
          <w:tcPr>
            <w:tcW w:w="3540" w:type="dxa"/>
            <w:vAlign w:val="bottom"/>
            <w:gridSpan w:val="2"/>
          </w:tcPr>
          <w:p>
            <w:pPr>
              <w:spacing w:after="0"/>
              <w:rPr>
                <w:sz w:val="20"/>
                <w:szCs w:val="20"/>
                <w:color w:val="auto"/>
              </w:rPr>
            </w:pPr>
            <w:r>
              <w:rPr>
                <w:rFonts w:ascii="Arial" w:cs="Arial" w:eastAsia="Arial" w:hAnsi="Arial"/>
                <w:sz w:val="12"/>
                <w:szCs w:val="12"/>
                <w:color w:val="auto"/>
              </w:rPr>
              <w:t>Return on</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45"/>
        </w:trPr>
        <w:tc>
          <w:tcPr>
            <w:tcW w:w="3540" w:type="dxa"/>
            <w:vAlign w:val="bottom"/>
            <w:gridSpan w:val="2"/>
            <w:shd w:val="clear" w:color="auto" w:fill="CFF0FC"/>
          </w:tcPr>
          <w:p>
            <w:pPr>
              <w:ind w:left="240"/>
              <w:spacing w:after="0"/>
              <w:rPr>
                <w:sz w:val="20"/>
                <w:szCs w:val="20"/>
                <w:color w:val="auto"/>
              </w:rPr>
            </w:pPr>
            <w:r>
              <w:rPr>
                <w:rFonts w:ascii="Arial" w:cs="Arial" w:eastAsia="Arial" w:hAnsi="Arial"/>
                <w:sz w:val="12"/>
                <w:szCs w:val="12"/>
                <w:color w:val="auto"/>
              </w:rPr>
              <w:t>Average assets</w:t>
            </w:r>
          </w:p>
        </w:tc>
        <w:tc>
          <w:tcPr>
            <w:tcW w:w="8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1.06</w:t>
            </w:r>
          </w:p>
        </w:tc>
        <w:tc>
          <w:tcPr>
            <w:tcW w:w="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1.18</w:t>
            </w:r>
          </w:p>
        </w:tc>
        <w:tc>
          <w:tcPr>
            <w:tcW w:w="280" w:type="dxa"/>
            <w:vAlign w:val="bottom"/>
            <w:shd w:val="clear" w:color="auto" w:fill="CFF0FC"/>
          </w:tcPr>
          <w:p>
            <w:pPr>
              <w:jc w:val="right"/>
              <w:ind w:right="19"/>
              <w:spacing w:after="0"/>
              <w:rPr>
                <w:sz w:val="20"/>
                <w:szCs w:val="20"/>
                <w:color w:val="auto"/>
              </w:rPr>
            </w:pPr>
            <w:r>
              <w:rPr>
                <w:rFonts w:ascii="Arial" w:cs="Arial" w:eastAsia="Arial" w:hAnsi="Arial"/>
                <w:sz w:val="12"/>
                <w:szCs w:val="12"/>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1.27</w:t>
            </w:r>
          </w:p>
        </w:tc>
        <w:tc>
          <w:tcPr>
            <w:tcW w:w="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1.15</w:t>
            </w:r>
          </w:p>
        </w:tc>
        <w:tc>
          <w:tcPr>
            <w:tcW w:w="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1.05</w:t>
            </w:r>
          </w:p>
        </w:tc>
        <w:tc>
          <w:tcPr>
            <w:tcW w:w="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1.12</w:t>
            </w:r>
          </w:p>
        </w:tc>
        <w:tc>
          <w:tcPr>
            <w:tcW w:w="280" w:type="dxa"/>
            <w:vAlign w:val="bottom"/>
            <w:shd w:val="clear" w:color="auto" w:fill="CFF0FC"/>
          </w:tcPr>
          <w:p>
            <w:pPr>
              <w:jc w:val="right"/>
              <w:ind w:right="19"/>
              <w:spacing w:after="0"/>
              <w:rPr>
                <w:sz w:val="20"/>
                <w:szCs w:val="20"/>
                <w:color w:val="auto"/>
              </w:rPr>
            </w:pPr>
            <w:r>
              <w:rPr>
                <w:rFonts w:ascii="Arial" w:cs="Arial" w:eastAsia="Arial" w:hAnsi="Arial"/>
                <w:sz w:val="12"/>
                <w:szCs w:val="12"/>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1.09</w:t>
            </w:r>
          </w:p>
        </w:tc>
        <w:tc>
          <w:tcPr>
            <w:tcW w:w="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.97</w:t>
            </w:r>
          </w:p>
        </w:tc>
        <w:tc>
          <w:tcPr>
            <w:tcW w:w="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r>
      <w:tr>
        <w:trPr>
          <w:trHeight w:val="145"/>
        </w:trPr>
        <w:tc>
          <w:tcPr>
            <w:tcW w:w="3540" w:type="dxa"/>
            <w:vAlign w:val="bottom"/>
            <w:gridSpan w:val="2"/>
          </w:tcPr>
          <w:p>
            <w:pPr>
              <w:ind w:left="240"/>
              <w:spacing w:after="0"/>
              <w:rPr>
                <w:sz w:val="20"/>
                <w:szCs w:val="20"/>
                <w:color w:val="auto"/>
              </w:rPr>
            </w:pPr>
            <w:r>
              <w:rPr>
                <w:rFonts w:ascii="Arial" w:cs="Arial" w:eastAsia="Arial" w:hAnsi="Arial"/>
                <w:sz w:val="12"/>
                <w:szCs w:val="12"/>
                <w:color w:val="auto"/>
              </w:rPr>
              <w:t>Average common shareholders’ equity</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8.03</w:t>
            </w:r>
          </w:p>
        </w:tc>
        <w:tc>
          <w:tcPr>
            <w:tcW w:w="280" w:type="dxa"/>
            <w:vAlign w:val="bottom"/>
          </w:tcPr>
          <w:p>
            <w:pPr>
              <w:jc w:val="right"/>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8.89</w:t>
            </w:r>
          </w:p>
        </w:tc>
        <w:tc>
          <w:tcPr>
            <w:tcW w:w="28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9.67</w:t>
            </w:r>
          </w:p>
        </w:tc>
        <w:tc>
          <w:tcPr>
            <w:tcW w:w="260" w:type="dxa"/>
            <w:vAlign w:val="bottom"/>
          </w:tcPr>
          <w:p>
            <w:pPr>
              <w:jc w:val="right"/>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8.89</w:t>
            </w:r>
          </w:p>
        </w:tc>
        <w:tc>
          <w:tcPr>
            <w:tcW w:w="280" w:type="dxa"/>
            <w:vAlign w:val="bottom"/>
          </w:tcPr>
          <w:p>
            <w:pPr>
              <w:jc w:val="right"/>
              <w:spacing w:after="0"/>
              <w:rPr>
                <w:sz w:val="20"/>
                <w:szCs w:val="20"/>
                <w:color w:val="auto"/>
              </w:rPr>
            </w:pPr>
            <w:r>
              <w:rPr>
                <w:rFonts w:ascii="Arial" w:cs="Arial" w:eastAsia="Arial" w:hAnsi="Arial"/>
                <w:sz w:val="12"/>
                <w:szCs w:val="12"/>
                <w:color w:val="auto"/>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8.13</w:t>
            </w:r>
          </w:p>
        </w:tc>
        <w:tc>
          <w:tcPr>
            <w:tcW w:w="260" w:type="dxa"/>
            <w:vAlign w:val="bottom"/>
          </w:tcPr>
          <w:p>
            <w:pPr>
              <w:jc w:val="right"/>
              <w:spacing w:after="0"/>
              <w:rPr>
                <w:sz w:val="20"/>
                <w:szCs w:val="20"/>
                <w:color w:val="auto"/>
              </w:rPr>
            </w:pPr>
            <w:r>
              <w:rPr>
                <w:rFonts w:ascii="Arial" w:cs="Arial" w:eastAsia="Arial" w:hAnsi="Arial"/>
                <w:sz w:val="12"/>
                <w:szCs w:val="12"/>
                <w:color w:val="auto"/>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8.68</w:t>
            </w:r>
          </w:p>
        </w:tc>
        <w:tc>
          <w:tcPr>
            <w:tcW w:w="28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8.38</w:t>
            </w:r>
          </w:p>
        </w:tc>
        <w:tc>
          <w:tcPr>
            <w:tcW w:w="280" w:type="dxa"/>
            <w:vAlign w:val="bottom"/>
          </w:tcPr>
          <w:p>
            <w:pPr>
              <w:jc w:val="right"/>
              <w:spacing w:after="0"/>
              <w:rPr>
                <w:sz w:val="20"/>
                <w:szCs w:val="20"/>
                <w:color w:val="auto"/>
              </w:rPr>
            </w:pPr>
            <w:r>
              <w:rPr>
                <w:rFonts w:ascii="Arial" w:cs="Arial" w:eastAsia="Arial" w:hAnsi="Arial"/>
                <w:sz w:val="12"/>
                <w:szCs w:val="12"/>
                <w:color w:val="auto"/>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7.44</w:t>
            </w:r>
          </w:p>
        </w:tc>
        <w:tc>
          <w:tcPr>
            <w:tcW w:w="2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30"/>
        </w:trPr>
        <w:tc>
          <w:tcPr>
            <w:tcW w:w="3540" w:type="dxa"/>
            <w:vAlign w:val="bottom"/>
            <w:gridSpan w:val="2"/>
            <w:shd w:val="clear" w:color="auto" w:fill="CFF0FC"/>
          </w:tcPr>
          <w:p>
            <w:pPr>
              <w:spacing w:after="0" w:line="130" w:lineRule="exact"/>
              <w:rPr>
                <w:sz w:val="20"/>
                <w:szCs w:val="20"/>
                <w:color w:val="auto"/>
              </w:rPr>
            </w:pPr>
            <w:r>
              <w:rPr>
                <w:rFonts w:ascii="Arial" w:cs="Arial" w:eastAsia="Arial" w:hAnsi="Arial"/>
                <w:sz w:val="12"/>
                <w:szCs w:val="12"/>
                <w:color w:val="auto"/>
              </w:rPr>
              <w:t>Net interest margin on average earning assets (taxable-</w:t>
            </w:r>
          </w:p>
        </w:tc>
        <w:tc>
          <w:tcPr>
            <w:tcW w:w="8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r>
      <w:tr>
        <w:trPr>
          <w:trHeight w:val="146"/>
        </w:trPr>
        <w:tc>
          <w:tcPr>
            <w:tcW w:w="3540" w:type="dxa"/>
            <w:vAlign w:val="bottom"/>
            <w:gridSpan w:val="2"/>
            <w:shd w:val="clear" w:color="auto" w:fill="CFF0FC"/>
          </w:tcPr>
          <w:p>
            <w:pPr>
              <w:ind w:left="100"/>
              <w:spacing w:after="0"/>
              <w:rPr>
                <w:sz w:val="20"/>
                <w:szCs w:val="20"/>
                <w:color w:val="auto"/>
              </w:rPr>
            </w:pPr>
            <w:r>
              <w:rPr>
                <w:rFonts w:ascii="Arial" w:cs="Arial" w:eastAsia="Arial" w:hAnsi="Arial"/>
                <w:sz w:val="12"/>
                <w:szCs w:val="12"/>
                <w:color w:val="auto"/>
              </w:rPr>
              <w:t>equivalent basis)</w:t>
            </w:r>
          </w:p>
        </w:tc>
        <w:tc>
          <w:tcPr>
            <w:tcW w:w="8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3.56</w:t>
            </w:r>
          </w:p>
        </w:tc>
        <w:tc>
          <w:tcPr>
            <w:tcW w:w="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3.53</w:t>
            </w:r>
          </w:p>
        </w:tc>
        <w:tc>
          <w:tcPr>
            <w:tcW w:w="280" w:type="dxa"/>
            <w:vAlign w:val="bottom"/>
            <w:shd w:val="clear" w:color="auto" w:fill="CFF0FC"/>
          </w:tcPr>
          <w:p>
            <w:pPr>
              <w:jc w:val="right"/>
              <w:ind w:right="19"/>
              <w:spacing w:after="0"/>
              <w:rPr>
                <w:sz w:val="20"/>
                <w:szCs w:val="20"/>
                <w:color w:val="auto"/>
              </w:rPr>
            </w:pPr>
            <w:r>
              <w:rPr>
                <w:rFonts w:ascii="Arial" w:cs="Arial" w:eastAsia="Arial" w:hAnsi="Arial"/>
                <w:sz w:val="12"/>
                <w:szCs w:val="12"/>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3.45</w:t>
            </w:r>
          </w:p>
        </w:tc>
        <w:tc>
          <w:tcPr>
            <w:tcW w:w="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3.34</w:t>
            </w:r>
          </w:p>
        </w:tc>
        <w:tc>
          <w:tcPr>
            <w:tcW w:w="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3.08</w:t>
            </w:r>
          </w:p>
        </w:tc>
        <w:tc>
          <w:tcPr>
            <w:tcW w:w="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3.05</w:t>
            </w:r>
          </w:p>
        </w:tc>
        <w:tc>
          <w:tcPr>
            <w:tcW w:w="280" w:type="dxa"/>
            <w:vAlign w:val="bottom"/>
            <w:shd w:val="clear" w:color="auto" w:fill="CFF0FC"/>
          </w:tcPr>
          <w:p>
            <w:pPr>
              <w:jc w:val="right"/>
              <w:ind w:right="19"/>
              <w:spacing w:after="0"/>
              <w:rPr>
                <w:sz w:val="20"/>
                <w:szCs w:val="20"/>
                <w:color w:val="auto"/>
              </w:rPr>
            </w:pPr>
            <w:r>
              <w:rPr>
                <w:rFonts w:ascii="Arial" w:cs="Arial" w:eastAsia="Arial" w:hAnsi="Arial"/>
                <w:sz w:val="12"/>
                <w:szCs w:val="12"/>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3.13</w:t>
            </w:r>
          </w:p>
        </w:tc>
        <w:tc>
          <w:tcPr>
            <w:tcW w:w="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3.18</w:t>
            </w:r>
          </w:p>
        </w:tc>
        <w:tc>
          <w:tcPr>
            <w:tcW w:w="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r>
      <w:tr>
        <w:trPr>
          <w:trHeight w:val="130"/>
        </w:trPr>
        <w:tc>
          <w:tcPr>
            <w:tcW w:w="3540" w:type="dxa"/>
            <w:vAlign w:val="bottom"/>
            <w:gridSpan w:val="2"/>
          </w:tcPr>
          <w:p>
            <w:pPr>
              <w:spacing w:after="0" w:line="130" w:lineRule="exact"/>
              <w:rPr>
                <w:sz w:val="20"/>
                <w:szCs w:val="20"/>
                <w:color w:val="auto"/>
              </w:rPr>
            </w:pPr>
            <w:r>
              <w:rPr>
                <w:rFonts w:ascii="Arial" w:cs="Arial" w:eastAsia="Arial" w:hAnsi="Arial"/>
                <w:sz w:val="12"/>
                <w:szCs w:val="12"/>
                <w:color w:val="auto"/>
              </w:rPr>
              <w:t>Nonaccrual loans to total loans and leases, net of</w:t>
            </w: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r>
      <w:tr>
        <w:trPr>
          <w:trHeight w:val="146"/>
        </w:trPr>
        <w:tc>
          <w:tcPr>
            <w:tcW w:w="3540" w:type="dxa"/>
            <w:vAlign w:val="bottom"/>
            <w:gridSpan w:val="2"/>
          </w:tcPr>
          <w:p>
            <w:pPr>
              <w:ind w:left="120"/>
              <w:spacing w:after="0"/>
              <w:rPr>
                <w:sz w:val="20"/>
                <w:szCs w:val="20"/>
                <w:color w:val="auto"/>
              </w:rPr>
            </w:pPr>
            <w:r>
              <w:rPr>
                <w:rFonts w:ascii="Arial" w:cs="Arial" w:eastAsia="Arial" w:hAnsi="Arial"/>
                <w:sz w:val="12"/>
                <w:szCs w:val="12"/>
                <w:color w:val="auto"/>
              </w:rPr>
              <w:t>unearned discount</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1.00</w:t>
            </w:r>
          </w:p>
        </w:tc>
        <w:tc>
          <w:tcPr>
            <w:tcW w:w="280" w:type="dxa"/>
            <w:vAlign w:val="bottom"/>
          </w:tcPr>
          <w:p>
            <w:pPr>
              <w:jc w:val="right"/>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.99</w:t>
            </w:r>
          </w:p>
        </w:tc>
        <w:tc>
          <w:tcPr>
            <w:tcW w:w="28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.98</w:t>
            </w:r>
          </w:p>
        </w:tc>
        <w:tc>
          <w:tcPr>
            <w:tcW w:w="260" w:type="dxa"/>
            <w:vAlign w:val="bottom"/>
          </w:tcPr>
          <w:p>
            <w:pPr>
              <w:jc w:val="right"/>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1.04</w:t>
            </w:r>
          </w:p>
        </w:tc>
        <w:tc>
          <w:tcPr>
            <w:tcW w:w="280" w:type="dxa"/>
            <w:vAlign w:val="bottom"/>
          </w:tcPr>
          <w:p>
            <w:pPr>
              <w:jc w:val="right"/>
              <w:spacing w:after="0"/>
              <w:rPr>
                <w:sz w:val="20"/>
                <w:szCs w:val="20"/>
                <w:color w:val="auto"/>
              </w:rPr>
            </w:pPr>
            <w:r>
              <w:rPr>
                <w:rFonts w:ascii="Arial" w:cs="Arial" w:eastAsia="Arial" w:hAnsi="Arial"/>
                <w:sz w:val="12"/>
                <w:szCs w:val="12"/>
                <w:color w:val="auto"/>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1.01</w:t>
            </w:r>
          </w:p>
        </w:tc>
        <w:tc>
          <w:tcPr>
            <w:tcW w:w="260" w:type="dxa"/>
            <w:vAlign w:val="bottom"/>
          </w:tcPr>
          <w:p>
            <w:pPr>
              <w:jc w:val="right"/>
              <w:spacing w:after="0"/>
              <w:rPr>
                <w:sz w:val="20"/>
                <w:szCs w:val="20"/>
                <w:color w:val="auto"/>
              </w:rPr>
            </w:pPr>
            <w:r>
              <w:rPr>
                <w:rFonts w:ascii="Arial" w:cs="Arial" w:eastAsia="Arial" w:hAnsi="Arial"/>
                <w:sz w:val="12"/>
                <w:szCs w:val="12"/>
                <w:color w:val="auto"/>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.93</w:t>
            </w:r>
          </w:p>
        </w:tc>
        <w:tc>
          <w:tcPr>
            <w:tcW w:w="28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.96</w:t>
            </w:r>
          </w:p>
        </w:tc>
        <w:tc>
          <w:tcPr>
            <w:tcW w:w="280" w:type="dxa"/>
            <w:vAlign w:val="bottom"/>
          </w:tcPr>
          <w:p>
            <w:pPr>
              <w:jc w:val="right"/>
              <w:spacing w:after="0"/>
              <w:rPr>
                <w:sz w:val="20"/>
                <w:szCs w:val="20"/>
                <w:color w:val="auto"/>
              </w:rPr>
            </w:pPr>
            <w:r>
              <w:rPr>
                <w:rFonts w:ascii="Arial" w:cs="Arial" w:eastAsia="Arial" w:hAnsi="Arial"/>
                <w:sz w:val="12"/>
                <w:szCs w:val="12"/>
                <w:color w:val="auto"/>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1.00</w:t>
            </w:r>
          </w:p>
        </w:tc>
        <w:tc>
          <w:tcPr>
            <w:tcW w:w="2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5"/>
        </w:trPr>
        <w:tc>
          <w:tcPr>
            <w:tcW w:w="3540" w:type="dxa"/>
            <w:vAlign w:val="bottom"/>
            <w:gridSpan w:val="2"/>
            <w:shd w:val="clear" w:color="auto" w:fill="CFF0FC"/>
          </w:tcPr>
          <w:p>
            <w:pPr>
              <w:spacing w:after="0"/>
              <w:rPr>
                <w:sz w:val="20"/>
                <w:szCs w:val="20"/>
                <w:color w:val="auto"/>
              </w:rPr>
            </w:pPr>
            <w:r>
              <w:rPr>
                <w:rFonts w:ascii="Arial" w:cs="Arial" w:eastAsia="Arial" w:hAnsi="Arial"/>
                <w:sz w:val="12"/>
                <w:szCs w:val="12"/>
                <w:b w:val="1"/>
                <w:bCs w:val="1"/>
                <w:color w:val="auto"/>
              </w:rPr>
              <w:t>Net operating (tangible) results (a)</w:t>
            </w:r>
          </w:p>
        </w:tc>
        <w:tc>
          <w:tcPr>
            <w:tcW w:w="8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r>
      <w:tr>
        <w:trPr>
          <w:trHeight w:val="145"/>
        </w:trPr>
        <w:tc>
          <w:tcPr>
            <w:tcW w:w="3540" w:type="dxa"/>
            <w:vAlign w:val="bottom"/>
            <w:gridSpan w:val="2"/>
          </w:tcPr>
          <w:p>
            <w:pPr>
              <w:spacing w:after="0"/>
              <w:rPr>
                <w:sz w:val="20"/>
                <w:szCs w:val="20"/>
                <w:color w:val="auto"/>
              </w:rPr>
            </w:pPr>
            <w:r>
              <w:rPr>
                <w:rFonts w:ascii="Arial" w:cs="Arial" w:eastAsia="Arial" w:hAnsi="Arial"/>
                <w:sz w:val="12"/>
                <w:szCs w:val="12"/>
                <w:color w:val="auto"/>
              </w:rPr>
              <w:t>Net operating income (in thousands)</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326,664</w:t>
            </w:r>
          </w:p>
        </w:tc>
        <w:tc>
          <w:tcPr>
            <w:tcW w:w="2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360,658</w:t>
            </w:r>
          </w:p>
        </w:tc>
        <w:tc>
          <w:tcPr>
            <w:tcW w:w="2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385,974</w:t>
            </w:r>
          </w:p>
        </w:tc>
        <w:tc>
          <w:tcPr>
            <w:tcW w:w="2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354,035</w:t>
            </w:r>
          </w:p>
        </w:tc>
        <w:tc>
          <w:tcPr>
            <w:tcW w:w="2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336,095</w:t>
            </w:r>
          </w:p>
        </w:tc>
        <w:tc>
          <w:tcPr>
            <w:tcW w:w="2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355,929</w:t>
            </w:r>
          </w:p>
        </w:tc>
        <w:tc>
          <w:tcPr>
            <w:tcW w:w="2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350,604</w:t>
            </w:r>
          </w:p>
        </w:tc>
        <w:tc>
          <w:tcPr>
            <w:tcW w:w="2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320,064</w:t>
            </w:r>
          </w:p>
        </w:tc>
        <w:tc>
          <w:tcPr>
            <w:tcW w:w="280" w:type="dxa"/>
            <w:vAlign w:val="bottom"/>
          </w:tcPr>
          <w:p>
            <w:pPr>
              <w:spacing w:after="0"/>
              <w:rPr>
                <w:sz w:val="12"/>
                <w:szCs w:val="12"/>
                <w:color w:val="auto"/>
              </w:rPr>
            </w:pPr>
          </w:p>
        </w:tc>
      </w:tr>
      <w:tr>
        <w:trPr>
          <w:trHeight w:val="145"/>
        </w:trPr>
        <w:tc>
          <w:tcPr>
            <w:tcW w:w="35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Diluted net operating income per common share</w:t>
            </w:r>
          </w:p>
        </w:tc>
        <w:tc>
          <w:tcPr>
            <w:tcW w:w="8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2.04</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2.24</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2.38</w:t>
            </w: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2.15</w:t>
            </w:r>
          </w:p>
        </w:tc>
        <w:tc>
          <w:tcPr>
            <w:tcW w:w="2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2.01</w:t>
            </w:r>
          </w:p>
        </w:tc>
        <w:tc>
          <w:tcPr>
            <w:tcW w:w="2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2.13</w:t>
            </w:r>
          </w:p>
        </w:tc>
        <w:tc>
          <w:tcPr>
            <w:tcW w:w="28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2.07</w:t>
            </w:r>
          </w:p>
        </w:tc>
        <w:tc>
          <w:tcPr>
            <w:tcW w:w="2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1.87</w:t>
            </w:r>
          </w:p>
        </w:tc>
        <w:tc>
          <w:tcPr>
            <w:tcW w:w="280" w:type="dxa"/>
            <w:vAlign w:val="bottom"/>
            <w:shd w:val="clear" w:color="auto" w:fill="CFF0FC"/>
          </w:tcPr>
          <w:p>
            <w:pPr>
              <w:spacing w:after="0"/>
              <w:rPr>
                <w:sz w:val="12"/>
                <w:szCs w:val="12"/>
                <w:color w:val="auto"/>
              </w:rPr>
            </w:pPr>
          </w:p>
        </w:tc>
      </w:tr>
      <w:tr>
        <w:trPr>
          <w:trHeight w:val="145"/>
        </w:trPr>
        <w:tc>
          <w:tcPr>
            <w:tcW w:w="3540" w:type="dxa"/>
            <w:vAlign w:val="bottom"/>
            <w:gridSpan w:val="2"/>
          </w:tcPr>
          <w:p>
            <w:pPr>
              <w:spacing w:after="0"/>
              <w:rPr>
                <w:sz w:val="20"/>
                <w:szCs w:val="20"/>
                <w:color w:val="auto"/>
              </w:rPr>
            </w:pPr>
            <w:r>
              <w:rPr>
                <w:rFonts w:ascii="Arial" w:cs="Arial" w:eastAsia="Arial" w:hAnsi="Arial"/>
                <w:sz w:val="12"/>
                <w:szCs w:val="12"/>
                <w:color w:val="auto"/>
              </w:rPr>
              <w:t>Annualized return on</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45"/>
        </w:trPr>
        <w:tc>
          <w:tcPr>
            <w:tcW w:w="3540" w:type="dxa"/>
            <w:vAlign w:val="bottom"/>
            <w:gridSpan w:val="2"/>
            <w:shd w:val="clear" w:color="auto" w:fill="CFF0FC"/>
          </w:tcPr>
          <w:p>
            <w:pPr>
              <w:ind w:left="240"/>
              <w:spacing w:after="0"/>
              <w:rPr>
                <w:sz w:val="20"/>
                <w:szCs w:val="20"/>
                <w:color w:val="auto"/>
              </w:rPr>
            </w:pPr>
            <w:r>
              <w:rPr>
                <w:rFonts w:ascii="Arial" w:cs="Arial" w:eastAsia="Arial" w:hAnsi="Arial"/>
                <w:sz w:val="12"/>
                <w:szCs w:val="12"/>
                <w:color w:val="auto"/>
              </w:rPr>
              <w:t>Average tangible assets</w:t>
            </w:r>
          </w:p>
        </w:tc>
        <w:tc>
          <w:tcPr>
            <w:tcW w:w="8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1.12</w:t>
            </w:r>
          </w:p>
        </w:tc>
        <w:tc>
          <w:tcPr>
            <w:tcW w:w="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1.25</w:t>
            </w:r>
          </w:p>
        </w:tc>
        <w:tc>
          <w:tcPr>
            <w:tcW w:w="280" w:type="dxa"/>
            <w:vAlign w:val="bottom"/>
            <w:shd w:val="clear" w:color="auto" w:fill="CFF0FC"/>
          </w:tcPr>
          <w:p>
            <w:pPr>
              <w:jc w:val="right"/>
              <w:ind w:right="19"/>
              <w:spacing w:after="0"/>
              <w:rPr>
                <w:sz w:val="20"/>
                <w:szCs w:val="20"/>
                <w:color w:val="auto"/>
              </w:rPr>
            </w:pPr>
            <w:r>
              <w:rPr>
                <w:rFonts w:ascii="Arial" w:cs="Arial" w:eastAsia="Arial" w:hAnsi="Arial"/>
                <w:sz w:val="12"/>
                <w:szCs w:val="12"/>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1.33</w:t>
            </w:r>
          </w:p>
        </w:tc>
        <w:tc>
          <w:tcPr>
            <w:tcW w:w="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1.21</w:t>
            </w:r>
          </w:p>
        </w:tc>
        <w:tc>
          <w:tcPr>
            <w:tcW w:w="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1.10</w:t>
            </w:r>
          </w:p>
        </w:tc>
        <w:tc>
          <w:tcPr>
            <w:tcW w:w="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1.18</w:t>
            </w:r>
          </w:p>
        </w:tc>
        <w:tc>
          <w:tcPr>
            <w:tcW w:w="280" w:type="dxa"/>
            <w:vAlign w:val="bottom"/>
            <w:shd w:val="clear" w:color="auto" w:fill="CFF0FC"/>
          </w:tcPr>
          <w:p>
            <w:pPr>
              <w:jc w:val="right"/>
              <w:ind w:right="19"/>
              <w:spacing w:after="0"/>
              <w:rPr>
                <w:sz w:val="20"/>
                <w:szCs w:val="20"/>
                <w:color w:val="auto"/>
              </w:rPr>
            </w:pPr>
            <w:r>
              <w:rPr>
                <w:rFonts w:ascii="Arial" w:cs="Arial" w:eastAsia="Arial" w:hAnsi="Arial"/>
                <w:sz w:val="12"/>
                <w:szCs w:val="12"/>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1.18</w:t>
            </w:r>
          </w:p>
        </w:tc>
        <w:tc>
          <w:tcPr>
            <w:tcW w:w="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1.09</w:t>
            </w:r>
          </w:p>
        </w:tc>
        <w:tc>
          <w:tcPr>
            <w:tcW w:w="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r>
      <w:tr>
        <w:trPr>
          <w:trHeight w:val="145"/>
        </w:trPr>
        <w:tc>
          <w:tcPr>
            <w:tcW w:w="3540" w:type="dxa"/>
            <w:vAlign w:val="bottom"/>
            <w:gridSpan w:val="2"/>
          </w:tcPr>
          <w:p>
            <w:pPr>
              <w:ind w:left="240"/>
              <w:spacing w:after="0"/>
              <w:rPr>
                <w:sz w:val="20"/>
                <w:szCs w:val="20"/>
                <w:color w:val="auto"/>
              </w:rPr>
            </w:pPr>
            <w:r>
              <w:rPr>
                <w:rFonts w:ascii="Arial" w:cs="Arial" w:eastAsia="Arial" w:hAnsi="Arial"/>
                <w:sz w:val="12"/>
                <w:szCs w:val="12"/>
                <w:color w:val="auto"/>
              </w:rPr>
              <w:t>Average tangible common shareholders’ equity</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11.77</w:t>
            </w:r>
          </w:p>
        </w:tc>
        <w:tc>
          <w:tcPr>
            <w:tcW w:w="280" w:type="dxa"/>
            <w:vAlign w:val="bottom"/>
          </w:tcPr>
          <w:p>
            <w:pPr>
              <w:jc w:val="right"/>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13.03</w:t>
            </w:r>
          </w:p>
        </w:tc>
        <w:tc>
          <w:tcPr>
            <w:tcW w:w="28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14.18</w:t>
            </w:r>
          </w:p>
        </w:tc>
        <w:tc>
          <w:tcPr>
            <w:tcW w:w="260" w:type="dxa"/>
            <w:vAlign w:val="bottom"/>
          </w:tcPr>
          <w:p>
            <w:pPr>
              <w:jc w:val="right"/>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13.05</w:t>
            </w:r>
          </w:p>
        </w:tc>
        <w:tc>
          <w:tcPr>
            <w:tcW w:w="280" w:type="dxa"/>
            <w:vAlign w:val="bottom"/>
          </w:tcPr>
          <w:p>
            <w:pPr>
              <w:jc w:val="right"/>
              <w:spacing w:after="0"/>
              <w:rPr>
                <w:sz w:val="20"/>
                <w:szCs w:val="20"/>
                <w:color w:val="auto"/>
              </w:rPr>
            </w:pPr>
            <w:r>
              <w:rPr>
                <w:rFonts w:ascii="Arial" w:cs="Arial" w:eastAsia="Arial" w:hAnsi="Arial"/>
                <w:sz w:val="12"/>
                <w:szCs w:val="12"/>
                <w:color w:val="auto"/>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11.93</w:t>
            </w:r>
          </w:p>
        </w:tc>
        <w:tc>
          <w:tcPr>
            <w:tcW w:w="260" w:type="dxa"/>
            <w:vAlign w:val="bottom"/>
          </w:tcPr>
          <w:p>
            <w:pPr>
              <w:jc w:val="right"/>
              <w:spacing w:after="0"/>
              <w:rPr>
                <w:sz w:val="20"/>
                <w:szCs w:val="20"/>
                <w:color w:val="auto"/>
              </w:rPr>
            </w:pPr>
            <w:r>
              <w:rPr>
                <w:rFonts w:ascii="Arial" w:cs="Arial" w:eastAsia="Arial" w:hAnsi="Arial"/>
                <w:sz w:val="12"/>
                <w:szCs w:val="12"/>
                <w:color w:val="auto"/>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12.77</w:t>
            </w:r>
          </w:p>
        </w:tc>
        <w:tc>
          <w:tcPr>
            <w:tcW w:w="28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12.68</w:t>
            </w:r>
          </w:p>
        </w:tc>
        <w:tc>
          <w:tcPr>
            <w:tcW w:w="280" w:type="dxa"/>
            <w:vAlign w:val="bottom"/>
          </w:tcPr>
          <w:p>
            <w:pPr>
              <w:jc w:val="right"/>
              <w:spacing w:after="0"/>
              <w:rPr>
                <w:sz w:val="20"/>
                <w:szCs w:val="20"/>
                <w:color w:val="auto"/>
              </w:rPr>
            </w:pPr>
            <w:r>
              <w:rPr>
                <w:rFonts w:ascii="Arial" w:cs="Arial" w:eastAsia="Arial" w:hAnsi="Arial"/>
                <w:sz w:val="12"/>
                <w:szCs w:val="12"/>
                <w:color w:val="auto"/>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11.62</w:t>
            </w:r>
          </w:p>
        </w:tc>
        <w:tc>
          <w:tcPr>
            <w:tcW w:w="2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5"/>
        </w:trPr>
        <w:tc>
          <w:tcPr>
            <w:tcW w:w="35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Efficiency ratio (b)</w:t>
            </w:r>
          </w:p>
        </w:tc>
        <w:tc>
          <w:tcPr>
            <w:tcW w:w="8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54.65</w:t>
            </w:r>
          </w:p>
        </w:tc>
        <w:tc>
          <w:tcPr>
            <w:tcW w:w="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56.00</w:t>
            </w:r>
          </w:p>
        </w:tc>
        <w:tc>
          <w:tcPr>
            <w:tcW w:w="280" w:type="dxa"/>
            <w:vAlign w:val="bottom"/>
            <w:shd w:val="clear" w:color="auto" w:fill="CFF0FC"/>
          </w:tcPr>
          <w:p>
            <w:pPr>
              <w:jc w:val="right"/>
              <w:ind w:right="19"/>
              <w:spacing w:after="0"/>
              <w:rPr>
                <w:sz w:val="20"/>
                <w:szCs w:val="20"/>
                <w:color w:val="auto"/>
              </w:rPr>
            </w:pPr>
            <w:r>
              <w:rPr>
                <w:rFonts w:ascii="Arial" w:cs="Arial" w:eastAsia="Arial" w:hAnsi="Arial"/>
                <w:sz w:val="12"/>
                <w:szCs w:val="12"/>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52.74</w:t>
            </w:r>
          </w:p>
        </w:tc>
        <w:tc>
          <w:tcPr>
            <w:tcW w:w="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56.93</w:t>
            </w:r>
          </w:p>
        </w:tc>
        <w:tc>
          <w:tcPr>
            <w:tcW w:w="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56.42</w:t>
            </w:r>
          </w:p>
        </w:tc>
        <w:tc>
          <w:tcPr>
            <w:tcW w:w="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55.92</w:t>
            </w:r>
          </w:p>
        </w:tc>
        <w:tc>
          <w:tcPr>
            <w:tcW w:w="280" w:type="dxa"/>
            <w:vAlign w:val="bottom"/>
            <w:shd w:val="clear" w:color="auto" w:fill="CFF0FC"/>
          </w:tcPr>
          <w:p>
            <w:pPr>
              <w:jc w:val="right"/>
              <w:ind w:right="19"/>
              <w:spacing w:after="0"/>
              <w:rPr>
                <w:sz w:val="20"/>
                <w:szCs w:val="20"/>
                <w:color w:val="auto"/>
              </w:rPr>
            </w:pPr>
            <w:r>
              <w:rPr>
                <w:rFonts w:ascii="Arial" w:cs="Arial" w:eastAsia="Arial" w:hAnsi="Arial"/>
                <w:sz w:val="12"/>
                <w:szCs w:val="12"/>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55.06</w:t>
            </w:r>
          </w:p>
        </w:tc>
        <w:tc>
          <w:tcPr>
            <w:tcW w:w="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57.00</w:t>
            </w:r>
          </w:p>
        </w:tc>
        <w:tc>
          <w:tcPr>
            <w:tcW w:w="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r>
      <w:tr>
        <w:trPr>
          <w:trHeight w:val="145"/>
        </w:trPr>
        <w:tc>
          <w:tcPr>
            <w:tcW w:w="3540" w:type="dxa"/>
            <w:vAlign w:val="bottom"/>
            <w:gridSpan w:val="2"/>
          </w:tcPr>
          <w:p>
            <w:pPr>
              <w:spacing w:after="0"/>
              <w:rPr>
                <w:sz w:val="20"/>
                <w:szCs w:val="20"/>
                <w:color w:val="auto"/>
              </w:rPr>
            </w:pPr>
            <w:r>
              <w:rPr>
                <w:rFonts w:ascii="Arial" w:cs="Arial" w:eastAsia="Arial" w:hAnsi="Arial"/>
                <w:sz w:val="12"/>
                <w:szCs w:val="12"/>
                <w:b w:val="1"/>
                <w:bCs w:val="1"/>
                <w:color w:val="auto"/>
              </w:rPr>
              <w:t>Balance sheet data</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45"/>
        </w:trPr>
        <w:tc>
          <w:tcPr>
            <w:tcW w:w="3540" w:type="dxa"/>
            <w:vAlign w:val="bottom"/>
            <w:gridSpan w:val="2"/>
            <w:shd w:val="clear" w:color="auto" w:fill="CFF0FC"/>
          </w:tcPr>
          <w:p>
            <w:pPr>
              <w:spacing w:after="0"/>
              <w:rPr>
                <w:sz w:val="20"/>
                <w:szCs w:val="20"/>
                <w:color w:val="auto"/>
              </w:rPr>
            </w:pPr>
            <w:r>
              <w:rPr>
                <w:rFonts w:ascii="Arial" w:cs="Arial" w:eastAsia="Arial" w:hAnsi="Arial"/>
                <w:sz w:val="12"/>
                <w:szCs w:val="12"/>
                <w:i w:val="1"/>
                <w:iCs w:val="1"/>
                <w:color w:val="auto"/>
              </w:rPr>
              <w:t>In millions, except per share</w:t>
            </w:r>
          </w:p>
        </w:tc>
        <w:tc>
          <w:tcPr>
            <w:tcW w:w="8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r>
      <w:tr>
        <w:trPr>
          <w:trHeight w:val="145"/>
        </w:trPr>
        <w:tc>
          <w:tcPr>
            <w:tcW w:w="3540" w:type="dxa"/>
            <w:vAlign w:val="bottom"/>
            <w:gridSpan w:val="2"/>
          </w:tcPr>
          <w:p>
            <w:pPr>
              <w:spacing w:after="0"/>
              <w:rPr>
                <w:sz w:val="20"/>
                <w:szCs w:val="20"/>
                <w:color w:val="auto"/>
              </w:rPr>
            </w:pPr>
            <w:r>
              <w:rPr>
                <w:rFonts w:ascii="Arial" w:cs="Arial" w:eastAsia="Arial" w:hAnsi="Arial"/>
                <w:sz w:val="12"/>
                <w:szCs w:val="12"/>
                <w:color w:val="auto"/>
              </w:rPr>
              <w:t>Average balances</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45"/>
        </w:trPr>
        <w:tc>
          <w:tcPr>
            <w:tcW w:w="3540" w:type="dxa"/>
            <w:vAlign w:val="bottom"/>
            <w:gridSpan w:val="2"/>
            <w:shd w:val="clear" w:color="auto" w:fill="CFF0FC"/>
          </w:tcPr>
          <w:p>
            <w:pPr>
              <w:ind w:left="240"/>
              <w:spacing w:after="0"/>
              <w:rPr>
                <w:sz w:val="20"/>
                <w:szCs w:val="20"/>
                <w:color w:val="auto"/>
              </w:rPr>
            </w:pPr>
            <w:r>
              <w:rPr>
                <w:rFonts w:ascii="Arial" w:cs="Arial" w:eastAsia="Arial" w:hAnsi="Arial"/>
                <w:sz w:val="12"/>
                <w:szCs w:val="12"/>
                <w:color w:val="auto"/>
              </w:rPr>
              <w:t>Total assets (c)</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120,226</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119,515</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120,765</w:t>
            </w: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122,978</w:t>
            </w:r>
          </w:p>
        </w:tc>
        <w:tc>
          <w:tcPr>
            <w:tcW w:w="2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125,734</w:t>
            </w:r>
          </w:p>
        </w:tc>
        <w:tc>
          <w:tcPr>
            <w:tcW w:w="2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124,725</w:t>
            </w:r>
          </w:p>
        </w:tc>
        <w:tc>
          <w:tcPr>
            <w:tcW w:w="28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123,706</w:t>
            </w:r>
          </w:p>
        </w:tc>
        <w:tc>
          <w:tcPr>
            <w:tcW w:w="2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123,252</w:t>
            </w:r>
          </w:p>
        </w:tc>
        <w:tc>
          <w:tcPr>
            <w:tcW w:w="280" w:type="dxa"/>
            <w:vAlign w:val="bottom"/>
            <w:shd w:val="clear" w:color="auto" w:fill="CFF0FC"/>
          </w:tcPr>
          <w:p>
            <w:pPr>
              <w:spacing w:after="0"/>
              <w:rPr>
                <w:sz w:val="12"/>
                <w:szCs w:val="12"/>
                <w:color w:val="auto"/>
              </w:rPr>
            </w:pPr>
          </w:p>
        </w:tc>
      </w:tr>
      <w:tr>
        <w:trPr>
          <w:trHeight w:val="145"/>
        </w:trPr>
        <w:tc>
          <w:tcPr>
            <w:tcW w:w="3540" w:type="dxa"/>
            <w:vAlign w:val="bottom"/>
            <w:gridSpan w:val="2"/>
          </w:tcPr>
          <w:p>
            <w:pPr>
              <w:ind w:left="240"/>
              <w:spacing w:after="0"/>
              <w:rPr>
                <w:sz w:val="20"/>
                <w:szCs w:val="20"/>
                <w:color w:val="auto"/>
              </w:rPr>
            </w:pPr>
            <w:r>
              <w:rPr>
                <w:rFonts w:ascii="Arial" w:cs="Arial" w:eastAsia="Arial" w:hAnsi="Arial"/>
                <w:sz w:val="12"/>
                <w:szCs w:val="12"/>
                <w:color w:val="auto"/>
              </w:rPr>
              <w:t>Total tangible assets (c)</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115,584</w:t>
            </w:r>
          </w:p>
        </w:tc>
        <w:tc>
          <w:tcPr>
            <w:tcW w:w="2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114,872</w:t>
            </w:r>
          </w:p>
        </w:tc>
        <w:tc>
          <w:tcPr>
            <w:tcW w:w="2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116,117</w:t>
            </w:r>
          </w:p>
        </w:tc>
        <w:tc>
          <w:tcPr>
            <w:tcW w:w="2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118,326</w:t>
            </w:r>
          </w:p>
        </w:tc>
        <w:tc>
          <w:tcPr>
            <w:tcW w:w="2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121,079</w:t>
            </w:r>
          </w:p>
        </w:tc>
        <w:tc>
          <w:tcPr>
            <w:tcW w:w="2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120,064</w:t>
            </w:r>
          </w:p>
        </w:tc>
        <w:tc>
          <w:tcPr>
            <w:tcW w:w="2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119,039</w:t>
            </w:r>
          </w:p>
        </w:tc>
        <w:tc>
          <w:tcPr>
            <w:tcW w:w="2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118,577</w:t>
            </w:r>
          </w:p>
        </w:tc>
        <w:tc>
          <w:tcPr>
            <w:tcW w:w="280" w:type="dxa"/>
            <w:vAlign w:val="bottom"/>
          </w:tcPr>
          <w:p>
            <w:pPr>
              <w:spacing w:after="0"/>
              <w:rPr>
                <w:sz w:val="12"/>
                <w:szCs w:val="12"/>
                <w:color w:val="auto"/>
              </w:rPr>
            </w:pPr>
          </w:p>
        </w:tc>
      </w:tr>
      <w:tr>
        <w:trPr>
          <w:trHeight w:val="145"/>
        </w:trPr>
        <w:tc>
          <w:tcPr>
            <w:tcW w:w="3540" w:type="dxa"/>
            <w:vAlign w:val="bottom"/>
            <w:gridSpan w:val="2"/>
            <w:shd w:val="clear" w:color="auto" w:fill="CFF0FC"/>
          </w:tcPr>
          <w:p>
            <w:pPr>
              <w:ind w:left="240"/>
              <w:spacing w:after="0"/>
              <w:rPr>
                <w:sz w:val="20"/>
                <w:szCs w:val="20"/>
                <w:color w:val="auto"/>
              </w:rPr>
            </w:pPr>
            <w:r>
              <w:rPr>
                <w:rFonts w:ascii="Arial" w:cs="Arial" w:eastAsia="Arial" w:hAnsi="Arial"/>
                <w:sz w:val="12"/>
                <w:szCs w:val="12"/>
                <w:color w:val="auto"/>
              </w:rPr>
              <w:t>Earning assets</w:t>
            </w:r>
          </w:p>
        </w:tc>
        <w:tc>
          <w:tcPr>
            <w:tcW w:w="8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109,412</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108,642</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109,987</w:t>
            </w: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112,008</w:t>
            </w:r>
          </w:p>
        </w:tc>
        <w:tc>
          <w:tcPr>
            <w:tcW w:w="2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114,254</w:t>
            </w:r>
          </w:p>
        </w:tc>
        <w:tc>
          <w:tcPr>
            <w:tcW w:w="2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112,864</w:t>
            </w:r>
          </w:p>
        </w:tc>
        <w:tc>
          <w:tcPr>
            <w:tcW w:w="28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111,872</w:t>
            </w:r>
          </w:p>
        </w:tc>
        <w:tc>
          <w:tcPr>
            <w:tcW w:w="2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111,211</w:t>
            </w:r>
          </w:p>
        </w:tc>
        <w:tc>
          <w:tcPr>
            <w:tcW w:w="280" w:type="dxa"/>
            <w:vAlign w:val="bottom"/>
            <w:shd w:val="clear" w:color="auto" w:fill="CFF0FC"/>
          </w:tcPr>
          <w:p>
            <w:pPr>
              <w:spacing w:after="0"/>
              <w:rPr>
                <w:sz w:val="12"/>
                <w:szCs w:val="12"/>
                <w:color w:val="auto"/>
              </w:rPr>
            </w:pPr>
          </w:p>
        </w:tc>
      </w:tr>
      <w:tr>
        <w:trPr>
          <w:trHeight w:val="145"/>
        </w:trPr>
        <w:tc>
          <w:tcPr>
            <w:tcW w:w="3540" w:type="dxa"/>
            <w:vAlign w:val="bottom"/>
            <w:gridSpan w:val="2"/>
          </w:tcPr>
          <w:p>
            <w:pPr>
              <w:ind w:left="240"/>
              <w:spacing w:after="0"/>
              <w:rPr>
                <w:sz w:val="20"/>
                <w:szCs w:val="20"/>
                <w:color w:val="auto"/>
              </w:rPr>
            </w:pPr>
            <w:r>
              <w:rPr>
                <w:rFonts w:ascii="Arial" w:cs="Arial" w:eastAsia="Arial" w:hAnsi="Arial"/>
                <w:sz w:val="12"/>
                <w:szCs w:val="12"/>
                <w:color w:val="auto"/>
              </w:rPr>
              <w:t>Investment securities</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14,808</w:t>
            </w:r>
          </w:p>
        </w:tc>
        <w:tc>
          <w:tcPr>
            <w:tcW w:w="2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15,443</w:t>
            </w:r>
          </w:p>
        </w:tc>
        <w:tc>
          <w:tcPr>
            <w:tcW w:w="2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15,913</w:t>
            </w:r>
          </w:p>
        </w:tc>
        <w:tc>
          <w:tcPr>
            <w:tcW w:w="2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15,999</w:t>
            </w:r>
          </w:p>
        </w:tc>
        <w:tc>
          <w:tcPr>
            <w:tcW w:w="2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15,417</w:t>
            </w:r>
          </w:p>
        </w:tc>
        <w:tc>
          <w:tcPr>
            <w:tcW w:w="2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14,361</w:t>
            </w:r>
          </w:p>
        </w:tc>
        <w:tc>
          <w:tcPr>
            <w:tcW w:w="2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14,914</w:t>
            </w:r>
          </w:p>
        </w:tc>
        <w:tc>
          <w:tcPr>
            <w:tcW w:w="2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15,348</w:t>
            </w:r>
          </w:p>
        </w:tc>
        <w:tc>
          <w:tcPr>
            <w:tcW w:w="280" w:type="dxa"/>
            <w:vAlign w:val="bottom"/>
          </w:tcPr>
          <w:p>
            <w:pPr>
              <w:spacing w:after="0"/>
              <w:rPr>
                <w:sz w:val="12"/>
                <w:szCs w:val="12"/>
                <w:color w:val="auto"/>
              </w:rPr>
            </w:pPr>
          </w:p>
        </w:tc>
      </w:tr>
      <w:tr>
        <w:trPr>
          <w:trHeight w:val="145"/>
        </w:trPr>
        <w:tc>
          <w:tcPr>
            <w:tcW w:w="3540" w:type="dxa"/>
            <w:vAlign w:val="bottom"/>
            <w:gridSpan w:val="2"/>
            <w:shd w:val="clear" w:color="auto" w:fill="CFF0FC"/>
          </w:tcPr>
          <w:p>
            <w:pPr>
              <w:ind w:left="240"/>
              <w:spacing w:after="0"/>
              <w:rPr>
                <w:sz w:val="20"/>
                <w:szCs w:val="20"/>
                <w:color w:val="auto"/>
              </w:rPr>
            </w:pPr>
            <w:r>
              <w:rPr>
                <w:rFonts w:ascii="Arial" w:cs="Arial" w:eastAsia="Arial" w:hAnsi="Arial"/>
                <w:sz w:val="12"/>
                <w:szCs w:val="12"/>
                <w:color w:val="auto"/>
              </w:rPr>
              <w:t>Loans and leases, net of unearned discount</w:t>
            </w:r>
          </w:p>
        </w:tc>
        <w:tc>
          <w:tcPr>
            <w:tcW w:w="8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87,837</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88,386</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89,268</w:t>
            </w: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89,797</w:t>
            </w:r>
          </w:p>
        </w:tc>
        <w:tc>
          <w:tcPr>
            <w:tcW w:w="2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89,977</w:t>
            </w:r>
          </w:p>
        </w:tc>
        <w:tc>
          <w:tcPr>
            <w:tcW w:w="2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88,732</w:t>
            </w:r>
          </w:p>
        </w:tc>
        <w:tc>
          <w:tcPr>
            <w:tcW w:w="28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88,155</w:t>
            </w:r>
          </w:p>
        </w:tc>
        <w:tc>
          <w:tcPr>
            <w:tcW w:w="2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87,584</w:t>
            </w:r>
          </w:p>
        </w:tc>
        <w:tc>
          <w:tcPr>
            <w:tcW w:w="280" w:type="dxa"/>
            <w:vAlign w:val="bottom"/>
            <w:shd w:val="clear" w:color="auto" w:fill="CFF0FC"/>
          </w:tcPr>
          <w:p>
            <w:pPr>
              <w:spacing w:after="0"/>
              <w:rPr>
                <w:sz w:val="12"/>
                <w:szCs w:val="12"/>
                <w:color w:val="auto"/>
              </w:rPr>
            </w:pPr>
          </w:p>
        </w:tc>
      </w:tr>
      <w:tr>
        <w:trPr>
          <w:trHeight w:val="145"/>
        </w:trPr>
        <w:tc>
          <w:tcPr>
            <w:tcW w:w="3540" w:type="dxa"/>
            <w:vAlign w:val="bottom"/>
            <w:gridSpan w:val="2"/>
          </w:tcPr>
          <w:p>
            <w:pPr>
              <w:ind w:left="240"/>
              <w:spacing w:after="0"/>
              <w:rPr>
                <w:sz w:val="20"/>
                <w:szCs w:val="20"/>
                <w:color w:val="auto"/>
              </w:rPr>
            </w:pPr>
            <w:r>
              <w:rPr>
                <w:rFonts w:ascii="Arial" w:cs="Arial" w:eastAsia="Arial" w:hAnsi="Arial"/>
                <w:sz w:val="12"/>
                <w:szCs w:val="12"/>
                <w:color w:val="auto"/>
              </w:rPr>
              <w:t>Deposits</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93,469</w:t>
            </w:r>
          </w:p>
        </w:tc>
        <w:tc>
          <w:tcPr>
            <w:tcW w:w="2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93,134</w:t>
            </w:r>
          </w:p>
        </w:tc>
        <w:tc>
          <w:tcPr>
            <w:tcW w:w="2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94,201</w:t>
            </w:r>
          </w:p>
        </w:tc>
        <w:tc>
          <w:tcPr>
            <w:tcW w:w="2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96,300</w:t>
            </w:r>
          </w:p>
        </w:tc>
        <w:tc>
          <w:tcPr>
            <w:tcW w:w="2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96,914</w:t>
            </w:r>
          </w:p>
        </w:tc>
        <w:tc>
          <w:tcPr>
            <w:tcW w:w="2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95,852</w:t>
            </w:r>
          </w:p>
        </w:tc>
        <w:tc>
          <w:tcPr>
            <w:tcW w:w="2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94,033</w:t>
            </w:r>
          </w:p>
        </w:tc>
        <w:tc>
          <w:tcPr>
            <w:tcW w:w="2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92,391</w:t>
            </w:r>
          </w:p>
        </w:tc>
        <w:tc>
          <w:tcPr>
            <w:tcW w:w="280" w:type="dxa"/>
            <w:vAlign w:val="bottom"/>
          </w:tcPr>
          <w:p>
            <w:pPr>
              <w:spacing w:after="0"/>
              <w:rPr>
                <w:sz w:val="12"/>
                <w:szCs w:val="12"/>
                <w:color w:val="auto"/>
              </w:rPr>
            </w:pPr>
          </w:p>
        </w:tc>
      </w:tr>
      <w:tr>
        <w:trPr>
          <w:trHeight w:val="145"/>
        </w:trPr>
        <w:tc>
          <w:tcPr>
            <w:tcW w:w="3540" w:type="dxa"/>
            <w:vAlign w:val="bottom"/>
            <w:gridSpan w:val="2"/>
            <w:shd w:val="clear" w:color="auto" w:fill="CFF0FC"/>
          </w:tcPr>
          <w:p>
            <w:pPr>
              <w:ind w:left="240"/>
              <w:spacing w:after="0"/>
              <w:rPr>
                <w:sz w:val="20"/>
                <w:szCs w:val="20"/>
                <w:color w:val="auto"/>
              </w:rPr>
            </w:pPr>
            <w:r>
              <w:rPr>
                <w:rFonts w:ascii="Arial" w:cs="Arial" w:eastAsia="Arial" w:hAnsi="Arial"/>
                <w:sz w:val="12"/>
                <w:szCs w:val="12"/>
                <w:color w:val="auto"/>
              </w:rPr>
              <w:t>Common shareholders’ equity (c)</w:t>
            </w:r>
          </w:p>
        </w:tc>
        <w:tc>
          <w:tcPr>
            <w:tcW w:w="8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15,039</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15,069</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15,053</w:t>
            </w: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15,091</w:t>
            </w:r>
          </w:p>
        </w:tc>
        <w:tc>
          <w:tcPr>
            <w:tcW w:w="2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15,181</w:t>
            </w:r>
          </w:p>
        </w:tc>
        <w:tc>
          <w:tcPr>
            <w:tcW w:w="2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15,115</w:t>
            </w:r>
          </w:p>
        </w:tc>
        <w:tc>
          <w:tcPr>
            <w:tcW w:w="28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15,145</w:t>
            </w:r>
          </w:p>
        </w:tc>
        <w:tc>
          <w:tcPr>
            <w:tcW w:w="2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15,047</w:t>
            </w:r>
          </w:p>
        </w:tc>
        <w:tc>
          <w:tcPr>
            <w:tcW w:w="280" w:type="dxa"/>
            <w:vAlign w:val="bottom"/>
            <w:shd w:val="clear" w:color="auto" w:fill="CFF0FC"/>
          </w:tcPr>
          <w:p>
            <w:pPr>
              <w:spacing w:after="0"/>
              <w:rPr>
                <w:sz w:val="12"/>
                <w:szCs w:val="12"/>
                <w:color w:val="auto"/>
              </w:rPr>
            </w:pPr>
          </w:p>
        </w:tc>
      </w:tr>
      <w:tr>
        <w:trPr>
          <w:trHeight w:val="145"/>
        </w:trPr>
        <w:tc>
          <w:tcPr>
            <w:tcW w:w="3540" w:type="dxa"/>
            <w:vAlign w:val="bottom"/>
            <w:gridSpan w:val="2"/>
          </w:tcPr>
          <w:p>
            <w:pPr>
              <w:ind w:left="240"/>
              <w:spacing w:after="0"/>
              <w:rPr>
                <w:sz w:val="20"/>
                <w:szCs w:val="20"/>
                <w:color w:val="auto"/>
              </w:rPr>
            </w:pPr>
            <w:r>
              <w:rPr>
                <w:rFonts w:ascii="Arial" w:cs="Arial" w:eastAsia="Arial" w:hAnsi="Arial"/>
                <w:sz w:val="12"/>
                <w:szCs w:val="12"/>
                <w:color w:val="auto"/>
              </w:rPr>
              <w:t>Tangible common shareholders’ equity (c)</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10,397</w:t>
            </w:r>
          </w:p>
        </w:tc>
        <w:tc>
          <w:tcPr>
            <w:tcW w:w="2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10,426</w:t>
            </w:r>
          </w:p>
        </w:tc>
        <w:tc>
          <w:tcPr>
            <w:tcW w:w="2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10,405</w:t>
            </w:r>
          </w:p>
        </w:tc>
        <w:tc>
          <w:tcPr>
            <w:tcW w:w="2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10,439</w:t>
            </w:r>
          </w:p>
        </w:tc>
        <w:tc>
          <w:tcPr>
            <w:tcW w:w="2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10,526</w:t>
            </w:r>
          </w:p>
        </w:tc>
        <w:tc>
          <w:tcPr>
            <w:tcW w:w="2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10,454</w:t>
            </w:r>
          </w:p>
        </w:tc>
        <w:tc>
          <w:tcPr>
            <w:tcW w:w="2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10,478</w:t>
            </w:r>
          </w:p>
        </w:tc>
        <w:tc>
          <w:tcPr>
            <w:tcW w:w="2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10,372</w:t>
            </w:r>
          </w:p>
        </w:tc>
        <w:tc>
          <w:tcPr>
            <w:tcW w:w="280" w:type="dxa"/>
            <w:vAlign w:val="bottom"/>
          </w:tcPr>
          <w:p>
            <w:pPr>
              <w:spacing w:after="0"/>
              <w:rPr>
                <w:sz w:val="12"/>
                <w:szCs w:val="12"/>
                <w:color w:val="auto"/>
              </w:rPr>
            </w:pPr>
          </w:p>
        </w:tc>
      </w:tr>
      <w:tr>
        <w:trPr>
          <w:trHeight w:val="145"/>
        </w:trPr>
        <w:tc>
          <w:tcPr>
            <w:tcW w:w="35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At end of quarter</w:t>
            </w:r>
          </w:p>
        </w:tc>
        <w:tc>
          <w:tcPr>
            <w:tcW w:w="8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r>
      <w:tr>
        <w:trPr>
          <w:trHeight w:val="145"/>
        </w:trPr>
        <w:tc>
          <w:tcPr>
            <w:tcW w:w="3540" w:type="dxa"/>
            <w:vAlign w:val="bottom"/>
            <w:gridSpan w:val="2"/>
          </w:tcPr>
          <w:p>
            <w:pPr>
              <w:ind w:left="240"/>
              <w:spacing w:after="0"/>
              <w:rPr>
                <w:sz w:val="20"/>
                <w:szCs w:val="20"/>
                <w:color w:val="auto"/>
              </w:rPr>
            </w:pPr>
            <w:r>
              <w:rPr>
                <w:rFonts w:ascii="Arial" w:cs="Arial" w:eastAsia="Arial" w:hAnsi="Arial"/>
                <w:sz w:val="12"/>
                <w:szCs w:val="12"/>
                <w:color w:val="auto"/>
              </w:rPr>
              <w:t>Total assets (c)</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118,593</w:t>
            </w:r>
          </w:p>
        </w:tc>
        <w:tc>
          <w:tcPr>
            <w:tcW w:w="2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120,402</w:t>
            </w:r>
          </w:p>
        </w:tc>
        <w:tc>
          <w:tcPr>
            <w:tcW w:w="2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120,897</w:t>
            </w:r>
          </w:p>
        </w:tc>
        <w:tc>
          <w:tcPr>
            <w:tcW w:w="2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123,223</w:t>
            </w:r>
          </w:p>
        </w:tc>
        <w:tc>
          <w:tcPr>
            <w:tcW w:w="2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123,449</w:t>
            </w:r>
          </w:p>
        </w:tc>
        <w:tc>
          <w:tcPr>
            <w:tcW w:w="2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126,841</w:t>
            </w:r>
          </w:p>
        </w:tc>
        <w:tc>
          <w:tcPr>
            <w:tcW w:w="2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123,821</w:t>
            </w:r>
          </w:p>
        </w:tc>
        <w:tc>
          <w:tcPr>
            <w:tcW w:w="2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124,626</w:t>
            </w:r>
          </w:p>
        </w:tc>
        <w:tc>
          <w:tcPr>
            <w:tcW w:w="280" w:type="dxa"/>
            <w:vAlign w:val="bottom"/>
          </w:tcPr>
          <w:p>
            <w:pPr>
              <w:spacing w:after="0"/>
              <w:rPr>
                <w:sz w:val="12"/>
                <w:szCs w:val="12"/>
                <w:color w:val="auto"/>
              </w:rPr>
            </w:pPr>
          </w:p>
        </w:tc>
      </w:tr>
      <w:tr>
        <w:trPr>
          <w:trHeight w:val="145"/>
        </w:trPr>
        <w:tc>
          <w:tcPr>
            <w:tcW w:w="3540" w:type="dxa"/>
            <w:vAlign w:val="bottom"/>
            <w:gridSpan w:val="2"/>
            <w:shd w:val="clear" w:color="auto" w:fill="CFF0FC"/>
          </w:tcPr>
          <w:p>
            <w:pPr>
              <w:ind w:left="240"/>
              <w:spacing w:after="0"/>
              <w:rPr>
                <w:sz w:val="20"/>
                <w:szCs w:val="20"/>
                <w:color w:val="auto"/>
              </w:rPr>
            </w:pPr>
            <w:r>
              <w:rPr>
                <w:rFonts w:ascii="Arial" w:cs="Arial" w:eastAsia="Arial" w:hAnsi="Arial"/>
                <w:sz w:val="12"/>
                <w:szCs w:val="12"/>
                <w:color w:val="auto"/>
              </w:rPr>
              <w:t>Total tangible assets (c)</w:t>
            </w:r>
          </w:p>
        </w:tc>
        <w:tc>
          <w:tcPr>
            <w:tcW w:w="8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113,947</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115,761</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116,251</w:t>
            </w: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118,573</w:t>
            </w:r>
          </w:p>
        </w:tc>
        <w:tc>
          <w:tcPr>
            <w:tcW w:w="2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118,797</w:t>
            </w:r>
          </w:p>
        </w:tc>
        <w:tc>
          <w:tcPr>
            <w:tcW w:w="2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122,183</w:t>
            </w:r>
          </w:p>
        </w:tc>
        <w:tc>
          <w:tcPr>
            <w:tcW w:w="28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119,157</w:t>
            </w:r>
          </w:p>
        </w:tc>
        <w:tc>
          <w:tcPr>
            <w:tcW w:w="2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119,955</w:t>
            </w:r>
          </w:p>
        </w:tc>
        <w:tc>
          <w:tcPr>
            <w:tcW w:w="280" w:type="dxa"/>
            <w:vAlign w:val="bottom"/>
            <w:shd w:val="clear" w:color="auto" w:fill="CFF0FC"/>
          </w:tcPr>
          <w:p>
            <w:pPr>
              <w:spacing w:after="0"/>
              <w:rPr>
                <w:sz w:val="12"/>
                <w:szCs w:val="12"/>
                <w:color w:val="auto"/>
              </w:rPr>
            </w:pPr>
          </w:p>
        </w:tc>
      </w:tr>
      <w:tr>
        <w:trPr>
          <w:trHeight w:val="145"/>
        </w:trPr>
        <w:tc>
          <w:tcPr>
            <w:tcW w:w="3540" w:type="dxa"/>
            <w:vAlign w:val="bottom"/>
            <w:gridSpan w:val="2"/>
          </w:tcPr>
          <w:p>
            <w:pPr>
              <w:ind w:left="240"/>
              <w:spacing w:after="0"/>
              <w:rPr>
                <w:sz w:val="20"/>
                <w:szCs w:val="20"/>
                <w:color w:val="auto"/>
              </w:rPr>
            </w:pPr>
            <w:r>
              <w:rPr>
                <w:rFonts w:ascii="Arial" w:cs="Arial" w:eastAsia="Arial" w:hAnsi="Arial"/>
                <w:sz w:val="12"/>
                <w:szCs w:val="12"/>
                <w:color w:val="auto"/>
              </w:rPr>
              <w:t>Earning assets</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107,786</w:t>
            </w:r>
          </w:p>
        </w:tc>
        <w:tc>
          <w:tcPr>
            <w:tcW w:w="2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109,365</w:t>
            </w:r>
          </w:p>
        </w:tc>
        <w:tc>
          <w:tcPr>
            <w:tcW w:w="2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109,976</w:t>
            </w:r>
          </w:p>
        </w:tc>
        <w:tc>
          <w:tcPr>
            <w:tcW w:w="2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112,287</w:t>
            </w:r>
          </w:p>
        </w:tc>
        <w:tc>
          <w:tcPr>
            <w:tcW w:w="2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112,192</w:t>
            </w:r>
          </w:p>
        </w:tc>
        <w:tc>
          <w:tcPr>
            <w:tcW w:w="2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115,293</w:t>
            </w:r>
          </w:p>
        </w:tc>
        <w:tc>
          <w:tcPr>
            <w:tcW w:w="2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112,057</w:t>
            </w:r>
          </w:p>
        </w:tc>
        <w:tc>
          <w:tcPr>
            <w:tcW w:w="2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113,005</w:t>
            </w:r>
          </w:p>
        </w:tc>
        <w:tc>
          <w:tcPr>
            <w:tcW w:w="280" w:type="dxa"/>
            <w:vAlign w:val="bottom"/>
          </w:tcPr>
          <w:p>
            <w:pPr>
              <w:spacing w:after="0"/>
              <w:rPr>
                <w:sz w:val="12"/>
                <w:szCs w:val="12"/>
                <w:color w:val="auto"/>
              </w:rPr>
            </w:pPr>
          </w:p>
        </w:tc>
      </w:tr>
      <w:tr>
        <w:trPr>
          <w:trHeight w:val="145"/>
        </w:trPr>
        <w:tc>
          <w:tcPr>
            <w:tcW w:w="3540" w:type="dxa"/>
            <w:vAlign w:val="bottom"/>
            <w:gridSpan w:val="2"/>
            <w:shd w:val="clear" w:color="auto" w:fill="CFF0FC"/>
          </w:tcPr>
          <w:p>
            <w:pPr>
              <w:ind w:left="240"/>
              <w:spacing w:after="0"/>
              <w:rPr>
                <w:sz w:val="20"/>
                <w:szCs w:val="20"/>
                <w:color w:val="auto"/>
              </w:rPr>
            </w:pPr>
            <w:r>
              <w:rPr>
                <w:rFonts w:ascii="Arial" w:cs="Arial" w:eastAsia="Arial" w:hAnsi="Arial"/>
                <w:sz w:val="12"/>
                <w:szCs w:val="12"/>
                <w:color w:val="auto"/>
              </w:rPr>
              <w:t>Investment securities</w:t>
            </w:r>
          </w:p>
        </w:tc>
        <w:tc>
          <w:tcPr>
            <w:tcW w:w="8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14,665</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15,074</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15,816</w:t>
            </w: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15,968</w:t>
            </w:r>
          </w:p>
        </w:tc>
        <w:tc>
          <w:tcPr>
            <w:tcW w:w="2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16,250</w:t>
            </w:r>
          </w:p>
        </w:tc>
        <w:tc>
          <w:tcPr>
            <w:tcW w:w="2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14,734</w:t>
            </w:r>
          </w:p>
        </w:tc>
        <w:tc>
          <w:tcPr>
            <w:tcW w:w="28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14,963</w:t>
            </w:r>
          </w:p>
        </w:tc>
        <w:tc>
          <w:tcPr>
            <w:tcW w:w="2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15,467</w:t>
            </w:r>
          </w:p>
        </w:tc>
        <w:tc>
          <w:tcPr>
            <w:tcW w:w="280" w:type="dxa"/>
            <w:vAlign w:val="bottom"/>
            <w:shd w:val="clear" w:color="auto" w:fill="CFF0FC"/>
          </w:tcPr>
          <w:p>
            <w:pPr>
              <w:spacing w:after="0"/>
              <w:rPr>
                <w:sz w:val="12"/>
                <w:szCs w:val="12"/>
                <w:color w:val="auto"/>
              </w:rPr>
            </w:pPr>
          </w:p>
        </w:tc>
      </w:tr>
      <w:tr>
        <w:trPr>
          <w:trHeight w:val="145"/>
        </w:trPr>
        <w:tc>
          <w:tcPr>
            <w:tcW w:w="3540" w:type="dxa"/>
            <w:vAlign w:val="bottom"/>
            <w:gridSpan w:val="2"/>
          </w:tcPr>
          <w:p>
            <w:pPr>
              <w:ind w:left="240"/>
              <w:spacing w:after="0"/>
              <w:rPr>
                <w:sz w:val="20"/>
                <w:szCs w:val="20"/>
                <w:color w:val="auto"/>
              </w:rPr>
            </w:pPr>
            <w:r>
              <w:rPr>
                <w:rFonts w:ascii="Arial" w:cs="Arial" w:eastAsia="Arial" w:hAnsi="Arial"/>
                <w:sz w:val="12"/>
                <w:szCs w:val="12"/>
                <w:color w:val="auto"/>
              </w:rPr>
              <w:t>Loans and leases, net of unearned discount</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87,989</w:t>
            </w:r>
          </w:p>
        </w:tc>
        <w:tc>
          <w:tcPr>
            <w:tcW w:w="2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87,925</w:t>
            </w:r>
          </w:p>
        </w:tc>
        <w:tc>
          <w:tcPr>
            <w:tcW w:w="2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89,081</w:t>
            </w:r>
          </w:p>
        </w:tc>
        <w:tc>
          <w:tcPr>
            <w:tcW w:w="2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89,313</w:t>
            </w:r>
          </w:p>
        </w:tc>
        <w:tc>
          <w:tcPr>
            <w:tcW w:w="2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90,853</w:t>
            </w:r>
          </w:p>
        </w:tc>
        <w:tc>
          <w:tcPr>
            <w:tcW w:w="2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89,646</w:t>
            </w:r>
          </w:p>
        </w:tc>
        <w:tc>
          <w:tcPr>
            <w:tcW w:w="2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88,522</w:t>
            </w:r>
          </w:p>
        </w:tc>
        <w:tc>
          <w:tcPr>
            <w:tcW w:w="2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87,872</w:t>
            </w:r>
          </w:p>
        </w:tc>
        <w:tc>
          <w:tcPr>
            <w:tcW w:w="280" w:type="dxa"/>
            <w:vAlign w:val="bottom"/>
          </w:tcPr>
          <w:p>
            <w:pPr>
              <w:spacing w:after="0"/>
              <w:rPr>
                <w:sz w:val="12"/>
                <w:szCs w:val="12"/>
                <w:color w:val="auto"/>
              </w:rPr>
            </w:pPr>
          </w:p>
        </w:tc>
      </w:tr>
      <w:tr>
        <w:trPr>
          <w:trHeight w:val="145"/>
        </w:trPr>
        <w:tc>
          <w:tcPr>
            <w:tcW w:w="3540" w:type="dxa"/>
            <w:vAlign w:val="bottom"/>
            <w:gridSpan w:val="2"/>
            <w:shd w:val="clear" w:color="auto" w:fill="CFF0FC"/>
          </w:tcPr>
          <w:p>
            <w:pPr>
              <w:ind w:left="240"/>
              <w:spacing w:after="0"/>
              <w:rPr>
                <w:sz w:val="20"/>
                <w:szCs w:val="20"/>
                <w:color w:val="auto"/>
              </w:rPr>
            </w:pPr>
            <w:r>
              <w:rPr>
                <w:rFonts w:ascii="Arial" w:cs="Arial" w:eastAsia="Arial" w:hAnsi="Arial"/>
                <w:sz w:val="12"/>
                <w:szCs w:val="12"/>
                <w:color w:val="auto"/>
              </w:rPr>
              <w:t>Deposits</w:t>
            </w:r>
          </w:p>
        </w:tc>
        <w:tc>
          <w:tcPr>
            <w:tcW w:w="8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92,432</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93,513</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93,541</w:t>
            </w: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97,043</w:t>
            </w:r>
          </w:p>
        </w:tc>
        <w:tc>
          <w:tcPr>
            <w:tcW w:w="2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95,494</w:t>
            </w:r>
          </w:p>
        </w:tc>
        <w:tc>
          <w:tcPr>
            <w:tcW w:w="2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98,137</w:t>
            </w:r>
          </w:p>
        </w:tc>
        <w:tc>
          <w:tcPr>
            <w:tcW w:w="28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94,650</w:t>
            </w:r>
          </w:p>
        </w:tc>
        <w:tc>
          <w:tcPr>
            <w:tcW w:w="2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94,215</w:t>
            </w:r>
          </w:p>
        </w:tc>
        <w:tc>
          <w:tcPr>
            <w:tcW w:w="280" w:type="dxa"/>
            <w:vAlign w:val="bottom"/>
            <w:shd w:val="clear" w:color="auto" w:fill="CFF0FC"/>
          </w:tcPr>
          <w:p>
            <w:pPr>
              <w:spacing w:after="0"/>
              <w:rPr>
                <w:sz w:val="12"/>
                <w:szCs w:val="12"/>
                <w:color w:val="auto"/>
              </w:rPr>
            </w:pPr>
          </w:p>
        </w:tc>
      </w:tr>
      <w:tr>
        <w:trPr>
          <w:trHeight w:val="130"/>
        </w:trPr>
        <w:tc>
          <w:tcPr>
            <w:tcW w:w="3540" w:type="dxa"/>
            <w:vAlign w:val="bottom"/>
            <w:gridSpan w:val="2"/>
          </w:tcPr>
          <w:p>
            <w:pPr>
              <w:ind w:left="240"/>
              <w:spacing w:after="0" w:line="130" w:lineRule="exact"/>
              <w:rPr>
                <w:sz w:val="20"/>
                <w:szCs w:val="20"/>
                <w:color w:val="auto"/>
              </w:rPr>
            </w:pPr>
            <w:r>
              <w:rPr>
                <w:rFonts w:ascii="Arial" w:cs="Arial" w:eastAsia="Arial" w:hAnsi="Arial"/>
                <w:sz w:val="12"/>
                <w:szCs w:val="12"/>
                <w:color w:val="auto"/>
              </w:rPr>
              <w:t>Common shareholders’ equity, net of undeclared</w:t>
            </w: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r>
      <w:tr>
        <w:trPr>
          <w:trHeight w:val="146"/>
        </w:trPr>
        <w:tc>
          <w:tcPr>
            <w:tcW w:w="3540" w:type="dxa"/>
            <w:vAlign w:val="bottom"/>
            <w:gridSpan w:val="2"/>
          </w:tcPr>
          <w:p>
            <w:pPr>
              <w:ind w:left="340"/>
              <w:spacing w:after="0"/>
              <w:rPr>
                <w:sz w:val="20"/>
                <w:szCs w:val="20"/>
                <w:color w:val="auto"/>
              </w:rPr>
            </w:pPr>
            <w:r>
              <w:rPr>
                <w:rFonts w:ascii="Arial" w:cs="Arial" w:eastAsia="Arial" w:hAnsi="Arial"/>
                <w:sz w:val="12"/>
                <w:szCs w:val="12"/>
                <w:color w:val="auto"/>
              </w:rPr>
              <w:t>cumulative preferred dividends (c)</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15,016</w:t>
            </w:r>
          </w:p>
        </w:tc>
        <w:tc>
          <w:tcPr>
            <w:tcW w:w="2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15,083</w:t>
            </w:r>
          </w:p>
        </w:tc>
        <w:tc>
          <w:tcPr>
            <w:tcW w:w="2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15,049</w:t>
            </w:r>
          </w:p>
        </w:tc>
        <w:tc>
          <w:tcPr>
            <w:tcW w:w="2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14,978</w:t>
            </w:r>
          </w:p>
        </w:tc>
        <w:tc>
          <w:tcPr>
            <w:tcW w:w="2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15,252</w:t>
            </w:r>
          </w:p>
        </w:tc>
        <w:tc>
          <w:tcPr>
            <w:tcW w:w="2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15,106</w:t>
            </w:r>
          </w:p>
        </w:tc>
        <w:tc>
          <w:tcPr>
            <w:tcW w:w="2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15,237</w:t>
            </w:r>
          </w:p>
        </w:tc>
        <w:tc>
          <w:tcPr>
            <w:tcW w:w="2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15,120</w:t>
            </w:r>
          </w:p>
        </w:tc>
        <w:tc>
          <w:tcPr>
            <w:tcW w:w="280" w:type="dxa"/>
            <w:vAlign w:val="bottom"/>
          </w:tcPr>
          <w:p>
            <w:pPr>
              <w:spacing w:after="0"/>
              <w:rPr>
                <w:sz w:val="12"/>
                <w:szCs w:val="12"/>
                <w:color w:val="auto"/>
              </w:rPr>
            </w:pPr>
          </w:p>
        </w:tc>
      </w:tr>
      <w:tr>
        <w:trPr>
          <w:trHeight w:val="145"/>
        </w:trPr>
        <w:tc>
          <w:tcPr>
            <w:tcW w:w="3540" w:type="dxa"/>
            <w:vAlign w:val="bottom"/>
            <w:gridSpan w:val="2"/>
            <w:shd w:val="clear" w:color="auto" w:fill="CFF0FC"/>
          </w:tcPr>
          <w:p>
            <w:pPr>
              <w:ind w:left="240"/>
              <w:spacing w:after="0"/>
              <w:rPr>
                <w:sz w:val="20"/>
                <w:szCs w:val="20"/>
                <w:color w:val="auto"/>
              </w:rPr>
            </w:pPr>
            <w:r>
              <w:rPr>
                <w:rFonts w:ascii="Arial" w:cs="Arial" w:eastAsia="Arial" w:hAnsi="Arial"/>
                <w:sz w:val="12"/>
                <w:szCs w:val="12"/>
                <w:color w:val="auto"/>
              </w:rPr>
              <w:t>Tangible common shareholders’ equity (c)</w:t>
            </w:r>
          </w:p>
        </w:tc>
        <w:tc>
          <w:tcPr>
            <w:tcW w:w="8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10,370</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10,442</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10,403</w:t>
            </w: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10,328</w:t>
            </w:r>
          </w:p>
        </w:tc>
        <w:tc>
          <w:tcPr>
            <w:tcW w:w="2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10,600</w:t>
            </w:r>
          </w:p>
        </w:tc>
        <w:tc>
          <w:tcPr>
            <w:tcW w:w="2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10,448</w:t>
            </w:r>
          </w:p>
        </w:tc>
        <w:tc>
          <w:tcPr>
            <w:tcW w:w="28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10,573</w:t>
            </w:r>
          </w:p>
        </w:tc>
        <w:tc>
          <w:tcPr>
            <w:tcW w:w="2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10,449</w:t>
            </w:r>
          </w:p>
        </w:tc>
        <w:tc>
          <w:tcPr>
            <w:tcW w:w="280" w:type="dxa"/>
            <w:vAlign w:val="bottom"/>
            <w:shd w:val="clear" w:color="auto" w:fill="CFF0FC"/>
          </w:tcPr>
          <w:p>
            <w:pPr>
              <w:spacing w:after="0"/>
              <w:rPr>
                <w:sz w:val="12"/>
                <w:szCs w:val="12"/>
                <w:color w:val="auto"/>
              </w:rPr>
            </w:pPr>
          </w:p>
        </w:tc>
      </w:tr>
      <w:tr>
        <w:trPr>
          <w:trHeight w:val="145"/>
        </w:trPr>
        <w:tc>
          <w:tcPr>
            <w:tcW w:w="3540" w:type="dxa"/>
            <w:vAlign w:val="bottom"/>
            <w:gridSpan w:val="2"/>
          </w:tcPr>
          <w:p>
            <w:pPr>
              <w:ind w:left="240"/>
              <w:spacing w:after="0"/>
              <w:rPr>
                <w:sz w:val="20"/>
                <w:szCs w:val="20"/>
                <w:color w:val="auto"/>
              </w:rPr>
            </w:pPr>
            <w:r>
              <w:rPr>
                <w:rFonts w:ascii="Arial" w:cs="Arial" w:eastAsia="Arial" w:hAnsi="Arial"/>
                <w:sz w:val="12"/>
                <w:szCs w:val="12"/>
                <w:color w:val="auto"/>
              </w:rPr>
              <w:t>Equity per common share</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100.03</w:t>
            </w:r>
          </w:p>
        </w:tc>
        <w:tc>
          <w:tcPr>
            <w:tcW w:w="2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99.70</w:t>
            </w:r>
          </w:p>
        </w:tc>
        <w:tc>
          <w:tcPr>
            <w:tcW w:w="2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98.66</w:t>
            </w:r>
          </w:p>
        </w:tc>
        <w:tc>
          <w:tcPr>
            <w:tcW w:w="2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97.40</w:t>
            </w:r>
          </w:p>
        </w:tc>
        <w:tc>
          <w:tcPr>
            <w:tcW w:w="2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97.64</w:t>
            </w:r>
          </w:p>
        </w:tc>
        <w:tc>
          <w:tcPr>
            <w:tcW w:w="2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97.47</w:t>
            </w:r>
          </w:p>
        </w:tc>
        <w:tc>
          <w:tcPr>
            <w:tcW w:w="2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96.49</w:t>
            </w:r>
          </w:p>
        </w:tc>
        <w:tc>
          <w:tcPr>
            <w:tcW w:w="2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95.00</w:t>
            </w:r>
          </w:p>
        </w:tc>
        <w:tc>
          <w:tcPr>
            <w:tcW w:w="280" w:type="dxa"/>
            <w:vAlign w:val="bottom"/>
          </w:tcPr>
          <w:p>
            <w:pPr>
              <w:spacing w:after="0"/>
              <w:rPr>
                <w:sz w:val="12"/>
                <w:szCs w:val="12"/>
                <w:color w:val="auto"/>
              </w:rPr>
            </w:pPr>
          </w:p>
        </w:tc>
      </w:tr>
      <w:tr>
        <w:trPr>
          <w:trHeight w:val="145"/>
        </w:trPr>
        <w:tc>
          <w:tcPr>
            <w:tcW w:w="3540" w:type="dxa"/>
            <w:vAlign w:val="bottom"/>
            <w:gridSpan w:val="2"/>
            <w:shd w:val="clear" w:color="auto" w:fill="CFF0FC"/>
          </w:tcPr>
          <w:p>
            <w:pPr>
              <w:ind w:left="240"/>
              <w:spacing w:after="0"/>
              <w:rPr>
                <w:sz w:val="20"/>
                <w:szCs w:val="20"/>
                <w:color w:val="auto"/>
              </w:rPr>
            </w:pPr>
            <w:r>
              <w:rPr>
                <w:rFonts w:ascii="Arial" w:cs="Arial" w:eastAsia="Arial" w:hAnsi="Arial"/>
                <w:sz w:val="12"/>
                <w:szCs w:val="12"/>
                <w:color w:val="auto"/>
              </w:rPr>
              <w:t>Tangible equity per common share</w:t>
            </w:r>
          </w:p>
        </w:tc>
        <w:tc>
          <w:tcPr>
            <w:tcW w:w="8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69.08</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69.02</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68.20</w:t>
            </w: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67.16</w:t>
            </w:r>
          </w:p>
        </w:tc>
        <w:tc>
          <w:tcPr>
            <w:tcW w:w="2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67.85</w:t>
            </w:r>
          </w:p>
        </w:tc>
        <w:tc>
          <w:tcPr>
            <w:tcW w:w="2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67.42</w:t>
            </w:r>
          </w:p>
        </w:tc>
        <w:tc>
          <w:tcPr>
            <w:tcW w:w="28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66.95</w:t>
            </w:r>
          </w:p>
        </w:tc>
        <w:tc>
          <w:tcPr>
            <w:tcW w:w="2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65.65</w:t>
            </w:r>
          </w:p>
        </w:tc>
        <w:tc>
          <w:tcPr>
            <w:tcW w:w="280" w:type="dxa"/>
            <w:vAlign w:val="bottom"/>
            <w:shd w:val="clear" w:color="auto" w:fill="CFF0FC"/>
          </w:tcPr>
          <w:p>
            <w:pPr>
              <w:spacing w:after="0"/>
              <w:rPr>
                <w:sz w:val="12"/>
                <w:szCs w:val="12"/>
                <w:color w:val="auto"/>
              </w:rPr>
            </w:pPr>
          </w:p>
        </w:tc>
      </w:tr>
      <w:tr>
        <w:trPr>
          <w:trHeight w:val="145"/>
        </w:trPr>
        <w:tc>
          <w:tcPr>
            <w:tcW w:w="3540" w:type="dxa"/>
            <w:vAlign w:val="bottom"/>
            <w:gridSpan w:val="2"/>
          </w:tcPr>
          <w:p>
            <w:pPr>
              <w:spacing w:after="0"/>
              <w:rPr>
                <w:sz w:val="20"/>
                <w:szCs w:val="20"/>
                <w:color w:val="auto"/>
              </w:rPr>
            </w:pPr>
            <w:r>
              <w:rPr>
                <w:rFonts w:ascii="Arial" w:cs="Arial" w:eastAsia="Arial" w:hAnsi="Arial"/>
                <w:sz w:val="12"/>
                <w:szCs w:val="12"/>
                <w:b w:val="1"/>
                <w:bCs w:val="1"/>
                <w:color w:val="auto"/>
              </w:rPr>
              <w:t>Market price per common share</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45"/>
        </w:trPr>
        <w:tc>
          <w:tcPr>
            <w:tcW w:w="3540" w:type="dxa"/>
            <w:vAlign w:val="bottom"/>
            <w:gridSpan w:val="2"/>
            <w:shd w:val="clear" w:color="auto" w:fill="CFF0FC"/>
          </w:tcPr>
          <w:p>
            <w:pPr>
              <w:ind w:left="240"/>
              <w:spacing w:after="0"/>
              <w:rPr>
                <w:sz w:val="20"/>
                <w:szCs w:val="20"/>
                <w:color w:val="auto"/>
              </w:rPr>
            </w:pPr>
            <w:r>
              <w:rPr>
                <w:rFonts w:ascii="Arial" w:cs="Arial" w:eastAsia="Arial" w:hAnsi="Arial"/>
                <w:sz w:val="12"/>
                <w:szCs w:val="12"/>
                <w:color w:val="auto"/>
              </w:rPr>
              <w:t>High</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176.62</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166.85</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164.03</w:t>
            </w: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173.72</w:t>
            </w:r>
          </w:p>
        </w:tc>
        <w:tc>
          <w:tcPr>
            <w:tcW w:w="2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158.35</w:t>
            </w:r>
          </w:p>
        </w:tc>
        <w:tc>
          <w:tcPr>
            <w:tcW w:w="2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120.40</w:t>
            </w:r>
          </w:p>
        </w:tc>
        <w:tc>
          <w:tcPr>
            <w:tcW w:w="28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121.11</w:t>
            </w:r>
          </w:p>
        </w:tc>
        <w:tc>
          <w:tcPr>
            <w:tcW w:w="2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119.24</w:t>
            </w:r>
          </w:p>
        </w:tc>
        <w:tc>
          <w:tcPr>
            <w:tcW w:w="280" w:type="dxa"/>
            <w:vAlign w:val="bottom"/>
            <w:shd w:val="clear" w:color="auto" w:fill="CFF0FC"/>
          </w:tcPr>
          <w:p>
            <w:pPr>
              <w:spacing w:after="0"/>
              <w:rPr>
                <w:sz w:val="12"/>
                <w:szCs w:val="12"/>
                <w:color w:val="auto"/>
              </w:rPr>
            </w:pPr>
          </w:p>
        </w:tc>
      </w:tr>
      <w:tr>
        <w:trPr>
          <w:trHeight w:val="145"/>
        </w:trPr>
        <w:tc>
          <w:tcPr>
            <w:tcW w:w="3540" w:type="dxa"/>
            <w:vAlign w:val="bottom"/>
            <w:gridSpan w:val="2"/>
          </w:tcPr>
          <w:p>
            <w:pPr>
              <w:ind w:left="240"/>
              <w:spacing w:after="0"/>
              <w:rPr>
                <w:sz w:val="20"/>
                <w:szCs w:val="20"/>
                <w:color w:val="auto"/>
              </w:rPr>
            </w:pPr>
            <w:r>
              <w:rPr>
                <w:rFonts w:ascii="Arial" w:cs="Arial" w:eastAsia="Arial" w:hAnsi="Arial"/>
                <w:sz w:val="12"/>
                <w:szCs w:val="12"/>
                <w:color w:val="auto"/>
              </w:rPr>
              <w:t>Low</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155.77</w:t>
            </w:r>
          </w:p>
        </w:tc>
        <w:tc>
          <w:tcPr>
            <w:tcW w:w="2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141.12</w:t>
            </w:r>
          </w:p>
        </w:tc>
        <w:tc>
          <w:tcPr>
            <w:tcW w:w="2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147.55</w:t>
            </w:r>
          </w:p>
        </w:tc>
        <w:tc>
          <w:tcPr>
            <w:tcW w:w="2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149.51</w:t>
            </w:r>
          </w:p>
        </w:tc>
        <w:tc>
          <w:tcPr>
            <w:tcW w:w="2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112.25</w:t>
            </w:r>
          </w:p>
        </w:tc>
        <w:tc>
          <w:tcPr>
            <w:tcW w:w="2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111.13</w:t>
            </w:r>
          </w:p>
        </w:tc>
        <w:tc>
          <w:tcPr>
            <w:tcW w:w="2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107.01</w:t>
            </w:r>
          </w:p>
        </w:tc>
        <w:tc>
          <w:tcPr>
            <w:tcW w:w="2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100.08</w:t>
            </w:r>
          </w:p>
        </w:tc>
        <w:tc>
          <w:tcPr>
            <w:tcW w:w="280" w:type="dxa"/>
            <w:vAlign w:val="bottom"/>
          </w:tcPr>
          <w:p>
            <w:pPr>
              <w:spacing w:after="0"/>
              <w:rPr>
                <w:sz w:val="12"/>
                <w:szCs w:val="12"/>
                <w:color w:val="auto"/>
              </w:rPr>
            </w:pPr>
          </w:p>
        </w:tc>
      </w:tr>
      <w:tr>
        <w:trPr>
          <w:trHeight w:val="145"/>
        </w:trPr>
        <w:tc>
          <w:tcPr>
            <w:tcW w:w="3540" w:type="dxa"/>
            <w:vAlign w:val="bottom"/>
            <w:gridSpan w:val="2"/>
            <w:shd w:val="clear" w:color="auto" w:fill="CFF0FC"/>
          </w:tcPr>
          <w:p>
            <w:pPr>
              <w:ind w:left="240"/>
              <w:spacing w:after="0"/>
              <w:rPr>
                <w:sz w:val="20"/>
                <w:szCs w:val="20"/>
                <w:color w:val="auto"/>
              </w:rPr>
            </w:pPr>
            <w:r>
              <w:rPr>
                <w:rFonts w:ascii="Arial" w:cs="Arial" w:eastAsia="Arial" w:hAnsi="Arial"/>
                <w:sz w:val="12"/>
                <w:szCs w:val="12"/>
                <w:color w:val="auto"/>
              </w:rPr>
              <w:t>Closing</w:t>
            </w:r>
          </w:p>
        </w:tc>
        <w:tc>
          <w:tcPr>
            <w:tcW w:w="8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170.99</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161.04</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161.95</w:t>
            </w: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154.73</w:t>
            </w:r>
          </w:p>
        </w:tc>
        <w:tc>
          <w:tcPr>
            <w:tcW w:w="2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156.43</w:t>
            </w:r>
          </w:p>
        </w:tc>
        <w:tc>
          <w:tcPr>
            <w:tcW w:w="2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116.10</w:t>
            </w:r>
          </w:p>
        </w:tc>
        <w:tc>
          <w:tcPr>
            <w:tcW w:w="28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118.23</w:t>
            </w:r>
          </w:p>
        </w:tc>
        <w:tc>
          <w:tcPr>
            <w:tcW w:w="2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111.00</w:t>
            </w:r>
          </w:p>
        </w:tc>
        <w:tc>
          <w:tcPr>
            <w:tcW w:w="280" w:type="dxa"/>
            <w:vAlign w:val="bottom"/>
            <w:shd w:val="clear" w:color="auto" w:fill="CFF0FC"/>
          </w:tcPr>
          <w:p>
            <w:pPr>
              <w:spacing w:after="0"/>
              <w:rPr>
                <w:sz w:val="12"/>
                <w:szCs w:val="12"/>
                <w:color w:val="auto"/>
              </w:rPr>
            </w:pPr>
          </w:p>
        </w:tc>
      </w:tr>
      <w:tr>
        <w:trPr>
          <w:trHeight w:val="66"/>
        </w:trPr>
        <w:tc>
          <w:tcPr>
            <w:tcW w:w="2140" w:type="dxa"/>
            <w:vAlign w:val="bottom"/>
            <w:tcBorders>
              <w:bottom w:val="single" w:sz="8" w:color="auto"/>
            </w:tcBorders>
          </w:tcPr>
          <w:p>
            <w:pPr>
              <w:spacing w:after="0"/>
              <w:rPr>
                <w:sz w:val="5"/>
                <w:szCs w:val="5"/>
                <w:color w:val="auto"/>
              </w:rPr>
            </w:pPr>
          </w:p>
        </w:tc>
        <w:tc>
          <w:tcPr>
            <w:tcW w:w="14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r>
    </w:tbl>
    <w:p>
      <w:pPr>
        <w:spacing w:after="0" w:line="33" w:lineRule="exact"/>
        <w:rPr>
          <w:sz w:val="20"/>
          <w:szCs w:val="20"/>
          <w:color w:val="auto"/>
        </w:rPr>
      </w:pPr>
    </w:p>
    <w:p>
      <w:pPr>
        <w:ind w:left="600" w:hanging="595"/>
        <w:spacing w:after="0" w:line="258" w:lineRule="auto"/>
        <w:tabs>
          <w:tab w:leader="none" w:pos="600" w:val="left"/>
        </w:tabs>
        <w:numPr>
          <w:ilvl w:val="0"/>
          <w:numId w:val="40"/>
        </w:numPr>
        <w:rPr>
          <w:rFonts w:ascii="Arial" w:cs="Arial" w:eastAsia="Arial" w:hAnsi="Arial"/>
          <w:sz w:val="11"/>
          <w:szCs w:val="11"/>
          <w:i w:val="1"/>
          <w:iCs w:val="1"/>
          <w:color w:val="auto"/>
        </w:rPr>
      </w:pPr>
      <w:r>
        <w:rPr>
          <w:rFonts w:ascii="Arial" w:cs="Arial" w:eastAsia="Arial" w:hAnsi="Arial"/>
          <w:sz w:val="11"/>
          <w:szCs w:val="11"/>
          <w:i w:val="1"/>
          <w:iCs w:val="1"/>
          <w:color w:val="auto"/>
        </w:rPr>
        <w:t>Excludes amortization and balances related to goodwill and core deposit and other intangible assets and merger-related expenses which, except in the calculation of the efficiency ratio, are net of applicable income tax effects. A reconciliation of net income and net operating income appears in Table 23.</w:t>
      </w:r>
    </w:p>
    <w:p>
      <w:pPr>
        <w:ind w:left="600" w:hanging="595"/>
        <w:spacing w:after="0"/>
        <w:tabs>
          <w:tab w:leader="none" w:pos="600" w:val="left"/>
        </w:tabs>
        <w:numPr>
          <w:ilvl w:val="0"/>
          <w:numId w:val="40"/>
        </w:numPr>
        <w:rPr>
          <w:rFonts w:ascii="Arial" w:cs="Arial" w:eastAsia="Arial" w:hAnsi="Arial"/>
          <w:sz w:val="11"/>
          <w:szCs w:val="11"/>
          <w:i w:val="1"/>
          <w:iCs w:val="1"/>
          <w:color w:val="auto"/>
        </w:rPr>
      </w:pPr>
      <w:r>
        <w:rPr>
          <w:rFonts w:ascii="Arial" w:cs="Arial" w:eastAsia="Arial" w:hAnsi="Arial"/>
          <w:sz w:val="11"/>
          <w:szCs w:val="11"/>
          <w:i w:val="1"/>
          <w:iCs w:val="1"/>
          <w:color w:val="auto"/>
        </w:rPr>
        <w:t>Excludes impact of merger-related expenses and net securities transactions.</w:t>
      </w:r>
    </w:p>
    <w:p>
      <w:pPr>
        <w:spacing w:after="0" w:line="4" w:lineRule="exact"/>
        <w:rPr>
          <w:rFonts w:ascii="Arial" w:cs="Arial" w:eastAsia="Arial" w:hAnsi="Arial"/>
          <w:sz w:val="11"/>
          <w:szCs w:val="11"/>
          <w:i w:val="1"/>
          <w:iCs w:val="1"/>
          <w:color w:val="auto"/>
        </w:rPr>
      </w:pPr>
    </w:p>
    <w:p>
      <w:pPr>
        <w:ind w:left="600" w:hanging="595"/>
        <w:spacing w:after="0" w:line="266" w:lineRule="auto"/>
        <w:tabs>
          <w:tab w:leader="none" w:pos="600" w:val="left"/>
        </w:tabs>
        <w:numPr>
          <w:ilvl w:val="0"/>
          <w:numId w:val="40"/>
        </w:numPr>
        <w:rPr>
          <w:rFonts w:ascii="Arial" w:cs="Arial" w:eastAsia="Arial" w:hAnsi="Arial"/>
          <w:sz w:val="11"/>
          <w:szCs w:val="11"/>
          <w:i w:val="1"/>
          <w:iCs w:val="1"/>
          <w:color w:val="auto"/>
        </w:rPr>
      </w:pPr>
      <w:r>
        <w:rPr>
          <w:rFonts w:ascii="Arial" w:cs="Arial" w:eastAsia="Arial" w:hAnsi="Arial"/>
          <w:sz w:val="11"/>
          <w:szCs w:val="11"/>
          <w:i w:val="1"/>
          <w:iCs w:val="1"/>
          <w:color w:val="auto"/>
        </w:rPr>
        <w:t>The difference between total assets and total tangible assets, and common shareholders’ equity and tangible common shareholders’ equity, represents goodwill, core deposit and other intangible assets, net of applicable deferred tax balances. A reconciliation of such balances appears in Table 23.</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647" w:right="239" w:bottom="1440" w:gutter="0" w:footer="0" w:header="0"/>
        </w:sectPr>
      </w:pPr>
    </w:p>
    <w:bookmarkStart w:id="103" w:name="page104"/>
    <w:bookmarkEnd w:id="103"/>
    <w:p>
      <w:pPr>
        <w:spacing w:after="0"/>
        <w:rPr>
          <w:sz w:val="20"/>
          <w:szCs w:val="20"/>
          <w:color w:val="auto"/>
        </w:rPr>
      </w:pPr>
      <w:r>
        <w:rPr>
          <w:rFonts w:ascii="Arial" w:cs="Arial" w:eastAsia="Arial" w:hAnsi="Arial"/>
          <w:sz w:val="20"/>
          <w:szCs w:val="20"/>
          <w:b w:val="1"/>
          <w:bCs w:val="1"/>
          <w:color w:val="auto"/>
        </w:rPr>
        <w:t>Table 23</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RECONCILIATION OF QUARTERLY GAAP TO NON-GAAP MEASURES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1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4"/>
          </w:tcPr>
          <w:p>
            <w:pPr>
              <w:jc w:val="right"/>
              <w:ind w:right="660"/>
              <w:spacing w:after="0"/>
              <w:rPr>
                <w:sz w:val="20"/>
                <w:szCs w:val="20"/>
                <w:color w:val="auto"/>
              </w:rPr>
            </w:pPr>
            <w:r>
              <w:rPr>
                <w:rFonts w:ascii="Arial" w:cs="Arial" w:eastAsia="Arial" w:hAnsi="Arial"/>
                <w:sz w:val="12"/>
                <w:szCs w:val="12"/>
                <w:b w:val="1"/>
                <w:bCs w:val="1"/>
                <w:color w:val="auto"/>
              </w:rPr>
              <w:t>2017 Quarters</w:t>
            </w:r>
          </w:p>
        </w:tc>
        <w:tc>
          <w:tcPr>
            <w:tcW w:w="7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4"/>
          </w:tcPr>
          <w:p>
            <w:pPr>
              <w:jc w:val="right"/>
              <w:ind w:right="600"/>
              <w:spacing w:after="0"/>
              <w:rPr>
                <w:sz w:val="20"/>
                <w:szCs w:val="20"/>
                <w:color w:val="auto"/>
              </w:rPr>
            </w:pPr>
            <w:r>
              <w:rPr>
                <w:rFonts w:ascii="Arial" w:cs="Arial" w:eastAsia="Arial" w:hAnsi="Arial"/>
                <w:sz w:val="12"/>
                <w:szCs w:val="12"/>
                <w:b w:val="1"/>
                <w:bCs w:val="1"/>
                <w:color w:val="auto"/>
              </w:rPr>
              <w:t>2016 Quarters</w:t>
            </w: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14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2"/>
                <w:szCs w:val="12"/>
                <w:b w:val="1"/>
                <w:bCs w:val="1"/>
                <w:color w:val="auto"/>
                <w:w w:val="99"/>
              </w:rPr>
              <w:t>Fourth</w:t>
            </w:r>
          </w:p>
        </w:tc>
        <w:tc>
          <w:tcPr>
            <w:tcW w:w="920" w:type="dxa"/>
            <w:vAlign w:val="bottom"/>
            <w:gridSpan w:val="2"/>
          </w:tcPr>
          <w:p>
            <w:pPr>
              <w:jc w:val="right"/>
              <w:ind w:right="420"/>
              <w:spacing w:after="0"/>
              <w:rPr>
                <w:sz w:val="20"/>
                <w:szCs w:val="20"/>
                <w:color w:val="auto"/>
              </w:rPr>
            </w:pPr>
            <w:r>
              <w:rPr>
                <w:rFonts w:ascii="Arial" w:cs="Arial" w:eastAsia="Arial" w:hAnsi="Arial"/>
                <w:sz w:val="12"/>
                <w:szCs w:val="12"/>
                <w:b w:val="1"/>
                <w:bCs w:val="1"/>
                <w:color w:val="auto"/>
              </w:rPr>
              <w:t>Third</w:t>
            </w:r>
          </w:p>
        </w:tc>
        <w:tc>
          <w:tcPr>
            <w:tcW w:w="920" w:type="dxa"/>
            <w:vAlign w:val="bottom"/>
            <w:gridSpan w:val="2"/>
          </w:tcPr>
          <w:p>
            <w:pPr>
              <w:jc w:val="right"/>
              <w:ind w:right="380"/>
              <w:spacing w:after="0"/>
              <w:rPr>
                <w:sz w:val="20"/>
                <w:szCs w:val="20"/>
                <w:color w:val="auto"/>
              </w:rPr>
            </w:pPr>
            <w:r>
              <w:rPr>
                <w:rFonts w:ascii="Arial" w:cs="Arial" w:eastAsia="Arial" w:hAnsi="Arial"/>
                <w:sz w:val="12"/>
                <w:szCs w:val="12"/>
                <w:b w:val="1"/>
                <w:bCs w:val="1"/>
                <w:color w:val="auto"/>
              </w:rPr>
              <w:t>Second</w:t>
            </w:r>
          </w:p>
        </w:tc>
        <w:tc>
          <w:tcPr>
            <w:tcW w:w="700" w:type="dxa"/>
            <w:vAlign w:val="bottom"/>
          </w:tcPr>
          <w:p>
            <w:pPr>
              <w:jc w:val="right"/>
              <w:ind w:right="163"/>
              <w:spacing w:after="0"/>
              <w:rPr>
                <w:sz w:val="20"/>
                <w:szCs w:val="20"/>
                <w:color w:val="auto"/>
              </w:rPr>
            </w:pPr>
            <w:r>
              <w:rPr>
                <w:rFonts w:ascii="Arial" w:cs="Arial" w:eastAsia="Arial" w:hAnsi="Arial"/>
                <w:sz w:val="12"/>
                <w:szCs w:val="12"/>
                <w:b w:val="1"/>
                <w:bCs w:val="1"/>
                <w:color w:val="auto"/>
              </w:rPr>
              <w:t>First</w:t>
            </w:r>
          </w:p>
        </w:tc>
        <w:tc>
          <w:tcPr>
            <w:tcW w:w="220" w:type="dxa"/>
            <w:vAlign w:val="bottom"/>
          </w:tcPr>
          <w:p>
            <w:pPr>
              <w:spacing w:after="0"/>
              <w:rPr>
                <w:sz w:val="11"/>
                <w:szCs w:val="11"/>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2"/>
                <w:szCs w:val="12"/>
                <w:b w:val="1"/>
                <w:bCs w:val="1"/>
                <w:color w:val="auto"/>
              </w:rPr>
              <w:t>Fourth</w:t>
            </w:r>
          </w:p>
        </w:tc>
        <w:tc>
          <w:tcPr>
            <w:tcW w:w="920" w:type="dxa"/>
            <w:vAlign w:val="bottom"/>
            <w:gridSpan w:val="2"/>
          </w:tcPr>
          <w:p>
            <w:pPr>
              <w:jc w:val="right"/>
              <w:ind w:right="420"/>
              <w:spacing w:after="0"/>
              <w:rPr>
                <w:sz w:val="20"/>
                <w:szCs w:val="20"/>
                <w:color w:val="auto"/>
              </w:rPr>
            </w:pPr>
            <w:r>
              <w:rPr>
                <w:rFonts w:ascii="Arial" w:cs="Arial" w:eastAsia="Arial" w:hAnsi="Arial"/>
                <w:sz w:val="12"/>
                <w:szCs w:val="12"/>
                <w:b w:val="1"/>
                <w:bCs w:val="1"/>
                <w:color w:val="auto"/>
              </w:rPr>
              <w:t>Third</w:t>
            </w:r>
          </w:p>
        </w:tc>
        <w:tc>
          <w:tcPr>
            <w:tcW w:w="86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rPr>
              <w:t>Second</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ind w:right="163"/>
              <w:spacing w:after="0"/>
              <w:rPr>
                <w:sz w:val="20"/>
                <w:szCs w:val="20"/>
                <w:color w:val="auto"/>
              </w:rPr>
            </w:pPr>
            <w:r>
              <w:rPr>
                <w:rFonts w:ascii="Arial" w:cs="Arial" w:eastAsia="Arial" w:hAnsi="Arial"/>
                <w:sz w:val="12"/>
                <w:szCs w:val="12"/>
                <w:b w:val="1"/>
                <w:bCs w:val="1"/>
                <w:color w:val="auto"/>
              </w:rPr>
              <w:t>First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41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1"/>
                <w:szCs w:val="11"/>
                <w:b w:val="1"/>
                <w:bCs w:val="1"/>
                <w:color w:val="auto"/>
              </w:rPr>
              <w:t>Income statement data (in thousands, except per share)</w:t>
            </w:r>
          </w:p>
        </w:tc>
        <w:tc>
          <w:tcPr>
            <w:tcW w:w="100" w:type="dxa"/>
            <w:vAlign w:val="bottom"/>
            <w:tcBorders>
              <w:top w:val="single" w:sz="8" w:color="auto"/>
            </w:tcBorders>
            <w:shd w:val="clear" w:color="auto" w:fill="CFF0FC"/>
          </w:tcPr>
          <w:p>
            <w:pPr>
              <w:spacing w:after="0"/>
              <w:rPr>
                <w:sz w:val="11"/>
                <w:szCs w:val="11"/>
                <w:color w:val="auto"/>
              </w:rPr>
            </w:pPr>
          </w:p>
        </w:tc>
        <w:tc>
          <w:tcPr>
            <w:tcW w:w="58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56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4180" w:type="dxa"/>
            <w:vAlign w:val="bottom"/>
            <w:gridSpan w:val="2"/>
          </w:tcPr>
          <w:p>
            <w:pPr>
              <w:spacing w:after="0"/>
              <w:rPr>
                <w:sz w:val="20"/>
                <w:szCs w:val="20"/>
                <w:color w:val="auto"/>
              </w:rPr>
            </w:pPr>
            <w:r>
              <w:rPr>
                <w:rFonts w:ascii="Arial" w:cs="Arial" w:eastAsia="Arial" w:hAnsi="Arial"/>
                <w:sz w:val="11"/>
                <w:szCs w:val="11"/>
                <w:b w:val="1"/>
                <w:bCs w:val="1"/>
                <w:color w:val="auto"/>
              </w:rPr>
              <w:t>Net income</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18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Net income</w:t>
            </w:r>
          </w:p>
        </w:tc>
        <w:tc>
          <w:tcPr>
            <w:tcW w:w="100" w:type="dxa"/>
            <w:vAlign w:val="bottom"/>
            <w:shd w:val="clear" w:color="auto" w:fill="CFF0FC"/>
          </w:tcPr>
          <w:p>
            <w:pPr>
              <w:jc w:val="right"/>
              <w:ind w:right="37"/>
              <w:spacing w:after="0"/>
              <w:rPr>
                <w:sz w:val="20"/>
                <w:szCs w:val="20"/>
                <w:color w:val="auto"/>
              </w:rPr>
            </w:pPr>
            <w:r>
              <w:rPr>
                <w:rFonts w:ascii="Arial" w:cs="Arial" w:eastAsia="Arial" w:hAnsi="Arial"/>
                <w:sz w:val="5"/>
                <w:szCs w:val="5"/>
                <w:color w:val="auto"/>
                <w:w w:val="70"/>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322,403</w:t>
            </w: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355,923</w:t>
            </w: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381,053</w:t>
            </w: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348,927</w:t>
            </w: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330,571</w:t>
            </w: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349,984</w:t>
            </w: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336,031</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298,528</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180" w:type="dxa"/>
            <w:vAlign w:val="bottom"/>
            <w:gridSpan w:val="2"/>
          </w:tcPr>
          <w:p>
            <w:pPr>
              <w:spacing w:after="0"/>
              <w:rPr>
                <w:sz w:val="20"/>
                <w:szCs w:val="20"/>
                <w:color w:val="auto"/>
              </w:rPr>
            </w:pPr>
            <w:r>
              <w:rPr>
                <w:rFonts w:ascii="Arial" w:cs="Arial" w:eastAsia="Arial" w:hAnsi="Arial"/>
                <w:sz w:val="11"/>
                <w:szCs w:val="11"/>
                <w:color w:val="auto"/>
              </w:rPr>
              <w:t>Amortization of core deposit and other intangible</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180" w:type="dxa"/>
            <w:vAlign w:val="bottom"/>
            <w:gridSpan w:val="2"/>
          </w:tcPr>
          <w:p>
            <w:pPr>
              <w:ind w:left="100"/>
              <w:spacing w:after="0"/>
              <w:rPr>
                <w:sz w:val="20"/>
                <w:szCs w:val="20"/>
                <w:color w:val="auto"/>
              </w:rPr>
            </w:pPr>
            <w:r>
              <w:rPr>
                <w:rFonts w:ascii="Arial" w:cs="Arial" w:eastAsia="Arial" w:hAnsi="Arial"/>
                <w:sz w:val="11"/>
                <w:szCs w:val="11"/>
                <w:color w:val="auto"/>
              </w:rPr>
              <w:t>assets (a)</w:t>
            </w: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4,261</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4,735</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4,921</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5,108</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5,524</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5,945</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6,936</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7,488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418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Merger-related expenses (a)</w:t>
            </w:r>
          </w:p>
        </w:tc>
        <w:tc>
          <w:tcPr>
            <w:tcW w:w="10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7,637</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14,048</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4180" w:type="dxa"/>
            <w:vAlign w:val="bottom"/>
            <w:tcBorders>
              <w:bottom w:val="single" w:sz="8" w:color="CFF0FC"/>
            </w:tcBorders>
            <w:gridSpan w:val="2"/>
          </w:tcPr>
          <w:p>
            <w:pPr>
              <w:ind w:left="240"/>
              <w:spacing w:after="0"/>
              <w:rPr>
                <w:sz w:val="20"/>
                <w:szCs w:val="20"/>
                <w:color w:val="auto"/>
              </w:rPr>
            </w:pPr>
            <w:r>
              <w:rPr>
                <w:rFonts w:ascii="Arial" w:cs="Arial" w:eastAsia="Arial" w:hAnsi="Arial"/>
                <w:sz w:val="11"/>
                <w:szCs w:val="11"/>
                <w:color w:val="auto"/>
              </w:rPr>
              <w:t>Net operating income</w:t>
            </w:r>
          </w:p>
        </w:tc>
        <w:tc>
          <w:tcPr>
            <w:tcW w:w="1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5"/>
                <w:szCs w:val="5"/>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326,664</w:t>
            </w:r>
          </w:p>
        </w:tc>
        <w:tc>
          <w:tcPr>
            <w:tcW w:w="220" w:type="dxa"/>
            <w:vAlign w:val="bottom"/>
            <w:tcBorders>
              <w:bottom w:val="single" w:sz="8" w:color="CFF0FC"/>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360,658</w:t>
            </w:r>
          </w:p>
        </w:tc>
        <w:tc>
          <w:tcPr>
            <w:tcW w:w="220" w:type="dxa"/>
            <w:vAlign w:val="bottom"/>
            <w:tcBorders>
              <w:bottom w:val="single" w:sz="8" w:color="CFF0FC"/>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385,974</w:t>
            </w:r>
          </w:p>
        </w:tc>
        <w:tc>
          <w:tcPr>
            <w:tcW w:w="220" w:type="dxa"/>
            <w:vAlign w:val="bottom"/>
            <w:tcBorders>
              <w:bottom w:val="single" w:sz="8" w:color="CFF0FC"/>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354,035</w:t>
            </w:r>
          </w:p>
        </w:tc>
        <w:tc>
          <w:tcPr>
            <w:tcW w:w="220" w:type="dxa"/>
            <w:vAlign w:val="bottom"/>
            <w:tcBorders>
              <w:bottom w:val="single" w:sz="8" w:color="CFF0FC"/>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336,095</w:t>
            </w:r>
          </w:p>
        </w:tc>
        <w:tc>
          <w:tcPr>
            <w:tcW w:w="220" w:type="dxa"/>
            <w:vAlign w:val="bottom"/>
            <w:tcBorders>
              <w:bottom w:val="single" w:sz="8" w:color="CFF0FC"/>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355,929</w:t>
            </w:r>
          </w:p>
        </w:tc>
        <w:tc>
          <w:tcPr>
            <w:tcW w:w="220" w:type="dxa"/>
            <w:vAlign w:val="bottom"/>
            <w:tcBorders>
              <w:bottom w:val="single" w:sz="8" w:color="CFF0FC"/>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350,604</w:t>
            </w:r>
          </w:p>
        </w:tc>
        <w:tc>
          <w:tcPr>
            <w:tcW w:w="16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320,064</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4180" w:type="dxa"/>
            <w:vAlign w:val="bottom"/>
            <w:gridSpan w:val="2"/>
            <w:shd w:val="clear" w:color="auto" w:fill="CFF0FC"/>
          </w:tcPr>
          <w:p>
            <w:pPr>
              <w:spacing w:after="0" w:line="124" w:lineRule="exact"/>
              <w:rPr>
                <w:sz w:val="20"/>
                <w:szCs w:val="20"/>
                <w:color w:val="auto"/>
              </w:rPr>
            </w:pPr>
            <w:r>
              <w:rPr>
                <w:rFonts w:ascii="Arial" w:cs="Arial" w:eastAsia="Arial" w:hAnsi="Arial"/>
                <w:sz w:val="11"/>
                <w:szCs w:val="11"/>
                <w:b w:val="1"/>
                <w:bCs w:val="1"/>
                <w:color w:val="auto"/>
              </w:rPr>
              <w:t>Earnings per common share</w:t>
            </w: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4180" w:type="dxa"/>
            <w:vAlign w:val="bottom"/>
            <w:gridSpan w:val="2"/>
          </w:tcPr>
          <w:p>
            <w:pPr>
              <w:spacing w:after="0"/>
              <w:rPr>
                <w:sz w:val="20"/>
                <w:szCs w:val="20"/>
                <w:color w:val="auto"/>
              </w:rPr>
            </w:pPr>
            <w:r>
              <w:rPr>
                <w:rFonts w:ascii="Arial" w:cs="Arial" w:eastAsia="Arial" w:hAnsi="Arial"/>
                <w:sz w:val="11"/>
                <w:szCs w:val="11"/>
                <w:color w:val="auto"/>
              </w:rPr>
              <w:t>Diluted earnings per common share</w:t>
            </w:r>
          </w:p>
        </w:tc>
        <w:tc>
          <w:tcPr>
            <w:tcW w:w="100" w:type="dxa"/>
            <w:vAlign w:val="bottom"/>
          </w:tcPr>
          <w:p>
            <w:pPr>
              <w:jc w:val="right"/>
              <w:ind w:right="37"/>
              <w:spacing w:after="0"/>
              <w:rPr>
                <w:sz w:val="20"/>
                <w:szCs w:val="20"/>
                <w:color w:val="auto"/>
              </w:rPr>
            </w:pPr>
            <w:r>
              <w:rPr>
                <w:rFonts w:ascii="Arial" w:cs="Arial" w:eastAsia="Arial" w:hAnsi="Arial"/>
                <w:sz w:val="5"/>
                <w:szCs w:val="5"/>
                <w:color w:val="auto"/>
                <w:w w:val="70"/>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2.01</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2.21</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2.35</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2.12</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1.98</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2.10</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1.98</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1.73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18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Amortization of core deposit and other intangible</w:t>
            </w: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180" w:type="dxa"/>
            <w:vAlign w:val="bottom"/>
            <w:gridSpan w:val="2"/>
            <w:shd w:val="clear" w:color="auto" w:fill="CFF0FC"/>
          </w:tcPr>
          <w:p>
            <w:pPr>
              <w:ind w:left="100"/>
              <w:spacing w:after="0"/>
              <w:rPr>
                <w:sz w:val="20"/>
                <w:szCs w:val="20"/>
                <w:color w:val="auto"/>
              </w:rPr>
            </w:pPr>
            <w:r>
              <w:rPr>
                <w:rFonts w:ascii="Arial" w:cs="Arial" w:eastAsia="Arial" w:hAnsi="Arial"/>
                <w:sz w:val="11"/>
                <w:szCs w:val="11"/>
                <w:color w:val="auto"/>
              </w:rPr>
              <w:t>assets (a)</w:t>
            </w: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.03</w:t>
            </w: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.03</w:t>
            </w: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.03</w:t>
            </w: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.03</w:t>
            </w: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.03</w:t>
            </w: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.03</w:t>
            </w: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.04</w:t>
            </w: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.05</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4180" w:type="dxa"/>
            <w:vAlign w:val="bottom"/>
            <w:tcBorders>
              <w:bottom w:val="single" w:sz="8" w:color="CFF0FC"/>
            </w:tcBorders>
            <w:gridSpan w:val="2"/>
          </w:tcPr>
          <w:p>
            <w:pPr>
              <w:spacing w:after="0"/>
              <w:rPr>
                <w:sz w:val="20"/>
                <w:szCs w:val="20"/>
                <w:color w:val="auto"/>
              </w:rPr>
            </w:pPr>
            <w:r>
              <w:rPr>
                <w:rFonts w:ascii="Arial" w:cs="Arial" w:eastAsia="Arial" w:hAnsi="Arial"/>
                <w:sz w:val="11"/>
                <w:szCs w:val="11"/>
                <w:color w:val="auto"/>
              </w:rPr>
              <w:t>Merger-related expenses (a)</w:t>
            </w: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FF0FC"/>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FF0FC"/>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FF0FC"/>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FF0FC"/>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FF0FC"/>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FF0FC"/>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.05</w:t>
            </w:r>
          </w:p>
        </w:tc>
        <w:tc>
          <w:tcPr>
            <w:tcW w:w="160" w:type="dxa"/>
            <w:vAlign w:val="bottom"/>
            <w:tcBorders>
              <w:bottom w:val="single" w:sz="8" w:color="CFF0FC"/>
            </w:tcBorders>
          </w:tcPr>
          <w:p>
            <w:pPr>
              <w:spacing w:after="0"/>
              <w:rPr>
                <w:sz w:val="12"/>
                <w:szCs w:val="12"/>
                <w:color w:val="auto"/>
              </w:rPr>
            </w:pPr>
          </w:p>
        </w:tc>
        <w:tc>
          <w:tcPr>
            <w:tcW w:w="6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.09</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180" w:type="dxa"/>
            <w:vAlign w:val="bottom"/>
            <w:gridSpan w:val="2"/>
            <w:shd w:val="clear" w:color="auto" w:fill="CFF0FC"/>
          </w:tcPr>
          <w:p>
            <w:pPr>
              <w:ind w:left="240"/>
              <w:spacing w:after="0"/>
              <w:rPr>
                <w:sz w:val="20"/>
                <w:szCs w:val="20"/>
                <w:color w:val="auto"/>
              </w:rPr>
            </w:pPr>
            <w:r>
              <w:rPr>
                <w:rFonts w:ascii="Arial" w:cs="Arial" w:eastAsia="Arial" w:hAnsi="Arial"/>
                <w:sz w:val="11"/>
                <w:szCs w:val="11"/>
                <w:color w:val="auto"/>
              </w:rPr>
              <w:t>Diluted net operating earnings per common share</w:t>
            </w:r>
          </w:p>
        </w:tc>
        <w:tc>
          <w:tcPr>
            <w:tcW w:w="100" w:type="dxa"/>
            <w:vAlign w:val="bottom"/>
            <w:shd w:val="clear" w:color="auto" w:fill="CFF0FC"/>
          </w:tcPr>
          <w:p>
            <w:pPr>
              <w:jc w:val="right"/>
              <w:ind w:right="37"/>
              <w:spacing w:after="0"/>
              <w:rPr>
                <w:sz w:val="20"/>
                <w:szCs w:val="20"/>
                <w:color w:val="auto"/>
              </w:rPr>
            </w:pPr>
            <w:r>
              <w:rPr>
                <w:rFonts w:ascii="Arial" w:cs="Arial" w:eastAsia="Arial" w:hAnsi="Arial"/>
                <w:sz w:val="5"/>
                <w:szCs w:val="5"/>
                <w:color w:val="auto"/>
                <w:w w:val="70"/>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2.04</w:t>
            </w: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2.24</w:t>
            </w: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2.38</w:t>
            </w: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2.15</w:t>
            </w: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2.01</w:t>
            </w: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2.13</w:t>
            </w: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2.07</w:t>
            </w:r>
          </w:p>
        </w:tc>
        <w:tc>
          <w:tcPr>
            <w:tcW w:w="160" w:type="dxa"/>
            <w:vAlign w:val="bottom"/>
            <w:shd w:val="clear" w:color="auto" w:fill="CFF0FC"/>
          </w:tcPr>
          <w:p>
            <w:pPr>
              <w:spacing w:after="0"/>
              <w:rPr>
                <w:sz w:val="11"/>
                <w:szCs w:val="11"/>
                <w:color w:val="auto"/>
              </w:rPr>
            </w:pPr>
          </w:p>
        </w:tc>
        <w:tc>
          <w:tcPr>
            <w:tcW w:w="20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1.87</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180" w:type="dxa"/>
            <w:vAlign w:val="bottom"/>
            <w:tcBorders>
              <w:top w:val="single" w:sz="8" w:color="CFF0FC"/>
              <w:bottom w:val="single" w:sz="8" w:color="CFF0FC"/>
            </w:tcBorders>
            <w:gridSpan w:val="2"/>
            <w:vMerge w:val="restart"/>
          </w:tcPr>
          <w:p>
            <w:pPr>
              <w:spacing w:after="0"/>
              <w:rPr>
                <w:sz w:val="20"/>
                <w:szCs w:val="20"/>
                <w:color w:val="auto"/>
              </w:rPr>
            </w:pPr>
            <w:r>
              <w:rPr>
                <w:rFonts w:ascii="Arial" w:cs="Arial" w:eastAsia="Arial" w:hAnsi="Arial"/>
                <w:sz w:val="11"/>
                <w:szCs w:val="11"/>
                <w:b w:val="1"/>
                <w:bCs w:val="1"/>
                <w:color w:val="auto"/>
              </w:rPr>
              <w:t>Other expense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41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418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Other expense</w:t>
            </w:r>
          </w:p>
        </w:tc>
        <w:tc>
          <w:tcPr>
            <w:tcW w:w="100" w:type="dxa"/>
            <w:vAlign w:val="bottom"/>
            <w:shd w:val="clear" w:color="auto" w:fill="CFF0FC"/>
          </w:tcPr>
          <w:p>
            <w:pPr>
              <w:jc w:val="right"/>
              <w:ind w:right="37"/>
              <w:spacing w:after="0"/>
              <w:rPr>
                <w:sz w:val="20"/>
                <w:szCs w:val="20"/>
                <w:color w:val="auto"/>
              </w:rPr>
            </w:pPr>
            <w:r>
              <w:rPr>
                <w:rFonts w:ascii="Arial" w:cs="Arial" w:eastAsia="Arial" w:hAnsi="Arial"/>
                <w:sz w:val="5"/>
                <w:szCs w:val="5"/>
                <w:color w:val="auto"/>
                <w:w w:val="70"/>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795,813</w:t>
            </w: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806,025</w:t>
            </w: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750,635</w:t>
            </w: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787,852</w:t>
            </w: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769,103</w:t>
            </w: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752,392</w:t>
            </w: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749,895</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776,095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180" w:type="dxa"/>
            <w:vAlign w:val="bottom"/>
            <w:gridSpan w:val="2"/>
          </w:tcPr>
          <w:p>
            <w:pPr>
              <w:spacing w:after="0"/>
              <w:rPr>
                <w:sz w:val="20"/>
                <w:szCs w:val="20"/>
                <w:color w:val="auto"/>
              </w:rPr>
            </w:pPr>
            <w:r>
              <w:rPr>
                <w:rFonts w:ascii="Arial" w:cs="Arial" w:eastAsia="Arial" w:hAnsi="Arial"/>
                <w:sz w:val="11"/>
                <w:szCs w:val="11"/>
                <w:color w:val="auto"/>
              </w:rPr>
              <w:t>Amortization of core deposit and other</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180" w:type="dxa"/>
            <w:vAlign w:val="bottom"/>
            <w:gridSpan w:val="2"/>
          </w:tcPr>
          <w:p>
            <w:pPr>
              <w:ind w:left="100"/>
              <w:spacing w:after="0"/>
              <w:rPr>
                <w:sz w:val="20"/>
                <w:szCs w:val="20"/>
                <w:color w:val="auto"/>
              </w:rPr>
            </w:pPr>
            <w:r>
              <w:rPr>
                <w:rFonts w:ascii="Arial" w:cs="Arial" w:eastAsia="Arial" w:hAnsi="Arial"/>
                <w:sz w:val="11"/>
                <w:szCs w:val="11"/>
                <w:color w:val="auto"/>
              </w:rPr>
              <w:t>intangible assets</w:t>
            </w:r>
          </w:p>
        </w:tc>
        <w:tc>
          <w:tcPr>
            <w:tcW w:w="100" w:type="dxa"/>
            <w:vAlign w:val="bottom"/>
          </w:tcPr>
          <w:p>
            <w:pPr>
              <w:spacing w:after="0"/>
              <w:rPr>
                <w:sz w:val="11"/>
                <w:szCs w:val="11"/>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1"/>
                <w:szCs w:val="11"/>
                <w:color w:val="auto"/>
              </w:rPr>
              <w:t>(7,025)</w:t>
            </w:r>
          </w:p>
        </w:tc>
        <w:tc>
          <w:tcPr>
            <w:tcW w:w="920" w:type="dxa"/>
            <w:vAlign w:val="bottom"/>
            <w:gridSpan w:val="2"/>
          </w:tcPr>
          <w:p>
            <w:pPr>
              <w:jc w:val="right"/>
              <w:ind w:right="180"/>
              <w:spacing w:after="0"/>
              <w:rPr>
                <w:sz w:val="20"/>
                <w:szCs w:val="20"/>
                <w:color w:val="auto"/>
              </w:rPr>
            </w:pPr>
            <w:r>
              <w:rPr>
                <w:rFonts w:ascii="Arial" w:cs="Arial" w:eastAsia="Arial" w:hAnsi="Arial"/>
                <w:sz w:val="11"/>
                <w:szCs w:val="11"/>
                <w:color w:val="auto"/>
              </w:rPr>
              <w:t>(7,808)</w:t>
            </w:r>
          </w:p>
        </w:tc>
        <w:tc>
          <w:tcPr>
            <w:tcW w:w="920" w:type="dxa"/>
            <w:vAlign w:val="bottom"/>
            <w:gridSpan w:val="2"/>
          </w:tcPr>
          <w:p>
            <w:pPr>
              <w:jc w:val="right"/>
              <w:ind w:right="180"/>
              <w:spacing w:after="0"/>
              <w:rPr>
                <w:sz w:val="20"/>
                <w:szCs w:val="20"/>
                <w:color w:val="auto"/>
              </w:rPr>
            </w:pPr>
            <w:r>
              <w:rPr>
                <w:rFonts w:ascii="Arial" w:cs="Arial" w:eastAsia="Arial" w:hAnsi="Arial"/>
                <w:sz w:val="11"/>
                <w:szCs w:val="11"/>
                <w:color w:val="auto"/>
              </w:rPr>
              <w:t>(8,113)</w:t>
            </w:r>
          </w:p>
        </w:tc>
        <w:tc>
          <w:tcPr>
            <w:tcW w:w="920" w:type="dxa"/>
            <w:vAlign w:val="bottom"/>
            <w:gridSpan w:val="2"/>
          </w:tcPr>
          <w:p>
            <w:pPr>
              <w:jc w:val="right"/>
              <w:ind w:right="180"/>
              <w:spacing w:after="0"/>
              <w:rPr>
                <w:sz w:val="20"/>
                <w:szCs w:val="20"/>
                <w:color w:val="auto"/>
              </w:rPr>
            </w:pPr>
            <w:r>
              <w:rPr>
                <w:rFonts w:ascii="Arial" w:cs="Arial" w:eastAsia="Arial" w:hAnsi="Arial"/>
                <w:sz w:val="11"/>
                <w:szCs w:val="11"/>
                <w:color w:val="auto"/>
              </w:rPr>
              <w:t>(8,420)</w:t>
            </w:r>
          </w:p>
        </w:tc>
        <w:tc>
          <w:tcPr>
            <w:tcW w:w="920" w:type="dxa"/>
            <w:vAlign w:val="bottom"/>
            <w:gridSpan w:val="2"/>
          </w:tcPr>
          <w:p>
            <w:pPr>
              <w:jc w:val="right"/>
              <w:ind w:right="180"/>
              <w:spacing w:after="0"/>
              <w:rPr>
                <w:sz w:val="20"/>
                <w:szCs w:val="20"/>
                <w:color w:val="auto"/>
              </w:rPr>
            </w:pPr>
            <w:r>
              <w:rPr>
                <w:rFonts w:ascii="Arial" w:cs="Arial" w:eastAsia="Arial" w:hAnsi="Arial"/>
                <w:sz w:val="11"/>
                <w:szCs w:val="11"/>
                <w:color w:val="auto"/>
              </w:rPr>
              <w:t>(9,089)</w:t>
            </w:r>
          </w:p>
        </w:tc>
        <w:tc>
          <w:tcPr>
            <w:tcW w:w="920" w:type="dxa"/>
            <w:vAlign w:val="bottom"/>
            <w:gridSpan w:val="2"/>
          </w:tcPr>
          <w:p>
            <w:pPr>
              <w:jc w:val="right"/>
              <w:ind w:right="180"/>
              <w:spacing w:after="0"/>
              <w:rPr>
                <w:sz w:val="20"/>
                <w:szCs w:val="20"/>
                <w:color w:val="auto"/>
              </w:rPr>
            </w:pPr>
            <w:r>
              <w:rPr>
                <w:rFonts w:ascii="Arial" w:cs="Arial" w:eastAsia="Arial" w:hAnsi="Arial"/>
                <w:sz w:val="11"/>
                <w:szCs w:val="11"/>
                <w:color w:val="auto"/>
              </w:rPr>
              <w:t>(9,787)</w:t>
            </w: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(11,418)</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(12,319)</w:t>
            </w:r>
          </w:p>
        </w:tc>
        <w:tc>
          <w:tcPr>
            <w:tcW w:w="0" w:type="dxa"/>
            <w:vAlign w:val="bottom"/>
          </w:tcPr>
          <w:p>
            <w:pPr>
              <w:spacing w:after="0"/>
              <w:rPr>
                <w:sz w:val="1"/>
                <w:szCs w:val="1"/>
                <w:color w:val="auto"/>
              </w:rPr>
            </w:pPr>
          </w:p>
        </w:tc>
      </w:tr>
      <w:tr>
        <w:trPr>
          <w:trHeight w:val="145"/>
        </w:trPr>
        <w:tc>
          <w:tcPr>
            <w:tcW w:w="418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Merger-related expenses</w:t>
            </w:r>
          </w:p>
        </w:tc>
        <w:tc>
          <w:tcPr>
            <w:tcW w:w="10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(12,593)</w:t>
            </w: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(23,162)</w:t>
            </w:r>
          </w:p>
        </w:tc>
        <w:tc>
          <w:tcPr>
            <w:tcW w:w="0" w:type="dxa"/>
            <w:vAlign w:val="bottom"/>
          </w:tcPr>
          <w:p>
            <w:pPr>
              <w:spacing w:after="0"/>
              <w:rPr>
                <w:sz w:val="1"/>
                <w:szCs w:val="1"/>
                <w:color w:val="auto"/>
              </w:rPr>
            </w:pPr>
          </w:p>
        </w:tc>
      </w:tr>
      <w:tr>
        <w:trPr>
          <w:trHeight w:val="178"/>
        </w:trPr>
        <w:tc>
          <w:tcPr>
            <w:tcW w:w="4180" w:type="dxa"/>
            <w:vAlign w:val="bottom"/>
            <w:tcBorders>
              <w:bottom w:val="single" w:sz="8" w:color="CFF0FC"/>
            </w:tcBorders>
            <w:gridSpan w:val="2"/>
          </w:tcPr>
          <w:p>
            <w:pPr>
              <w:ind w:left="240"/>
              <w:spacing w:after="0"/>
              <w:rPr>
                <w:sz w:val="20"/>
                <w:szCs w:val="20"/>
                <w:color w:val="auto"/>
              </w:rPr>
            </w:pPr>
            <w:r>
              <w:rPr>
                <w:rFonts w:ascii="Arial" w:cs="Arial" w:eastAsia="Arial" w:hAnsi="Arial"/>
                <w:sz w:val="11"/>
                <w:szCs w:val="11"/>
                <w:color w:val="auto"/>
              </w:rPr>
              <w:t>Noninterest operating expense</w:t>
            </w:r>
          </w:p>
        </w:tc>
        <w:tc>
          <w:tcPr>
            <w:tcW w:w="1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5"/>
                <w:szCs w:val="5"/>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788,788</w:t>
            </w:r>
          </w:p>
        </w:tc>
        <w:tc>
          <w:tcPr>
            <w:tcW w:w="220" w:type="dxa"/>
            <w:vAlign w:val="bottom"/>
            <w:tcBorders>
              <w:bottom w:val="single" w:sz="8" w:color="CFF0FC"/>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798,217</w:t>
            </w:r>
          </w:p>
        </w:tc>
        <w:tc>
          <w:tcPr>
            <w:tcW w:w="220" w:type="dxa"/>
            <w:vAlign w:val="bottom"/>
            <w:tcBorders>
              <w:bottom w:val="single" w:sz="8" w:color="CFF0FC"/>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742,522</w:t>
            </w:r>
          </w:p>
        </w:tc>
        <w:tc>
          <w:tcPr>
            <w:tcW w:w="220" w:type="dxa"/>
            <w:vAlign w:val="bottom"/>
            <w:tcBorders>
              <w:bottom w:val="single" w:sz="8" w:color="CFF0FC"/>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779,432</w:t>
            </w:r>
          </w:p>
        </w:tc>
        <w:tc>
          <w:tcPr>
            <w:tcW w:w="220" w:type="dxa"/>
            <w:vAlign w:val="bottom"/>
            <w:tcBorders>
              <w:bottom w:val="single" w:sz="8" w:color="CFF0FC"/>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760,014</w:t>
            </w:r>
          </w:p>
        </w:tc>
        <w:tc>
          <w:tcPr>
            <w:tcW w:w="220" w:type="dxa"/>
            <w:vAlign w:val="bottom"/>
            <w:tcBorders>
              <w:bottom w:val="single" w:sz="8" w:color="CFF0FC"/>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742,605</w:t>
            </w:r>
          </w:p>
        </w:tc>
        <w:tc>
          <w:tcPr>
            <w:tcW w:w="220" w:type="dxa"/>
            <w:vAlign w:val="bottom"/>
            <w:tcBorders>
              <w:bottom w:val="single" w:sz="8" w:color="CFF0FC"/>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725,884</w:t>
            </w:r>
          </w:p>
        </w:tc>
        <w:tc>
          <w:tcPr>
            <w:tcW w:w="16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740,614</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4180" w:type="dxa"/>
            <w:vAlign w:val="bottom"/>
            <w:gridSpan w:val="2"/>
            <w:shd w:val="clear" w:color="auto" w:fill="CFF0FC"/>
          </w:tcPr>
          <w:p>
            <w:pPr>
              <w:spacing w:after="0" w:line="124" w:lineRule="exact"/>
              <w:rPr>
                <w:sz w:val="20"/>
                <w:szCs w:val="20"/>
                <w:color w:val="auto"/>
              </w:rPr>
            </w:pPr>
            <w:r>
              <w:rPr>
                <w:rFonts w:ascii="Arial" w:cs="Arial" w:eastAsia="Arial" w:hAnsi="Arial"/>
                <w:sz w:val="11"/>
                <w:szCs w:val="11"/>
                <w:b w:val="1"/>
                <w:bCs w:val="1"/>
                <w:color w:val="auto"/>
              </w:rPr>
              <w:t>Merger-related expenses</w:t>
            </w: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4180" w:type="dxa"/>
            <w:vAlign w:val="bottom"/>
            <w:gridSpan w:val="2"/>
          </w:tcPr>
          <w:p>
            <w:pPr>
              <w:spacing w:after="0"/>
              <w:rPr>
                <w:sz w:val="20"/>
                <w:szCs w:val="20"/>
                <w:color w:val="auto"/>
              </w:rPr>
            </w:pPr>
            <w:r>
              <w:rPr>
                <w:rFonts w:ascii="Arial" w:cs="Arial" w:eastAsia="Arial" w:hAnsi="Arial"/>
                <w:sz w:val="11"/>
                <w:szCs w:val="11"/>
                <w:color w:val="auto"/>
              </w:rPr>
              <w:t>Salaries and employee benefits</w:t>
            </w:r>
          </w:p>
        </w:tc>
        <w:tc>
          <w:tcPr>
            <w:tcW w:w="100" w:type="dxa"/>
            <w:vAlign w:val="bottom"/>
          </w:tcPr>
          <w:p>
            <w:pPr>
              <w:jc w:val="right"/>
              <w:ind w:right="37"/>
              <w:spacing w:after="0"/>
              <w:rPr>
                <w:sz w:val="20"/>
                <w:szCs w:val="20"/>
                <w:color w:val="auto"/>
              </w:rPr>
            </w:pPr>
            <w:r>
              <w:rPr>
                <w:rFonts w:ascii="Arial" w:cs="Arial" w:eastAsia="Arial" w:hAnsi="Arial"/>
                <w:sz w:val="5"/>
                <w:szCs w:val="5"/>
                <w:color w:val="auto"/>
                <w:w w:val="70"/>
              </w:rPr>
              <w:t>$</w:t>
            </w: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60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5,274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18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Equipment and net occupancy</w:t>
            </w:r>
          </w:p>
        </w:tc>
        <w:tc>
          <w:tcPr>
            <w:tcW w:w="10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339</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939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180" w:type="dxa"/>
            <w:vAlign w:val="bottom"/>
            <w:gridSpan w:val="2"/>
          </w:tcPr>
          <w:p>
            <w:pPr>
              <w:spacing w:after="0"/>
              <w:rPr>
                <w:sz w:val="20"/>
                <w:szCs w:val="20"/>
                <w:color w:val="auto"/>
              </w:rPr>
            </w:pPr>
            <w:r>
              <w:rPr>
                <w:rFonts w:ascii="Arial" w:cs="Arial" w:eastAsia="Arial" w:hAnsi="Arial"/>
                <w:sz w:val="11"/>
                <w:szCs w:val="11"/>
                <w:color w:val="auto"/>
              </w:rPr>
              <w:t>Outside data processing and software</w:t>
            </w:r>
          </w:p>
        </w:tc>
        <w:tc>
          <w:tcPr>
            <w:tcW w:w="100" w:type="dxa"/>
            <w:vAlign w:val="bottom"/>
          </w:tcPr>
          <w:p>
            <w:pPr>
              <w:spacing w:after="0"/>
              <w:rPr>
                <w:sz w:val="12"/>
                <w:szCs w:val="1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352</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715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18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Advertising and marketing</w:t>
            </w:r>
          </w:p>
        </w:tc>
        <w:tc>
          <w:tcPr>
            <w:tcW w:w="10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6,327</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4,195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180" w:type="dxa"/>
            <w:vAlign w:val="bottom"/>
            <w:gridSpan w:val="2"/>
          </w:tcPr>
          <w:p>
            <w:pPr>
              <w:spacing w:after="0"/>
              <w:rPr>
                <w:sz w:val="20"/>
                <w:szCs w:val="20"/>
                <w:color w:val="auto"/>
              </w:rPr>
            </w:pPr>
            <w:r>
              <w:rPr>
                <w:rFonts w:ascii="Arial" w:cs="Arial" w:eastAsia="Arial" w:hAnsi="Arial"/>
                <w:sz w:val="11"/>
                <w:szCs w:val="11"/>
                <w:color w:val="auto"/>
              </w:rPr>
              <w:t>Printing, postage and supplies</w:t>
            </w:r>
          </w:p>
        </w:tc>
        <w:tc>
          <w:tcPr>
            <w:tcW w:w="100" w:type="dxa"/>
            <w:vAlign w:val="bottom"/>
          </w:tcPr>
          <w:p>
            <w:pPr>
              <w:spacing w:after="0"/>
              <w:rPr>
                <w:sz w:val="12"/>
                <w:szCs w:val="1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545</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937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18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Other costs of operations</w:t>
            </w:r>
          </w:p>
        </w:tc>
        <w:tc>
          <w:tcPr>
            <w:tcW w:w="100" w:type="dxa"/>
            <w:vAlign w:val="bottom"/>
            <w:tcBorders>
              <w:bottom w:val="single" w:sz="8" w:color="auto"/>
            </w:tcBorders>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4,970</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11,102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4180" w:type="dxa"/>
            <w:vAlign w:val="bottom"/>
            <w:gridSpan w:val="2"/>
          </w:tcPr>
          <w:p>
            <w:pPr>
              <w:ind w:left="240"/>
              <w:spacing w:after="0"/>
              <w:rPr>
                <w:sz w:val="20"/>
                <w:szCs w:val="20"/>
                <w:color w:val="auto"/>
              </w:rPr>
            </w:pPr>
            <w:r>
              <w:rPr>
                <w:rFonts w:ascii="Arial" w:cs="Arial" w:eastAsia="Arial" w:hAnsi="Arial"/>
                <w:sz w:val="11"/>
                <w:szCs w:val="11"/>
                <w:color w:val="auto"/>
              </w:rPr>
              <w:t>Total</w:t>
            </w:r>
          </w:p>
        </w:tc>
        <w:tc>
          <w:tcPr>
            <w:tcW w:w="100" w:type="dxa"/>
            <w:vAlign w:val="bottom"/>
          </w:tcPr>
          <w:p>
            <w:pPr>
              <w:jc w:val="right"/>
              <w:ind w:right="37"/>
              <w:spacing w:after="0"/>
              <w:rPr>
                <w:sz w:val="20"/>
                <w:szCs w:val="20"/>
                <w:color w:val="auto"/>
              </w:rPr>
            </w:pPr>
            <w:r>
              <w:rPr>
                <w:rFonts w:ascii="Arial" w:cs="Arial" w:eastAsia="Arial" w:hAnsi="Arial"/>
                <w:sz w:val="5"/>
                <w:szCs w:val="5"/>
                <w:color w:val="auto"/>
                <w:w w:val="70"/>
              </w:rPr>
              <w:t>$</w:t>
            </w: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12,593</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23,162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4180" w:type="dxa"/>
            <w:vAlign w:val="bottom"/>
            <w:tcBorders>
              <w:top w:val="single" w:sz="8" w:color="CFF0FC"/>
            </w:tcBorders>
            <w:gridSpan w:val="2"/>
            <w:shd w:val="clear" w:color="auto" w:fill="CFF0FC"/>
          </w:tcPr>
          <w:p>
            <w:pPr>
              <w:spacing w:after="0" w:line="124" w:lineRule="exact"/>
              <w:rPr>
                <w:sz w:val="20"/>
                <w:szCs w:val="20"/>
                <w:color w:val="auto"/>
              </w:rPr>
            </w:pPr>
            <w:r>
              <w:rPr>
                <w:rFonts w:ascii="Arial" w:cs="Arial" w:eastAsia="Arial" w:hAnsi="Arial"/>
                <w:sz w:val="11"/>
                <w:szCs w:val="11"/>
                <w:b w:val="1"/>
                <w:bCs w:val="1"/>
                <w:color w:val="auto"/>
              </w:rPr>
              <w:t>Efficiency ratio</w:t>
            </w:r>
          </w:p>
        </w:tc>
        <w:tc>
          <w:tcPr>
            <w:tcW w:w="100" w:type="dxa"/>
            <w:vAlign w:val="bottom"/>
            <w:tcBorders>
              <w:top w:val="single" w:sz="8" w:color="auto"/>
            </w:tcBorders>
            <w:shd w:val="clear" w:color="auto" w:fill="CFF0FC"/>
          </w:tcPr>
          <w:p>
            <w:pPr>
              <w:spacing w:after="0"/>
              <w:rPr>
                <w:sz w:val="10"/>
                <w:szCs w:val="10"/>
                <w:color w:val="auto"/>
              </w:rPr>
            </w:pPr>
          </w:p>
        </w:tc>
        <w:tc>
          <w:tcPr>
            <w:tcW w:w="580" w:type="dxa"/>
            <w:vAlign w:val="bottom"/>
            <w:tcBorders>
              <w:top w:val="single" w:sz="8" w:color="auto"/>
            </w:tcBorders>
            <w:shd w:val="clear" w:color="auto" w:fill="CFF0FC"/>
          </w:tcPr>
          <w:p>
            <w:pPr>
              <w:spacing w:after="0"/>
              <w:rPr>
                <w:sz w:val="10"/>
                <w:szCs w:val="10"/>
                <w:color w:val="auto"/>
              </w:rPr>
            </w:pPr>
          </w:p>
        </w:tc>
        <w:tc>
          <w:tcPr>
            <w:tcW w:w="220" w:type="dxa"/>
            <w:vAlign w:val="bottom"/>
            <w:tcBorders>
              <w:top w:val="single" w:sz="8" w:color="CFF0FC"/>
            </w:tcBorders>
            <w:shd w:val="clear" w:color="auto" w:fill="CFF0FC"/>
          </w:tcPr>
          <w:p>
            <w:pPr>
              <w:spacing w:after="0"/>
              <w:rPr>
                <w:sz w:val="10"/>
                <w:szCs w:val="10"/>
                <w:color w:val="auto"/>
              </w:rPr>
            </w:pPr>
          </w:p>
        </w:tc>
        <w:tc>
          <w:tcPr>
            <w:tcW w:w="700" w:type="dxa"/>
            <w:vAlign w:val="bottom"/>
            <w:tcBorders>
              <w:top w:val="single" w:sz="8" w:color="auto"/>
            </w:tcBorders>
            <w:shd w:val="clear" w:color="auto" w:fill="CFF0FC"/>
          </w:tcPr>
          <w:p>
            <w:pPr>
              <w:spacing w:after="0"/>
              <w:rPr>
                <w:sz w:val="10"/>
                <w:szCs w:val="10"/>
                <w:color w:val="auto"/>
              </w:rPr>
            </w:pPr>
          </w:p>
        </w:tc>
        <w:tc>
          <w:tcPr>
            <w:tcW w:w="220" w:type="dxa"/>
            <w:vAlign w:val="bottom"/>
            <w:tcBorders>
              <w:top w:val="single" w:sz="8" w:color="CFF0FC"/>
            </w:tcBorders>
            <w:shd w:val="clear" w:color="auto" w:fill="CFF0FC"/>
          </w:tcPr>
          <w:p>
            <w:pPr>
              <w:spacing w:after="0"/>
              <w:rPr>
                <w:sz w:val="10"/>
                <w:szCs w:val="10"/>
                <w:color w:val="auto"/>
              </w:rPr>
            </w:pPr>
          </w:p>
        </w:tc>
        <w:tc>
          <w:tcPr>
            <w:tcW w:w="700" w:type="dxa"/>
            <w:vAlign w:val="bottom"/>
            <w:tcBorders>
              <w:top w:val="single" w:sz="8" w:color="auto"/>
            </w:tcBorders>
            <w:shd w:val="clear" w:color="auto" w:fill="CFF0FC"/>
          </w:tcPr>
          <w:p>
            <w:pPr>
              <w:spacing w:after="0"/>
              <w:rPr>
                <w:sz w:val="10"/>
                <w:szCs w:val="10"/>
                <w:color w:val="auto"/>
              </w:rPr>
            </w:pPr>
          </w:p>
        </w:tc>
        <w:tc>
          <w:tcPr>
            <w:tcW w:w="220" w:type="dxa"/>
            <w:vAlign w:val="bottom"/>
            <w:tcBorders>
              <w:top w:val="single" w:sz="8" w:color="CFF0FC"/>
            </w:tcBorders>
            <w:shd w:val="clear" w:color="auto" w:fill="CFF0FC"/>
          </w:tcPr>
          <w:p>
            <w:pPr>
              <w:spacing w:after="0"/>
              <w:rPr>
                <w:sz w:val="10"/>
                <w:szCs w:val="10"/>
                <w:color w:val="auto"/>
              </w:rPr>
            </w:pPr>
          </w:p>
        </w:tc>
        <w:tc>
          <w:tcPr>
            <w:tcW w:w="700" w:type="dxa"/>
            <w:vAlign w:val="bottom"/>
            <w:tcBorders>
              <w:top w:val="single" w:sz="8" w:color="auto"/>
            </w:tcBorders>
            <w:shd w:val="clear" w:color="auto" w:fill="CFF0FC"/>
          </w:tcPr>
          <w:p>
            <w:pPr>
              <w:spacing w:after="0"/>
              <w:rPr>
                <w:sz w:val="10"/>
                <w:szCs w:val="10"/>
                <w:color w:val="auto"/>
              </w:rPr>
            </w:pPr>
          </w:p>
        </w:tc>
        <w:tc>
          <w:tcPr>
            <w:tcW w:w="220" w:type="dxa"/>
            <w:vAlign w:val="bottom"/>
            <w:tcBorders>
              <w:top w:val="single" w:sz="8" w:color="CFF0FC"/>
            </w:tcBorders>
            <w:shd w:val="clear" w:color="auto" w:fill="CFF0FC"/>
          </w:tcPr>
          <w:p>
            <w:pPr>
              <w:spacing w:after="0"/>
              <w:rPr>
                <w:sz w:val="10"/>
                <w:szCs w:val="10"/>
                <w:color w:val="auto"/>
              </w:rPr>
            </w:pPr>
          </w:p>
        </w:tc>
        <w:tc>
          <w:tcPr>
            <w:tcW w:w="700" w:type="dxa"/>
            <w:vAlign w:val="bottom"/>
            <w:tcBorders>
              <w:top w:val="single" w:sz="8" w:color="auto"/>
            </w:tcBorders>
            <w:shd w:val="clear" w:color="auto" w:fill="CFF0FC"/>
          </w:tcPr>
          <w:p>
            <w:pPr>
              <w:spacing w:after="0"/>
              <w:rPr>
                <w:sz w:val="10"/>
                <w:szCs w:val="10"/>
                <w:color w:val="auto"/>
              </w:rPr>
            </w:pPr>
          </w:p>
        </w:tc>
        <w:tc>
          <w:tcPr>
            <w:tcW w:w="220" w:type="dxa"/>
            <w:vAlign w:val="bottom"/>
            <w:tcBorders>
              <w:top w:val="single" w:sz="8" w:color="CFF0FC"/>
            </w:tcBorders>
            <w:shd w:val="clear" w:color="auto" w:fill="CFF0FC"/>
          </w:tcPr>
          <w:p>
            <w:pPr>
              <w:spacing w:after="0"/>
              <w:rPr>
                <w:sz w:val="10"/>
                <w:szCs w:val="10"/>
                <w:color w:val="auto"/>
              </w:rPr>
            </w:pPr>
          </w:p>
        </w:tc>
        <w:tc>
          <w:tcPr>
            <w:tcW w:w="700" w:type="dxa"/>
            <w:vAlign w:val="bottom"/>
            <w:tcBorders>
              <w:top w:val="single" w:sz="8" w:color="auto"/>
            </w:tcBorders>
            <w:shd w:val="clear" w:color="auto" w:fill="CFF0FC"/>
          </w:tcPr>
          <w:p>
            <w:pPr>
              <w:spacing w:after="0"/>
              <w:rPr>
                <w:sz w:val="10"/>
                <w:szCs w:val="10"/>
                <w:color w:val="auto"/>
              </w:rPr>
            </w:pPr>
          </w:p>
        </w:tc>
        <w:tc>
          <w:tcPr>
            <w:tcW w:w="220" w:type="dxa"/>
            <w:vAlign w:val="bottom"/>
            <w:tcBorders>
              <w:top w:val="single" w:sz="8" w:color="CFF0FC"/>
            </w:tcBorders>
            <w:shd w:val="clear" w:color="auto" w:fill="CFF0FC"/>
          </w:tcPr>
          <w:p>
            <w:pPr>
              <w:spacing w:after="0"/>
              <w:rPr>
                <w:sz w:val="10"/>
                <w:szCs w:val="10"/>
                <w:color w:val="auto"/>
              </w:rPr>
            </w:pPr>
          </w:p>
        </w:tc>
        <w:tc>
          <w:tcPr>
            <w:tcW w:w="700" w:type="dxa"/>
            <w:vAlign w:val="bottom"/>
            <w:tcBorders>
              <w:top w:val="single" w:sz="8" w:color="auto"/>
            </w:tcBorders>
            <w:shd w:val="clear" w:color="auto" w:fill="CFF0FC"/>
          </w:tcPr>
          <w:p>
            <w:pPr>
              <w:spacing w:after="0"/>
              <w:rPr>
                <w:sz w:val="10"/>
                <w:szCs w:val="10"/>
                <w:color w:val="auto"/>
              </w:rPr>
            </w:pPr>
          </w:p>
        </w:tc>
        <w:tc>
          <w:tcPr>
            <w:tcW w:w="160" w:type="dxa"/>
            <w:vAlign w:val="bottom"/>
            <w:tcBorders>
              <w:top w:val="single" w:sz="8" w:color="CFF0FC"/>
            </w:tcBorders>
            <w:shd w:val="clear" w:color="auto" w:fill="CFF0FC"/>
          </w:tcPr>
          <w:p>
            <w:pPr>
              <w:spacing w:after="0"/>
              <w:rPr>
                <w:sz w:val="10"/>
                <w:szCs w:val="10"/>
                <w:color w:val="auto"/>
              </w:rPr>
            </w:pPr>
          </w:p>
        </w:tc>
        <w:tc>
          <w:tcPr>
            <w:tcW w:w="60" w:type="dxa"/>
            <w:vAlign w:val="bottom"/>
            <w:tcBorders>
              <w:top w:val="single" w:sz="8" w:color="CFF0FC"/>
            </w:tcBorders>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56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4180" w:type="dxa"/>
            <w:vAlign w:val="bottom"/>
            <w:tcBorders>
              <w:bottom w:val="single" w:sz="8" w:color="CFF0FC"/>
            </w:tcBorders>
            <w:gridSpan w:val="2"/>
          </w:tcPr>
          <w:p>
            <w:pPr>
              <w:spacing w:after="0"/>
              <w:rPr>
                <w:sz w:val="20"/>
                <w:szCs w:val="20"/>
                <w:color w:val="auto"/>
              </w:rPr>
            </w:pPr>
            <w:r>
              <w:rPr>
                <w:rFonts w:ascii="Arial" w:cs="Arial" w:eastAsia="Arial" w:hAnsi="Arial"/>
                <w:sz w:val="11"/>
                <w:szCs w:val="11"/>
                <w:color w:val="auto"/>
              </w:rPr>
              <w:t>Noninterest operating expense (numerator)</w:t>
            </w:r>
          </w:p>
        </w:tc>
        <w:tc>
          <w:tcPr>
            <w:tcW w:w="100" w:type="dxa"/>
            <w:vAlign w:val="bottom"/>
            <w:tcBorders>
              <w:bottom w:val="single" w:sz="8" w:color="auto"/>
            </w:tcBorders>
          </w:tcPr>
          <w:p>
            <w:pPr>
              <w:jc w:val="right"/>
              <w:ind w:right="37"/>
              <w:spacing w:after="0"/>
              <w:rPr>
                <w:sz w:val="20"/>
                <w:szCs w:val="20"/>
                <w:color w:val="auto"/>
              </w:rPr>
            </w:pPr>
            <w:r>
              <w:rPr>
                <w:rFonts w:ascii="Arial" w:cs="Arial" w:eastAsia="Arial" w:hAnsi="Arial"/>
                <w:sz w:val="5"/>
                <w:szCs w:val="5"/>
                <w:color w:val="auto"/>
                <w:w w:val="70"/>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788,788</w:t>
            </w:r>
          </w:p>
        </w:tc>
        <w:tc>
          <w:tcPr>
            <w:tcW w:w="220" w:type="dxa"/>
            <w:vAlign w:val="bottom"/>
            <w:tcBorders>
              <w:bottom w:val="single" w:sz="8" w:color="CFF0FC"/>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798,217</w:t>
            </w:r>
          </w:p>
        </w:tc>
        <w:tc>
          <w:tcPr>
            <w:tcW w:w="220" w:type="dxa"/>
            <w:vAlign w:val="bottom"/>
            <w:tcBorders>
              <w:bottom w:val="single" w:sz="8" w:color="CFF0FC"/>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742,522</w:t>
            </w:r>
          </w:p>
        </w:tc>
        <w:tc>
          <w:tcPr>
            <w:tcW w:w="220" w:type="dxa"/>
            <w:vAlign w:val="bottom"/>
            <w:tcBorders>
              <w:bottom w:val="single" w:sz="8" w:color="CFF0FC"/>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779,432</w:t>
            </w:r>
          </w:p>
        </w:tc>
        <w:tc>
          <w:tcPr>
            <w:tcW w:w="220" w:type="dxa"/>
            <w:vAlign w:val="bottom"/>
            <w:tcBorders>
              <w:bottom w:val="single" w:sz="8" w:color="CFF0FC"/>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760,014</w:t>
            </w:r>
          </w:p>
        </w:tc>
        <w:tc>
          <w:tcPr>
            <w:tcW w:w="220" w:type="dxa"/>
            <w:vAlign w:val="bottom"/>
            <w:tcBorders>
              <w:bottom w:val="single" w:sz="8" w:color="CFF0FC"/>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742,605</w:t>
            </w:r>
          </w:p>
        </w:tc>
        <w:tc>
          <w:tcPr>
            <w:tcW w:w="220" w:type="dxa"/>
            <w:vAlign w:val="bottom"/>
            <w:tcBorders>
              <w:bottom w:val="single" w:sz="8" w:color="CFF0FC"/>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725,884</w:t>
            </w:r>
          </w:p>
        </w:tc>
        <w:tc>
          <w:tcPr>
            <w:tcW w:w="160" w:type="dxa"/>
            <w:vAlign w:val="bottom"/>
            <w:tcBorders>
              <w:bottom w:val="single" w:sz="8" w:color="CFF0FC"/>
            </w:tcBorders>
          </w:tcPr>
          <w:p>
            <w:pPr>
              <w:spacing w:after="0"/>
              <w:rPr>
                <w:sz w:val="16"/>
                <w:szCs w:val="16"/>
                <w:color w:val="auto"/>
              </w:rPr>
            </w:pPr>
          </w:p>
        </w:tc>
        <w:tc>
          <w:tcPr>
            <w:tcW w:w="60" w:type="dxa"/>
            <w:vAlign w:val="bottom"/>
            <w:tcBorders>
              <w:bottom w:val="single" w:sz="8" w:color="CFF0FC"/>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740,614</w:t>
            </w:r>
          </w:p>
        </w:tc>
        <w:tc>
          <w:tcPr>
            <w:tcW w:w="12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4180" w:type="dxa"/>
            <w:vAlign w:val="bottom"/>
            <w:gridSpan w:val="2"/>
            <w:shd w:val="clear" w:color="auto" w:fill="CFF0FC"/>
          </w:tcPr>
          <w:p>
            <w:pPr>
              <w:spacing w:after="0" w:line="124" w:lineRule="exact"/>
              <w:rPr>
                <w:sz w:val="20"/>
                <w:szCs w:val="20"/>
                <w:color w:val="auto"/>
              </w:rPr>
            </w:pPr>
            <w:r>
              <w:rPr>
                <w:rFonts w:ascii="Arial" w:cs="Arial" w:eastAsia="Arial" w:hAnsi="Arial"/>
                <w:sz w:val="11"/>
                <w:szCs w:val="11"/>
                <w:color w:val="auto"/>
              </w:rPr>
              <w:t>Taxable-equivalent net interest income</w:t>
            </w: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line="124" w:lineRule="exact"/>
              <w:rPr>
                <w:sz w:val="20"/>
                <w:szCs w:val="20"/>
                <w:color w:val="auto"/>
              </w:rPr>
            </w:pPr>
            <w:r>
              <w:rPr>
                <w:rFonts w:ascii="Arial" w:cs="Arial" w:eastAsia="Arial" w:hAnsi="Arial"/>
                <w:sz w:val="11"/>
                <w:szCs w:val="11"/>
                <w:color w:val="auto"/>
              </w:rPr>
              <w:t>980,457</w:t>
            </w:r>
          </w:p>
        </w:tc>
        <w:tc>
          <w:tcPr>
            <w:tcW w:w="220" w:type="dxa"/>
            <w:vAlign w:val="bottom"/>
            <w:shd w:val="clear" w:color="auto" w:fill="CFF0FC"/>
          </w:tcPr>
          <w:p>
            <w:pPr>
              <w:spacing w:after="0"/>
              <w:rPr>
                <w:sz w:val="10"/>
                <w:szCs w:val="10"/>
                <w:color w:val="auto"/>
              </w:rPr>
            </w:pPr>
          </w:p>
        </w:tc>
        <w:tc>
          <w:tcPr>
            <w:tcW w:w="700" w:type="dxa"/>
            <w:vAlign w:val="bottom"/>
            <w:shd w:val="clear" w:color="auto" w:fill="CFF0FC"/>
          </w:tcPr>
          <w:p>
            <w:pPr>
              <w:jc w:val="right"/>
              <w:spacing w:after="0" w:line="124" w:lineRule="exact"/>
              <w:rPr>
                <w:sz w:val="20"/>
                <w:szCs w:val="20"/>
                <w:color w:val="auto"/>
              </w:rPr>
            </w:pPr>
            <w:r>
              <w:rPr>
                <w:rFonts w:ascii="Arial" w:cs="Arial" w:eastAsia="Arial" w:hAnsi="Arial"/>
                <w:sz w:val="11"/>
                <w:szCs w:val="11"/>
                <w:color w:val="auto"/>
              </w:rPr>
              <w:t>965,962</w:t>
            </w:r>
          </w:p>
        </w:tc>
        <w:tc>
          <w:tcPr>
            <w:tcW w:w="220" w:type="dxa"/>
            <w:vAlign w:val="bottom"/>
            <w:shd w:val="clear" w:color="auto" w:fill="CFF0FC"/>
          </w:tcPr>
          <w:p>
            <w:pPr>
              <w:spacing w:after="0"/>
              <w:rPr>
                <w:sz w:val="10"/>
                <w:szCs w:val="10"/>
                <w:color w:val="auto"/>
              </w:rPr>
            </w:pPr>
          </w:p>
        </w:tc>
        <w:tc>
          <w:tcPr>
            <w:tcW w:w="700" w:type="dxa"/>
            <w:vAlign w:val="bottom"/>
            <w:shd w:val="clear" w:color="auto" w:fill="CFF0FC"/>
          </w:tcPr>
          <w:p>
            <w:pPr>
              <w:jc w:val="right"/>
              <w:spacing w:after="0" w:line="124" w:lineRule="exact"/>
              <w:rPr>
                <w:sz w:val="20"/>
                <w:szCs w:val="20"/>
                <w:color w:val="auto"/>
              </w:rPr>
            </w:pPr>
            <w:r>
              <w:rPr>
                <w:rFonts w:ascii="Arial" w:cs="Arial" w:eastAsia="Arial" w:hAnsi="Arial"/>
                <w:sz w:val="11"/>
                <w:szCs w:val="11"/>
                <w:color w:val="auto"/>
              </w:rPr>
              <w:t>946,936</w:t>
            </w:r>
          </w:p>
        </w:tc>
        <w:tc>
          <w:tcPr>
            <w:tcW w:w="220" w:type="dxa"/>
            <w:vAlign w:val="bottom"/>
            <w:shd w:val="clear" w:color="auto" w:fill="CFF0FC"/>
          </w:tcPr>
          <w:p>
            <w:pPr>
              <w:spacing w:after="0"/>
              <w:rPr>
                <w:sz w:val="10"/>
                <w:szCs w:val="10"/>
                <w:color w:val="auto"/>
              </w:rPr>
            </w:pPr>
          </w:p>
        </w:tc>
        <w:tc>
          <w:tcPr>
            <w:tcW w:w="700" w:type="dxa"/>
            <w:vAlign w:val="bottom"/>
            <w:shd w:val="clear" w:color="auto" w:fill="CFF0FC"/>
          </w:tcPr>
          <w:p>
            <w:pPr>
              <w:jc w:val="right"/>
              <w:spacing w:after="0" w:line="124" w:lineRule="exact"/>
              <w:rPr>
                <w:sz w:val="20"/>
                <w:szCs w:val="20"/>
                <w:color w:val="auto"/>
              </w:rPr>
            </w:pPr>
            <w:r>
              <w:rPr>
                <w:rFonts w:ascii="Arial" w:cs="Arial" w:eastAsia="Arial" w:hAnsi="Arial"/>
                <w:sz w:val="11"/>
                <w:szCs w:val="11"/>
                <w:color w:val="auto"/>
              </w:rPr>
              <w:t>922,259</w:t>
            </w:r>
          </w:p>
        </w:tc>
        <w:tc>
          <w:tcPr>
            <w:tcW w:w="220" w:type="dxa"/>
            <w:vAlign w:val="bottom"/>
            <w:shd w:val="clear" w:color="auto" w:fill="CFF0FC"/>
          </w:tcPr>
          <w:p>
            <w:pPr>
              <w:spacing w:after="0"/>
              <w:rPr>
                <w:sz w:val="10"/>
                <w:szCs w:val="10"/>
                <w:color w:val="auto"/>
              </w:rPr>
            </w:pPr>
          </w:p>
        </w:tc>
        <w:tc>
          <w:tcPr>
            <w:tcW w:w="700" w:type="dxa"/>
            <w:vAlign w:val="bottom"/>
            <w:shd w:val="clear" w:color="auto" w:fill="CFF0FC"/>
          </w:tcPr>
          <w:p>
            <w:pPr>
              <w:jc w:val="right"/>
              <w:spacing w:after="0" w:line="124" w:lineRule="exact"/>
              <w:rPr>
                <w:sz w:val="20"/>
                <w:szCs w:val="20"/>
                <w:color w:val="auto"/>
              </w:rPr>
            </w:pPr>
            <w:r>
              <w:rPr>
                <w:rFonts w:ascii="Arial" w:cs="Arial" w:eastAsia="Arial" w:hAnsi="Arial"/>
                <w:sz w:val="11"/>
                <w:szCs w:val="11"/>
                <w:color w:val="auto"/>
              </w:rPr>
              <w:t>883,147</w:t>
            </w:r>
          </w:p>
        </w:tc>
        <w:tc>
          <w:tcPr>
            <w:tcW w:w="220" w:type="dxa"/>
            <w:vAlign w:val="bottom"/>
            <w:shd w:val="clear" w:color="auto" w:fill="CFF0FC"/>
          </w:tcPr>
          <w:p>
            <w:pPr>
              <w:spacing w:after="0"/>
              <w:rPr>
                <w:sz w:val="10"/>
                <w:szCs w:val="10"/>
                <w:color w:val="auto"/>
              </w:rPr>
            </w:pPr>
          </w:p>
        </w:tc>
        <w:tc>
          <w:tcPr>
            <w:tcW w:w="700" w:type="dxa"/>
            <w:vAlign w:val="bottom"/>
            <w:shd w:val="clear" w:color="auto" w:fill="CFF0FC"/>
          </w:tcPr>
          <w:p>
            <w:pPr>
              <w:jc w:val="right"/>
              <w:spacing w:after="0" w:line="124" w:lineRule="exact"/>
              <w:rPr>
                <w:sz w:val="20"/>
                <w:szCs w:val="20"/>
                <w:color w:val="auto"/>
              </w:rPr>
            </w:pPr>
            <w:r>
              <w:rPr>
                <w:rFonts w:ascii="Arial" w:cs="Arial" w:eastAsia="Arial" w:hAnsi="Arial"/>
                <w:sz w:val="11"/>
                <w:szCs w:val="11"/>
                <w:color w:val="auto"/>
              </w:rPr>
              <w:t>865,065</w:t>
            </w:r>
          </w:p>
        </w:tc>
        <w:tc>
          <w:tcPr>
            <w:tcW w:w="220" w:type="dxa"/>
            <w:vAlign w:val="bottom"/>
            <w:shd w:val="clear" w:color="auto" w:fill="CFF0FC"/>
          </w:tcPr>
          <w:p>
            <w:pPr>
              <w:spacing w:after="0"/>
              <w:rPr>
                <w:sz w:val="10"/>
                <w:szCs w:val="10"/>
                <w:color w:val="auto"/>
              </w:rPr>
            </w:pPr>
          </w:p>
        </w:tc>
        <w:tc>
          <w:tcPr>
            <w:tcW w:w="700" w:type="dxa"/>
            <w:vAlign w:val="bottom"/>
            <w:shd w:val="clear" w:color="auto" w:fill="CFF0FC"/>
          </w:tcPr>
          <w:p>
            <w:pPr>
              <w:jc w:val="right"/>
              <w:spacing w:after="0" w:line="124" w:lineRule="exact"/>
              <w:rPr>
                <w:sz w:val="20"/>
                <w:szCs w:val="20"/>
                <w:color w:val="auto"/>
              </w:rPr>
            </w:pPr>
            <w:r>
              <w:rPr>
                <w:rFonts w:ascii="Arial" w:cs="Arial" w:eastAsia="Arial" w:hAnsi="Arial"/>
                <w:sz w:val="11"/>
                <w:szCs w:val="11"/>
                <w:color w:val="auto"/>
              </w:rPr>
              <w:t>870,341</w:t>
            </w:r>
          </w:p>
        </w:tc>
        <w:tc>
          <w:tcPr>
            <w:tcW w:w="1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line="124" w:lineRule="exact"/>
              <w:rPr>
                <w:sz w:val="20"/>
                <w:szCs w:val="20"/>
                <w:color w:val="auto"/>
              </w:rPr>
            </w:pPr>
            <w:r>
              <w:rPr>
                <w:rFonts w:ascii="Arial" w:cs="Arial" w:eastAsia="Arial" w:hAnsi="Arial"/>
                <w:sz w:val="11"/>
                <w:szCs w:val="11"/>
                <w:color w:val="auto"/>
              </w:rPr>
              <w:t>878,296</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4180" w:type="dxa"/>
            <w:vAlign w:val="bottom"/>
            <w:gridSpan w:val="2"/>
          </w:tcPr>
          <w:p>
            <w:pPr>
              <w:spacing w:after="0"/>
              <w:rPr>
                <w:sz w:val="20"/>
                <w:szCs w:val="20"/>
                <w:color w:val="auto"/>
              </w:rPr>
            </w:pPr>
            <w:r>
              <w:rPr>
                <w:rFonts w:ascii="Arial" w:cs="Arial" w:eastAsia="Arial" w:hAnsi="Arial"/>
                <w:sz w:val="11"/>
                <w:szCs w:val="11"/>
                <w:color w:val="auto"/>
              </w:rPr>
              <w:t>Other income</w:t>
            </w: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484,053</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459,429</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460,816</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446,845</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465,459</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491,350</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448,254</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420,933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18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Less: Gain on bank investment securities</w:t>
            </w: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21,296</w:t>
            </w:r>
          </w:p>
        </w:tc>
        <w:tc>
          <w:tcPr>
            <w:tcW w:w="22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(17)</w:t>
            </w: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1,566</w:t>
            </w: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28,480</w:t>
            </w: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264</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4180" w:type="dxa"/>
            <w:vAlign w:val="bottom"/>
            <w:tcBorders>
              <w:bottom w:val="single" w:sz="8" w:color="CFF0FC"/>
            </w:tcBorders>
            <w:gridSpan w:val="2"/>
          </w:tcPr>
          <w:p>
            <w:pPr>
              <w:spacing w:after="0"/>
              <w:rPr>
                <w:sz w:val="20"/>
                <w:szCs w:val="20"/>
                <w:color w:val="auto"/>
              </w:rPr>
            </w:pPr>
            <w:r>
              <w:rPr>
                <w:rFonts w:ascii="Arial" w:cs="Arial" w:eastAsia="Arial" w:hAnsi="Arial"/>
                <w:sz w:val="11"/>
                <w:szCs w:val="11"/>
                <w:color w:val="auto"/>
              </w:rPr>
              <w:t>Denominator</w:t>
            </w:r>
          </w:p>
        </w:tc>
        <w:tc>
          <w:tcPr>
            <w:tcW w:w="1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5"/>
                <w:szCs w:val="5"/>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1,443,214</w:t>
            </w:r>
          </w:p>
        </w:tc>
        <w:tc>
          <w:tcPr>
            <w:tcW w:w="220" w:type="dxa"/>
            <w:vAlign w:val="bottom"/>
            <w:tcBorders>
              <w:bottom w:val="single" w:sz="8" w:color="CFF0FC"/>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1,425,391</w:t>
            </w:r>
          </w:p>
        </w:tc>
        <w:tc>
          <w:tcPr>
            <w:tcW w:w="220" w:type="dxa"/>
            <w:vAlign w:val="bottom"/>
            <w:tcBorders>
              <w:bottom w:val="single" w:sz="8" w:color="CFF0FC"/>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1,407,769</w:t>
            </w:r>
          </w:p>
        </w:tc>
        <w:tc>
          <w:tcPr>
            <w:tcW w:w="220" w:type="dxa"/>
            <w:vAlign w:val="bottom"/>
            <w:tcBorders>
              <w:bottom w:val="single" w:sz="8" w:color="CFF0FC"/>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1,369,104</w:t>
            </w:r>
          </w:p>
        </w:tc>
        <w:tc>
          <w:tcPr>
            <w:tcW w:w="220" w:type="dxa"/>
            <w:vAlign w:val="bottom"/>
            <w:tcBorders>
              <w:bottom w:val="single" w:sz="8" w:color="CFF0FC"/>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1,347,040</w:t>
            </w:r>
          </w:p>
        </w:tc>
        <w:tc>
          <w:tcPr>
            <w:tcW w:w="220" w:type="dxa"/>
            <w:vAlign w:val="bottom"/>
            <w:tcBorders>
              <w:bottom w:val="single" w:sz="8" w:color="CFF0FC"/>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1,327,935</w:t>
            </w:r>
          </w:p>
        </w:tc>
        <w:tc>
          <w:tcPr>
            <w:tcW w:w="220" w:type="dxa"/>
            <w:vAlign w:val="bottom"/>
            <w:tcBorders>
              <w:bottom w:val="single" w:sz="8" w:color="CFF0FC"/>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1,318,331</w:t>
            </w:r>
          </w:p>
        </w:tc>
        <w:tc>
          <w:tcPr>
            <w:tcW w:w="16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1,299,225</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4180" w:type="dxa"/>
            <w:vAlign w:val="bottom"/>
            <w:gridSpan w:val="2"/>
            <w:shd w:val="clear" w:color="auto" w:fill="CFF0FC"/>
          </w:tcPr>
          <w:p>
            <w:pPr>
              <w:spacing w:after="0" w:line="124" w:lineRule="exact"/>
              <w:rPr>
                <w:sz w:val="20"/>
                <w:szCs w:val="20"/>
                <w:color w:val="auto"/>
              </w:rPr>
            </w:pPr>
            <w:r>
              <w:rPr>
                <w:rFonts w:ascii="Arial" w:cs="Arial" w:eastAsia="Arial" w:hAnsi="Arial"/>
                <w:sz w:val="11"/>
                <w:szCs w:val="11"/>
                <w:color w:val="auto"/>
              </w:rPr>
              <w:t>Efficiency ratio</w:t>
            </w:r>
          </w:p>
        </w:tc>
        <w:tc>
          <w:tcPr>
            <w:tcW w:w="10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ind w:right="140"/>
              <w:spacing w:after="0" w:line="124" w:lineRule="exact"/>
              <w:rPr>
                <w:sz w:val="20"/>
                <w:szCs w:val="20"/>
                <w:color w:val="auto"/>
              </w:rPr>
            </w:pPr>
            <w:r>
              <w:rPr>
                <w:rFonts w:ascii="Arial" w:cs="Arial" w:eastAsia="Arial" w:hAnsi="Arial"/>
                <w:sz w:val="11"/>
                <w:szCs w:val="11"/>
                <w:color w:val="auto"/>
              </w:rPr>
              <w:t>54.65%</w:t>
            </w:r>
          </w:p>
        </w:tc>
        <w:tc>
          <w:tcPr>
            <w:tcW w:w="920" w:type="dxa"/>
            <w:vAlign w:val="bottom"/>
            <w:gridSpan w:val="2"/>
            <w:shd w:val="clear" w:color="auto" w:fill="CFF0FC"/>
          </w:tcPr>
          <w:p>
            <w:pPr>
              <w:jc w:val="right"/>
              <w:ind w:right="140"/>
              <w:spacing w:after="0" w:line="124" w:lineRule="exact"/>
              <w:rPr>
                <w:sz w:val="20"/>
                <w:szCs w:val="20"/>
                <w:color w:val="auto"/>
              </w:rPr>
            </w:pPr>
            <w:r>
              <w:rPr>
                <w:rFonts w:ascii="Arial" w:cs="Arial" w:eastAsia="Arial" w:hAnsi="Arial"/>
                <w:sz w:val="11"/>
                <w:szCs w:val="11"/>
                <w:color w:val="auto"/>
              </w:rPr>
              <w:t>56.00%</w:t>
            </w:r>
          </w:p>
        </w:tc>
        <w:tc>
          <w:tcPr>
            <w:tcW w:w="920" w:type="dxa"/>
            <w:vAlign w:val="bottom"/>
            <w:gridSpan w:val="2"/>
            <w:shd w:val="clear" w:color="auto" w:fill="CFF0FC"/>
          </w:tcPr>
          <w:p>
            <w:pPr>
              <w:jc w:val="right"/>
              <w:ind w:right="140"/>
              <w:spacing w:after="0" w:line="124" w:lineRule="exact"/>
              <w:rPr>
                <w:sz w:val="20"/>
                <w:szCs w:val="20"/>
                <w:color w:val="auto"/>
              </w:rPr>
            </w:pPr>
            <w:r>
              <w:rPr>
                <w:rFonts w:ascii="Arial" w:cs="Arial" w:eastAsia="Arial" w:hAnsi="Arial"/>
                <w:sz w:val="11"/>
                <w:szCs w:val="11"/>
                <w:color w:val="auto"/>
              </w:rPr>
              <w:t>52.74%</w:t>
            </w:r>
          </w:p>
        </w:tc>
        <w:tc>
          <w:tcPr>
            <w:tcW w:w="920" w:type="dxa"/>
            <w:vAlign w:val="bottom"/>
            <w:gridSpan w:val="2"/>
            <w:shd w:val="clear" w:color="auto" w:fill="CFF0FC"/>
          </w:tcPr>
          <w:p>
            <w:pPr>
              <w:jc w:val="right"/>
              <w:ind w:right="140"/>
              <w:spacing w:after="0" w:line="124" w:lineRule="exact"/>
              <w:rPr>
                <w:sz w:val="20"/>
                <w:szCs w:val="20"/>
                <w:color w:val="auto"/>
              </w:rPr>
            </w:pPr>
            <w:r>
              <w:rPr>
                <w:rFonts w:ascii="Arial" w:cs="Arial" w:eastAsia="Arial" w:hAnsi="Arial"/>
                <w:sz w:val="11"/>
                <w:szCs w:val="11"/>
                <w:color w:val="auto"/>
              </w:rPr>
              <w:t>56.93%</w:t>
            </w:r>
          </w:p>
        </w:tc>
        <w:tc>
          <w:tcPr>
            <w:tcW w:w="920" w:type="dxa"/>
            <w:vAlign w:val="bottom"/>
            <w:gridSpan w:val="2"/>
            <w:shd w:val="clear" w:color="auto" w:fill="CFF0FC"/>
          </w:tcPr>
          <w:p>
            <w:pPr>
              <w:jc w:val="right"/>
              <w:ind w:right="140"/>
              <w:spacing w:after="0" w:line="124" w:lineRule="exact"/>
              <w:rPr>
                <w:sz w:val="20"/>
                <w:szCs w:val="20"/>
                <w:color w:val="auto"/>
              </w:rPr>
            </w:pPr>
            <w:r>
              <w:rPr>
                <w:rFonts w:ascii="Arial" w:cs="Arial" w:eastAsia="Arial" w:hAnsi="Arial"/>
                <w:sz w:val="11"/>
                <w:szCs w:val="11"/>
                <w:color w:val="auto"/>
              </w:rPr>
              <w:t>56.42%</w:t>
            </w:r>
          </w:p>
        </w:tc>
        <w:tc>
          <w:tcPr>
            <w:tcW w:w="920" w:type="dxa"/>
            <w:vAlign w:val="bottom"/>
            <w:gridSpan w:val="2"/>
            <w:shd w:val="clear" w:color="auto" w:fill="CFF0FC"/>
          </w:tcPr>
          <w:p>
            <w:pPr>
              <w:jc w:val="right"/>
              <w:ind w:right="140"/>
              <w:spacing w:after="0" w:line="124" w:lineRule="exact"/>
              <w:rPr>
                <w:sz w:val="20"/>
                <w:szCs w:val="20"/>
                <w:color w:val="auto"/>
              </w:rPr>
            </w:pPr>
            <w:r>
              <w:rPr>
                <w:rFonts w:ascii="Arial" w:cs="Arial" w:eastAsia="Arial" w:hAnsi="Arial"/>
                <w:sz w:val="11"/>
                <w:szCs w:val="11"/>
                <w:color w:val="auto"/>
              </w:rPr>
              <w:t>55.92%</w:t>
            </w:r>
          </w:p>
        </w:tc>
        <w:tc>
          <w:tcPr>
            <w:tcW w:w="860" w:type="dxa"/>
            <w:vAlign w:val="bottom"/>
            <w:gridSpan w:val="2"/>
            <w:shd w:val="clear" w:color="auto" w:fill="CFF0FC"/>
          </w:tcPr>
          <w:p>
            <w:pPr>
              <w:jc w:val="right"/>
              <w:ind w:right="80"/>
              <w:spacing w:after="0" w:line="124" w:lineRule="exact"/>
              <w:rPr>
                <w:sz w:val="20"/>
                <w:szCs w:val="20"/>
                <w:color w:val="auto"/>
              </w:rPr>
            </w:pPr>
            <w:r>
              <w:rPr>
                <w:rFonts w:ascii="Arial" w:cs="Arial" w:eastAsia="Arial" w:hAnsi="Arial"/>
                <w:sz w:val="11"/>
                <w:szCs w:val="11"/>
                <w:color w:val="auto"/>
              </w:rPr>
              <w:t>55.06%</w:t>
            </w: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80" w:type="dxa"/>
            <w:vAlign w:val="bottom"/>
            <w:gridSpan w:val="2"/>
            <w:shd w:val="clear" w:color="auto" w:fill="CFF0FC"/>
          </w:tcPr>
          <w:p>
            <w:pPr>
              <w:jc w:val="right"/>
              <w:ind w:right="20"/>
              <w:spacing w:after="0" w:line="124" w:lineRule="exact"/>
              <w:rPr>
                <w:sz w:val="20"/>
                <w:szCs w:val="20"/>
                <w:color w:val="auto"/>
              </w:rPr>
            </w:pPr>
            <w:r>
              <w:rPr>
                <w:rFonts w:ascii="Arial" w:cs="Arial" w:eastAsia="Arial" w:hAnsi="Arial"/>
                <w:sz w:val="11"/>
                <w:szCs w:val="11"/>
                <w:color w:val="auto"/>
              </w:rPr>
              <w:t>57.00%</w:t>
            </w:r>
          </w:p>
        </w:tc>
        <w:tc>
          <w:tcPr>
            <w:tcW w:w="0" w:type="dxa"/>
            <w:vAlign w:val="bottom"/>
          </w:tcPr>
          <w:p>
            <w:pPr>
              <w:spacing w:after="0"/>
              <w:rPr>
                <w:sz w:val="1"/>
                <w:szCs w:val="1"/>
                <w:color w:val="auto"/>
              </w:rPr>
            </w:pPr>
          </w:p>
        </w:tc>
      </w:tr>
      <w:tr>
        <w:trPr>
          <w:trHeight w:val="20"/>
        </w:trPr>
        <w:tc>
          <w:tcPr>
            <w:tcW w:w="4180" w:type="dxa"/>
            <w:vAlign w:val="bottom"/>
            <w:tcBorders>
              <w:top w:val="single" w:sz="8" w:color="CFF0FC"/>
              <w:bottom w:val="single" w:sz="8" w:color="CFF0FC"/>
            </w:tcBorders>
            <w:gridSpan w:val="2"/>
            <w:vMerge w:val="restart"/>
          </w:tcPr>
          <w:p>
            <w:pPr>
              <w:spacing w:after="0"/>
              <w:rPr>
                <w:sz w:val="20"/>
                <w:szCs w:val="20"/>
                <w:color w:val="auto"/>
              </w:rPr>
            </w:pPr>
            <w:r>
              <w:rPr>
                <w:rFonts w:ascii="Arial" w:cs="Arial" w:eastAsia="Arial" w:hAnsi="Arial"/>
                <w:sz w:val="11"/>
                <w:szCs w:val="11"/>
                <w:b w:val="1"/>
                <w:bCs w:val="1"/>
                <w:color w:val="auto"/>
              </w:rPr>
              <w:t>Balance sheet data (in millions)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41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4180" w:type="dxa"/>
            <w:vAlign w:val="bottom"/>
            <w:gridSpan w:val="2"/>
            <w:shd w:val="clear" w:color="auto" w:fill="CFF0FC"/>
          </w:tcPr>
          <w:p>
            <w:pPr>
              <w:spacing w:after="0"/>
              <w:rPr>
                <w:sz w:val="20"/>
                <w:szCs w:val="20"/>
                <w:color w:val="auto"/>
              </w:rPr>
            </w:pPr>
            <w:r>
              <w:rPr>
                <w:rFonts w:ascii="Arial" w:cs="Arial" w:eastAsia="Arial" w:hAnsi="Arial"/>
                <w:sz w:val="11"/>
                <w:szCs w:val="11"/>
                <w:b w:val="1"/>
                <w:bCs w:val="1"/>
                <w:color w:val="auto"/>
              </w:rPr>
              <w:t>Average assets</w:t>
            </w: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180" w:type="dxa"/>
            <w:vAlign w:val="bottom"/>
            <w:gridSpan w:val="2"/>
          </w:tcPr>
          <w:p>
            <w:pPr>
              <w:spacing w:after="0"/>
              <w:rPr>
                <w:sz w:val="20"/>
                <w:szCs w:val="20"/>
                <w:color w:val="auto"/>
              </w:rPr>
            </w:pPr>
            <w:r>
              <w:rPr>
                <w:rFonts w:ascii="Arial" w:cs="Arial" w:eastAsia="Arial" w:hAnsi="Arial"/>
                <w:sz w:val="11"/>
                <w:szCs w:val="11"/>
                <w:color w:val="auto"/>
              </w:rPr>
              <w:t>Average assets</w:t>
            </w:r>
          </w:p>
        </w:tc>
        <w:tc>
          <w:tcPr>
            <w:tcW w:w="100" w:type="dxa"/>
            <w:vAlign w:val="bottom"/>
          </w:tcPr>
          <w:p>
            <w:pPr>
              <w:jc w:val="right"/>
              <w:ind w:right="37"/>
              <w:spacing w:after="0"/>
              <w:rPr>
                <w:sz w:val="20"/>
                <w:szCs w:val="20"/>
                <w:color w:val="auto"/>
              </w:rPr>
            </w:pPr>
            <w:r>
              <w:rPr>
                <w:rFonts w:ascii="Arial" w:cs="Arial" w:eastAsia="Arial" w:hAnsi="Arial"/>
                <w:sz w:val="5"/>
                <w:szCs w:val="5"/>
                <w:color w:val="auto"/>
                <w:w w:val="70"/>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120,226</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119,515</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120,765</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122,978</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125,734</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124,725</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123,706</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123,252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18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Goodwill</w:t>
            </w:r>
          </w:p>
        </w:tc>
        <w:tc>
          <w:tcPr>
            <w:tcW w:w="10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(4,593)</w:t>
            </w: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(4,593)</w:t>
            </w: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(4,593)</w:t>
            </w: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(4,593)</w:t>
            </w: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(4,593)</w:t>
            </w: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(4,593)</w:t>
            </w: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(4,593)</w:t>
            </w: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(4,593)</w:t>
            </w:r>
          </w:p>
        </w:tc>
        <w:tc>
          <w:tcPr>
            <w:tcW w:w="0" w:type="dxa"/>
            <w:vAlign w:val="bottom"/>
          </w:tcPr>
          <w:p>
            <w:pPr>
              <w:spacing w:after="0"/>
              <w:rPr>
                <w:sz w:val="1"/>
                <w:szCs w:val="1"/>
                <w:color w:val="auto"/>
              </w:rPr>
            </w:pPr>
          </w:p>
        </w:tc>
      </w:tr>
      <w:tr>
        <w:trPr>
          <w:trHeight w:val="145"/>
        </w:trPr>
        <w:tc>
          <w:tcPr>
            <w:tcW w:w="4180" w:type="dxa"/>
            <w:vAlign w:val="bottom"/>
            <w:gridSpan w:val="2"/>
          </w:tcPr>
          <w:p>
            <w:pPr>
              <w:spacing w:after="0"/>
              <w:rPr>
                <w:sz w:val="20"/>
                <w:szCs w:val="20"/>
                <w:color w:val="auto"/>
              </w:rPr>
            </w:pPr>
            <w:r>
              <w:rPr>
                <w:rFonts w:ascii="Arial" w:cs="Arial" w:eastAsia="Arial" w:hAnsi="Arial"/>
                <w:sz w:val="11"/>
                <w:szCs w:val="11"/>
                <w:color w:val="auto"/>
              </w:rPr>
              <w:t>Core deposit and other intangible assets</w:t>
            </w:r>
          </w:p>
        </w:tc>
        <w:tc>
          <w:tcPr>
            <w:tcW w:w="100" w:type="dxa"/>
            <w:vAlign w:val="bottom"/>
          </w:tcPr>
          <w:p>
            <w:pPr>
              <w:spacing w:after="0"/>
              <w:rPr>
                <w:sz w:val="12"/>
                <w:szCs w:val="12"/>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1"/>
                <w:szCs w:val="11"/>
                <w:color w:val="auto"/>
              </w:rPr>
              <w:t>(75)</w:t>
            </w:r>
          </w:p>
        </w:tc>
        <w:tc>
          <w:tcPr>
            <w:tcW w:w="920" w:type="dxa"/>
            <w:vAlign w:val="bottom"/>
            <w:gridSpan w:val="2"/>
          </w:tcPr>
          <w:p>
            <w:pPr>
              <w:jc w:val="right"/>
              <w:ind w:right="180"/>
              <w:spacing w:after="0"/>
              <w:rPr>
                <w:sz w:val="20"/>
                <w:szCs w:val="20"/>
                <w:color w:val="auto"/>
              </w:rPr>
            </w:pPr>
            <w:r>
              <w:rPr>
                <w:rFonts w:ascii="Arial" w:cs="Arial" w:eastAsia="Arial" w:hAnsi="Arial"/>
                <w:sz w:val="11"/>
                <w:szCs w:val="11"/>
                <w:color w:val="auto"/>
              </w:rPr>
              <w:t>(82)</w:t>
            </w:r>
          </w:p>
        </w:tc>
        <w:tc>
          <w:tcPr>
            <w:tcW w:w="920" w:type="dxa"/>
            <w:vAlign w:val="bottom"/>
            <w:gridSpan w:val="2"/>
          </w:tcPr>
          <w:p>
            <w:pPr>
              <w:jc w:val="right"/>
              <w:ind w:right="180"/>
              <w:spacing w:after="0"/>
              <w:rPr>
                <w:sz w:val="20"/>
                <w:szCs w:val="20"/>
                <w:color w:val="auto"/>
              </w:rPr>
            </w:pPr>
            <w:r>
              <w:rPr>
                <w:rFonts w:ascii="Arial" w:cs="Arial" w:eastAsia="Arial" w:hAnsi="Arial"/>
                <w:sz w:val="11"/>
                <w:szCs w:val="11"/>
                <w:color w:val="auto"/>
              </w:rPr>
              <w:t>(90)</w:t>
            </w:r>
          </w:p>
        </w:tc>
        <w:tc>
          <w:tcPr>
            <w:tcW w:w="920" w:type="dxa"/>
            <w:vAlign w:val="bottom"/>
            <w:gridSpan w:val="2"/>
          </w:tcPr>
          <w:p>
            <w:pPr>
              <w:jc w:val="right"/>
              <w:ind w:right="180"/>
              <w:spacing w:after="0"/>
              <w:rPr>
                <w:sz w:val="20"/>
                <w:szCs w:val="20"/>
                <w:color w:val="auto"/>
              </w:rPr>
            </w:pPr>
            <w:r>
              <w:rPr>
                <w:rFonts w:ascii="Arial" w:cs="Arial" w:eastAsia="Arial" w:hAnsi="Arial"/>
                <w:sz w:val="11"/>
                <w:szCs w:val="11"/>
                <w:color w:val="auto"/>
              </w:rPr>
              <w:t>(98)</w:t>
            </w:r>
          </w:p>
        </w:tc>
        <w:tc>
          <w:tcPr>
            <w:tcW w:w="920" w:type="dxa"/>
            <w:vAlign w:val="bottom"/>
            <w:gridSpan w:val="2"/>
          </w:tcPr>
          <w:p>
            <w:pPr>
              <w:jc w:val="right"/>
              <w:ind w:right="180"/>
              <w:spacing w:after="0"/>
              <w:rPr>
                <w:sz w:val="20"/>
                <w:szCs w:val="20"/>
                <w:color w:val="auto"/>
              </w:rPr>
            </w:pPr>
            <w:r>
              <w:rPr>
                <w:rFonts w:ascii="Arial" w:cs="Arial" w:eastAsia="Arial" w:hAnsi="Arial"/>
                <w:sz w:val="11"/>
                <w:szCs w:val="11"/>
                <w:color w:val="auto"/>
              </w:rPr>
              <w:t>(102)</w:t>
            </w:r>
          </w:p>
        </w:tc>
        <w:tc>
          <w:tcPr>
            <w:tcW w:w="920" w:type="dxa"/>
            <w:vAlign w:val="bottom"/>
            <w:gridSpan w:val="2"/>
          </w:tcPr>
          <w:p>
            <w:pPr>
              <w:jc w:val="right"/>
              <w:ind w:right="180"/>
              <w:spacing w:after="0"/>
              <w:rPr>
                <w:sz w:val="20"/>
                <w:szCs w:val="20"/>
                <w:color w:val="auto"/>
              </w:rPr>
            </w:pPr>
            <w:r>
              <w:rPr>
                <w:rFonts w:ascii="Arial" w:cs="Arial" w:eastAsia="Arial" w:hAnsi="Arial"/>
                <w:sz w:val="11"/>
                <w:szCs w:val="11"/>
                <w:color w:val="auto"/>
              </w:rPr>
              <w:t>(112)</w:t>
            </w: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(122)</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(134)</w:t>
            </w:r>
          </w:p>
        </w:tc>
        <w:tc>
          <w:tcPr>
            <w:tcW w:w="0" w:type="dxa"/>
            <w:vAlign w:val="bottom"/>
          </w:tcPr>
          <w:p>
            <w:pPr>
              <w:spacing w:after="0"/>
              <w:rPr>
                <w:sz w:val="1"/>
                <w:szCs w:val="1"/>
                <w:color w:val="auto"/>
              </w:rPr>
            </w:pPr>
          </w:p>
        </w:tc>
      </w:tr>
      <w:tr>
        <w:trPr>
          <w:trHeight w:val="145"/>
        </w:trPr>
        <w:tc>
          <w:tcPr>
            <w:tcW w:w="418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Deferred taxes</w:t>
            </w:r>
          </w:p>
        </w:tc>
        <w:tc>
          <w:tcPr>
            <w:tcW w:w="100" w:type="dxa"/>
            <w:vAlign w:val="bottom"/>
            <w:tcBorders>
              <w:bottom w:val="single" w:sz="8" w:color="auto"/>
            </w:tcBorders>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26</w:t>
            </w:r>
          </w:p>
        </w:tc>
        <w:tc>
          <w:tcPr>
            <w:tcW w:w="220" w:type="dxa"/>
            <w:vAlign w:val="bottom"/>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32</w:t>
            </w:r>
          </w:p>
        </w:tc>
        <w:tc>
          <w:tcPr>
            <w:tcW w:w="220" w:type="dxa"/>
            <w:vAlign w:val="bottom"/>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35</w:t>
            </w:r>
          </w:p>
        </w:tc>
        <w:tc>
          <w:tcPr>
            <w:tcW w:w="220" w:type="dxa"/>
            <w:vAlign w:val="bottom"/>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39</w:t>
            </w:r>
          </w:p>
        </w:tc>
        <w:tc>
          <w:tcPr>
            <w:tcW w:w="220" w:type="dxa"/>
            <w:vAlign w:val="bottom"/>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40</w:t>
            </w:r>
          </w:p>
        </w:tc>
        <w:tc>
          <w:tcPr>
            <w:tcW w:w="220" w:type="dxa"/>
            <w:vAlign w:val="bottom"/>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44</w:t>
            </w:r>
          </w:p>
        </w:tc>
        <w:tc>
          <w:tcPr>
            <w:tcW w:w="220" w:type="dxa"/>
            <w:vAlign w:val="bottom"/>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48</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52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4180" w:type="dxa"/>
            <w:vAlign w:val="bottom"/>
            <w:tcBorders>
              <w:bottom w:val="single" w:sz="8" w:color="CFF0FC"/>
            </w:tcBorders>
            <w:gridSpan w:val="2"/>
          </w:tcPr>
          <w:p>
            <w:pPr>
              <w:ind w:left="240"/>
              <w:spacing w:after="0"/>
              <w:rPr>
                <w:sz w:val="20"/>
                <w:szCs w:val="20"/>
                <w:color w:val="auto"/>
              </w:rPr>
            </w:pPr>
            <w:r>
              <w:rPr>
                <w:rFonts w:ascii="Arial" w:cs="Arial" w:eastAsia="Arial" w:hAnsi="Arial"/>
                <w:sz w:val="11"/>
                <w:szCs w:val="11"/>
                <w:color w:val="auto"/>
              </w:rPr>
              <w:t>Average tangible assets</w:t>
            </w:r>
          </w:p>
        </w:tc>
        <w:tc>
          <w:tcPr>
            <w:tcW w:w="100" w:type="dxa"/>
            <w:vAlign w:val="bottom"/>
            <w:tcBorders>
              <w:bottom w:val="single" w:sz="8" w:color="auto"/>
            </w:tcBorders>
          </w:tcPr>
          <w:p>
            <w:pPr>
              <w:jc w:val="right"/>
              <w:ind w:right="37"/>
              <w:spacing w:after="0"/>
              <w:rPr>
                <w:sz w:val="20"/>
                <w:szCs w:val="20"/>
                <w:color w:val="auto"/>
              </w:rPr>
            </w:pPr>
            <w:r>
              <w:rPr>
                <w:rFonts w:ascii="Arial" w:cs="Arial" w:eastAsia="Arial" w:hAnsi="Arial"/>
                <w:sz w:val="5"/>
                <w:szCs w:val="5"/>
                <w:color w:val="auto"/>
                <w:w w:val="70"/>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115,584</w:t>
            </w:r>
          </w:p>
        </w:tc>
        <w:tc>
          <w:tcPr>
            <w:tcW w:w="220" w:type="dxa"/>
            <w:vAlign w:val="bottom"/>
            <w:tcBorders>
              <w:bottom w:val="single" w:sz="8" w:color="CFF0FC"/>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114,872</w:t>
            </w:r>
          </w:p>
        </w:tc>
        <w:tc>
          <w:tcPr>
            <w:tcW w:w="220" w:type="dxa"/>
            <w:vAlign w:val="bottom"/>
            <w:tcBorders>
              <w:bottom w:val="single" w:sz="8" w:color="CFF0FC"/>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116,117</w:t>
            </w:r>
          </w:p>
        </w:tc>
        <w:tc>
          <w:tcPr>
            <w:tcW w:w="220" w:type="dxa"/>
            <w:vAlign w:val="bottom"/>
            <w:tcBorders>
              <w:bottom w:val="single" w:sz="8" w:color="CFF0FC"/>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118,326</w:t>
            </w:r>
          </w:p>
        </w:tc>
        <w:tc>
          <w:tcPr>
            <w:tcW w:w="220" w:type="dxa"/>
            <w:vAlign w:val="bottom"/>
            <w:tcBorders>
              <w:bottom w:val="single" w:sz="8" w:color="CFF0FC"/>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121,079</w:t>
            </w:r>
          </w:p>
        </w:tc>
        <w:tc>
          <w:tcPr>
            <w:tcW w:w="220" w:type="dxa"/>
            <w:vAlign w:val="bottom"/>
            <w:tcBorders>
              <w:bottom w:val="single" w:sz="8" w:color="CFF0FC"/>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120,064</w:t>
            </w:r>
          </w:p>
        </w:tc>
        <w:tc>
          <w:tcPr>
            <w:tcW w:w="220" w:type="dxa"/>
            <w:vAlign w:val="bottom"/>
            <w:tcBorders>
              <w:bottom w:val="single" w:sz="8" w:color="CFF0FC"/>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119,039</w:t>
            </w:r>
          </w:p>
        </w:tc>
        <w:tc>
          <w:tcPr>
            <w:tcW w:w="16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118,577</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4180" w:type="dxa"/>
            <w:vAlign w:val="bottom"/>
            <w:gridSpan w:val="2"/>
            <w:shd w:val="clear" w:color="auto" w:fill="CFF0FC"/>
          </w:tcPr>
          <w:p>
            <w:pPr>
              <w:spacing w:after="0" w:line="124" w:lineRule="exact"/>
              <w:rPr>
                <w:sz w:val="20"/>
                <w:szCs w:val="20"/>
                <w:color w:val="auto"/>
              </w:rPr>
            </w:pPr>
            <w:r>
              <w:rPr>
                <w:rFonts w:ascii="Arial" w:cs="Arial" w:eastAsia="Arial" w:hAnsi="Arial"/>
                <w:sz w:val="11"/>
                <w:szCs w:val="11"/>
                <w:b w:val="1"/>
                <w:bCs w:val="1"/>
                <w:color w:val="auto"/>
              </w:rPr>
              <w:t>Average common equity</w:t>
            </w: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4180" w:type="dxa"/>
            <w:vAlign w:val="bottom"/>
            <w:gridSpan w:val="2"/>
          </w:tcPr>
          <w:p>
            <w:pPr>
              <w:spacing w:after="0"/>
              <w:rPr>
                <w:sz w:val="20"/>
                <w:szCs w:val="20"/>
                <w:color w:val="auto"/>
              </w:rPr>
            </w:pPr>
            <w:r>
              <w:rPr>
                <w:rFonts w:ascii="Arial" w:cs="Arial" w:eastAsia="Arial" w:hAnsi="Arial"/>
                <w:sz w:val="11"/>
                <w:szCs w:val="11"/>
                <w:color w:val="auto"/>
              </w:rPr>
              <w:t>Average total equity</w:t>
            </w:r>
          </w:p>
        </w:tc>
        <w:tc>
          <w:tcPr>
            <w:tcW w:w="100" w:type="dxa"/>
            <w:vAlign w:val="bottom"/>
          </w:tcPr>
          <w:p>
            <w:pPr>
              <w:jc w:val="right"/>
              <w:ind w:right="37"/>
              <w:spacing w:after="0"/>
              <w:rPr>
                <w:sz w:val="20"/>
                <w:szCs w:val="20"/>
                <w:color w:val="auto"/>
              </w:rPr>
            </w:pPr>
            <w:r>
              <w:rPr>
                <w:rFonts w:ascii="Arial" w:cs="Arial" w:eastAsia="Arial" w:hAnsi="Arial"/>
                <w:sz w:val="5"/>
                <w:szCs w:val="5"/>
                <w:color w:val="auto"/>
                <w:w w:val="70"/>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16,271</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16,301</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16,285</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16,323</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16,673</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16,347</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16,377</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16,279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18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Preferred stock</w:t>
            </w:r>
          </w:p>
        </w:tc>
        <w:tc>
          <w:tcPr>
            <w:tcW w:w="10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(1,232)</w:t>
            </w: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(1,232)</w:t>
            </w: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(1,232)</w:t>
            </w: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(1,232)</w:t>
            </w: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(1,492)</w:t>
            </w: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(1,232)</w:t>
            </w: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(1,232)</w:t>
            </w: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(1,232)</w:t>
            </w:r>
          </w:p>
        </w:tc>
        <w:tc>
          <w:tcPr>
            <w:tcW w:w="0" w:type="dxa"/>
            <w:vAlign w:val="bottom"/>
          </w:tcPr>
          <w:p>
            <w:pPr>
              <w:spacing w:after="0"/>
              <w:rPr>
                <w:sz w:val="1"/>
                <w:szCs w:val="1"/>
                <w:color w:val="auto"/>
              </w:rPr>
            </w:pPr>
          </w:p>
        </w:tc>
      </w:tr>
      <w:tr>
        <w:trPr>
          <w:trHeight w:val="138"/>
        </w:trPr>
        <w:tc>
          <w:tcPr>
            <w:tcW w:w="4180" w:type="dxa"/>
            <w:vAlign w:val="bottom"/>
            <w:gridSpan w:val="2"/>
          </w:tcPr>
          <w:p>
            <w:pPr>
              <w:ind w:left="240"/>
              <w:spacing w:after="0"/>
              <w:rPr>
                <w:sz w:val="20"/>
                <w:szCs w:val="20"/>
                <w:color w:val="auto"/>
              </w:rPr>
            </w:pPr>
            <w:r>
              <w:rPr>
                <w:rFonts w:ascii="Arial" w:cs="Arial" w:eastAsia="Arial" w:hAnsi="Arial"/>
                <w:sz w:val="11"/>
                <w:szCs w:val="11"/>
                <w:color w:val="auto"/>
              </w:rPr>
              <w:t>Average common equity</w:t>
            </w: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15,039</w:t>
            </w:r>
          </w:p>
        </w:tc>
        <w:tc>
          <w:tcPr>
            <w:tcW w:w="220" w:type="dxa"/>
            <w:vAlign w:val="bottom"/>
          </w:tcPr>
          <w:p>
            <w:pPr>
              <w:spacing w:after="0"/>
              <w:rPr>
                <w:sz w:val="11"/>
                <w:szCs w:val="11"/>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15,069</w:t>
            </w:r>
          </w:p>
        </w:tc>
        <w:tc>
          <w:tcPr>
            <w:tcW w:w="220" w:type="dxa"/>
            <w:vAlign w:val="bottom"/>
          </w:tcPr>
          <w:p>
            <w:pPr>
              <w:spacing w:after="0"/>
              <w:rPr>
                <w:sz w:val="11"/>
                <w:szCs w:val="11"/>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15,053</w:t>
            </w:r>
          </w:p>
        </w:tc>
        <w:tc>
          <w:tcPr>
            <w:tcW w:w="220" w:type="dxa"/>
            <w:vAlign w:val="bottom"/>
          </w:tcPr>
          <w:p>
            <w:pPr>
              <w:spacing w:after="0"/>
              <w:rPr>
                <w:sz w:val="11"/>
                <w:szCs w:val="11"/>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15,091</w:t>
            </w:r>
          </w:p>
        </w:tc>
        <w:tc>
          <w:tcPr>
            <w:tcW w:w="220" w:type="dxa"/>
            <w:vAlign w:val="bottom"/>
          </w:tcPr>
          <w:p>
            <w:pPr>
              <w:spacing w:after="0"/>
              <w:rPr>
                <w:sz w:val="11"/>
                <w:szCs w:val="11"/>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15,181</w:t>
            </w:r>
          </w:p>
        </w:tc>
        <w:tc>
          <w:tcPr>
            <w:tcW w:w="220" w:type="dxa"/>
            <w:vAlign w:val="bottom"/>
          </w:tcPr>
          <w:p>
            <w:pPr>
              <w:spacing w:after="0"/>
              <w:rPr>
                <w:sz w:val="11"/>
                <w:szCs w:val="11"/>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15,115</w:t>
            </w:r>
          </w:p>
        </w:tc>
        <w:tc>
          <w:tcPr>
            <w:tcW w:w="220" w:type="dxa"/>
            <w:vAlign w:val="bottom"/>
          </w:tcPr>
          <w:p>
            <w:pPr>
              <w:spacing w:after="0"/>
              <w:rPr>
                <w:sz w:val="11"/>
                <w:szCs w:val="11"/>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15,145</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15,047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418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Goodwill</w:t>
            </w:r>
          </w:p>
        </w:tc>
        <w:tc>
          <w:tcPr>
            <w:tcW w:w="10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(4,593)</w:t>
            </w: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(4,593)</w:t>
            </w: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(4,593)</w:t>
            </w: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(4,593)</w:t>
            </w: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(4,593)</w:t>
            </w: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(4,593)</w:t>
            </w: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(4,593)</w:t>
            </w: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(4,593)</w:t>
            </w:r>
          </w:p>
        </w:tc>
        <w:tc>
          <w:tcPr>
            <w:tcW w:w="0" w:type="dxa"/>
            <w:vAlign w:val="bottom"/>
          </w:tcPr>
          <w:p>
            <w:pPr>
              <w:spacing w:after="0"/>
              <w:rPr>
                <w:sz w:val="1"/>
                <w:szCs w:val="1"/>
                <w:color w:val="auto"/>
              </w:rPr>
            </w:pPr>
          </w:p>
        </w:tc>
      </w:tr>
      <w:tr>
        <w:trPr>
          <w:trHeight w:val="145"/>
        </w:trPr>
        <w:tc>
          <w:tcPr>
            <w:tcW w:w="4180" w:type="dxa"/>
            <w:vAlign w:val="bottom"/>
            <w:gridSpan w:val="2"/>
          </w:tcPr>
          <w:p>
            <w:pPr>
              <w:spacing w:after="0"/>
              <w:rPr>
                <w:sz w:val="20"/>
                <w:szCs w:val="20"/>
                <w:color w:val="auto"/>
              </w:rPr>
            </w:pPr>
            <w:r>
              <w:rPr>
                <w:rFonts w:ascii="Arial" w:cs="Arial" w:eastAsia="Arial" w:hAnsi="Arial"/>
                <w:sz w:val="11"/>
                <w:szCs w:val="11"/>
                <w:color w:val="auto"/>
              </w:rPr>
              <w:t>Core deposit and other intangible assets</w:t>
            </w:r>
          </w:p>
        </w:tc>
        <w:tc>
          <w:tcPr>
            <w:tcW w:w="100" w:type="dxa"/>
            <w:vAlign w:val="bottom"/>
          </w:tcPr>
          <w:p>
            <w:pPr>
              <w:spacing w:after="0"/>
              <w:rPr>
                <w:sz w:val="12"/>
                <w:szCs w:val="12"/>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1"/>
                <w:szCs w:val="11"/>
                <w:color w:val="auto"/>
              </w:rPr>
              <w:t>(75)</w:t>
            </w:r>
          </w:p>
        </w:tc>
        <w:tc>
          <w:tcPr>
            <w:tcW w:w="920" w:type="dxa"/>
            <w:vAlign w:val="bottom"/>
            <w:gridSpan w:val="2"/>
          </w:tcPr>
          <w:p>
            <w:pPr>
              <w:jc w:val="right"/>
              <w:ind w:right="180"/>
              <w:spacing w:after="0"/>
              <w:rPr>
                <w:sz w:val="20"/>
                <w:szCs w:val="20"/>
                <w:color w:val="auto"/>
              </w:rPr>
            </w:pPr>
            <w:r>
              <w:rPr>
                <w:rFonts w:ascii="Arial" w:cs="Arial" w:eastAsia="Arial" w:hAnsi="Arial"/>
                <w:sz w:val="11"/>
                <w:szCs w:val="11"/>
                <w:color w:val="auto"/>
              </w:rPr>
              <w:t>(82)</w:t>
            </w:r>
          </w:p>
        </w:tc>
        <w:tc>
          <w:tcPr>
            <w:tcW w:w="920" w:type="dxa"/>
            <w:vAlign w:val="bottom"/>
            <w:gridSpan w:val="2"/>
          </w:tcPr>
          <w:p>
            <w:pPr>
              <w:jc w:val="right"/>
              <w:ind w:right="180"/>
              <w:spacing w:after="0"/>
              <w:rPr>
                <w:sz w:val="20"/>
                <w:szCs w:val="20"/>
                <w:color w:val="auto"/>
              </w:rPr>
            </w:pPr>
            <w:r>
              <w:rPr>
                <w:rFonts w:ascii="Arial" w:cs="Arial" w:eastAsia="Arial" w:hAnsi="Arial"/>
                <w:sz w:val="11"/>
                <w:szCs w:val="11"/>
                <w:color w:val="auto"/>
              </w:rPr>
              <w:t>(90)</w:t>
            </w:r>
          </w:p>
        </w:tc>
        <w:tc>
          <w:tcPr>
            <w:tcW w:w="920" w:type="dxa"/>
            <w:vAlign w:val="bottom"/>
            <w:gridSpan w:val="2"/>
          </w:tcPr>
          <w:p>
            <w:pPr>
              <w:jc w:val="right"/>
              <w:ind w:right="180"/>
              <w:spacing w:after="0"/>
              <w:rPr>
                <w:sz w:val="20"/>
                <w:szCs w:val="20"/>
                <w:color w:val="auto"/>
              </w:rPr>
            </w:pPr>
            <w:r>
              <w:rPr>
                <w:rFonts w:ascii="Arial" w:cs="Arial" w:eastAsia="Arial" w:hAnsi="Arial"/>
                <w:sz w:val="11"/>
                <w:szCs w:val="11"/>
                <w:color w:val="auto"/>
              </w:rPr>
              <w:t>(98)</w:t>
            </w:r>
          </w:p>
        </w:tc>
        <w:tc>
          <w:tcPr>
            <w:tcW w:w="920" w:type="dxa"/>
            <w:vAlign w:val="bottom"/>
            <w:gridSpan w:val="2"/>
          </w:tcPr>
          <w:p>
            <w:pPr>
              <w:jc w:val="right"/>
              <w:ind w:right="180"/>
              <w:spacing w:after="0"/>
              <w:rPr>
                <w:sz w:val="20"/>
                <w:szCs w:val="20"/>
                <w:color w:val="auto"/>
              </w:rPr>
            </w:pPr>
            <w:r>
              <w:rPr>
                <w:rFonts w:ascii="Arial" w:cs="Arial" w:eastAsia="Arial" w:hAnsi="Arial"/>
                <w:sz w:val="11"/>
                <w:szCs w:val="11"/>
                <w:color w:val="auto"/>
              </w:rPr>
              <w:t>(102)</w:t>
            </w:r>
          </w:p>
        </w:tc>
        <w:tc>
          <w:tcPr>
            <w:tcW w:w="920" w:type="dxa"/>
            <w:vAlign w:val="bottom"/>
            <w:gridSpan w:val="2"/>
          </w:tcPr>
          <w:p>
            <w:pPr>
              <w:jc w:val="right"/>
              <w:ind w:right="180"/>
              <w:spacing w:after="0"/>
              <w:rPr>
                <w:sz w:val="20"/>
                <w:szCs w:val="20"/>
                <w:color w:val="auto"/>
              </w:rPr>
            </w:pPr>
            <w:r>
              <w:rPr>
                <w:rFonts w:ascii="Arial" w:cs="Arial" w:eastAsia="Arial" w:hAnsi="Arial"/>
                <w:sz w:val="11"/>
                <w:szCs w:val="11"/>
                <w:color w:val="auto"/>
              </w:rPr>
              <w:t>(112)</w:t>
            </w: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(122)</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(134)</w:t>
            </w:r>
          </w:p>
        </w:tc>
        <w:tc>
          <w:tcPr>
            <w:tcW w:w="0" w:type="dxa"/>
            <w:vAlign w:val="bottom"/>
          </w:tcPr>
          <w:p>
            <w:pPr>
              <w:spacing w:after="0"/>
              <w:rPr>
                <w:sz w:val="1"/>
                <w:szCs w:val="1"/>
                <w:color w:val="auto"/>
              </w:rPr>
            </w:pPr>
          </w:p>
        </w:tc>
      </w:tr>
      <w:tr>
        <w:trPr>
          <w:trHeight w:val="145"/>
        </w:trPr>
        <w:tc>
          <w:tcPr>
            <w:tcW w:w="418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Deferred taxes</w:t>
            </w:r>
          </w:p>
        </w:tc>
        <w:tc>
          <w:tcPr>
            <w:tcW w:w="100" w:type="dxa"/>
            <w:vAlign w:val="bottom"/>
            <w:tcBorders>
              <w:bottom w:val="single" w:sz="8" w:color="auto"/>
            </w:tcBorders>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26</w:t>
            </w:r>
          </w:p>
        </w:tc>
        <w:tc>
          <w:tcPr>
            <w:tcW w:w="220" w:type="dxa"/>
            <w:vAlign w:val="bottom"/>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32</w:t>
            </w:r>
          </w:p>
        </w:tc>
        <w:tc>
          <w:tcPr>
            <w:tcW w:w="220" w:type="dxa"/>
            <w:vAlign w:val="bottom"/>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35</w:t>
            </w:r>
          </w:p>
        </w:tc>
        <w:tc>
          <w:tcPr>
            <w:tcW w:w="220" w:type="dxa"/>
            <w:vAlign w:val="bottom"/>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39</w:t>
            </w:r>
          </w:p>
        </w:tc>
        <w:tc>
          <w:tcPr>
            <w:tcW w:w="220" w:type="dxa"/>
            <w:vAlign w:val="bottom"/>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40</w:t>
            </w:r>
          </w:p>
        </w:tc>
        <w:tc>
          <w:tcPr>
            <w:tcW w:w="220" w:type="dxa"/>
            <w:vAlign w:val="bottom"/>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44</w:t>
            </w:r>
          </w:p>
        </w:tc>
        <w:tc>
          <w:tcPr>
            <w:tcW w:w="220" w:type="dxa"/>
            <w:vAlign w:val="bottom"/>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48</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52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4180" w:type="dxa"/>
            <w:vAlign w:val="bottom"/>
            <w:tcBorders>
              <w:bottom w:val="single" w:sz="8" w:color="CFF0FC"/>
            </w:tcBorders>
            <w:gridSpan w:val="2"/>
          </w:tcPr>
          <w:p>
            <w:pPr>
              <w:ind w:left="240"/>
              <w:spacing w:after="0"/>
              <w:rPr>
                <w:sz w:val="20"/>
                <w:szCs w:val="20"/>
                <w:color w:val="auto"/>
              </w:rPr>
            </w:pPr>
            <w:r>
              <w:rPr>
                <w:rFonts w:ascii="Arial" w:cs="Arial" w:eastAsia="Arial" w:hAnsi="Arial"/>
                <w:sz w:val="11"/>
                <w:szCs w:val="11"/>
                <w:color w:val="auto"/>
              </w:rPr>
              <w:t>Average tangible common equity</w:t>
            </w:r>
          </w:p>
        </w:tc>
        <w:tc>
          <w:tcPr>
            <w:tcW w:w="100" w:type="dxa"/>
            <w:vAlign w:val="bottom"/>
            <w:tcBorders>
              <w:bottom w:val="single" w:sz="8" w:color="auto"/>
            </w:tcBorders>
          </w:tcPr>
          <w:p>
            <w:pPr>
              <w:jc w:val="right"/>
              <w:ind w:right="37"/>
              <w:spacing w:after="0"/>
              <w:rPr>
                <w:sz w:val="20"/>
                <w:szCs w:val="20"/>
                <w:color w:val="auto"/>
              </w:rPr>
            </w:pPr>
            <w:r>
              <w:rPr>
                <w:rFonts w:ascii="Arial" w:cs="Arial" w:eastAsia="Arial" w:hAnsi="Arial"/>
                <w:sz w:val="5"/>
                <w:szCs w:val="5"/>
                <w:color w:val="auto"/>
                <w:w w:val="70"/>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10,397</w:t>
            </w:r>
          </w:p>
        </w:tc>
        <w:tc>
          <w:tcPr>
            <w:tcW w:w="220" w:type="dxa"/>
            <w:vAlign w:val="bottom"/>
            <w:tcBorders>
              <w:bottom w:val="single" w:sz="8" w:color="CFF0FC"/>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10,426</w:t>
            </w:r>
          </w:p>
        </w:tc>
        <w:tc>
          <w:tcPr>
            <w:tcW w:w="220" w:type="dxa"/>
            <w:vAlign w:val="bottom"/>
            <w:tcBorders>
              <w:bottom w:val="single" w:sz="8" w:color="CFF0FC"/>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10,405</w:t>
            </w:r>
          </w:p>
        </w:tc>
        <w:tc>
          <w:tcPr>
            <w:tcW w:w="220" w:type="dxa"/>
            <w:vAlign w:val="bottom"/>
            <w:tcBorders>
              <w:bottom w:val="single" w:sz="8" w:color="CFF0FC"/>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10,439</w:t>
            </w:r>
          </w:p>
        </w:tc>
        <w:tc>
          <w:tcPr>
            <w:tcW w:w="220" w:type="dxa"/>
            <w:vAlign w:val="bottom"/>
            <w:tcBorders>
              <w:bottom w:val="single" w:sz="8" w:color="CFF0FC"/>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10,526</w:t>
            </w:r>
          </w:p>
        </w:tc>
        <w:tc>
          <w:tcPr>
            <w:tcW w:w="220" w:type="dxa"/>
            <w:vAlign w:val="bottom"/>
            <w:tcBorders>
              <w:bottom w:val="single" w:sz="8" w:color="CFF0FC"/>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10,454</w:t>
            </w:r>
          </w:p>
        </w:tc>
        <w:tc>
          <w:tcPr>
            <w:tcW w:w="220" w:type="dxa"/>
            <w:vAlign w:val="bottom"/>
            <w:tcBorders>
              <w:bottom w:val="single" w:sz="8" w:color="CFF0FC"/>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10,478</w:t>
            </w:r>
          </w:p>
        </w:tc>
        <w:tc>
          <w:tcPr>
            <w:tcW w:w="16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10,372</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4180" w:type="dxa"/>
            <w:vAlign w:val="bottom"/>
            <w:gridSpan w:val="2"/>
            <w:shd w:val="clear" w:color="auto" w:fill="CFF0FC"/>
          </w:tcPr>
          <w:p>
            <w:pPr>
              <w:spacing w:after="0" w:line="124" w:lineRule="exact"/>
              <w:rPr>
                <w:sz w:val="20"/>
                <w:szCs w:val="20"/>
                <w:color w:val="auto"/>
              </w:rPr>
            </w:pPr>
            <w:r>
              <w:rPr>
                <w:rFonts w:ascii="Arial" w:cs="Arial" w:eastAsia="Arial" w:hAnsi="Arial"/>
                <w:sz w:val="11"/>
                <w:szCs w:val="11"/>
                <w:b w:val="1"/>
                <w:bCs w:val="1"/>
                <w:color w:val="auto"/>
              </w:rPr>
              <w:t>At end of quarter</w:t>
            </w: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4180" w:type="dxa"/>
            <w:vAlign w:val="bottom"/>
            <w:gridSpan w:val="2"/>
          </w:tcPr>
          <w:p>
            <w:pPr>
              <w:spacing w:after="0"/>
              <w:rPr>
                <w:sz w:val="20"/>
                <w:szCs w:val="20"/>
                <w:color w:val="auto"/>
              </w:rPr>
            </w:pPr>
            <w:r>
              <w:rPr>
                <w:rFonts w:ascii="Arial" w:cs="Arial" w:eastAsia="Arial" w:hAnsi="Arial"/>
                <w:sz w:val="11"/>
                <w:szCs w:val="11"/>
                <w:b w:val="1"/>
                <w:bCs w:val="1"/>
                <w:color w:val="auto"/>
              </w:rPr>
              <w:t>Total assets</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18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Total assets</w:t>
            </w: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118,593</w:t>
            </w: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120,402</w:t>
            </w: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120,897</w:t>
            </w: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123,223</w:t>
            </w: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123,449</w:t>
            </w: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126,841</w:t>
            </w: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123,821</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124,626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180" w:type="dxa"/>
            <w:vAlign w:val="bottom"/>
            <w:gridSpan w:val="2"/>
          </w:tcPr>
          <w:p>
            <w:pPr>
              <w:spacing w:after="0"/>
              <w:rPr>
                <w:sz w:val="20"/>
                <w:szCs w:val="20"/>
                <w:color w:val="auto"/>
              </w:rPr>
            </w:pPr>
            <w:r>
              <w:rPr>
                <w:rFonts w:ascii="Arial" w:cs="Arial" w:eastAsia="Arial" w:hAnsi="Arial"/>
                <w:sz w:val="11"/>
                <w:szCs w:val="11"/>
                <w:color w:val="auto"/>
              </w:rPr>
              <w:t>Goodwill</w:t>
            </w:r>
          </w:p>
        </w:tc>
        <w:tc>
          <w:tcPr>
            <w:tcW w:w="100" w:type="dxa"/>
            <w:vAlign w:val="bottom"/>
          </w:tcPr>
          <w:p>
            <w:pPr>
              <w:spacing w:after="0"/>
              <w:rPr>
                <w:sz w:val="12"/>
                <w:szCs w:val="12"/>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1"/>
                <w:szCs w:val="11"/>
                <w:color w:val="auto"/>
              </w:rPr>
              <w:t>(4,593)</w:t>
            </w:r>
          </w:p>
        </w:tc>
        <w:tc>
          <w:tcPr>
            <w:tcW w:w="920" w:type="dxa"/>
            <w:vAlign w:val="bottom"/>
            <w:gridSpan w:val="2"/>
          </w:tcPr>
          <w:p>
            <w:pPr>
              <w:jc w:val="right"/>
              <w:ind w:right="180"/>
              <w:spacing w:after="0"/>
              <w:rPr>
                <w:sz w:val="20"/>
                <w:szCs w:val="20"/>
                <w:color w:val="auto"/>
              </w:rPr>
            </w:pPr>
            <w:r>
              <w:rPr>
                <w:rFonts w:ascii="Arial" w:cs="Arial" w:eastAsia="Arial" w:hAnsi="Arial"/>
                <w:sz w:val="11"/>
                <w:szCs w:val="11"/>
                <w:color w:val="auto"/>
              </w:rPr>
              <w:t>(4,593)</w:t>
            </w:r>
          </w:p>
        </w:tc>
        <w:tc>
          <w:tcPr>
            <w:tcW w:w="920" w:type="dxa"/>
            <w:vAlign w:val="bottom"/>
            <w:gridSpan w:val="2"/>
          </w:tcPr>
          <w:p>
            <w:pPr>
              <w:jc w:val="right"/>
              <w:ind w:right="180"/>
              <w:spacing w:after="0"/>
              <w:rPr>
                <w:sz w:val="20"/>
                <w:szCs w:val="20"/>
                <w:color w:val="auto"/>
              </w:rPr>
            </w:pPr>
            <w:r>
              <w:rPr>
                <w:rFonts w:ascii="Arial" w:cs="Arial" w:eastAsia="Arial" w:hAnsi="Arial"/>
                <w:sz w:val="11"/>
                <w:szCs w:val="11"/>
                <w:color w:val="auto"/>
              </w:rPr>
              <w:t>(4,593)</w:t>
            </w:r>
          </w:p>
        </w:tc>
        <w:tc>
          <w:tcPr>
            <w:tcW w:w="920" w:type="dxa"/>
            <w:vAlign w:val="bottom"/>
            <w:gridSpan w:val="2"/>
          </w:tcPr>
          <w:p>
            <w:pPr>
              <w:jc w:val="right"/>
              <w:ind w:right="180"/>
              <w:spacing w:after="0"/>
              <w:rPr>
                <w:sz w:val="20"/>
                <w:szCs w:val="20"/>
                <w:color w:val="auto"/>
              </w:rPr>
            </w:pPr>
            <w:r>
              <w:rPr>
                <w:rFonts w:ascii="Arial" w:cs="Arial" w:eastAsia="Arial" w:hAnsi="Arial"/>
                <w:sz w:val="11"/>
                <w:szCs w:val="11"/>
                <w:color w:val="auto"/>
              </w:rPr>
              <w:t>(4,593)</w:t>
            </w:r>
          </w:p>
        </w:tc>
        <w:tc>
          <w:tcPr>
            <w:tcW w:w="920" w:type="dxa"/>
            <w:vAlign w:val="bottom"/>
            <w:gridSpan w:val="2"/>
          </w:tcPr>
          <w:p>
            <w:pPr>
              <w:jc w:val="right"/>
              <w:ind w:right="180"/>
              <w:spacing w:after="0"/>
              <w:rPr>
                <w:sz w:val="20"/>
                <w:szCs w:val="20"/>
                <w:color w:val="auto"/>
              </w:rPr>
            </w:pPr>
            <w:r>
              <w:rPr>
                <w:rFonts w:ascii="Arial" w:cs="Arial" w:eastAsia="Arial" w:hAnsi="Arial"/>
                <w:sz w:val="11"/>
                <w:szCs w:val="11"/>
                <w:color w:val="auto"/>
              </w:rPr>
              <w:t>(4,593)</w:t>
            </w:r>
          </w:p>
        </w:tc>
        <w:tc>
          <w:tcPr>
            <w:tcW w:w="920" w:type="dxa"/>
            <w:vAlign w:val="bottom"/>
            <w:gridSpan w:val="2"/>
          </w:tcPr>
          <w:p>
            <w:pPr>
              <w:jc w:val="right"/>
              <w:ind w:right="180"/>
              <w:spacing w:after="0"/>
              <w:rPr>
                <w:sz w:val="20"/>
                <w:szCs w:val="20"/>
                <w:color w:val="auto"/>
              </w:rPr>
            </w:pPr>
            <w:r>
              <w:rPr>
                <w:rFonts w:ascii="Arial" w:cs="Arial" w:eastAsia="Arial" w:hAnsi="Arial"/>
                <w:sz w:val="11"/>
                <w:szCs w:val="11"/>
                <w:color w:val="auto"/>
              </w:rPr>
              <w:t>(4,593)</w:t>
            </w: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(4,593)</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(4,593)</w:t>
            </w:r>
          </w:p>
        </w:tc>
        <w:tc>
          <w:tcPr>
            <w:tcW w:w="0" w:type="dxa"/>
            <w:vAlign w:val="bottom"/>
          </w:tcPr>
          <w:p>
            <w:pPr>
              <w:spacing w:after="0"/>
              <w:rPr>
                <w:sz w:val="1"/>
                <w:szCs w:val="1"/>
                <w:color w:val="auto"/>
              </w:rPr>
            </w:pPr>
          </w:p>
        </w:tc>
      </w:tr>
      <w:tr>
        <w:trPr>
          <w:trHeight w:val="145"/>
        </w:trPr>
        <w:tc>
          <w:tcPr>
            <w:tcW w:w="418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Core deposit and other intangible assets</w:t>
            </w:r>
          </w:p>
        </w:tc>
        <w:tc>
          <w:tcPr>
            <w:tcW w:w="10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(72)</w:t>
            </w: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(79)</w:t>
            </w: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(86)</w:t>
            </w: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(95)</w:t>
            </w: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(98)</w:t>
            </w: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(107)</w:t>
            </w: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(117)</w:t>
            </w: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(128)</w:t>
            </w:r>
          </w:p>
        </w:tc>
        <w:tc>
          <w:tcPr>
            <w:tcW w:w="0" w:type="dxa"/>
            <w:vAlign w:val="bottom"/>
          </w:tcPr>
          <w:p>
            <w:pPr>
              <w:spacing w:after="0"/>
              <w:rPr>
                <w:sz w:val="1"/>
                <w:szCs w:val="1"/>
                <w:color w:val="auto"/>
              </w:rPr>
            </w:pPr>
          </w:p>
        </w:tc>
      </w:tr>
      <w:tr>
        <w:trPr>
          <w:trHeight w:val="145"/>
        </w:trPr>
        <w:tc>
          <w:tcPr>
            <w:tcW w:w="4180" w:type="dxa"/>
            <w:vAlign w:val="bottom"/>
            <w:tcBorders>
              <w:bottom w:val="single" w:sz="8" w:color="CFF0FC"/>
            </w:tcBorders>
            <w:gridSpan w:val="2"/>
          </w:tcPr>
          <w:p>
            <w:pPr>
              <w:spacing w:after="0"/>
              <w:rPr>
                <w:sz w:val="20"/>
                <w:szCs w:val="20"/>
                <w:color w:val="auto"/>
              </w:rPr>
            </w:pPr>
            <w:r>
              <w:rPr>
                <w:rFonts w:ascii="Arial" w:cs="Arial" w:eastAsia="Arial" w:hAnsi="Arial"/>
                <w:sz w:val="11"/>
                <w:szCs w:val="11"/>
                <w:color w:val="auto"/>
              </w:rPr>
              <w:t>Deferred taxes</w:t>
            </w: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w:t>
            </w:r>
          </w:p>
        </w:tc>
        <w:tc>
          <w:tcPr>
            <w:tcW w:w="220" w:type="dxa"/>
            <w:vAlign w:val="bottom"/>
            <w:tcBorders>
              <w:bottom w:val="single" w:sz="8" w:color="CFF0FC"/>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31</w:t>
            </w:r>
          </w:p>
        </w:tc>
        <w:tc>
          <w:tcPr>
            <w:tcW w:w="220" w:type="dxa"/>
            <w:vAlign w:val="bottom"/>
            <w:tcBorders>
              <w:bottom w:val="single" w:sz="8" w:color="CFF0FC"/>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33</w:t>
            </w:r>
          </w:p>
        </w:tc>
        <w:tc>
          <w:tcPr>
            <w:tcW w:w="220" w:type="dxa"/>
            <w:vAlign w:val="bottom"/>
            <w:tcBorders>
              <w:bottom w:val="single" w:sz="8" w:color="CFF0FC"/>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38</w:t>
            </w:r>
          </w:p>
        </w:tc>
        <w:tc>
          <w:tcPr>
            <w:tcW w:w="220" w:type="dxa"/>
            <w:vAlign w:val="bottom"/>
            <w:tcBorders>
              <w:bottom w:val="single" w:sz="8" w:color="CFF0FC"/>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39</w:t>
            </w:r>
          </w:p>
        </w:tc>
        <w:tc>
          <w:tcPr>
            <w:tcW w:w="220" w:type="dxa"/>
            <w:vAlign w:val="bottom"/>
            <w:tcBorders>
              <w:bottom w:val="single" w:sz="8" w:color="CFF0FC"/>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42</w:t>
            </w:r>
          </w:p>
        </w:tc>
        <w:tc>
          <w:tcPr>
            <w:tcW w:w="220" w:type="dxa"/>
            <w:vAlign w:val="bottom"/>
            <w:tcBorders>
              <w:bottom w:val="single" w:sz="8" w:color="CFF0FC"/>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46</w:t>
            </w:r>
          </w:p>
        </w:tc>
        <w:tc>
          <w:tcPr>
            <w:tcW w:w="160" w:type="dxa"/>
            <w:vAlign w:val="bottom"/>
            <w:tcBorders>
              <w:bottom w:val="single" w:sz="8" w:color="CFF0FC"/>
            </w:tcBorders>
          </w:tcPr>
          <w:p>
            <w:pPr>
              <w:spacing w:after="0"/>
              <w:rPr>
                <w:sz w:val="12"/>
                <w:szCs w:val="12"/>
                <w:color w:val="auto"/>
              </w:rPr>
            </w:pPr>
          </w:p>
        </w:tc>
        <w:tc>
          <w:tcPr>
            <w:tcW w:w="6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50</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18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1"/>
                <w:szCs w:val="11"/>
                <w:color w:val="auto"/>
              </w:rPr>
              <w:t>Total tangible assets</w:t>
            </w:r>
          </w:p>
        </w:tc>
        <w:tc>
          <w:tcPr>
            <w:tcW w:w="10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5"/>
                <w:szCs w:val="5"/>
                <w:color w:val="auto"/>
                <w:w w:val="70"/>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113,947</w:t>
            </w:r>
          </w:p>
        </w:tc>
        <w:tc>
          <w:tcPr>
            <w:tcW w:w="220" w:type="dxa"/>
            <w:vAlign w:val="bottom"/>
            <w:tcBorders>
              <w:bottom w:val="single" w:sz="8" w:color="CFF0FC"/>
            </w:tcBorders>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115,761</w:t>
            </w:r>
          </w:p>
        </w:tc>
        <w:tc>
          <w:tcPr>
            <w:tcW w:w="220" w:type="dxa"/>
            <w:vAlign w:val="bottom"/>
            <w:tcBorders>
              <w:bottom w:val="single" w:sz="8" w:color="CFF0FC"/>
            </w:tcBorders>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116,251</w:t>
            </w:r>
          </w:p>
        </w:tc>
        <w:tc>
          <w:tcPr>
            <w:tcW w:w="220" w:type="dxa"/>
            <w:vAlign w:val="bottom"/>
            <w:tcBorders>
              <w:bottom w:val="single" w:sz="8" w:color="CFF0FC"/>
            </w:tcBorders>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118,573</w:t>
            </w:r>
          </w:p>
        </w:tc>
        <w:tc>
          <w:tcPr>
            <w:tcW w:w="220" w:type="dxa"/>
            <w:vAlign w:val="bottom"/>
            <w:tcBorders>
              <w:bottom w:val="single" w:sz="8" w:color="CFF0FC"/>
            </w:tcBorders>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118,797</w:t>
            </w:r>
          </w:p>
        </w:tc>
        <w:tc>
          <w:tcPr>
            <w:tcW w:w="220" w:type="dxa"/>
            <w:vAlign w:val="bottom"/>
            <w:tcBorders>
              <w:bottom w:val="single" w:sz="8" w:color="CFF0FC"/>
            </w:tcBorders>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122,183</w:t>
            </w:r>
          </w:p>
        </w:tc>
        <w:tc>
          <w:tcPr>
            <w:tcW w:w="220" w:type="dxa"/>
            <w:vAlign w:val="bottom"/>
            <w:tcBorders>
              <w:bottom w:val="single" w:sz="8" w:color="CFF0FC"/>
            </w:tcBorders>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119,157</w:t>
            </w:r>
          </w:p>
        </w:tc>
        <w:tc>
          <w:tcPr>
            <w:tcW w:w="160" w:type="dxa"/>
            <w:vAlign w:val="bottom"/>
            <w:tcBorders>
              <w:bottom w:val="single" w:sz="8" w:color="CFF0FC"/>
            </w:tcBorders>
            <w:shd w:val="clear" w:color="auto" w:fill="CFF0FC"/>
          </w:tcPr>
          <w:p>
            <w:pPr>
              <w:spacing w:after="0"/>
              <w:rPr>
                <w:sz w:val="11"/>
                <w:szCs w:val="11"/>
                <w:color w:val="auto"/>
              </w:rPr>
            </w:pPr>
          </w:p>
        </w:tc>
        <w:tc>
          <w:tcPr>
            <w:tcW w:w="6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119,955</w:t>
            </w:r>
          </w:p>
        </w:tc>
        <w:tc>
          <w:tcPr>
            <w:tcW w:w="12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1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Total common equity</w:t>
            </w: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41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418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Total equity</w:t>
            </w:r>
          </w:p>
        </w:tc>
        <w:tc>
          <w:tcPr>
            <w:tcW w:w="100" w:type="dxa"/>
            <w:vAlign w:val="bottom"/>
            <w:shd w:val="clear" w:color="auto" w:fill="CFF0FC"/>
          </w:tcPr>
          <w:p>
            <w:pPr>
              <w:jc w:val="right"/>
              <w:ind w:right="37"/>
              <w:spacing w:after="0"/>
              <w:rPr>
                <w:sz w:val="20"/>
                <w:szCs w:val="20"/>
                <w:color w:val="auto"/>
              </w:rPr>
            </w:pPr>
            <w:r>
              <w:rPr>
                <w:rFonts w:ascii="Arial" w:cs="Arial" w:eastAsia="Arial" w:hAnsi="Arial"/>
                <w:sz w:val="5"/>
                <w:szCs w:val="5"/>
                <w:color w:val="auto"/>
                <w:w w:val="70"/>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16,251</w:t>
            </w: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16,318</w:t>
            </w: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16,284</w:t>
            </w: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16,213</w:t>
            </w: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16,487</w:t>
            </w: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16,341</w:t>
            </w: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16,472</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16,355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180" w:type="dxa"/>
            <w:vAlign w:val="bottom"/>
            <w:gridSpan w:val="2"/>
          </w:tcPr>
          <w:p>
            <w:pPr>
              <w:spacing w:after="0"/>
              <w:rPr>
                <w:sz w:val="20"/>
                <w:szCs w:val="20"/>
                <w:color w:val="auto"/>
              </w:rPr>
            </w:pPr>
            <w:r>
              <w:rPr>
                <w:rFonts w:ascii="Arial" w:cs="Arial" w:eastAsia="Arial" w:hAnsi="Arial"/>
                <w:sz w:val="11"/>
                <w:szCs w:val="11"/>
                <w:color w:val="auto"/>
              </w:rPr>
              <w:t>Preferred stock</w:t>
            </w:r>
          </w:p>
        </w:tc>
        <w:tc>
          <w:tcPr>
            <w:tcW w:w="100" w:type="dxa"/>
            <w:vAlign w:val="bottom"/>
          </w:tcPr>
          <w:p>
            <w:pPr>
              <w:spacing w:after="0"/>
              <w:rPr>
                <w:sz w:val="12"/>
                <w:szCs w:val="12"/>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1"/>
                <w:szCs w:val="11"/>
                <w:color w:val="auto"/>
              </w:rPr>
              <w:t>(1,232)</w:t>
            </w:r>
          </w:p>
        </w:tc>
        <w:tc>
          <w:tcPr>
            <w:tcW w:w="920" w:type="dxa"/>
            <w:vAlign w:val="bottom"/>
            <w:gridSpan w:val="2"/>
          </w:tcPr>
          <w:p>
            <w:pPr>
              <w:jc w:val="right"/>
              <w:ind w:right="180"/>
              <w:spacing w:after="0"/>
              <w:rPr>
                <w:sz w:val="20"/>
                <w:szCs w:val="20"/>
                <w:color w:val="auto"/>
              </w:rPr>
            </w:pPr>
            <w:r>
              <w:rPr>
                <w:rFonts w:ascii="Arial" w:cs="Arial" w:eastAsia="Arial" w:hAnsi="Arial"/>
                <w:sz w:val="11"/>
                <w:szCs w:val="11"/>
                <w:color w:val="auto"/>
              </w:rPr>
              <w:t>(1,232)</w:t>
            </w:r>
          </w:p>
        </w:tc>
        <w:tc>
          <w:tcPr>
            <w:tcW w:w="920" w:type="dxa"/>
            <w:vAlign w:val="bottom"/>
            <w:gridSpan w:val="2"/>
          </w:tcPr>
          <w:p>
            <w:pPr>
              <w:jc w:val="right"/>
              <w:ind w:right="180"/>
              <w:spacing w:after="0"/>
              <w:rPr>
                <w:sz w:val="20"/>
                <w:szCs w:val="20"/>
                <w:color w:val="auto"/>
              </w:rPr>
            </w:pPr>
            <w:r>
              <w:rPr>
                <w:rFonts w:ascii="Arial" w:cs="Arial" w:eastAsia="Arial" w:hAnsi="Arial"/>
                <w:sz w:val="11"/>
                <w:szCs w:val="11"/>
                <w:color w:val="auto"/>
              </w:rPr>
              <w:t>(1,232)</w:t>
            </w:r>
          </w:p>
        </w:tc>
        <w:tc>
          <w:tcPr>
            <w:tcW w:w="920" w:type="dxa"/>
            <w:vAlign w:val="bottom"/>
            <w:gridSpan w:val="2"/>
          </w:tcPr>
          <w:p>
            <w:pPr>
              <w:jc w:val="right"/>
              <w:ind w:right="180"/>
              <w:spacing w:after="0"/>
              <w:rPr>
                <w:sz w:val="20"/>
                <w:szCs w:val="20"/>
                <w:color w:val="auto"/>
              </w:rPr>
            </w:pPr>
            <w:r>
              <w:rPr>
                <w:rFonts w:ascii="Arial" w:cs="Arial" w:eastAsia="Arial" w:hAnsi="Arial"/>
                <w:sz w:val="11"/>
                <w:szCs w:val="11"/>
                <w:color w:val="auto"/>
              </w:rPr>
              <w:t>(1,232)</w:t>
            </w:r>
          </w:p>
        </w:tc>
        <w:tc>
          <w:tcPr>
            <w:tcW w:w="920" w:type="dxa"/>
            <w:vAlign w:val="bottom"/>
            <w:gridSpan w:val="2"/>
          </w:tcPr>
          <w:p>
            <w:pPr>
              <w:jc w:val="right"/>
              <w:ind w:right="180"/>
              <w:spacing w:after="0"/>
              <w:rPr>
                <w:sz w:val="20"/>
                <w:szCs w:val="20"/>
                <w:color w:val="auto"/>
              </w:rPr>
            </w:pPr>
            <w:r>
              <w:rPr>
                <w:rFonts w:ascii="Arial" w:cs="Arial" w:eastAsia="Arial" w:hAnsi="Arial"/>
                <w:sz w:val="11"/>
                <w:szCs w:val="11"/>
                <w:color w:val="auto"/>
              </w:rPr>
              <w:t>(1,232)</w:t>
            </w:r>
          </w:p>
        </w:tc>
        <w:tc>
          <w:tcPr>
            <w:tcW w:w="920" w:type="dxa"/>
            <w:vAlign w:val="bottom"/>
            <w:gridSpan w:val="2"/>
          </w:tcPr>
          <w:p>
            <w:pPr>
              <w:jc w:val="right"/>
              <w:ind w:right="180"/>
              <w:spacing w:after="0"/>
              <w:rPr>
                <w:sz w:val="20"/>
                <w:szCs w:val="20"/>
                <w:color w:val="auto"/>
              </w:rPr>
            </w:pPr>
            <w:r>
              <w:rPr>
                <w:rFonts w:ascii="Arial" w:cs="Arial" w:eastAsia="Arial" w:hAnsi="Arial"/>
                <w:sz w:val="11"/>
                <w:szCs w:val="11"/>
                <w:color w:val="auto"/>
              </w:rPr>
              <w:t>(1,232)</w:t>
            </w: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(1,232)</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(1,232)</w:t>
            </w:r>
          </w:p>
        </w:tc>
        <w:tc>
          <w:tcPr>
            <w:tcW w:w="0" w:type="dxa"/>
            <w:vAlign w:val="bottom"/>
          </w:tcPr>
          <w:p>
            <w:pPr>
              <w:spacing w:after="0"/>
              <w:rPr>
                <w:sz w:val="1"/>
                <w:szCs w:val="1"/>
                <w:color w:val="auto"/>
              </w:rPr>
            </w:pPr>
          </w:p>
        </w:tc>
      </w:tr>
      <w:tr>
        <w:trPr>
          <w:trHeight w:val="145"/>
        </w:trPr>
        <w:tc>
          <w:tcPr>
            <w:tcW w:w="418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Undeclared dividends — cumulative preferred stock</w:t>
            </w:r>
          </w:p>
        </w:tc>
        <w:tc>
          <w:tcPr>
            <w:tcW w:w="10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(3)</w:t>
            </w: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(3)</w:t>
            </w: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(3)</w:t>
            </w: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(3)</w:t>
            </w: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(3)</w:t>
            </w: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(3)</w:t>
            </w: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(3)</w:t>
            </w: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31"/>
        </w:trPr>
        <w:tc>
          <w:tcPr>
            <w:tcW w:w="4180" w:type="dxa"/>
            <w:vAlign w:val="bottom"/>
            <w:gridSpan w:val="2"/>
          </w:tcPr>
          <w:p>
            <w:pPr>
              <w:ind w:left="240"/>
              <w:spacing w:after="0"/>
              <w:rPr>
                <w:sz w:val="20"/>
                <w:szCs w:val="20"/>
                <w:color w:val="auto"/>
              </w:rPr>
            </w:pPr>
            <w:r>
              <w:rPr>
                <w:rFonts w:ascii="Arial" w:cs="Arial" w:eastAsia="Arial" w:hAnsi="Arial"/>
                <w:sz w:val="11"/>
                <w:szCs w:val="11"/>
                <w:color w:val="auto"/>
              </w:rPr>
              <w:t>Common equity, net of undeclared cumulative</w:t>
            </w: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4180" w:type="dxa"/>
            <w:vAlign w:val="bottom"/>
            <w:gridSpan w:val="2"/>
          </w:tcPr>
          <w:p>
            <w:pPr>
              <w:ind w:left="340"/>
              <w:spacing w:after="0"/>
              <w:rPr>
                <w:sz w:val="20"/>
                <w:szCs w:val="20"/>
                <w:color w:val="auto"/>
              </w:rPr>
            </w:pPr>
            <w:r>
              <w:rPr>
                <w:rFonts w:ascii="Arial" w:cs="Arial" w:eastAsia="Arial" w:hAnsi="Arial"/>
                <w:sz w:val="11"/>
                <w:szCs w:val="11"/>
                <w:color w:val="auto"/>
              </w:rPr>
              <w:t>preferred dividends</w:t>
            </w: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15,016</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15,083</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15,049</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14,978</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15,252</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15,106</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15,237</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15,120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418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Goodwill</w:t>
            </w:r>
          </w:p>
        </w:tc>
        <w:tc>
          <w:tcPr>
            <w:tcW w:w="10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(4,593)</w:t>
            </w: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(4,593)</w:t>
            </w: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(4,593)</w:t>
            </w: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(4,593)</w:t>
            </w: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(4,593)</w:t>
            </w: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(4,593)</w:t>
            </w: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(4,593)</w:t>
            </w: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(4,593)</w:t>
            </w:r>
          </w:p>
        </w:tc>
        <w:tc>
          <w:tcPr>
            <w:tcW w:w="0" w:type="dxa"/>
            <w:vAlign w:val="bottom"/>
          </w:tcPr>
          <w:p>
            <w:pPr>
              <w:spacing w:after="0"/>
              <w:rPr>
                <w:sz w:val="1"/>
                <w:szCs w:val="1"/>
                <w:color w:val="auto"/>
              </w:rPr>
            </w:pPr>
          </w:p>
        </w:tc>
      </w:tr>
      <w:tr>
        <w:trPr>
          <w:trHeight w:val="145"/>
        </w:trPr>
        <w:tc>
          <w:tcPr>
            <w:tcW w:w="4180" w:type="dxa"/>
            <w:vAlign w:val="bottom"/>
            <w:gridSpan w:val="2"/>
          </w:tcPr>
          <w:p>
            <w:pPr>
              <w:spacing w:after="0"/>
              <w:rPr>
                <w:sz w:val="20"/>
                <w:szCs w:val="20"/>
                <w:color w:val="auto"/>
              </w:rPr>
            </w:pPr>
            <w:r>
              <w:rPr>
                <w:rFonts w:ascii="Arial" w:cs="Arial" w:eastAsia="Arial" w:hAnsi="Arial"/>
                <w:sz w:val="11"/>
                <w:szCs w:val="11"/>
                <w:color w:val="auto"/>
              </w:rPr>
              <w:t>Core deposit and other intangible assets</w:t>
            </w:r>
          </w:p>
        </w:tc>
        <w:tc>
          <w:tcPr>
            <w:tcW w:w="100" w:type="dxa"/>
            <w:vAlign w:val="bottom"/>
          </w:tcPr>
          <w:p>
            <w:pPr>
              <w:spacing w:after="0"/>
              <w:rPr>
                <w:sz w:val="12"/>
                <w:szCs w:val="12"/>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1"/>
                <w:szCs w:val="11"/>
                <w:color w:val="auto"/>
              </w:rPr>
              <w:t>(72)</w:t>
            </w:r>
          </w:p>
        </w:tc>
        <w:tc>
          <w:tcPr>
            <w:tcW w:w="920" w:type="dxa"/>
            <w:vAlign w:val="bottom"/>
            <w:gridSpan w:val="2"/>
          </w:tcPr>
          <w:p>
            <w:pPr>
              <w:jc w:val="right"/>
              <w:ind w:right="180"/>
              <w:spacing w:after="0"/>
              <w:rPr>
                <w:sz w:val="20"/>
                <w:szCs w:val="20"/>
                <w:color w:val="auto"/>
              </w:rPr>
            </w:pPr>
            <w:r>
              <w:rPr>
                <w:rFonts w:ascii="Arial" w:cs="Arial" w:eastAsia="Arial" w:hAnsi="Arial"/>
                <w:sz w:val="11"/>
                <w:szCs w:val="11"/>
                <w:color w:val="auto"/>
              </w:rPr>
              <w:t>(79)</w:t>
            </w:r>
          </w:p>
        </w:tc>
        <w:tc>
          <w:tcPr>
            <w:tcW w:w="920" w:type="dxa"/>
            <w:vAlign w:val="bottom"/>
            <w:gridSpan w:val="2"/>
          </w:tcPr>
          <w:p>
            <w:pPr>
              <w:jc w:val="right"/>
              <w:ind w:right="180"/>
              <w:spacing w:after="0"/>
              <w:rPr>
                <w:sz w:val="20"/>
                <w:szCs w:val="20"/>
                <w:color w:val="auto"/>
              </w:rPr>
            </w:pPr>
            <w:r>
              <w:rPr>
                <w:rFonts w:ascii="Arial" w:cs="Arial" w:eastAsia="Arial" w:hAnsi="Arial"/>
                <w:sz w:val="11"/>
                <w:szCs w:val="11"/>
                <w:color w:val="auto"/>
              </w:rPr>
              <w:t>(86)</w:t>
            </w:r>
          </w:p>
        </w:tc>
        <w:tc>
          <w:tcPr>
            <w:tcW w:w="920" w:type="dxa"/>
            <w:vAlign w:val="bottom"/>
            <w:gridSpan w:val="2"/>
          </w:tcPr>
          <w:p>
            <w:pPr>
              <w:jc w:val="right"/>
              <w:ind w:right="180"/>
              <w:spacing w:after="0"/>
              <w:rPr>
                <w:sz w:val="20"/>
                <w:szCs w:val="20"/>
                <w:color w:val="auto"/>
              </w:rPr>
            </w:pPr>
            <w:r>
              <w:rPr>
                <w:rFonts w:ascii="Arial" w:cs="Arial" w:eastAsia="Arial" w:hAnsi="Arial"/>
                <w:sz w:val="11"/>
                <w:szCs w:val="11"/>
                <w:color w:val="auto"/>
              </w:rPr>
              <w:t>(95)</w:t>
            </w:r>
          </w:p>
        </w:tc>
        <w:tc>
          <w:tcPr>
            <w:tcW w:w="920" w:type="dxa"/>
            <w:vAlign w:val="bottom"/>
            <w:gridSpan w:val="2"/>
          </w:tcPr>
          <w:p>
            <w:pPr>
              <w:jc w:val="right"/>
              <w:ind w:right="180"/>
              <w:spacing w:after="0"/>
              <w:rPr>
                <w:sz w:val="20"/>
                <w:szCs w:val="20"/>
                <w:color w:val="auto"/>
              </w:rPr>
            </w:pPr>
            <w:r>
              <w:rPr>
                <w:rFonts w:ascii="Arial" w:cs="Arial" w:eastAsia="Arial" w:hAnsi="Arial"/>
                <w:sz w:val="11"/>
                <w:szCs w:val="11"/>
                <w:color w:val="auto"/>
              </w:rPr>
              <w:t>(98)</w:t>
            </w:r>
          </w:p>
        </w:tc>
        <w:tc>
          <w:tcPr>
            <w:tcW w:w="920" w:type="dxa"/>
            <w:vAlign w:val="bottom"/>
            <w:gridSpan w:val="2"/>
          </w:tcPr>
          <w:p>
            <w:pPr>
              <w:jc w:val="right"/>
              <w:ind w:right="180"/>
              <w:spacing w:after="0"/>
              <w:rPr>
                <w:sz w:val="20"/>
                <w:szCs w:val="20"/>
                <w:color w:val="auto"/>
              </w:rPr>
            </w:pPr>
            <w:r>
              <w:rPr>
                <w:rFonts w:ascii="Arial" w:cs="Arial" w:eastAsia="Arial" w:hAnsi="Arial"/>
                <w:sz w:val="11"/>
                <w:szCs w:val="11"/>
                <w:color w:val="auto"/>
              </w:rPr>
              <w:t>(107)</w:t>
            </w: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(117)</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(128)</w:t>
            </w:r>
          </w:p>
        </w:tc>
        <w:tc>
          <w:tcPr>
            <w:tcW w:w="0" w:type="dxa"/>
            <w:vAlign w:val="bottom"/>
          </w:tcPr>
          <w:p>
            <w:pPr>
              <w:spacing w:after="0"/>
              <w:rPr>
                <w:sz w:val="1"/>
                <w:szCs w:val="1"/>
                <w:color w:val="auto"/>
              </w:rPr>
            </w:pPr>
          </w:p>
        </w:tc>
      </w:tr>
      <w:tr>
        <w:trPr>
          <w:trHeight w:val="145"/>
        </w:trPr>
        <w:tc>
          <w:tcPr>
            <w:tcW w:w="418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Deferred taxes</w:t>
            </w:r>
          </w:p>
        </w:tc>
        <w:tc>
          <w:tcPr>
            <w:tcW w:w="100" w:type="dxa"/>
            <w:vAlign w:val="bottom"/>
            <w:tcBorders>
              <w:bottom w:val="single" w:sz="8" w:color="auto"/>
            </w:tcBorders>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19</w:t>
            </w:r>
          </w:p>
        </w:tc>
        <w:tc>
          <w:tcPr>
            <w:tcW w:w="220" w:type="dxa"/>
            <w:vAlign w:val="bottom"/>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31</w:t>
            </w:r>
          </w:p>
        </w:tc>
        <w:tc>
          <w:tcPr>
            <w:tcW w:w="220" w:type="dxa"/>
            <w:vAlign w:val="bottom"/>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33</w:t>
            </w:r>
          </w:p>
        </w:tc>
        <w:tc>
          <w:tcPr>
            <w:tcW w:w="220" w:type="dxa"/>
            <w:vAlign w:val="bottom"/>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38</w:t>
            </w:r>
          </w:p>
        </w:tc>
        <w:tc>
          <w:tcPr>
            <w:tcW w:w="220" w:type="dxa"/>
            <w:vAlign w:val="bottom"/>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39</w:t>
            </w:r>
          </w:p>
        </w:tc>
        <w:tc>
          <w:tcPr>
            <w:tcW w:w="220" w:type="dxa"/>
            <w:vAlign w:val="bottom"/>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42</w:t>
            </w:r>
          </w:p>
        </w:tc>
        <w:tc>
          <w:tcPr>
            <w:tcW w:w="220" w:type="dxa"/>
            <w:vAlign w:val="bottom"/>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46</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50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180" w:type="dxa"/>
            <w:vAlign w:val="bottom"/>
            <w:gridSpan w:val="2"/>
          </w:tcPr>
          <w:p>
            <w:pPr>
              <w:ind w:left="240"/>
              <w:spacing w:after="0"/>
              <w:rPr>
                <w:sz w:val="20"/>
                <w:szCs w:val="20"/>
                <w:color w:val="auto"/>
              </w:rPr>
            </w:pPr>
            <w:r>
              <w:rPr>
                <w:rFonts w:ascii="Arial" w:cs="Arial" w:eastAsia="Arial" w:hAnsi="Arial"/>
                <w:sz w:val="11"/>
                <w:szCs w:val="11"/>
                <w:color w:val="auto"/>
              </w:rPr>
              <w:t>Total tangible common equity</w:t>
            </w:r>
          </w:p>
        </w:tc>
        <w:tc>
          <w:tcPr>
            <w:tcW w:w="100" w:type="dxa"/>
            <w:vAlign w:val="bottom"/>
            <w:tcBorders>
              <w:bottom w:val="single" w:sz="8" w:color="auto"/>
            </w:tcBorders>
          </w:tcPr>
          <w:p>
            <w:pPr>
              <w:jc w:val="right"/>
              <w:ind w:right="37"/>
              <w:spacing w:after="0"/>
              <w:rPr>
                <w:sz w:val="20"/>
                <w:szCs w:val="20"/>
                <w:color w:val="auto"/>
              </w:rPr>
            </w:pPr>
            <w:r>
              <w:rPr>
                <w:rFonts w:ascii="Arial" w:cs="Arial" w:eastAsia="Arial" w:hAnsi="Arial"/>
                <w:sz w:val="5"/>
                <w:szCs w:val="5"/>
                <w:color w:val="auto"/>
                <w:w w:val="70"/>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10,370</w:t>
            </w:r>
          </w:p>
        </w:tc>
        <w:tc>
          <w:tcPr>
            <w:tcW w:w="220" w:type="dxa"/>
            <w:vAlign w:val="bottom"/>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10,442</w:t>
            </w:r>
          </w:p>
        </w:tc>
        <w:tc>
          <w:tcPr>
            <w:tcW w:w="220" w:type="dxa"/>
            <w:vAlign w:val="bottom"/>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10,403</w:t>
            </w:r>
          </w:p>
        </w:tc>
        <w:tc>
          <w:tcPr>
            <w:tcW w:w="220" w:type="dxa"/>
            <w:vAlign w:val="bottom"/>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10,328</w:t>
            </w:r>
          </w:p>
        </w:tc>
        <w:tc>
          <w:tcPr>
            <w:tcW w:w="220" w:type="dxa"/>
            <w:vAlign w:val="bottom"/>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10,600</w:t>
            </w:r>
          </w:p>
        </w:tc>
        <w:tc>
          <w:tcPr>
            <w:tcW w:w="220" w:type="dxa"/>
            <w:vAlign w:val="bottom"/>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10,448</w:t>
            </w:r>
          </w:p>
        </w:tc>
        <w:tc>
          <w:tcPr>
            <w:tcW w:w="220" w:type="dxa"/>
            <w:vAlign w:val="bottom"/>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10,573</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10,449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
        </w:trPr>
        <w:tc>
          <w:tcPr>
            <w:tcW w:w="2140" w:type="dxa"/>
            <w:vAlign w:val="bottom"/>
            <w:tcBorders>
              <w:bottom w:val="single" w:sz="8" w:color="auto"/>
            </w:tcBorders>
          </w:tcPr>
          <w:p>
            <w:pPr>
              <w:spacing w:after="0"/>
              <w:rPr>
                <w:sz w:val="3"/>
                <w:szCs w:val="3"/>
                <w:color w:val="auto"/>
              </w:rPr>
            </w:pPr>
          </w:p>
        </w:tc>
        <w:tc>
          <w:tcPr>
            <w:tcW w:w="2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7" w:lineRule="exact"/>
        <w:rPr>
          <w:sz w:val="20"/>
          <w:szCs w:val="20"/>
          <w:color w:val="auto"/>
        </w:rPr>
      </w:pPr>
    </w:p>
    <w:p>
      <w:pPr>
        <w:ind w:left="600" w:hanging="595"/>
        <w:spacing w:after="0"/>
        <w:tabs>
          <w:tab w:leader="none" w:pos="600" w:val="left"/>
        </w:tabs>
        <w:numPr>
          <w:ilvl w:val="0"/>
          <w:numId w:val="41"/>
        </w:numPr>
        <w:rPr>
          <w:rFonts w:ascii="Arial" w:cs="Arial" w:eastAsia="Arial" w:hAnsi="Arial"/>
          <w:sz w:val="11"/>
          <w:szCs w:val="11"/>
          <w:i w:val="1"/>
          <w:iCs w:val="1"/>
          <w:color w:val="auto"/>
        </w:rPr>
      </w:pPr>
      <w:r>
        <w:rPr>
          <w:rFonts w:ascii="Arial" w:cs="Arial" w:eastAsia="Arial" w:hAnsi="Arial"/>
          <w:sz w:val="11"/>
          <w:szCs w:val="11"/>
          <w:i w:val="1"/>
          <w:iCs w:val="1"/>
          <w:color w:val="auto"/>
        </w:rPr>
        <w:t>After any related tax effect.</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104" w:name="page105"/>
    <w:bookmarkEnd w:id="104"/>
    <w:p>
      <w:pPr>
        <w:spacing w:after="0"/>
        <w:tabs>
          <w:tab w:leader="none" w:pos="1160" w:val="left"/>
        </w:tabs>
        <w:rPr>
          <w:sz w:val="20"/>
          <w:szCs w:val="20"/>
          <w:color w:val="auto"/>
        </w:rPr>
      </w:pPr>
      <w:r>
        <w:rPr>
          <w:rFonts w:ascii="Arial" w:cs="Arial" w:eastAsia="Arial" w:hAnsi="Arial"/>
          <w:sz w:val="20"/>
          <w:szCs w:val="20"/>
          <w:b w:val="1"/>
          <w:bCs w:val="1"/>
          <w:color w:val="auto"/>
        </w:rPr>
        <w:t>Item 7A.</w:t>
      </w:r>
      <w:r>
        <w:rPr>
          <w:sz w:val="20"/>
          <w:szCs w:val="20"/>
          <w:color w:val="auto"/>
        </w:rPr>
        <w:tab/>
      </w:r>
      <w:r>
        <w:rPr>
          <w:rFonts w:ascii="Arial" w:cs="Arial" w:eastAsia="Arial" w:hAnsi="Arial"/>
          <w:sz w:val="17"/>
          <w:szCs w:val="17"/>
          <w:b w:val="1"/>
          <w:bCs w:val="1"/>
          <w:i w:val="1"/>
          <w:iCs w:val="1"/>
          <w:color w:val="auto"/>
        </w:rPr>
        <w:t>Quantitative and Qualitative Disclosures About Market Risk.</w:t>
      </w:r>
    </w:p>
    <w:p>
      <w:pPr>
        <w:spacing w:after="0" w:line="116" w:lineRule="exact"/>
        <w:rPr>
          <w:sz w:val="20"/>
          <w:szCs w:val="20"/>
          <w:color w:val="auto"/>
        </w:rPr>
      </w:pPr>
    </w:p>
    <w:p>
      <w:pPr>
        <w:ind w:right="120"/>
        <w:spacing w:after="0" w:line="302" w:lineRule="auto"/>
        <w:rPr>
          <w:sz w:val="20"/>
          <w:szCs w:val="20"/>
          <w:color w:val="auto"/>
        </w:rPr>
      </w:pPr>
      <w:r>
        <w:rPr>
          <w:rFonts w:ascii="Arial" w:cs="Arial" w:eastAsia="Arial" w:hAnsi="Arial"/>
          <w:sz w:val="19"/>
          <w:szCs w:val="19"/>
          <w:color w:val="auto"/>
        </w:rPr>
        <w:t>Incorporated by reference to the discussion contained in Part II, Item 7, “Management’s Discussion and Analysis of Financial Condition and Results of Operations,” under the captions “Liquidity, Market Risk, and Interest Rate Sensitivity” (including Table 20) and “Capital.”</w:t>
      </w:r>
    </w:p>
    <w:p>
      <w:pPr>
        <w:spacing w:after="0" w:line="234" w:lineRule="exact"/>
        <w:rPr>
          <w:sz w:val="20"/>
          <w:szCs w:val="20"/>
          <w:color w:val="auto"/>
        </w:rPr>
      </w:pPr>
    </w:p>
    <w:p>
      <w:pPr>
        <w:spacing w:after="0"/>
        <w:tabs>
          <w:tab w:leader="none" w:pos="1160" w:val="left"/>
        </w:tabs>
        <w:rPr>
          <w:sz w:val="20"/>
          <w:szCs w:val="20"/>
          <w:color w:val="auto"/>
        </w:rPr>
      </w:pPr>
      <w:r>
        <w:rPr>
          <w:rFonts w:ascii="Arial" w:cs="Arial" w:eastAsia="Arial" w:hAnsi="Arial"/>
          <w:sz w:val="20"/>
          <w:szCs w:val="20"/>
          <w:b w:val="1"/>
          <w:bCs w:val="1"/>
          <w:color w:val="auto"/>
        </w:rPr>
        <w:t>Item 8.</w:t>
      </w:r>
      <w:r>
        <w:rPr>
          <w:sz w:val="20"/>
          <w:szCs w:val="20"/>
          <w:color w:val="auto"/>
        </w:rPr>
        <w:tab/>
      </w:r>
      <w:r>
        <w:rPr>
          <w:rFonts w:ascii="Arial" w:cs="Arial" w:eastAsia="Arial" w:hAnsi="Arial"/>
          <w:sz w:val="17"/>
          <w:szCs w:val="17"/>
          <w:b w:val="1"/>
          <w:bCs w:val="1"/>
          <w:i w:val="1"/>
          <w:iCs w:val="1"/>
          <w:color w:val="auto"/>
        </w:rPr>
        <w:t>Financial Statements and Supplementary Data.</w:t>
      </w:r>
    </w:p>
    <w:p>
      <w:pPr>
        <w:spacing w:after="0" w:line="116" w:lineRule="exact"/>
        <w:rPr>
          <w:sz w:val="20"/>
          <w:szCs w:val="20"/>
          <w:color w:val="auto"/>
        </w:rPr>
      </w:pPr>
    </w:p>
    <w:p>
      <w:pPr>
        <w:ind w:right="320"/>
        <w:spacing w:after="0" w:line="332" w:lineRule="auto"/>
        <w:rPr>
          <w:sz w:val="20"/>
          <w:szCs w:val="20"/>
          <w:color w:val="auto"/>
        </w:rPr>
      </w:pPr>
      <w:r>
        <w:rPr>
          <w:rFonts w:ascii="Arial" w:cs="Arial" w:eastAsia="Arial" w:hAnsi="Arial"/>
          <w:sz w:val="18"/>
          <w:szCs w:val="18"/>
          <w:color w:val="auto"/>
        </w:rPr>
        <w:t>Financial Statements and Supplementary Data consist of the financial statements as indexed and presented below and Table 22 “Quarterly Trends” presented in Part II, Item 7, “Management’s Discussion and Analysis of Financial Condition and Results of Operations.”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100" w:type="dxa"/>
            <w:vAlign w:val="bottom"/>
            <w:gridSpan w:val="10"/>
          </w:tcPr>
          <w:p>
            <w:pPr>
              <w:spacing w:after="0"/>
              <w:rPr>
                <w:sz w:val="20"/>
                <w:szCs w:val="20"/>
                <w:color w:val="auto"/>
              </w:rPr>
            </w:pPr>
            <w:r>
              <w:rPr>
                <w:rFonts w:ascii="Arial" w:cs="Arial" w:eastAsia="Arial" w:hAnsi="Arial"/>
                <w:sz w:val="20"/>
                <w:szCs w:val="20"/>
                <w:b w:val="1"/>
                <w:bCs w:val="1"/>
                <w:color w:val="auto"/>
              </w:rPr>
              <w:t>Index to Financial Statements and Financial Statement Schedules</w:t>
            </w:r>
          </w:p>
        </w:tc>
        <w:tc>
          <w:tcPr>
            <w:tcW w:w="1340" w:type="dxa"/>
            <w:vAlign w:val="bottom"/>
          </w:tcPr>
          <w:p>
            <w:pPr>
              <w:spacing w:after="0"/>
              <w:rPr>
                <w:sz w:val="19"/>
                <w:szCs w:val="19"/>
                <w:color w:val="auto"/>
              </w:rPr>
            </w:pPr>
          </w:p>
        </w:tc>
      </w:tr>
      <w:tr>
        <w:trPr>
          <w:trHeight w:val="217"/>
        </w:trPr>
        <w:tc>
          <w:tcPr>
            <w:tcW w:w="4260" w:type="dxa"/>
            <w:vAlign w:val="bottom"/>
            <w:tcBorders>
              <w:top w:val="single" w:sz="8" w:color="auto"/>
              <w:bottom w:val="single" w:sz="8" w:color="0000EE"/>
            </w:tcBorders>
            <w:gridSpan w:val="2"/>
          </w:tcPr>
          <w:p>
            <w:pPr>
              <w:spacing w:after="0" w:line="216" w:lineRule="exact"/>
              <w:rPr>
                <w:rFonts w:ascii="Arial" w:cs="Arial" w:eastAsia="Arial" w:hAnsi="Arial"/>
                <w:sz w:val="20"/>
                <w:szCs w:val="20"/>
                <w:color w:val="0000EE"/>
                <w:w w:val="92"/>
              </w:rPr>
            </w:pPr>
            <w:hyperlink w:anchor="page106">
              <w:r>
                <w:rPr>
                  <w:rFonts w:ascii="Arial" w:cs="Arial" w:eastAsia="Arial" w:hAnsi="Arial"/>
                  <w:sz w:val="20"/>
                  <w:szCs w:val="20"/>
                  <w:color w:val="0000EE"/>
                  <w:w w:val="92"/>
                </w:rPr>
                <w:t>Report on Internal Control Over Financial Reporting</w:t>
              </w:r>
            </w:hyperlink>
          </w:p>
        </w:tc>
        <w:tc>
          <w:tcPr>
            <w:tcW w:w="1360" w:type="dxa"/>
            <w:vAlign w:val="bottom"/>
            <w:tcBorders>
              <w:top w:val="single" w:sz="8" w:color="auto"/>
            </w:tcBorders>
            <w:gridSpan w:val="3"/>
          </w:tcPr>
          <w:p>
            <w:pPr>
              <w:spacing w:after="0"/>
              <w:rPr>
                <w:sz w:val="18"/>
                <w:szCs w:val="18"/>
                <w:color w:val="auto"/>
              </w:rPr>
            </w:pPr>
          </w:p>
        </w:tc>
        <w:tc>
          <w:tcPr>
            <w:tcW w:w="4480" w:type="dxa"/>
            <w:vAlign w:val="bottom"/>
            <w:gridSpan w:val="5"/>
          </w:tcPr>
          <w:p>
            <w:pPr>
              <w:spacing w:after="0"/>
              <w:rPr>
                <w:sz w:val="18"/>
                <w:szCs w:val="18"/>
                <w:color w:val="auto"/>
              </w:rPr>
            </w:pPr>
          </w:p>
        </w:tc>
        <w:tc>
          <w:tcPr>
            <w:tcW w:w="1340" w:type="dxa"/>
            <w:vAlign w:val="bottom"/>
          </w:tcPr>
          <w:p>
            <w:pPr>
              <w:jc w:val="right"/>
              <w:spacing w:after="0" w:line="216" w:lineRule="exact"/>
              <w:rPr>
                <w:sz w:val="20"/>
                <w:szCs w:val="20"/>
                <w:color w:val="auto"/>
              </w:rPr>
            </w:pPr>
            <w:r>
              <w:rPr>
                <w:rFonts w:ascii="Arial" w:cs="Arial" w:eastAsia="Arial" w:hAnsi="Arial"/>
                <w:sz w:val="20"/>
                <w:szCs w:val="20"/>
                <w:color w:val="auto"/>
              </w:rPr>
              <w:t>106</w:t>
            </w:r>
          </w:p>
        </w:tc>
      </w:tr>
      <w:tr>
        <w:trPr>
          <w:trHeight w:val="217"/>
        </w:trPr>
        <w:tc>
          <w:tcPr>
            <w:tcW w:w="10100" w:type="dxa"/>
            <w:vAlign w:val="bottom"/>
            <w:gridSpan w:val="10"/>
          </w:tcPr>
          <w:p>
            <w:pPr>
              <w:spacing w:after="0" w:line="216" w:lineRule="exact"/>
              <w:rPr>
                <w:rFonts w:ascii="Arial" w:cs="Arial" w:eastAsia="Arial" w:hAnsi="Arial"/>
                <w:sz w:val="20"/>
                <w:szCs w:val="20"/>
                <w:color w:val="0000EE"/>
              </w:rPr>
            </w:pPr>
            <w:hyperlink w:anchor="page107">
              <w:r>
                <w:rPr>
                  <w:rFonts w:ascii="Arial" w:cs="Arial" w:eastAsia="Arial" w:hAnsi="Arial"/>
                  <w:sz w:val="20"/>
                  <w:szCs w:val="20"/>
                  <w:color w:val="0000EE"/>
                </w:rPr>
                <w:t>Report of Independent Registered Public Accounting Firm</w:t>
              </w:r>
            </w:hyperlink>
          </w:p>
        </w:tc>
        <w:tc>
          <w:tcPr>
            <w:tcW w:w="1340" w:type="dxa"/>
            <w:vAlign w:val="bottom"/>
          </w:tcPr>
          <w:p>
            <w:pPr>
              <w:jc w:val="right"/>
              <w:spacing w:after="0" w:line="216" w:lineRule="exact"/>
              <w:rPr>
                <w:sz w:val="20"/>
                <w:szCs w:val="20"/>
                <w:color w:val="auto"/>
              </w:rPr>
            </w:pPr>
            <w:r>
              <w:rPr>
                <w:rFonts w:ascii="Arial" w:cs="Arial" w:eastAsia="Arial" w:hAnsi="Arial"/>
                <w:sz w:val="20"/>
                <w:szCs w:val="20"/>
                <w:color w:val="auto"/>
              </w:rPr>
              <w:t>107</w:t>
            </w:r>
          </w:p>
        </w:tc>
      </w:tr>
      <w:tr>
        <w:trPr>
          <w:trHeight w:val="20"/>
        </w:trPr>
        <w:tc>
          <w:tcPr>
            <w:tcW w:w="2420" w:type="dxa"/>
            <w:vAlign w:val="bottom"/>
            <w:shd w:val="clear" w:color="auto" w:fill="0000EE"/>
          </w:tcPr>
          <w:p>
            <w:pPr>
              <w:spacing w:after="0" w:line="20" w:lineRule="exact"/>
              <w:rPr>
                <w:sz w:val="1"/>
                <w:szCs w:val="1"/>
                <w:color w:val="auto"/>
              </w:rPr>
            </w:pPr>
          </w:p>
        </w:tc>
        <w:tc>
          <w:tcPr>
            <w:tcW w:w="230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17"/>
        </w:trPr>
        <w:tc>
          <w:tcPr>
            <w:tcW w:w="10100" w:type="dxa"/>
            <w:vAlign w:val="bottom"/>
            <w:gridSpan w:val="10"/>
          </w:tcPr>
          <w:p>
            <w:pPr>
              <w:spacing w:after="0" w:line="216" w:lineRule="exact"/>
              <w:rPr>
                <w:rFonts w:ascii="Arial" w:cs="Arial" w:eastAsia="Arial" w:hAnsi="Arial"/>
                <w:sz w:val="20"/>
                <w:szCs w:val="20"/>
                <w:color w:val="0000EE"/>
              </w:rPr>
            </w:pPr>
            <w:hyperlink w:anchor="page109">
              <w:r>
                <w:rPr>
                  <w:rFonts w:ascii="Arial" w:cs="Arial" w:eastAsia="Arial" w:hAnsi="Arial"/>
                  <w:sz w:val="20"/>
                  <w:szCs w:val="20"/>
                  <w:color w:val="0000EE"/>
                </w:rPr>
                <w:t>Consolidated Balance Sheet — December 31, 2017 and 2016</w:t>
              </w:r>
            </w:hyperlink>
          </w:p>
        </w:tc>
        <w:tc>
          <w:tcPr>
            <w:tcW w:w="1340" w:type="dxa"/>
            <w:vAlign w:val="bottom"/>
          </w:tcPr>
          <w:p>
            <w:pPr>
              <w:jc w:val="right"/>
              <w:spacing w:after="0" w:line="216" w:lineRule="exact"/>
              <w:rPr>
                <w:sz w:val="20"/>
                <w:szCs w:val="20"/>
                <w:color w:val="auto"/>
              </w:rPr>
            </w:pPr>
            <w:r>
              <w:rPr>
                <w:rFonts w:ascii="Arial" w:cs="Arial" w:eastAsia="Arial" w:hAnsi="Arial"/>
                <w:sz w:val="20"/>
                <w:szCs w:val="20"/>
                <w:color w:val="auto"/>
              </w:rPr>
              <w:t>109</w:t>
            </w:r>
          </w:p>
        </w:tc>
      </w:tr>
      <w:tr>
        <w:trPr>
          <w:trHeight w:val="20"/>
        </w:trPr>
        <w:tc>
          <w:tcPr>
            <w:tcW w:w="2420" w:type="dxa"/>
            <w:vAlign w:val="bottom"/>
            <w:shd w:val="clear" w:color="auto" w:fill="0000EE"/>
          </w:tcPr>
          <w:p>
            <w:pPr>
              <w:spacing w:after="0" w:line="20" w:lineRule="exact"/>
              <w:rPr>
                <w:sz w:val="1"/>
                <w:szCs w:val="1"/>
                <w:color w:val="auto"/>
              </w:rPr>
            </w:pPr>
          </w:p>
        </w:tc>
        <w:tc>
          <w:tcPr>
            <w:tcW w:w="2520" w:type="dxa"/>
            <w:vAlign w:val="bottom"/>
            <w:gridSpan w:val="3"/>
            <w:shd w:val="clear" w:color="auto" w:fill="0000EE"/>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17"/>
        </w:trPr>
        <w:tc>
          <w:tcPr>
            <w:tcW w:w="10100" w:type="dxa"/>
            <w:vAlign w:val="bottom"/>
            <w:gridSpan w:val="10"/>
          </w:tcPr>
          <w:p>
            <w:pPr>
              <w:spacing w:after="0" w:line="216" w:lineRule="exact"/>
              <w:rPr>
                <w:rFonts w:ascii="Arial" w:cs="Arial" w:eastAsia="Arial" w:hAnsi="Arial"/>
                <w:sz w:val="20"/>
                <w:szCs w:val="20"/>
                <w:color w:val="0000EE"/>
              </w:rPr>
            </w:pPr>
            <w:hyperlink w:anchor="page110">
              <w:r>
                <w:rPr>
                  <w:rFonts w:ascii="Arial" w:cs="Arial" w:eastAsia="Arial" w:hAnsi="Arial"/>
                  <w:sz w:val="20"/>
                  <w:szCs w:val="20"/>
                  <w:color w:val="0000EE"/>
                </w:rPr>
                <w:t>Consolidated Statement of Income — Years ended December 31, 2017, 2016 and 2015</w:t>
              </w:r>
            </w:hyperlink>
          </w:p>
        </w:tc>
        <w:tc>
          <w:tcPr>
            <w:tcW w:w="1340" w:type="dxa"/>
            <w:vAlign w:val="bottom"/>
          </w:tcPr>
          <w:p>
            <w:pPr>
              <w:jc w:val="right"/>
              <w:spacing w:after="0" w:line="216" w:lineRule="exact"/>
              <w:rPr>
                <w:sz w:val="20"/>
                <w:szCs w:val="20"/>
                <w:color w:val="auto"/>
              </w:rPr>
            </w:pPr>
            <w:r>
              <w:rPr>
                <w:rFonts w:ascii="Arial" w:cs="Arial" w:eastAsia="Arial" w:hAnsi="Arial"/>
                <w:sz w:val="20"/>
                <w:szCs w:val="20"/>
                <w:color w:val="auto"/>
              </w:rPr>
              <w:t>110</w:t>
            </w:r>
          </w:p>
        </w:tc>
      </w:tr>
      <w:tr>
        <w:trPr>
          <w:trHeight w:val="20"/>
        </w:trPr>
        <w:tc>
          <w:tcPr>
            <w:tcW w:w="2420" w:type="dxa"/>
            <w:vAlign w:val="bottom"/>
            <w:shd w:val="clear" w:color="auto" w:fill="0000EE"/>
          </w:tcPr>
          <w:p>
            <w:pPr>
              <w:spacing w:after="0" w:line="20" w:lineRule="exact"/>
              <w:rPr>
                <w:sz w:val="1"/>
                <w:szCs w:val="1"/>
                <w:color w:val="auto"/>
              </w:rPr>
            </w:pPr>
          </w:p>
        </w:tc>
        <w:tc>
          <w:tcPr>
            <w:tcW w:w="4580" w:type="dxa"/>
            <w:vAlign w:val="bottom"/>
            <w:gridSpan w:val="5"/>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17"/>
        </w:trPr>
        <w:tc>
          <w:tcPr>
            <w:tcW w:w="10100" w:type="dxa"/>
            <w:vAlign w:val="bottom"/>
            <w:gridSpan w:val="10"/>
          </w:tcPr>
          <w:p>
            <w:pPr>
              <w:spacing w:after="0" w:line="216" w:lineRule="exact"/>
              <w:rPr>
                <w:rFonts w:ascii="Arial" w:cs="Arial" w:eastAsia="Arial" w:hAnsi="Arial"/>
                <w:sz w:val="20"/>
                <w:szCs w:val="20"/>
                <w:color w:val="0000EE"/>
              </w:rPr>
            </w:pPr>
            <w:hyperlink w:anchor="page111">
              <w:r>
                <w:rPr>
                  <w:rFonts w:ascii="Arial" w:cs="Arial" w:eastAsia="Arial" w:hAnsi="Arial"/>
                  <w:sz w:val="20"/>
                  <w:szCs w:val="20"/>
                  <w:color w:val="0000EE"/>
                </w:rPr>
                <w:t>Consolidated Statement of Comprehensive Income — Years ended December 31, 2017, 2016 and 201</w:t>
              </w:r>
            </w:hyperlink>
            <w:r>
              <w:rPr>
                <w:rFonts w:ascii="Arial" w:cs="Arial" w:eastAsia="Arial" w:hAnsi="Arial"/>
                <w:sz w:val="20"/>
                <w:szCs w:val="20"/>
                <w:color w:val="000000"/>
              </w:rPr>
              <w:t>5</w:t>
            </w:r>
          </w:p>
        </w:tc>
        <w:tc>
          <w:tcPr>
            <w:tcW w:w="1340" w:type="dxa"/>
            <w:vAlign w:val="bottom"/>
          </w:tcPr>
          <w:p>
            <w:pPr>
              <w:jc w:val="right"/>
              <w:spacing w:after="0" w:line="216" w:lineRule="exact"/>
              <w:rPr>
                <w:sz w:val="20"/>
                <w:szCs w:val="20"/>
                <w:color w:val="auto"/>
              </w:rPr>
            </w:pPr>
            <w:r>
              <w:rPr>
                <w:rFonts w:ascii="Arial" w:cs="Arial" w:eastAsia="Arial" w:hAnsi="Arial"/>
                <w:sz w:val="20"/>
                <w:szCs w:val="20"/>
                <w:color w:val="auto"/>
              </w:rPr>
              <w:t>111</w:t>
            </w:r>
          </w:p>
        </w:tc>
      </w:tr>
      <w:tr>
        <w:trPr>
          <w:trHeight w:val="217"/>
        </w:trPr>
        <w:tc>
          <w:tcPr>
            <w:tcW w:w="8220" w:type="dxa"/>
            <w:vAlign w:val="bottom"/>
            <w:tcBorders>
              <w:top w:val="single" w:sz="8" w:color="0000EE"/>
            </w:tcBorders>
            <w:gridSpan w:val="8"/>
          </w:tcPr>
          <w:p>
            <w:pPr>
              <w:spacing w:after="0" w:line="216" w:lineRule="exact"/>
              <w:rPr>
                <w:rFonts w:ascii="Arial" w:cs="Arial" w:eastAsia="Arial" w:hAnsi="Arial"/>
                <w:sz w:val="20"/>
                <w:szCs w:val="20"/>
                <w:color w:val="0000EE"/>
              </w:rPr>
            </w:pPr>
            <w:hyperlink w:anchor="page112">
              <w:r>
                <w:rPr>
                  <w:rFonts w:ascii="Arial" w:cs="Arial" w:eastAsia="Arial" w:hAnsi="Arial"/>
                  <w:sz w:val="20"/>
                  <w:szCs w:val="20"/>
                  <w:color w:val="0000EE"/>
                </w:rPr>
                <w:t>Consolidated Statement of Cash Flows — Years ended December 31, 2017, 2016 and 201</w:t>
              </w:r>
            </w:hyperlink>
            <w:r>
              <w:rPr>
                <w:rFonts w:ascii="Arial" w:cs="Arial" w:eastAsia="Arial" w:hAnsi="Arial"/>
                <w:sz w:val="20"/>
                <w:szCs w:val="20"/>
                <w:color w:val="000000"/>
              </w:rPr>
              <w:t>5</w:t>
            </w:r>
          </w:p>
        </w:tc>
        <w:tc>
          <w:tcPr>
            <w:tcW w:w="1880" w:type="dxa"/>
            <w:vAlign w:val="bottom"/>
            <w:gridSpan w:val="2"/>
          </w:tcPr>
          <w:p>
            <w:pPr>
              <w:spacing w:after="0"/>
              <w:rPr>
                <w:sz w:val="18"/>
                <w:szCs w:val="18"/>
                <w:color w:val="auto"/>
              </w:rPr>
            </w:pPr>
          </w:p>
        </w:tc>
        <w:tc>
          <w:tcPr>
            <w:tcW w:w="1340" w:type="dxa"/>
            <w:vAlign w:val="bottom"/>
          </w:tcPr>
          <w:p>
            <w:pPr>
              <w:jc w:val="right"/>
              <w:spacing w:after="0" w:line="216" w:lineRule="exact"/>
              <w:rPr>
                <w:sz w:val="20"/>
                <w:szCs w:val="20"/>
                <w:color w:val="auto"/>
              </w:rPr>
            </w:pPr>
            <w:r>
              <w:rPr>
                <w:rFonts w:ascii="Arial" w:cs="Arial" w:eastAsia="Arial" w:hAnsi="Arial"/>
                <w:sz w:val="20"/>
                <w:szCs w:val="20"/>
                <w:color w:val="auto"/>
              </w:rPr>
              <w:t>112</w:t>
            </w:r>
          </w:p>
        </w:tc>
      </w:tr>
      <w:tr>
        <w:trPr>
          <w:trHeight w:val="20"/>
        </w:trPr>
        <w:tc>
          <w:tcPr>
            <w:tcW w:w="2420" w:type="dxa"/>
            <w:vAlign w:val="bottom"/>
            <w:shd w:val="clear" w:color="auto" w:fill="0000EE"/>
          </w:tcPr>
          <w:p>
            <w:pPr>
              <w:spacing w:after="0" w:line="20" w:lineRule="exact"/>
              <w:rPr>
                <w:sz w:val="1"/>
                <w:szCs w:val="1"/>
                <w:color w:val="auto"/>
              </w:rPr>
            </w:pPr>
          </w:p>
        </w:tc>
        <w:tc>
          <w:tcPr>
            <w:tcW w:w="4840" w:type="dxa"/>
            <w:vAlign w:val="bottom"/>
            <w:gridSpan w:val="6"/>
            <w:shd w:val="clear" w:color="auto" w:fill="0000EE"/>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17"/>
        </w:trPr>
        <w:tc>
          <w:tcPr>
            <w:tcW w:w="10100" w:type="dxa"/>
            <w:vAlign w:val="bottom"/>
            <w:gridSpan w:val="10"/>
          </w:tcPr>
          <w:p>
            <w:pPr>
              <w:spacing w:after="0" w:line="216" w:lineRule="exact"/>
              <w:rPr>
                <w:rFonts w:ascii="Arial" w:cs="Arial" w:eastAsia="Arial" w:hAnsi="Arial"/>
                <w:sz w:val="20"/>
                <w:szCs w:val="20"/>
                <w:color w:val="0000EE"/>
              </w:rPr>
            </w:pPr>
            <w:hyperlink w:anchor="page113">
              <w:r>
                <w:rPr>
                  <w:rFonts w:ascii="Arial" w:cs="Arial" w:eastAsia="Arial" w:hAnsi="Arial"/>
                  <w:sz w:val="20"/>
                  <w:szCs w:val="20"/>
                  <w:color w:val="0000EE"/>
                </w:rPr>
                <w:t>Consolidated Statement of Changes in Shareholders’ Equity — Years ended December 31, 2017, 2016 and 201</w:t>
              </w:r>
            </w:hyperlink>
            <w:r>
              <w:rPr>
                <w:rFonts w:ascii="Arial" w:cs="Arial" w:eastAsia="Arial" w:hAnsi="Arial"/>
                <w:sz w:val="20"/>
                <w:szCs w:val="20"/>
                <w:color w:val="000000"/>
              </w:rPr>
              <w:t>5</w:t>
            </w:r>
          </w:p>
        </w:tc>
        <w:tc>
          <w:tcPr>
            <w:tcW w:w="1340" w:type="dxa"/>
            <w:vAlign w:val="bottom"/>
          </w:tcPr>
          <w:p>
            <w:pPr>
              <w:jc w:val="right"/>
              <w:spacing w:after="0" w:line="216" w:lineRule="exact"/>
              <w:rPr>
                <w:sz w:val="20"/>
                <w:szCs w:val="20"/>
                <w:color w:val="auto"/>
              </w:rPr>
            </w:pPr>
            <w:r>
              <w:rPr>
                <w:rFonts w:ascii="Arial" w:cs="Arial" w:eastAsia="Arial" w:hAnsi="Arial"/>
                <w:sz w:val="20"/>
                <w:szCs w:val="20"/>
                <w:color w:val="auto"/>
              </w:rPr>
              <w:t>113</w:t>
            </w:r>
          </w:p>
        </w:tc>
      </w:tr>
      <w:tr>
        <w:trPr>
          <w:trHeight w:val="217"/>
        </w:trPr>
        <w:tc>
          <w:tcPr>
            <w:tcW w:w="2420" w:type="dxa"/>
            <w:vAlign w:val="bottom"/>
            <w:tcBorders>
              <w:top w:val="single" w:sz="8" w:color="0000EE"/>
              <w:bottom w:val="single" w:sz="8" w:color="0000EE"/>
            </w:tcBorders>
          </w:tcPr>
          <w:p>
            <w:pPr>
              <w:spacing w:after="0" w:line="216" w:lineRule="exact"/>
              <w:rPr>
                <w:rFonts w:ascii="Arial" w:cs="Arial" w:eastAsia="Arial" w:hAnsi="Arial"/>
                <w:sz w:val="20"/>
                <w:szCs w:val="20"/>
                <w:color w:val="0000EE"/>
                <w:w w:val="89"/>
              </w:rPr>
            </w:pPr>
            <w:hyperlink w:anchor="page114">
              <w:r>
                <w:rPr>
                  <w:rFonts w:ascii="Arial" w:cs="Arial" w:eastAsia="Arial" w:hAnsi="Arial"/>
                  <w:sz w:val="20"/>
                  <w:szCs w:val="20"/>
                  <w:color w:val="0000EE"/>
                  <w:w w:val="89"/>
                </w:rPr>
                <w:t>Notes to Financial Statements</w:t>
              </w:r>
            </w:hyperlink>
          </w:p>
        </w:tc>
        <w:tc>
          <w:tcPr>
            <w:tcW w:w="6540" w:type="dxa"/>
            <w:vAlign w:val="bottom"/>
            <w:tcBorders>
              <w:top w:val="single" w:sz="8" w:color="0000EE"/>
            </w:tcBorders>
            <w:gridSpan w:val="8"/>
          </w:tcPr>
          <w:p>
            <w:pPr>
              <w:spacing w:after="0"/>
              <w:rPr>
                <w:sz w:val="18"/>
                <w:szCs w:val="18"/>
                <w:color w:val="auto"/>
              </w:rPr>
            </w:pPr>
          </w:p>
        </w:tc>
        <w:tc>
          <w:tcPr>
            <w:tcW w:w="1140" w:type="dxa"/>
            <w:vAlign w:val="bottom"/>
          </w:tcPr>
          <w:p>
            <w:pPr>
              <w:spacing w:after="0"/>
              <w:rPr>
                <w:sz w:val="18"/>
                <w:szCs w:val="18"/>
                <w:color w:val="auto"/>
              </w:rPr>
            </w:pPr>
          </w:p>
        </w:tc>
        <w:tc>
          <w:tcPr>
            <w:tcW w:w="1340" w:type="dxa"/>
            <w:vAlign w:val="bottom"/>
          </w:tcPr>
          <w:p>
            <w:pPr>
              <w:jc w:val="right"/>
              <w:spacing w:after="0" w:line="216" w:lineRule="exact"/>
              <w:rPr>
                <w:sz w:val="20"/>
                <w:szCs w:val="20"/>
                <w:color w:val="auto"/>
              </w:rPr>
            </w:pPr>
            <w:r>
              <w:rPr>
                <w:rFonts w:ascii="Arial" w:cs="Arial" w:eastAsia="Arial" w:hAnsi="Arial"/>
                <w:sz w:val="20"/>
                <w:szCs w:val="20"/>
                <w:color w:val="auto"/>
              </w:rPr>
              <w:t>114</w:t>
            </w:r>
          </w:p>
        </w:tc>
      </w:tr>
      <w:tr>
        <w:trPr>
          <w:trHeight w:val="650"/>
        </w:trPr>
        <w:tc>
          <w:tcPr>
            <w:tcW w:w="7000" w:type="dxa"/>
            <w:vAlign w:val="bottom"/>
            <w:gridSpan w:val="6"/>
          </w:tcPr>
          <w:p>
            <w:pPr>
              <w:ind w:left="5580"/>
              <w:spacing w:after="0"/>
              <w:rPr>
                <w:sz w:val="20"/>
                <w:szCs w:val="20"/>
                <w:color w:val="auto"/>
              </w:rPr>
            </w:pPr>
            <w:r>
              <w:rPr>
                <w:rFonts w:ascii="Arial" w:cs="Arial" w:eastAsia="Arial" w:hAnsi="Arial"/>
                <w:sz w:val="18"/>
                <w:szCs w:val="18"/>
                <w:color w:val="auto"/>
              </w:rPr>
              <w:t>105</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12"/>
        </w:trPr>
        <w:tc>
          <w:tcPr>
            <w:tcW w:w="2420" w:type="dxa"/>
            <w:vAlign w:val="bottom"/>
            <w:tcBorders>
              <w:bottom w:val="single" w:sz="8" w:color="9A9A9A"/>
            </w:tcBorders>
          </w:tcPr>
          <w:p>
            <w:pPr>
              <w:spacing w:after="0"/>
              <w:rPr>
                <w:sz w:val="9"/>
                <w:szCs w:val="9"/>
                <w:color w:val="auto"/>
              </w:rPr>
            </w:pPr>
          </w:p>
        </w:tc>
        <w:tc>
          <w:tcPr>
            <w:tcW w:w="184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332" w:right="219" w:bottom="1440" w:gutter="0" w:footer="0" w:header="0"/>
        </w:sectPr>
      </w:pPr>
    </w:p>
    <w:bookmarkStart w:id="105" w:name="page106"/>
    <w:bookmarkEnd w:id="105"/>
    <w:p>
      <w:pPr>
        <w:spacing w:after="0"/>
        <w:rPr>
          <w:sz w:val="20"/>
          <w:szCs w:val="20"/>
          <w:color w:val="auto"/>
        </w:rPr>
      </w:pPr>
      <w:r>
        <w:rPr>
          <w:rFonts w:ascii="Arial" w:cs="Arial" w:eastAsia="Arial" w:hAnsi="Arial"/>
          <w:sz w:val="20"/>
          <w:szCs w:val="20"/>
          <w:b w:val="1"/>
          <w:bCs w:val="1"/>
          <w:color w:val="auto"/>
        </w:rPr>
        <w:t>Report on Internal Control Over Financial Reporting</w:t>
      </w:r>
    </w:p>
    <w:p>
      <w:pPr>
        <w:spacing w:after="0" w:line="116" w:lineRule="exact"/>
        <w:rPr>
          <w:sz w:val="20"/>
          <w:szCs w:val="20"/>
          <w:color w:val="auto"/>
        </w:rPr>
      </w:pPr>
    </w:p>
    <w:p>
      <w:pPr>
        <w:spacing w:after="0" w:line="263" w:lineRule="auto"/>
        <w:rPr>
          <w:sz w:val="20"/>
          <w:szCs w:val="20"/>
          <w:color w:val="auto"/>
        </w:rPr>
      </w:pPr>
      <w:r>
        <w:rPr>
          <w:rFonts w:ascii="Arial" w:cs="Arial" w:eastAsia="Arial" w:hAnsi="Arial"/>
          <w:sz w:val="19"/>
          <w:szCs w:val="19"/>
          <w:color w:val="auto"/>
        </w:rPr>
        <w:t>Management is responsible for establishing and maintaining adequate internal control over financial reporting at M&amp;T Bank Corporation and subsidiaries (“the Company”). Management has assessed the effectiveness of the Company’s internal control over financial reporting as of December 31, 2017 based on criteria described in “Internal Control — Integrated Framework (2013)” issued by the Committee of Sponsoring Organizations of the Treadway Commission. Based on that assessment, management concluded that the Company maintained effective internal control over financial reporting as of December 31, 2017.</w:t>
      </w:r>
    </w:p>
    <w:p>
      <w:pPr>
        <w:spacing w:after="0" w:line="3" w:lineRule="exact"/>
        <w:rPr>
          <w:sz w:val="20"/>
          <w:szCs w:val="20"/>
          <w:color w:val="auto"/>
        </w:rPr>
      </w:pPr>
    </w:p>
    <w:p>
      <w:pPr>
        <w:ind w:right="40" w:firstLine="598"/>
        <w:spacing w:after="0" w:line="250" w:lineRule="auto"/>
        <w:rPr>
          <w:sz w:val="20"/>
          <w:szCs w:val="20"/>
          <w:color w:val="auto"/>
        </w:rPr>
      </w:pPr>
      <w:r>
        <w:rPr>
          <w:rFonts w:ascii="Arial" w:cs="Arial" w:eastAsia="Arial" w:hAnsi="Arial"/>
          <w:sz w:val="20"/>
          <w:szCs w:val="20"/>
          <w:color w:val="auto"/>
        </w:rPr>
        <w:t>The consolidated financial statements of the Company have been audited by PricewaterhouseCoopers LLP, an independent registered public accounting firm, that was engaged to express an opinion as to the fairness of presentation of such financial statements. PricewaterhouseCoopers LLP was also engaged to assess the effectiveness of the Company’s internal control over financial reporting. The report of PricewaterhouseCoopers LLP follows this report.</w:t>
      </w:r>
    </w:p>
    <w:p>
      <w:pPr>
        <w:spacing w:after="0" w:line="206" w:lineRule="exact"/>
        <w:rPr>
          <w:sz w:val="20"/>
          <w:szCs w:val="20"/>
          <w:color w:val="auto"/>
        </w:rPr>
      </w:pPr>
    </w:p>
    <w:p>
      <w:pPr>
        <w:ind w:left="7080"/>
        <w:spacing w:after="0"/>
        <w:rPr>
          <w:sz w:val="20"/>
          <w:szCs w:val="20"/>
          <w:color w:val="auto"/>
        </w:rPr>
      </w:pPr>
      <w:r>
        <w:rPr>
          <w:rFonts w:ascii="Arial" w:cs="Arial" w:eastAsia="Arial" w:hAnsi="Arial"/>
          <w:sz w:val="20"/>
          <w:szCs w:val="20"/>
          <w:color w:val="auto"/>
        </w:rPr>
        <w:t>M&amp;T BANK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4133215</wp:posOffset>
            </wp:positionH>
            <wp:positionV relativeFrom="paragraph">
              <wp:posOffset>313055</wp:posOffset>
            </wp:positionV>
            <wp:extent cx="2352675" cy="7677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352675" cy="767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left="5280"/>
        <w:spacing w:after="0"/>
        <w:rPr>
          <w:sz w:val="20"/>
          <w:szCs w:val="20"/>
          <w:color w:val="auto"/>
        </w:rPr>
      </w:pPr>
      <w:r>
        <w:rPr>
          <w:rFonts w:ascii="Arial" w:cs="Arial" w:eastAsia="Arial" w:hAnsi="Arial"/>
          <w:sz w:val="20"/>
          <w:szCs w:val="20"/>
          <w:color w:val="auto"/>
        </w:rPr>
        <w:t>René F. Jones</w:t>
      </w:r>
    </w:p>
    <w:p>
      <w:pPr>
        <w:spacing w:after="0" w:line="25" w:lineRule="exact"/>
        <w:rPr>
          <w:sz w:val="20"/>
          <w:szCs w:val="20"/>
          <w:color w:val="auto"/>
        </w:rPr>
      </w:pPr>
    </w:p>
    <w:p>
      <w:pPr>
        <w:jc w:val="center"/>
        <w:ind w:left="5280"/>
        <w:spacing w:after="0"/>
        <w:rPr>
          <w:sz w:val="20"/>
          <w:szCs w:val="20"/>
          <w:color w:val="auto"/>
        </w:rPr>
      </w:pPr>
      <w:r>
        <w:rPr>
          <w:rFonts w:ascii="Arial" w:cs="Arial" w:eastAsia="Arial" w:hAnsi="Arial"/>
          <w:sz w:val="20"/>
          <w:szCs w:val="20"/>
          <w:i w:val="1"/>
          <w:iCs w:val="1"/>
          <w:color w:val="auto"/>
        </w:rPr>
        <w:t>Chairman of the Board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4700270</wp:posOffset>
            </wp:positionH>
            <wp:positionV relativeFrom="paragraph">
              <wp:posOffset>285115</wp:posOffset>
            </wp:positionV>
            <wp:extent cx="1209675" cy="9093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09675" cy="909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left="5280"/>
        <w:spacing w:after="0"/>
        <w:rPr>
          <w:sz w:val="20"/>
          <w:szCs w:val="20"/>
          <w:color w:val="auto"/>
        </w:rPr>
      </w:pPr>
      <w:r>
        <w:rPr>
          <w:rFonts w:ascii="Arial" w:cs="Arial" w:eastAsia="Arial" w:hAnsi="Arial"/>
          <w:sz w:val="20"/>
          <w:szCs w:val="20"/>
          <w:color w:val="auto"/>
        </w:rPr>
        <w:t>Darren J. King</w:t>
      </w:r>
    </w:p>
    <w:p>
      <w:pPr>
        <w:spacing w:after="0" w:line="25" w:lineRule="exact"/>
        <w:rPr>
          <w:sz w:val="20"/>
          <w:szCs w:val="20"/>
          <w:color w:val="auto"/>
        </w:rPr>
      </w:pPr>
    </w:p>
    <w:p>
      <w:pPr>
        <w:jc w:val="center"/>
        <w:ind w:left="5280"/>
        <w:spacing w:after="0"/>
        <w:rPr>
          <w:sz w:val="20"/>
          <w:szCs w:val="20"/>
          <w:color w:val="auto"/>
        </w:rPr>
      </w:pPr>
      <w:r>
        <w:rPr>
          <w:rFonts w:ascii="Arial" w:cs="Arial" w:eastAsia="Arial" w:hAnsi="Arial"/>
          <w:sz w:val="20"/>
          <w:szCs w:val="20"/>
          <w:i w:val="1"/>
          <w:iCs w:val="1"/>
          <w:color w:val="auto"/>
        </w:rPr>
        <w:t>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00"/>
          </w:cols>
          <w:pgMar w:left="240" w:top="332" w:right="259" w:bottom="1440" w:gutter="0" w:footer="0" w:header="0"/>
        </w:sectPr>
      </w:pPr>
    </w:p>
    <w:bookmarkStart w:id="106" w:name="page107"/>
    <w:bookmarkEnd w:id="106"/>
    <w:p>
      <w:pPr>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color w:val="auto"/>
        </w:rPr>
        <w:t>To the Board of Directors and Shareholders of</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M&amp;T Bank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Opinions on the Financial Statements and Internal Control over Financial Reporting</w:t>
      </w:r>
    </w:p>
    <w:p>
      <w:pPr>
        <w:spacing w:after="0" w:line="243" w:lineRule="exact"/>
        <w:rPr>
          <w:sz w:val="20"/>
          <w:szCs w:val="20"/>
          <w:color w:val="auto"/>
        </w:rPr>
      </w:pPr>
    </w:p>
    <w:p>
      <w:pPr>
        <w:ind w:right="20"/>
        <w:spacing w:after="0" w:line="252" w:lineRule="auto"/>
        <w:rPr>
          <w:sz w:val="20"/>
          <w:szCs w:val="20"/>
          <w:color w:val="auto"/>
        </w:rPr>
      </w:pPr>
      <w:r>
        <w:rPr>
          <w:rFonts w:ascii="Arial" w:cs="Arial" w:eastAsia="Arial" w:hAnsi="Arial"/>
          <w:sz w:val="20"/>
          <w:szCs w:val="20"/>
          <w:color w:val="auto"/>
        </w:rPr>
        <w:t xml:space="preserve">We have audited the accompanying consolidated balance sheets of M&amp;T Bank Corporation and its subsidiaries as of December 31, 2017 and 2016, and the related consolidated statements </w:t>
      </w:r>
      <w:r>
        <w:rPr>
          <w:rFonts w:ascii="Arial" w:cs="Arial" w:eastAsia="Arial" w:hAnsi="Arial"/>
          <w:sz w:val="20"/>
          <w:szCs w:val="20"/>
          <w:color w:val="131313"/>
        </w:rPr>
        <w:t>of income, comprehensive income, changes in shareholders' equity, and cash flows</w:t>
      </w:r>
      <w:r>
        <w:rPr>
          <w:rFonts w:ascii="Arial" w:cs="Arial" w:eastAsia="Arial" w:hAnsi="Arial"/>
          <w:sz w:val="20"/>
          <w:szCs w:val="20"/>
          <w:color w:val="auto"/>
        </w:rPr>
        <w:t xml:space="preserve"> for each of the three years in the period ended December 31, 2017, including the related notes (collectively referred to as the “consolidated financial statements”). We also have audited the Company's internal control over financial reporting as of December 31, 2017, based on criteria established in </w:t>
      </w:r>
      <w:r>
        <w:rPr>
          <w:rFonts w:ascii="Arial" w:cs="Arial" w:eastAsia="Arial" w:hAnsi="Arial"/>
          <w:sz w:val="20"/>
          <w:szCs w:val="20"/>
          <w:i w:val="1"/>
          <w:iCs w:val="1"/>
          <w:color w:val="auto"/>
        </w:rPr>
        <w:t>Internal Control - Integrated Framework</w:t>
      </w:r>
      <w:r>
        <w:rPr>
          <w:rFonts w:ascii="Arial" w:cs="Arial" w:eastAsia="Arial" w:hAnsi="Arial"/>
          <w:sz w:val="20"/>
          <w:szCs w:val="20"/>
          <w:color w:val="auto"/>
        </w:rPr>
        <w:t xml:space="preserve"> (2013) issued by the Committee of Sponsoring Organizations of the Treadway Commission (COSO).</w:t>
      </w:r>
    </w:p>
    <w:p>
      <w:pPr>
        <w:spacing w:after="0" w:line="207" w:lineRule="exact"/>
        <w:rPr>
          <w:sz w:val="20"/>
          <w:szCs w:val="20"/>
          <w:color w:val="auto"/>
        </w:rPr>
      </w:pPr>
    </w:p>
    <w:p>
      <w:pPr>
        <w:spacing w:after="0" w:line="270" w:lineRule="auto"/>
        <w:rPr>
          <w:sz w:val="20"/>
          <w:szCs w:val="20"/>
          <w:color w:val="auto"/>
        </w:rPr>
      </w:pPr>
      <w:r>
        <w:rPr>
          <w:rFonts w:ascii="Arial" w:cs="Arial" w:eastAsia="Arial" w:hAnsi="Arial"/>
          <w:sz w:val="19"/>
          <w:szCs w:val="19"/>
          <w:color w:val="auto"/>
        </w:rPr>
        <w:t>In our opinion, the consolidated financial statements referred to above present fairly, in all material respects, the financial position of the Company as of December 31, 2017 and 2016</w:t>
      </w:r>
      <w:r>
        <w:rPr>
          <w:rFonts w:ascii="Arial" w:cs="Arial" w:eastAsia="Arial" w:hAnsi="Arial"/>
          <w:sz w:val="19"/>
          <w:szCs w:val="19"/>
          <w:b w:val="1"/>
          <w:bCs w:val="1"/>
          <w:color w:val="auto"/>
        </w:rPr>
        <w:t>,</w:t>
      </w:r>
      <w:r>
        <w:rPr>
          <w:rFonts w:ascii="Arial" w:cs="Arial" w:eastAsia="Arial" w:hAnsi="Arial"/>
          <w:sz w:val="19"/>
          <w:szCs w:val="19"/>
          <w:color w:val="auto"/>
        </w:rPr>
        <w:t xml:space="preserve"> and the results of their operations and their cash flows for each of the three years in the period ended December 31, 2017 in conformity with accounting principles generally accepted in the United States of America. Also in our opinion, the Company maintained, in all material respects, effective internal control over financial reporting as of December 31, 2017, based on criteria established in </w:t>
      </w:r>
      <w:r>
        <w:rPr>
          <w:rFonts w:ascii="Arial" w:cs="Arial" w:eastAsia="Arial" w:hAnsi="Arial"/>
          <w:sz w:val="19"/>
          <w:szCs w:val="19"/>
          <w:i w:val="1"/>
          <w:iCs w:val="1"/>
          <w:color w:val="auto"/>
        </w:rPr>
        <w:t>Internal Control - Integrated Framework</w:t>
      </w:r>
      <w:r>
        <w:rPr>
          <w:rFonts w:ascii="Arial" w:cs="Arial" w:eastAsia="Arial" w:hAnsi="Arial"/>
          <w:sz w:val="19"/>
          <w:szCs w:val="19"/>
          <w:color w:val="auto"/>
        </w:rPr>
        <w:t xml:space="preserve"> (2013) issued by the COSO.</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Basis for Opinions</w:t>
      </w:r>
    </w:p>
    <w:p>
      <w:pPr>
        <w:spacing w:after="0" w:line="243" w:lineRule="exact"/>
        <w:rPr>
          <w:sz w:val="20"/>
          <w:szCs w:val="20"/>
          <w:color w:val="auto"/>
        </w:rPr>
      </w:pPr>
    </w:p>
    <w:p>
      <w:pPr>
        <w:ind w:right="260"/>
        <w:spacing w:after="0" w:line="251" w:lineRule="auto"/>
        <w:rPr>
          <w:sz w:val="20"/>
          <w:szCs w:val="20"/>
          <w:color w:val="auto"/>
        </w:rPr>
      </w:pPr>
      <w:r>
        <w:rPr>
          <w:rFonts w:ascii="Arial" w:cs="Arial" w:eastAsia="Arial" w:hAnsi="Arial"/>
          <w:sz w:val="20"/>
          <w:szCs w:val="20"/>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Report on Internal Control Over Financial Reporting.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8" w:lineRule="exact"/>
        <w:rPr>
          <w:sz w:val="20"/>
          <w:szCs w:val="20"/>
          <w:color w:val="auto"/>
        </w:rPr>
      </w:pPr>
    </w:p>
    <w:p>
      <w:pPr>
        <w:jc w:val="both"/>
        <w:ind w:right="260"/>
        <w:spacing w:after="0" w:line="281" w:lineRule="auto"/>
        <w:rPr>
          <w:sz w:val="20"/>
          <w:szCs w:val="20"/>
          <w:color w:val="auto"/>
        </w:rPr>
      </w:pPr>
      <w:r>
        <w:rPr>
          <w:rFonts w:ascii="Arial" w:cs="Arial" w:eastAsia="Arial" w:hAnsi="Arial"/>
          <w:sz w:val="19"/>
          <w:szCs w:val="19"/>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79" w:lineRule="exact"/>
        <w:rPr>
          <w:sz w:val="20"/>
          <w:szCs w:val="20"/>
          <w:color w:val="auto"/>
        </w:rPr>
      </w:pPr>
    </w:p>
    <w:p>
      <w:pPr>
        <w:spacing w:after="0" w:line="285"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380"/>
          </w:cols>
          <w:pgMar w:left="240" w:top="332" w:right="279" w:bottom="1440" w:gutter="0" w:footer="0" w:header="0"/>
        </w:sectPr>
      </w:pPr>
    </w:p>
    <w:bookmarkStart w:id="107" w:name="page108"/>
    <w:bookmarkEnd w:id="107"/>
    <w:p>
      <w:pPr>
        <w:jc w:val="both"/>
        <w:ind w:right="320"/>
        <w:spacing w:after="0" w:line="332" w:lineRule="auto"/>
        <w:rPr>
          <w:sz w:val="20"/>
          <w:szCs w:val="20"/>
          <w:color w:val="auto"/>
        </w:rPr>
      </w:pPr>
      <w:r>
        <w:rPr>
          <w:rFonts w:ascii="Arial" w:cs="Arial" w:eastAsia="Arial" w:hAnsi="Arial"/>
          <w:sz w:val="18"/>
          <w:szCs w:val="18"/>
          <w:color w:val="auto"/>
        </w:rPr>
        <w:t>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Definition and Limitations of Internal Control over Financial Reporting</w:t>
      </w:r>
    </w:p>
    <w:p>
      <w:pPr>
        <w:spacing w:after="0" w:line="243"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83"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2177415" cy="3835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177415" cy="383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color w:val="auto"/>
        </w:rPr>
        <w:t>Buffalo, New York</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February 22, 2018</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color w:val="auto"/>
        </w:rPr>
        <w:t>We have served as the Company’s auditor since 1984.</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08" w:name="page109"/>
    <w:bookmarkEnd w:id="108"/>
    <w:p>
      <w:pPr>
        <w:spacing w:after="0"/>
        <w:rPr>
          <w:sz w:val="20"/>
          <w:szCs w:val="20"/>
          <w:color w:val="auto"/>
        </w:rPr>
      </w:pPr>
      <w:r>
        <w:rPr>
          <w:rFonts w:ascii="Arial" w:cs="Arial" w:eastAsia="Arial" w:hAnsi="Arial"/>
          <w:sz w:val="20"/>
          <w:szCs w:val="20"/>
          <w:b w:val="1"/>
          <w:bCs w:val="1"/>
          <w:color w:val="auto"/>
        </w:rPr>
        <w:t>M&amp;T BANK CORPORATION AND SUBSIDIARIES</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Consolidated Balance Sheet</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90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 except per share)</w:t>
            </w:r>
          </w:p>
        </w:tc>
        <w:tc>
          <w:tcPr>
            <w:tcW w:w="16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right"/>
              <w:ind w:right="47"/>
              <w:spacing w:after="0"/>
              <w:rPr>
                <w:sz w:val="20"/>
                <w:szCs w:val="20"/>
                <w:color w:val="auto"/>
              </w:rPr>
            </w:pPr>
            <w:r>
              <w:rPr>
                <w:rFonts w:ascii="Arial" w:cs="Arial" w:eastAsia="Arial" w:hAnsi="Arial"/>
                <w:sz w:val="14"/>
                <w:szCs w:val="14"/>
                <w:b w:val="1"/>
                <w:bCs w:val="1"/>
                <w:color w:val="auto"/>
              </w:rPr>
              <w:t>December 31</w:t>
            </w: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6900" w:type="dxa"/>
            <w:vAlign w:val="bottom"/>
            <w:tcBorders>
              <w:bottom w:val="single" w:sz="8" w:color="CFF0FC"/>
            </w:tcBorders>
            <w:vMerge w:val="continue"/>
          </w:tcPr>
          <w:p>
            <w:pPr>
              <w:spacing w:after="0"/>
              <w:rPr>
                <w:sz w:val="13"/>
                <w:szCs w:val="13"/>
                <w:color w:val="auto"/>
              </w:rPr>
            </w:pPr>
          </w:p>
        </w:tc>
        <w:tc>
          <w:tcPr>
            <w:tcW w:w="16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22"/>
              <w:spacing w:after="0" w:line="151"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21"/>
              <w:spacing w:after="0" w:line="151"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69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16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900" w:type="dxa"/>
            <w:vAlign w:val="bottom"/>
          </w:tcPr>
          <w:p>
            <w:pPr>
              <w:spacing w:after="0"/>
              <w:rPr>
                <w:sz w:val="20"/>
                <w:szCs w:val="20"/>
                <w:color w:val="auto"/>
              </w:rPr>
            </w:pPr>
            <w:r>
              <w:rPr>
                <w:rFonts w:ascii="Arial" w:cs="Arial" w:eastAsia="Arial" w:hAnsi="Arial"/>
                <w:sz w:val="16"/>
                <w:szCs w:val="16"/>
                <w:color w:val="auto"/>
              </w:rPr>
              <w:t>Cash and due from banks</w:t>
            </w:r>
          </w:p>
        </w:tc>
        <w:tc>
          <w:tcPr>
            <w:tcW w:w="1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1,420,888</w:t>
            </w:r>
          </w:p>
        </w:tc>
        <w:tc>
          <w:tcPr>
            <w:tcW w:w="280" w:type="dxa"/>
            <w:vAlign w:val="bottom"/>
          </w:tcPr>
          <w:p>
            <w:pPr>
              <w:spacing w:after="0"/>
              <w:rPr>
                <w:sz w:val="17"/>
                <w:szCs w:val="17"/>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1,320,549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900" w:type="dxa"/>
            <w:vAlign w:val="bottom"/>
            <w:shd w:val="clear" w:color="auto" w:fill="CFF0FC"/>
          </w:tcPr>
          <w:p>
            <w:pPr>
              <w:spacing w:after="0"/>
              <w:rPr>
                <w:sz w:val="20"/>
                <w:szCs w:val="20"/>
                <w:color w:val="auto"/>
              </w:rPr>
            </w:pPr>
            <w:r>
              <w:rPr>
                <w:rFonts w:ascii="Arial" w:cs="Arial" w:eastAsia="Arial" w:hAnsi="Arial"/>
                <w:sz w:val="16"/>
                <w:szCs w:val="16"/>
                <w:color w:val="auto"/>
              </w:rPr>
              <w:t>Interest-bearing deposits at banks</w:t>
            </w:r>
          </w:p>
        </w:tc>
        <w:tc>
          <w:tcPr>
            <w:tcW w:w="1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5,078,903</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5,000,638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900" w:type="dxa"/>
            <w:vAlign w:val="bottom"/>
          </w:tcPr>
          <w:p>
            <w:pPr>
              <w:spacing w:after="0"/>
              <w:rPr>
                <w:sz w:val="20"/>
                <w:szCs w:val="20"/>
                <w:color w:val="auto"/>
              </w:rPr>
            </w:pPr>
            <w:r>
              <w:rPr>
                <w:rFonts w:ascii="Arial" w:cs="Arial" w:eastAsia="Arial" w:hAnsi="Arial"/>
                <w:sz w:val="16"/>
                <w:szCs w:val="16"/>
                <w:color w:val="auto"/>
              </w:rPr>
              <w:t>Trading account</w:t>
            </w:r>
          </w:p>
        </w:tc>
        <w:tc>
          <w:tcPr>
            <w:tcW w:w="1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132,909</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323,867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900" w:type="dxa"/>
            <w:vAlign w:val="bottom"/>
            <w:shd w:val="clear" w:color="auto" w:fill="CFF0FC"/>
          </w:tcPr>
          <w:p>
            <w:pPr>
              <w:spacing w:after="0"/>
              <w:rPr>
                <w:sz w:val="20"/>
                <w:szCs w:val="20"/>
                <w:color w:val="auto"/>
              </w:rPr>
            </w:pPr>
            <w:r>
              <w:rPr>
                <w:rFonts w:ascii="Arial" w:cs="Arial" w:eastAsia="Arial" w:hAnsi="Arial"/>
                <w:sz w:val="16"/>
                <w:szCs w:val="16"/>
                <w:color w:val="auto"/>
              </w:rPr>
              <w:t>Investment securities (includes pledged securities that can be sold or repledged of</w:t>
            </w:r>
          </w:p>
        </w:tc>
        <w:tc>
          <w:tcPr>
            <w:tcW w:w="16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9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$487,151 at December 31, 2017; $1,203,473 at December 31, 2016)</w:t>
            </w:r>
          </w:p>
        </w:tc>
        <w:tc>
          <w:tcPr>
            <w:tcW w:w="1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6900" w:type="dxa"/>
            <w:vAlign w:val="bottom"/>
          </w:tcPr>
          <w:p>
            <w:pPr>
              <w:ind w:left="240"/>
              <w:spacing w:after="0"/>
              <w:rPr>
                <w:sz w:val="20"/>
                <w:szCs w:val="20"/>
                <w:color w:val="auto"/>
              </w:rPr>
            </w:pPr>
            <w:r>
              <w:rPr>
                <w:rFonts w:ascii="Arial" w:cs="Arial" w:eastAsia="Arial" w:hAnsi="Arial"/>
                <w:sz w:val="16"/>
                <w:szCs w:val="16"/>
                <w:color w:val="auto"/>
              </w:rPr>
              <w:t>Available for sale (cost: $10,938,796 at December 31, 2017;</w:t>
            </w:r>
          </w:p>
        </w:tc>
        <w:tc>
          <w:tcPr>
            <w:tcW w:w="1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900" w:type="dxa"/>
            <w:vAlign w:val="bottom"/>
          </w:tcPr>
          <w:p>
            <w:pPr>
              <w:ind w:left="360"/>
              <w:spacing w:after="0"/>
              <w:rPr>
                <w:sz w:val="20"/>
                <w:szCs w:val="20"/>
                <w:color w:val="auto"/>
              </w:rPr>
            </w:pPr>
            <w:r>
              <w:rPr>
                <w:rFonts w:ascii="Arial" w:cs="Arial" w:eastAsia="Arial" w:hAnsi="Arial"/>
                <w:sz w:val="16"/>
                <w:szCs w:val="16"/>
                <w:color w:val="auto"/>
              </w:rPr>
              <w:t>$13,338,301 at December 31, 2016)</w:t>
            </w:r>
          </w:p>
        </w:tc>
        <w:tc>
          <w:tcPr>
            <w:tcW w:w="1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10,896,284</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13,332,072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9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Held to maturity (fair value: $3,341,762 at December 31, 2017;</w:t>
            </w:r>
          </w:p>
        </w:tc>
        <w:tc>
          <w:tcPr>
            <w:tcW w:w="16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900" w:type="dxa"/>
            <w:vAlign w:val="bottom"/>
            <w:shd w:val="clear" w:color="auto" w:fill="CFF0FC"/>
          </w:tcPr>
          <w:p>
            <w:pPr>
              <w:ind w:left="360"/>
              <w:spacing w:after="0"/>
              <w:rPr>
                <w:sz w:val="20"/>
                <w:szCs w:val="20"/>
                <w:color w:val="auto"/>
              </w:rPr>
            </w:pPr>
            <w:r>
              <w:rPr>
                <w:rFonts w:ascii="Arial" w:cs="Arial" w:eastAsia="Arial" w:hAnsi="Arial"/>
                <w:sz w:val="16"/>
                <w:szCs w:val="16"/>
                <w:color w:val="auto"/>
              </w:rPr>
              <w:t>$2,451,222 at December 31, 2016)</w:t>
            </w:r>
          </w:p>
        </w:tc>
        <w:tc>
          <w:tcPr>
            <w:tcW w:w="1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3,353,213</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2,457,278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6900" w:type="dxa"/>
            <w:vAlign w:val="bottom"/>
          </w:tcPr>
          <w:p>
            <w:pPr>
              <w:ind w:left="240"/>
              <w:spacing w:after="0"/>
              <w:rPr>
                <w:sz w:val="20"/>
                <w:szCs w:val="20"/>
                <w:color w:val="auto"/>
              </w:rPr>
            </w:pPr>
            <w:r>
              <w:rPr>
                <w:rFonts w:ascii="Arial" w:cs="Arial" w:eastAsia="Arial" w:hAnsi="Arial"/>
                <w:sz w:val="16"/>
                <w:szCs w:val="16"/>
                <w:color w:val="auto"/>
              </w:rPr>
              <w:t>Other (fair value: $415,028 at December 31, 2017;</w:t>
            </w:r>
          </w:p>
        </w:tc>
        <w:tc>
          <w:tcPr>
            <w:tcW w:w="1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900" w:type="dxa"/>
            <w:vAlign w:val="bottom"/>
            <w:tcBorders>
              <w:bottom w:val="single" w:sz="8" w:color="CFF0FC"/>
            </w:tcBorders>
          </w:tcPr>
          <w:p>
            <w:pPr>
              <w:ind w:left="360"/>
              <w:spacing w:after="0"/>
              <w:rPr>
                <w:sz w:val="20"/>
                <w:szCs w:val="20"/>
                <w:color w:val="auto"/>
              </w:rPr>
            </w:pPr>
            <w:r>
              <w:rPr>
                <w:rFonts w:ascii="Arial" w:cs="Arial" w:eastAsia="Arial" w:hAnsi="Arial"/>
                <w:sz w:val="16"/>
                <w:szCs w:val="16"/>
                <w:color w:val="auto"/>
              </w:rPr>
              <w:t>$461,118 at December 31, 2016)</w:t>
            </w:r>
          </w:p>
        </w:tc>
        <w:tc>
          <w:tcPr>
            <w:tcW w:w="160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415,028</w:t>
            </w:r>
          </w:p>
        </w:tc>
        <w:tc>
          <w:tcPr>
            <w:tcW w:w="28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461,118</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900" w:type="dxa"/>
            <w:vAlign w:val="bottom"/>
            <w:shd w:val="clear" w:color="auto" w:fill="CFF0FC"/>
          </w:tcPr>
          <w:p>
            <w:pPr>
              <w:ind w:left="480"/>
              <w:spacing w:after="0"/>
              <w:rPr>
                <w:sz w:val="20"/>
                <w:szCs w:val="20"/>
                <w:color w:val="auto"/>
              </w:rPr>
            </w:pPr>
            <w:r>
              <w:rPr>
                <w:rFonts w:ascii="Arial" w:cs="Arial" w:eastAsia="Arial" w:hAnsi="Arial"/>
                <w:sz w:val="16"/>
                <w:szCs w:val="16"/>
                <w:color w:val="auto"/>
              </w:rPr>
              <w:t>Total investment securities</w:t>
            </w:r>
          </w:p>
        </w:tc>
        <w:tc>
          <w:tcPr>
            <w:tcW w:w="1600" w:type="dxa"/>
            <w:vAlign w:val="bottom"/>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14,664,525</w:t>
            </w:r>
          </w:p>
        </w:tc>
        <w:tc>
          <w:tcPr>
            <w:tcW w:w="280" w:type="dxa"/>
            <w:vAlign w:val="bottom"/>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16,250,468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900" w:type="dxa"/>
            <w:vAlign w:val="bottom"/>
          </w:tcPr>
          <w:p>
            <w:pPr>
              <w:spacing w:after="0"/>
              <w:rPr>
                <w:sz w:val="20"/>
                <w:szCs w:val="20"/>
                <w:color w:val="auto"/>
              </w:rPr>
            </w:pPr>
            <w:r>
              <w:rPr>
                <w:rFonts w:ascii="Arial" w:cs="Arial" w:eastAsia="Arial" w:hAnsi="Arial"/>
                <w:sz w:val="16"/>
                <w:szCs w:val="16"/>
                <w:color w:val="auto"/>
              </w:rPr>
              <w:t>Loans and leases</w:t>
            </w:r>
          </w:p>
        </w:tc>
        <w:tc>
          <w:tcPr>
            <w:tcW w:w="1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88,242,886</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91,101,677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9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Unearned discount</w:t>
            </w:r>
          </w:p>
        </w:tc>
        <w:tc>
          <w:tcPr>
            <w:tcW w:w="1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(253,903)</w:t>
            </w:r>
          </w:p>
        </w:tc>
        <w:tc>
          <w:tcPr>
            <w:tcW w:w="3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(248,261)</w:t>
            </w:r>
          </w:p>
        </w:tc>
        <w:tc>
          <w:tcPr>
            <w:tcW w:w="0" w:type="dxa"/>
            <w:vAlign w:val="bottom"/>
          </w:tcPr>
          <w:p>
            <w:pPr>
              <w:spacing w:after="0"/>
              <w:rPr>
                <w:sz w:val="1"/>
                <w:szCs w:val="1"/>
                <w:color w:val="auto"/>
              </w:rPr>
            </w:pPr>
          </w:p>
        </w:tc>
      </w:tr>
      <w:tr>
        <w:trPr>
          <w:trHeight w:val="200"/>
        </w:trPr>
        <w:tc>
          <w:tcPr>
            <w:tcW w:w="6900" w:type="dxa"/>
            <w:vAlign w:val="bottom"/>
          </w:tcPr>
          <w:p>
            <w:pPr>
              <w:ind w:left="480"/>
              <w:spacing w:after="0"/>
              <w:rPr>
                <w:sz w:val="20"/>
                <w:szCs w:val="20"/>
                <w:color w:val="auto"/>
              </w:rPr>
            </w:pPr>
            <w:r>
              <w:rPr>
                <w:rFonts w:ascii="Arial" w:cs="Arial" w:eastAsia="Arial" w:hAnsi="Arial"/>
                <w:sz w:val="16"/>
                <w:szCs w:val="16"/>
                <w:color w:val="auto"/>
              </w:rPr>
              <w:t>Loans and leases, net of unearned discount</w:t>
            </w:r>
          </w:p>
        </w:tc>
        <w:tc>
          <w:tcPr>
            <w:tcW w:w="16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87,988,983</w:t>
            </w:r>
          </w:p>
        </w:tc>
        <w:tc>
          <w:tcPr>
            <w:tcW w:w="28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90,853,416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9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Allowance for credit losses</w:t>
            </w:r>
          </w:p>
        </w:tc>
        <w:tc>
          <w:tcPr>
            <w:tcW w:w="1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(1,017,198)</w:t>
            </w:r>
          </w:p>
        </w:tc>
        <w:tc>
          <w:tcPr>
            <w:tcW w:w="3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(988,997)</w:t>
            </w:r>
          </w:p>
        </w:tc>
        <w:tc>
          <w:tcPr>
            <w:tcW w:w="0" w:type="dxa"/>
            <w:vAlign w:val="bottom"/>
          </w:tcPr>
          <w:p>
            <w:pPr>
              <w:spacing w:after="0"/>
              <w:rPr>
                <w:sz w:val="1"/>
                <w:szCs w:val="1"/>
                <w:color w:val="auto"/>
              </w:rPr>
            </w:pPr>
          </w:p>
        </w:tc>
      </w:tr>
      <w:tr>
        <w:trPr>
          <w:trHeight w:val="200"/>
        </w:trPr>
        <w:tc>
          <w:tcPr>
            <w:tcW w:w="6900" w:type="dxa"/>
            <w:vAlign w:val="bottom"/>
            <w:tcBorders>
              <w:bottom w:val="single" w:sz="8" w:color="CFF0FC"/>
            </w:tcBorders>
          </w:tcPr>
          <w:p>
            <w:pPr>
              <w:ind w:left="480"/>
              <w:spacing w:after="0"/>
              <w:rPr>
                <w:sz w:val="20"/>
                <w:szCs w:val="20"/>
                <w:color w:val="auto"/>
              </w:rPr>
            </w:pPr>
            <w:r>
              <w:rPr>
                <w:rFonts w:ascii="Arial" w:cs="Arial" w:eastAsia="Arial" w:hAnsi="Arial"/>
                <w:sz w:val="16"/>
                <w:szCs w:val="16"/>
                <w:color w:val="auto"/>
              </w:rPr>
              <w:t>Loans and leases, net</w:t>
            </w:r>
          </w:p>
        </w:tc>
        <w:tc>
          <w:tcPr>
            <w:tcW w:w="1600" w:type="dxa"/>
            <w:vAlign w:val="bottom"/>
            <w:tcBorders>
              <w:bottom w:val="single" w:sz="8" w:color="CFF0FC"/>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86,971,785</w:t>
            </w:r>
          </w:p>
        </w:tc>
        <w:tc>
          <w:tcPr>
            <w:tcW w:w="280" w:type="dxa"/>
            <w:vAlign w:val="bottom"/>
            <w:tcBorders>
              <w:bottom w:val="single" w:sz="8" w:color="CFF0FC"/>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89,864,419</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900" w:type="dxa"/>
            <w:vAlign w:val="bottom"/>
            <w:shd w:val="clear" w:color="auto" w:fill="CFF0FC"/>
          </w:tcPr>
          <w:p>
            <w:pPr>
              <w:spacing w:after="0"/>
              <w:rPr>
                <w:sz w:val="20"/>
                <w:szCs w:val="20"/>
                <w:color w:val="auto"/>
              </w:rPr>
            </w:pPr>
            <w:r>
              <w:rPr>
                <w:rFonts w:ascii="Arial" w:cs="Arial" w:eastAsia="Arial" w:hAnsi="Arial"/>
                <w:sz w:val="16"/>
                <w:szCs w:val="16"/>
                <w:color w:val="auto"/>
              </w:rPr>
              <w:t>Premises and equipment</w:t>
            </w:r>
          </w:p>
        </w:tc>
        <w:tc>
          <w:tcPr>
            <w:tcW w:w="16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646,451</w:t>
            </w: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675,263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900" w:type="dxa"/>
            <w:vAlign w:val="bottom"/>
          </w:tcPr>
          <w:p>
            <w:pPr>
              <w:spacing w:after="0"/>
              <w:rPr>
                <w:sz w:val="20"/>
                <w:szCs w:val="20"/>
                <w:color w:val="auto"/>
              </w:rPr>
            </w:pPr>
            <w:r>
              <w:rPr>
                <w:rFonts w:ascii="Arial" w:cs="Arial" w:eastAsia="Arial" w:hAnsi="Arial"/>
                <w:sz w:val="16"/>
                <w:szCs w:val="16"/>
                <w:color w:val="auto"/>
              </w:rPr>
              <w:t>Goodwill</w:t>
            </w:r>
          </w:p>
        </w:tc>
        <w:tc>
          <w:tcPr>
            <w:tcW w:w="1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4,593,112</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4,593,112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900" w:type="dxa"/>
            <w:vAlign w:val="bottom"/>
            <w:shd w:val="clear" w:color="auto" w:fill="CFF0FC"/>
          </w:tcPr>
          <w:p>
            <w:pPr>
              <w:spacing w:after="0"/>
              <w:rPr>
                <w:sz w:val="20"/>
                <w:szCs w:val="20"/>
                <w:color w:val="auto"/>
              </w:rPr>
            </w:pPr>
            <w:r>
              <w:rPr>
                <w:rFonts w:ascii="Arial" w:cs="Arial" w:eastAsia="Arial" w:hAnsi="Arial"/>
                <w:sz w:val="16"/>
                <w:szCs w:val="16"/>
                <w:color w:val="auto"/>
              </w:rPr>
              <w:t>Core deposit and other intangible assets</w:t>
            </w:r>
          </w:p>
        </w:tc>
        <w:tc>
          <w:tcPr>
            <w:tcW w:w="1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71,589</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97,655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9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Accrued interest and other assets</w:t>
            </w:r>
          </w:p>
        </w:tc>
        <w:tc>
          <w:tcPr>
            <w:tcW w:w="160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5,013,325</w:t>
            </w:r>
          </w:p>
        </w:tc>
        <w:tc>
          <w:tcPr>
            <w:tcW w:w="28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5,323,235</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shd w:val="clear" w:color="auto" w:fill="CFF0FC"/>
          </w:tcPr>
          <w:p>
            <w:pPr>
              <w:ind w:left="480"/>
              <w:spacing w:after="0"/>
              <w:rPr>
                <w:sz w:val="20"/>
                <w:szCs w:val="20"/>
                <w:color w:val="auto"/>
              </w:rPr>
            </w:pPr>
            <w:r>
              <w:rPr>
                <w:rFonts w:ascii="Arial" w:cs="Arial" w:eastAsia="Arial" w:hAnsi="Arial"/>
                <w:sz w:val="16"/>
                <w:szCs w:val="16"/>
                <w:color w:val="auto"/>
              </w:rPr>
              <w:t>Total assets</w:t>
            </w:r>
          </w:p>
        </w:tc>
        <w:tc>
          <w:tcPr>
            <w:tcW w:w="18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118,593,487</w:t>
            </w: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8"/>
              </w:rPr>
              <w:t>123,449,206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b w:val="1"/>
                <w:bCs w:val="1"/>
                <w:color w:val="auto"/>
              </w:rPr>
              <w:t>Liabilities</w:t>
            </w:r>
          </w:p>
        </w:tc>
        <w:tc>
          <w:tcPr>
            <w:tcW w:w="16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900" w:type="dxa"/>
            <w:vAlign w:val="bottom"/>
            <w:vMerge w:val="continue"/>
          </w:tcPr>
          <w:p>
            <w:pPr>
              <w:spacing w:after="0"/>
              <w:rPr>
                <w:sz w:val="16"/>
                <w:szCs w:val="16"/>
                <w:color w:val="auto"/>
              </w:rPr>
            </w:pPr>
          </w:p>
        </w:tc>
        <w:tc>
          <w:tcPr>
            <w:tcW w:w="1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6900" w:type="dxa"/>
            <w:vAlign w:val="bottom"/>
            <w:shd w:val="clear" w:color="auto" w:fill="CFF0FC"/>
          </w:tcPr>
          <w:p>
            <w:pPr>
              <w:spacing w:after="0"/>
              <w:rPr>
                <w:sz w:val="20"/>
                <w:szCs w:val="20"/>
                <w:color w:val="auto"/>
              </w:rPr>
            </w:pPr>
            <w:r>
              <w:rPr>
                <w:rFonts w:ascii="Arial" w:cs="Arial" w:eastAsia="Arial" w:hAnsi="Arial"/>
                <w:sz w:val="16"/>
                <w:szCs w:val="16"/>
                <w:color w:val="auto"/>
              </w:rPr>
              <w:t>Noninterest-bearing deposits</w:t>
            </w:r>
          </w:p>
        </w:tc>
        <w:tc>
          <w:tcPr>
            <w:tcW w:w="18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33,975,180</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32,813,896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900" w:type="dxa"/>
            <w:vAlign w:val="bottom"/>
          </w:tcPr>
          <w:p>
            <w:pPr>
              <w:spacing w:after="0"/>
              <w:rPr>
                <w:sz w:val="20"/>
                <w:szCs w:val="20"/>
                <w:color w:val="auto"/>
              </w:rPr>
            </w:pPr>
            <w:r>
              <w:rPr>
                <w:rFonts w:ascii="Arial" w:cs="Arial" w:eastAsia="Arial" w:hAnsi="Arial"/>
                <w:sz w:val="16"/>
                <w:szCs w:val="16"/>
                <w:color w:val="auto"/>
              </w:rPr>
              <w:t>Savings and interest-checking deposits</w:t>
            </w:r>
          </w:p>
        </w:tc>
        <w:tc>
          <w:tcPr>
            <w:tcW w:w="1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51,698,008</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52,346,207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900" w:type="dxa"/>
            <w:vAlign w:val="bottom"/>
            <w:shd w:val="clear" w:color="auto" w:fill="CFF0FC"/>
          </w:tcPr>
          <w:p>
            <w:pPr>
              <w:spacing w:after="0"/>
              <w:rPr>
                <w:sz w:val="20"/>
                <w:szCs w:val="20"/>
                <w:color w:val="auto"/>
              </w:rPr>
            </w:pPr>
            <w:r>
              <w:rPr>
                <w:rFonts w:ascii="Arial" w:cs="Arial" w:eastAsia="Arial" w:hAnsi="Arial"/>
                <w:sz w:val="16"/>
                <w:szCs w:val="16"/>
                <w:color w:val="auto"/>
              </w:rPr>
              <w:t>Time deposits</w:t>
            </w:r>
          </w:p>
        </w:tc>
        <w:tc>
          <w:tcPr>
            <w:tcW w:w="1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6,580,962</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10,131,846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9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Deposits at Cayman Islands office</w:t>
            </w:r>
          </w:p>
        </w:tc>
        <w:tc>
          <w:tcPr>
            <w:tcW w:w="160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177,996</w:t>
            </w:r>
          </w:p>
        </w:tc>
        <w:tc>
          <w:tcPr>
            <w:tcW w:w="28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201,927</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900" w:type="dxa"/>
            <w:vAlign w:val="bottom"/>
            <w:shd w:val="clear" w:color="auto" w:fill="CFF0FC"/>
          </w:tcPr>
          <w:p>
            <w:pPr>
              <w:ind w:left="480"/>
              <w:spacing w:after="0"/>
              <w:rPr>
                <w:sz w:val="20"/>
                <w:szCs w:val="20"/>
                <w:color w:val="auto"/>
              </w:rPr>
            </w:pPr>
            <w:r>
              <w:rPr>
                <w:rFonts w:ascii="Arial" w:cs="Arial" w:eastAsia="Arial" w:hAnsi="Arial"/>
                <w:sz w:val="16"/>
                <w:szCs w:val="16"/>
                <w:color w:val="auto"/>
              </w:rPr>
              <w:t>Total deposits</w:t>
            </w:r>
          </w:p>
        </w:tc>
        <w:tc>
          <w:tcPr>
            <w:tcW w:w="1600" w:type="dxa"/>
            <w:vAlign w:val="bottom"/>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92,432,146</w:t>
            </w:r>
          </w:p>
        </w:tc>
        <w:tc>
          <w:tcPr>
            <w:tcW w:w="280" w:type="dxa"/>
            <w:vAlign w:val="bottom"/>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95,493,876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900" w:type="dxa"/>
            <w:vAlign w:val="bottom"/>
          </w:tcPr>
          <w:p>
            <w:pPr>
              <w:spacing w:after="0"/>
              <w:rPr>
                <w:sz w:val="20"/>
                <w:szCs w:val="20"/>
                <w:color w:val="auto"/>
              </w:rPr>
            </w:pPr>
            <w:r>
              <w:rPr>
                <w:rFonts w:ascii="Arial" w:cs="Arial" w:eastAsia="Arial" w:hAnsi="Arial"/>
                <w:sz w:val="16"/>
                <w:szCs w:val="16"/>
                <w:color w:val="auto"/>
              </w:rPr>
              <w:t>Short-term borrowings</w:t>
            </w:r>
          </w:p>
        </w:tc>
        <w:tc>
          <w:tcPr>
            <w:tcW w:w="1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175,099</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163,442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900" w:type="dxa"/>
            <w:vAlign w:val="bottom"/>
          </w:tcPr>
          <w:p>
            <w:pPr>
              <w:spacing w:after="0"/>
              <w:rPr>
                <w:sz w:val="20"/>
                <w:szCs w:val="20"/>
                <w:color w:val="auto"/>
              </w:rPr>
            </w:pPr>
            <w:r>
              <w:rPr>
                <w:rFonts w:ascii="Arial" w:cs="Arial" w:eastAsia="Arial" w:hAnsi="Arial"/>
                <w:sz w:val="16"/>
                <w:szCs w:val="16"/>
                <w:color w:val="auto"/>
              </w:rPr>
              <w:t>Accrued interest and other liabilities</w:t>
            </w:r>
          </w:p>
        </w:tc>
        <w:tc>
          <w:tcPr>
            <w:tcW w:w="1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1,593,993</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1,811,431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900" w:type="dxa"/>
            <w:vAlign w:val="bottom"/>
            <w:shd w:val="clear" w:color="auto" w:fill="CFF0FC"/>
          </w:tcPr>
          <w:p>
            <w:pPr>
              <w:spacing w:after="0"/>
              <w:rPr>
                <w:sz w:val="20"/>
                <w:szCs w:val="20"/>
                <w:color w:val="auto"/>
              </w:rPr>
            </w:pPr>
            <w:r>
              <w:rPr>
                <w:rFonts w:ascii="Arial" w:cs="Arial" w:eastAsia="Arial" w:hAnsi="Arial"/>
                <w:sz w:val="16"/>
                <w:szCs w:val="16"/>
                <w:color w:val="auto"/>
              </w:rPr>
              <w:t>Long-term borrowings</w:t>
            </w:r>
          </w:p>
        </w:tc>
        <w:tc>
          <w:tcPr>
            <w:tcW w:w="160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8,141,430</w:t>
            </w:r>
          </w:p>
        </w:tc>
        <w:tc>
          <w:tcPr>
            <w:tcW w:w="28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9,493,835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6900" w:type="dxa"/>
            <w:vAlign w:val="bottom"/>
            <w:tcBorders>
              <w:bottom w:val="single" w:sz="8" w:color="CFF0FC"/>
            </w:tcBorders>
          </w:tcPr>
          <w:p>
            <w:pPr>
              <w:ind w:left="480"/>
              <w:spacing w:after="0"/>
              <w:rPr>
                <w:sz w:val="20"/>
                <w:szCs w:val="20"/>
                <w:color w:val="auto"/>
              </w:rPr>
            </w:pPr>
            <w:r>
              <w:rPr>
                <w:rFonts w:ascii="Arial" w:cs="Arial" w:eastAsia="Arial" w:hAnsi="Arial"/>
                <w:sz w:val="16"/>
                <w:szCs w:val="16"/>
                <w:color w:val="auto"/>
              </w:rPr>
              <w:t>Total liabilities</w:t>
            </w:r>
          </w:p>
        </w:tc>
        <w:tc>
          <w:tcPr>
            <w:tcW w:w="160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102,342,668</w:t>
            </w:r>
          </w:p>
        </w:tc>
        <w:tc>
          <w:tcPr>
            <w:tcW w:w="28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106,962,584</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9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Shareholders' equity</w:t>
            </w:r>
          </w:p>
        </w:tc>
        <w:tc>
          <w:tcPr>
            <w:tcW w:w="16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900" w:type="dxa"/>
            <w:vAlign w:val="bottom"/>
          </w:tcPr>
          <w:p>
            <w:pPr>
              <w:spacing w:after="0"/>
              <w:rPr>
                <w:sz w:val="20"/>
                <w:szCs w:val="20"/>
                <w:color w:val="auto"/>
              </w:rPr>
            </w:pPr>
            <w:r>
              <w:rPr>
                <w:rFonts w:ascii="Arial" w:cs="Arial" w:eastAsia="Arial" w:hAnsi="Arial"/>
                <w:sz w:val="16"/>
                <w:szCs w:val="16"/>
                <w:color w:val="auto"/>
              </w:rPr>
              <w:t>Preferred stock, $1.00 par, 1,000,000 shares authorized;</w:t>
            </w:r>
          </w:p>
        </w:tc>
        <w:tc>
          <w:tcPr>
            <w:tcW w:w="1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900" w:type="dxa"/>
            <w:vAlign w:val="bottom"/>
          </w:tcPr>
          <w:p>
            <w:pPr>
              <w:ind w:left="120"/>
              <w:spacing w:after="0"/>
              <w:rPr>
                <w:sz w:val="20"/>
                <w:szCs w:val="20"/>
                <w:color w:val="auto"/>
              </w:rPr>
            </w:pPr>
            <w:r>
              <w:rPr>
                <w:rFonts w:ascii="Arial" w:cs="Arial" w:eastAsia="Arial" w:hAnsi="Arial"/>
                <w:sz w:val="16"/>
                <w:szCs w:val="16"/>
                <w:color w:val="auto"/>
              </w:rPr>
              <w:t>Issued and outstanding: Liquidation preference of $1,000 per</w:t>
            </w:r>
          </w:p>
        </w:tc>
        <w:tc>
          <w:tcPr>
            <w:tcW w:w="1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900" w:type="dxa"/>
            <w:vAlign w:val="bottom"/>
          </w:tcPr>
          <w:p>
            <w:pPr>
              <w:ind w:left="120"/>
              <w:spacing w:after="0"/>
              <w:rPr>
                <w:sz w:val="20"/>
                <w:szCs w:val="20"/>
                <w:color w:val="auto"/>
              </w:rPr>
            </w:pPr>
            <w:r>
              <w:rPr>
                <w:rFonts w:ascii="Arial" w:cs="Arial" w:eastAsia="Arial" w:hAnsi="Arial"/>
                <w:sz w:val="16"/>
                <w:szCs w:val="16"/>
                <w:color w:val="auto"/>
              </w:rPr>
              <w:t>share: 731,500 shares at December 31, 2017 and December 31, 2016;</w:t>
            </w:r>
          </w:p>
        </w:tc>
        <w:tc>
          <w:tcPr>
            <w:tcW w:w="1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900" w:type="dxa"/>
            <w:vAlign w:val="bottom"/>
          </w:tcPr>
          <w:p>
            <w:pPr>
              <w:ind w:left="120"/>
              <w:spacing w:after="0"/>
              <w:rPr>
                <w:sz w:val="20"/>
                <w:szCs w:val="20"/>
                <w:color w:val="auto"/>
              </w:rPr>
            </w:pPr>
            <w:r>
              <w:rPr>
                <w:rFonts w:ascii="Arial" w:cs="Arial" w:eastAsia="Arial" w:hAnsi="Arial"/>
                <w:sz w:val="16"/>
                <w:szCs w:val="16"/>
                <w:color w:val="auto"/>
              </w:rPr>
              <w:t>Liquidation preference of $10,000 per share: 50,000</w:t>
            </w:r>
          </w:p>
        </w:tc>
        <w:tc>
          <w:tcPr>
            <w:tcW w:w="1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900" w:type="dxa"/>
            <w:vAlign w:val="bottom"/>
          </w:tcPr>
          <w:p>
            <w:pPr>
              <w:ind w:left="120"/>
              <w:spacing w:after="0"/>
              <w:rPr>
                <w:sz w:val="20"/>
                <w:szCs w:val="20"/>
                <w:color w:val="auto"/>
              </w:rPr>
            </w:pPr>
            <w:r>
              <w:rPr>
                <w:rFonts w:ascii="Arial" w:cs="Arial" w:eastAsia="Arial" w:hAnsi="Arial"/>
                <w:sz w:val="16"/>
                <w:szCs w:val="16"/>
                <w:color w:val="auto"/>
              </w:rPr>
              <w:t>shares at December 31, 2017 and December 31, 2016</w:t>
            </w:r>
          </w:p>
        </w:tc>
        <w:tc>
          <w:tcPr>
            <w:tcW w:w="1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1,231,500</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1,231,500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900" w:type="dxa"/>
            <w:vAlign w:val="bottom"/>
            <w:shd w:val="clear" w:color="auto" w:fill="CFF0FC"/>
          </w:tcPr>
          <w:p>
            <w:pPr>
              <w:spacing w:after="0"/>
              <w:rPr>
                <w:sz w:val="20"/>
                <w:szCs w:val="20"/>
                <w:color w:val="auto"/>
              </w:rPr>
            </w:pPr>
            <w:r>
              <w:rPr>
                <w:rFonts w:ascii="Arial" w:cs="Arial" w:eastAsia="Arial" w:hAnsi="Arial"/>
                <w:sz w:val="16"/>
                <w:szCs w:val="16"/>
                <w:color w:val="auto"/>
              </w:rPr>
              <w:t>Common stock, $.50 par, 250,000,000 shares authorized, 159,817,518 shares issued</w:t>
            </w:r>
          </w:p>
        </w:tc>
        <w:tc>
          <w:tcPr>
            <w:tcW w:w="16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9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at December 31, 2017; 159,945,678 shares issued at December 31, 2016</w:t>
            </w:r>
          </w:p>
        </w:tc>
        <w:tc>
          <w:tcPr>
            <w:tcW w:w="1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79,909</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79,973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6900" w:type="dxa"/>
            <w:vAlign w:val="bottom"/>
          </w:tcPr>
          <w:p>
            <w:pPr>
              <w:spacing w:after="0"/>
              <w:rPr>
                <w:sz w:val="20"/>
                <w:szCs w:val="20"/>
                <w:color w:val="auto"/>
              </w:rPr>
            </w:pPr>
            <w:r>
              <w:rPr>
                <w:rFonts w:ascii="Arial" w:cs="Arial" w:eastAsia="Arial" w:hAnsi="Arial"/>
                <w:sz w:val="16"/>
                <w:szCs w:val="16"/>
                <w:color w:val="auto"/>
              </w:rPr>
              <w:t>Common stock issuable, 27,138 shares at December 31, 2017;</w:t>
            </w:r>
          </w:p>
        </w:tc>
        <w:tc>
          <w:tcPr>
            <w:tcW w:w="1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900" w:type="dxa"/>
            <w:vAlign w:val="bottom"/>
          </w:tcPr>
          <w:p>
            <w:pPr>
              <w:ind w:left="120"/>
              <w:spacing w:after="0"/>
              <w:rPr>
                <w:sz w:val="20"/>
                <w:szCs w:val="20"/>
                <w:color w:val="auto"/>
              </w:rPr>
            </w:pPr>
            <w:r>
              <w:rPr>
                <w:rFonts w:ascii="Arial" w:cs="Arial" w:eastAsia="Arial" w:hAnsi="Arial"/>
                <w:sz w:val="16"/>
                <w:szCs w:val="16"/>
                <w:color w:val="auto"/>
              </w:rPr>
              <w:t>32,403 shares at December 31, 2016</w:t>
            </w:r>
          </w:p>
        </w:tc>
        <w:tc>
          <w:tcPr>
            <w:tcW w:w="1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1,847</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2,145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900" w:type="dxa"/>
            <w:vAlign w:val="bottom"/>
            <w:shd w:val="clear" w:color="auto" w:fill="CFF0FC"/>
          </w:tcPr>
          <w:p>
            <w:pPr>
              <w:spacing w:after="0"/>
              <w:rPr>
                <w:sz w:val="20"/>
                <w:szCs w:val="20"/>
                <w:color w:val="auto"/>
              </w:rPr>
            </w:pPr>
            <w:r>
              <w:rPr>
                <w:rFonts w:ascii="Arial" w:cs="Arial" w:eastAsia="Arial" w:hAnsi="Arial"/>
                <w:sz w:val="16"/>
                <w:szCs w:val="16"/>
                <w:color w:val="auto"/>
              </w:rPr>
              <w:t>Additional paid-in capital</w:t>
            </w:r>
          </w:p>
        </w:tc>
        <w:tc>
          <w:tcPr>
            <w:tcW w:w="1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6,590,855</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6,676,948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900" w:type="dxa"/>
            <w:vAlign w:val="bottom"/>
          </w:tcPr>
          <w:p>
            <w:pPr>
              <w:spacing w:after="0"/>
              <w:rPr>
                <w:sz w:val="20"/>
                <w:szCs w:val="20"/>
                <w:color w:val="auto"/>
              </w:rPr>
            </w:pPr>
            <w:r>
              <w:rPr>
                <w:rFonts w:ascii="Arial" w:cs="Arial" w:eastAsia="Arial" w:hAnsi="Arial"/>
                <w:sz w:val="16"/>
                <w:szCs w:val="16"/>
                <w:color w:val="auto"/>
              </w:rPr>
              <w:t>Retained earnings</w:t>
            </w:r>
          </w:p>
        </w:tc>
        <w:tc>
          <w:tcPr>
            <w:tcW w:w="1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10,164,804</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9,222,488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900" w:type="dxa"/>
            <w:vAlign w:val="bottom"/>
            <w:shd w:val="clear" w:color="auto" w:fill="CFF0FC"/>
          </w:tcPr>
          <w:p>
            <w:pPr>
              <w:spacing w:after="0"/>
              <w:rPr>
                <w:sz w:val="20"/>
                <w:szCs w:val="20"/>
                <w:color w:val="auto"/>
              </w:rPr>
            </w:pPr>
            <w:r>
              <w:rPr>
                <w:rFonts w:ascii="Arial" w:cs="Arial" w:eastAsia="Arial" w:hAnsi="Arial"/>
                <w:sz w:val="16"/>
                <w:szCs w:val="16"/>
                <w:color w:val="auto"/>
              </w:rPr>
              <w:t>Accumulated other comprehensive income (loss), net</w:t>
            </w:r>
          </w:p>
        </w:tc>
        <w:tc>
          <w:tcPr>
            <w:tcW w:w="1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(363,814)</w:t>
            </w:r>
          </w:p>
        </w:tc>
        <w:tc>
          <w:tcPr>
            <w:tcW w:w="3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(294,636)</w:t>
            </w:r>
          </w:p>
        </w:tc>
        <w:tc>
          <w:tcPr>
            <w:tcW w:w="0" w:type="dxa"/>
            <w:vAlign w:val="bottom"/>
          </w:tcPr>
          <w:p>
            <w:pPr>
              <w:spacing w:after="0"/>
              <w:rPr>
                <w:sz w:val="1"/>
                <w:szCs w:val="1"/>
                <w:color w:val="auto"/>
              </w:rPr>
            </w:pPr>
          </w:p>
        </w:tc>
      </w:tr>
      <w:tr>
        <w:trPr>
          <w:trHeight w:val="200"/>
        </w:trPr>
        <w:tc>
          <w:tcPr>
            <w:tcW w:w="6900" w:type="dxa"/>
            <w:vAlign w:val="bottom"/>
          </w:tcPr>
          <w:p>
            <w:pPr>
              <w:spacing w:after="0"/>
              <w:rPr>
                <w:sz w:val="20"/>
                <w:szCs w:val="20"/>
                <w:color w:val="auto"/>
              </w:rPr>
            </w:pPr>
            <w:r>
              <w:rPr>
                <w:rFonts w:ascii="Arial" w:cs="Arial" w:eastAsia="Arial" w:hAnsi="Arial"/>
                <w:sz w:val="16"/>
                <w:szCs w:val="16"/>
                <w:color w:val="auto"/>
              </w:rPr>
              <w:t>Treasury stock — common, at cost — 9,733,115 shares at December 31, 2017;</w:t>
            </w:r>
          </w:p>
        </w:tc>
        <w:tc>
          <w:tcPr>
            <w:tcW w:w="1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900" w:type="dxa"/>
            <w:vAlign w:val="bottom"/>
          </w:tcPr>
          <w:p>
            <w:pPr>
              <w:ind w:left="120"/>
              <w:spacing w:after="0"/>
              <w:rPr>
                <w:sz w:val="20"/>
                <w:szCs w:val="20"/>
                <w:color w:val="auto"/>
              </w:rPr>
            </w:pPr>
            <w:r>
              <w:rPr>
                <w:rFonts w:ascii="Arial" w:cs="Arial" w:eastAsia="Arial" w:hAnsi="Arial"/>
                <w:sz w:val="16"/>
                <w:szCs w:val="16"/>
                <w:color w:val="auto"/>
              </w:rPr>
              <w:t>3,764,742 shares at December 31, 2016</w:t>
            </w:r>
          </w:p>
        </w:tc>
        <w:tc>
          <w:tcPr>
            <w:tcW w:w="1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(1,454,282)</w:t>
            </w:r>
          </w:p>
        </w:tc>
        <w:tc>
          <w:tcPr>
            <w:tcW w:w="360" w:type="dxa"/>
            <w:vAlign w:val="bottom"/>
          </w:tcPr>
          <w:p>
            <w:pPr>
              <w:spacing w:after="0"/>
              <w:rPr>
                <w:sz w:val="17"/>
                <w:szCs w:val="17"/>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6"/>
                <w:szCs w:val="16"/>
                <w:color w:val="auto"/>
              </w:rPr>
              <w:t>(431,796)</w:t>
            </w:r>
          </w:p>
        </w:tc>
        <w:tc>
          <w:tcPr>
            <w:tcW w:w="0" w:type="dxa"/>
            <w:vAlign w:val="bottom"/>
          </w:tcPr>
          <w:p>
            <w:pPr>
              <w:spacing w:after="0"/>
              <w:rPr>
                <w:sz w:val="1"/>
                <w:szCs w:val="1"/>
                <w:color w:val="auto"/>
              </w:rPr>
            </w:pPr>
          </w:p>
        </w:tc>
      </w:tr>
      <w:tr>
        <w:trPr>
          <w:trHeight w:val="207"/>
        </w:trPr>
        <w:tc>
          <w:tcPr>
            <w:tcW w:w="690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6"/>
                <w:szCs w:val="16"/>
                <w:color w:val="auto"/>
              </w:rPr>
              <w:t>Total shareholders’ equity</w:t>
            </w:r>
          </w:p>
        </w:tc>
        <w:tc>
          <w:tcPr>
            <w:tcW w:w="160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bottom w:val="single" w:sz="8" w:color="auto"/>
            </w:tcBorders>
            <w:shd w:val="clear" w:color="auto" w:fill="CFF0FC"/>
          </w:tcPr>
          <w:p>
            <w:pPr>
              <w:spacing w:after="0"/>
              <w:rPr>
                <w:sz w:val="17"/>
                <w:szCs w:val="17"/>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16,250,819</w:t>
            </w:r>
          </w:p>
        </w:tc>
        <w:tc>
          <w:tcPr>
            <w:tcW w:w="28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bottom w:val="single" w:sz="8" w:color="auto"/>
            </w:tcBorders>
            <w:shd w:val="clear" w:color="auto" w:fill="CFF0FC"/>
          </w:tcPr>
          <w:p>
            <w:pPr>
              <w:spacing w:after="0"/>
              <w:rPr>
                <w:sz w:val="17"/>
                <w:szCs w:val="17"/>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16,486,622</w:t>
            </w: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900" w:type="dxa"/>
            <w:vAlign w:val="bottom"/>
          </w:tcPr>
          <w:p>
            <w:pPr>
              <w:ind w:left="480"/>
              <w:spacing w:after="0"/>
              <w:rPr>
                <w:sz w:val="20"/>
                <w:szCs w:val="20"/>
                <w:color w:val="auto"/>
              </w:rPr>
            </w:pPr>
            <w:r>
              <w:rPr>
                <w:rFonts w:ascii="Arial" w:cs="Arial" w:eastAsia="Arial" w:hAnsi="Arial"/>
                <w:sz w:val="16"/>
                <w:szCs w:val="16"/>
                <w:color w:val="auto"/>
              </w:rPr>
              <w:t>Total liabilities and shareholders’ equity</w:t>
            </w:r>
          </w:p>
        </w:tc>
        <w:tc>
          <w:tcPr>
            <w:tcW w:w="1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118,593,487</w:t>
            </w:r>
          </w:p>
        </w:tc>
        <w:tc>
          <w:tcPr>
            <w:tcW w:w="280" w:type="dxa"/>
            <w:vAlign w:val="bottom"/>
          </w:tcPr>
          <w:p>
            <w:pPr>
              <w:spacing w:after="0"/>
              <w:rPr>
                <w:sz w:val="17"/>
                <w:szCs w:val="17"/>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w w:val="98"/>
              </w:rPr>
              <w:t>123,449,206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See accompanying notes to financial statements.</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109" w:name="page110"/>
    <w:bookmarkEnd w:id="109"/>
    <w:p>
      <w:pPr>
        <w:spacing w:after="0"/>
        <w:rPr>
          <w:sz w:val="20"/>
          <w:szCs w:val="20"/>
          <w:color w:val="auto"/>
        </w:rPr>
      </w:pPr>
      <w:r>
        <w:rPr>
          <w:rFonts w:ascii="Arial" w:cs="Arial" w:eastAsia="Arial" w:hAnsi="Arial"/>
          <w:sz w:val="20"/>
          <w:szCs w:val="20"/>
          <w:b w:val="1"/>
          <w:bCs w:val="1"/>
          <w:color w:val="auto"/>
        </w:rPr>
        <w:t>M&amp;T BANK CORPORATION AND SUBSIDIARIES</w:t>
      </w:r>
    </w:p>
    <w:p>
      <w:pPr>
        <w:spacing w:after="0" w:line="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Consolidated Statement of Income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3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 share)</w:t>
            </w:r>
          </w:p>
        </w:tc>
        <w:tc>
          <w:tcPr>
            <w:tcW w:w="14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w w:val="93"/>
              </w:rPr>
              <w:t>Year Ended December 31</w:t>
            </w: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5360" w:type="dxa"/>
            <w:vAlign w:val="bottom"/>
            <w:tcBorders>
              <w:bottom w:val="single" w:sz="8" w:color="CFF0FC"/>
            </w:tcBorders>
            <w:vMerge w:val="continue"/>
          </w:tcPr>
          <w:p>
            <w:pPr>
              <w:spacing w:after="0"/>
              <w:rPr>
                <w:sz w:val="13"/>
                <w:szCs w:val="13"/>
                <w:color w:val="auto"/>
              </w:rPr>
            </w:pPr>
          </w:p>
        </w:tc>
        <w:tc>
          <w:tcPr>
            <w:tcW w:w="142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53"/>
              <w:spacing w:after="0" w:line="151"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3"/>
              <w:spacing w:after="0" w:line="151"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3"/>
              <w:spacing w:after="0" w:line="151"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5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Interest income</w:t>
            </w:r>
          </w:p>
        </w:tc>
        <w:tc>
          <w:tcPr>
            <w:tcW w:w="14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Loans and leases, including fees</w:t>
            </w: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3,742,867</w:t>
            </w: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3,485,050</w:t>
            </w:r>
          </w:p>
        </w:tc>
        <w:tc>
          <w:tcPr>
            <w:tcW w:w="160" w:type="dxa"/>
            <w:vAlign w:val="bottom"/>
          </w:tcPr>
          <w:p>
            <w:pPr>
              <w:spacing w:after="0"/>
              <w:rPr>
                <w:sz w:val="19"/>
                <w:szCs w:val="19"/>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2,778,151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Investment securities</w:t>
            </w:r>
          </w:p>
        </w:tc>
        <w:tc>
          <w:tcPr>
            <w:tcW w:w="14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Pr>
          <w:p>
            <w:pPr>
              <w:ind w:left="240"/>
              <w:spacing w:after="0"/>
              <w:rPr>
                <w:sz w:val="20"/>
                <w:szCs w:val="20"/>
                <w:color w:val="auto"/>
              </w:rPr>
            </w:pPr>
            <w:r>
              <w:rPr>
                <w:rFonts w:ascii="Arial" w:cs="Arial" w:eastAsia="Arial" w:hAnsi="Arial"/>
                <w:sz w:val="18"/>
                <w:szCs w:val="18"/>
                <w:color w:val="auto"/>
              </w:rPr>
              <w:t>Fully taxable</w:t>
            </w:r>
          </w:p>
        </w:tc>
        <w:tc>
          <w:tcPr>
            <w:tcW w:w="1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361,157</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361,494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372,162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Exempt from federal taxes</w:t>
            </w:r>
          </w:p>
        </w:tc>
        <w:tc>
          <w:tcPr>
            <w:tcW w:w="14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1,431</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Deposits at banks</w:t>
            </w:r>
          </w:p>
        </w:tc>
        <w:tc>
          <w:tcPr>
            <w:tcW w:w="1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61,326</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45,516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15,252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4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1,014</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6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interest income</w:t>
            </w:r>
          </w:p>
        </w:tc>
        <w:tc>
          <w:tcPr>
            <w:tcW w:w="142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4,167,795</w:t>
            </w:r>
          </w:p>
        </w:tc>
        <w:tc>
          <w:tcPr>
            <w:tcW w:w="26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3,895,871</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3,170,844</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Interest expense</w:t>
            </w:r>
          </w:p>
        </w:tc>
        <w:tc>
          <w:tcPr>
            <w:tcW w:w="14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Savings and interest-checking deposits</w:t>
            </w:r>
          </w:p>
        </w:tc>
        <w:tc>
          <w:tcPr>
            <w:tcW w:w="1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133,177</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87,704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46,140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Time deposits</w:t>
            </w:r>
          </w:p>
        </w:tc>
        <w:tc>
          <w:tcPr>
            <w:tcW w:w="14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61,505</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102,841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Deposits at Cayman Islands office</w:t>
            </w:r>
          </w:p>
        </w:tc>
        <w:tc>
          <w:tcPr>
            <w:tcW w:w="1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1,186</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Short-term borrowings</w:t>
            </w:r>
          </w:p>
        </w:tc>
        <w:tc>
          <w:tcPr>
            <w:tcW w:w="14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1,511</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Long-term borrowings</w:t>
            </w:r>
          </w:p>
        </w:tc>
        <w:tc>
          <w:tcPr>
            <w:tcW w:w="14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189,372</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231,017</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252,766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3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interest expense</w:t>
            </w:r>
          </w:p>
        </w:tc>
        <w:tc>
          <w:tcPr>
            <w:tcW w:w="142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386,751</w:t>
            </w:r>
          </w:p>
        </w:tc>
        <w:tc>
          <w:tcPr>
            <w:tcW w:w="26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425,984</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328,257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i w:val="1"/>
                <w:iCs w:val="1"/>
                <w:color w:val="auto"/>
              </w:rPr>
              <w:t>Net interest income</w:t>
            </w: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3,781,044</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3,469,887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2,842,587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Provision for credit losses</w:t>
            </w:r>
          </w:p>
        </w:tc>
        <w:tc>
          <w:tcPr>
            <w:tcW w:w="14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168,000</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190,000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interest income after provision for credit losses</w:t>
            </w:r>
          </w:p>
        </w:tc>
        <w:tc>
          <w:tcPr>
            <w:tcW w:w="142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3,613,044</w:t>
            </w:r>
          </w:p>
        </w:tc>
        <w:tc>
          <w:tcPr>
            <w:tcW w:w="26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3,279,887</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2,672,587</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income</w:t>
            </w:r>
          </w:p>
        </w:tc>
        <w:tc>
          <w:tcPr>
            <w:tcW w:w="14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Mortgage banking revenues</w:t>
            </w:r>
          </w:p>
        </w:tc>
        <w:tc>
          <w:tcPr>
            <w:tcW w:w="1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363,827</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373,697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375,738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Service charges on deposit accounts</w:t>
            </w:r>
          </w:p>
        </w:tc>
        <w:tc>
          <w:tcPr>
            <w:tcW w:w="14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427,372</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419,102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420,608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Trust income</w:t>
            </w:r>
          </w:p>
        </w:tc>
        <w:tc>
          <w:tcPr>
            <w:tcW w:w="1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501,381</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472,184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470,640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Brokerage services income</w:t>
            </w:r>
          </w:p>
        </w:tc>
        <w:tc>
          <w:tcPr>
            <w:tcW w:w="14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61,445</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63,423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64,770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Trading account and foreign exchange gains</w:t>
            </w:r>
          </w:p>
        </w:tc>
        <w:tc>
          <w:tcPr>
            <w:tcW w:w="1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35,301</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41,126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30,577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Gain (loss) on bank investment securities</w:t>
            </w:r>
          </w:p>
        </w:tc>
        <w:tc>
          <w:tcPr>
            <w:tcW w:w="14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21,279</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30,314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23"/>
        </w:trPr>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revenues from operations</w:t>
            </w:r>
          </w:p>
        </w:tc>
        <w:tc>
          <w:tcPr>
            <w:tcW w:w="14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440,538</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426,150</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462,834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3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other income</w:t>
            </w:r>
          </w:p>
        </w:tc>
        <w:tc>
          <w:tcPr>
            <w:tcW w:w="142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1,851,143</w:t>
            </w:r>
          </w:p>
        </w:tc>
        <w:tc>
          <w:tcPr>
            <w:tcW w:w="26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1,825,996</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1,825,037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b w:val="1"/>
                <w:bCs w:val="1"/>
                <w:color w:val="auto"/>
              </w:rPr>
              <w:t>Other expense</w:t>
            </w: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Salaries and employee benefits</w:t>
            </w:r>
          </w:p>
        </w:tc>
        <w:tc>
          <w:tcPr>
            <w:tcW w:w="14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1,650,729</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1,623,600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1,549,530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Equipment and net occupancy</w:t>
            </w:r>
          </w:p>
        </w:tc>
        <w:tc>
          <w:tcPr>
            <w:tcW w:w="1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295,084</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295,141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272,539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Outside data processing and software</w:t>
            </w:r>
          </w:p>
        </w:tc>
        <w:tc>
          <w:tcPr>
            <w:tcW w:w="14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184,670</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172,389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164,133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FDIC assessments</w:t>
            </w:r>
          </w:p>
        </w:tc>
        <w:tc>
          <w:tcPr>
            <w:tcW w:w="1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101,871</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105,045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52,113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Advertising and marketing</w:t>
            </w:r>
          </w:p>
        </w:tc>
        <w:tc>
          <w:tcPr>
            <w:tcW w:w="14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69,203</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87,137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59,227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Printing, postage and supplies</w:t>
            </w:r>
          </w:p>
        </w:tc>
        <w:tc>
          <w:tcPr>
            <w:tcW w:w="1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35,960</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39,546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38,491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core deposit and other intangible assets</w:t>
            </w:r>
          </w:p>
        </w:tc>
        <w:tc>
          <w:tcPr>
            <w:tcW w:w="14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31,366</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42,613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costs of operations</w:t>
            </w:r>
          </w:p>
        </w:tc>
        <w:tc>
          <w:tcPr>
            <w:tcW w:w="14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771,442</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682,014</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660,475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3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other expense</w:t>
            </w:r>
          </w:p>
        </w:tc>
        <w:tc>
          <w:tcPr>
            <w:tcW w:w="142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3,140,325</w:t>
            </w:r>
          </w:p>
        </w:tc>
        <w:tc>
          <w:tcPr>
            <w:tcW w:w="26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3,047,485</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2,822,932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Income before taxes</w:t>
            </w: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2,323,862</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2,058,398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1,674,692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Income taxes</w:t>
            </w:r>
          </w:p>
        </w:tc>
        <w:tc>
          <w:tcPr>
            <w:tcW w:w="14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915,556</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743,284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595,025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5360" w:type="dxa"/>
            <w:vAlign w:val="bottom"/>
          </w:tcPr>
          <w:p>
            <w:pPr>
              <w:spacing w:after="0"/>
              <w:rPr>
                <w:sz w:val="20"/>
                <w:szCs w:val="20"/>
                <w:color w:val="auto"/>
              </w:rPr>
            </w:pPr>
            <w:r>
              <w:rPr>
                <w:rFonts w:ascii="Arial" w:cs="Arial" w:eastAsia="Arial" w:hAnsi="Arial"/>
                <w:sz w:val="18"/>
                <w:szCs w:val="18"/>
                <w:i w:val="1"/>
                <w:iCs w:val="1"/>
                <w:color w:val="auto"/>
              </w:rPr>
              <w:t>Net income</w:t>
            </w: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1,408,306</w:t>
            </w: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1,315,114</w:t>
            </w:r>
          </w:p>
        </w:tc>
        <w:tc>
          <w:tcPr>
            <w:tcW w:w="160" w:type="dxa"/>
            <w:vAlign w:val="bottom"/>
          </w:tcPr>
          <w:p>
            <w:pPr>
              <w:spacing w:after="0"/>
              <w:rPr>
                <w:sz w:val="22"/>
                <w:szCs w:val="22"/>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1,079,667</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5360" w:type="dxa"/>
            <w:vAlign w:val="bottom"/>
            <w:tcBorders>
              <w:top w:val="single" w:sz="8" w:color="CFF0FC"/>
            </w:tcBorders>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Net income available to common shareholders</w:t>
            </w:r>
          </w:p>
        </w:tc>
        <w:tc>
          <w:tcPr>
            <w:tcW w:w="142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360" w:type="dxa"/>
            <w:vAlign w:val="bottom"/>
          </w:tcPr>
          <w:p>
            <w:pPr>
              <w:ind w:left="480"/>
              <w:spacing w:after="0"/>
              <w:rPr>
                <w:sz w:val="20"/>
                <w:szCs w:val="20"/>
                <w:color w:val="auto"/>
              </w:rPr>
            </w:pPr>
            <w:r>
              <w:rPr>
                <w:rFonts w:ascii="Arial" w:cs="Arial" w:eastAsia="Arial" w:hAnsi="Arial"/>
                <w:sz w:val="18"/>
                <w:szCs w:val="18"/>
                <w:color w:val="auto"/>
              </w:rPr>
              <w:t>Basic</w:t>
            </w: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1,327,503</w:t>
            </w: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1,223,459</w:t>
            </w:r>
          </w:p>
        </w:tc>
        <w:tc>
          <w:tcPr>
            <w:tcW w:w="160" w:type="dxa"/>
            <w:vAlign w:val="bottom"/>
          </w:tcPr>
          <w:p>
            <w:pPr>
              <w:spacing w:after="0"/>
              <w:rPr>
                <w:sz w:val="19"/>
                <w:szCs w:val="19"/>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987,689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Diluted</w:t>
            </w:r>
          </w:p>
        </w:tc>
        <w:tc>
          <w:tcPr>
            <w:tcW w:w="14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1,327,517</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1,223,481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987,724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Pr>
          <w:p>
            <w:pPr>
              <w:spacing w:after="0"/>
              <w:rPr>
                <w:sz w:val="20"/>
                <w:szCs w:val="20"/>
                <w:color w:val="auto"/>
              </w:rPr>
            </w:pPr>
            <w:r>
              <w:rPr>
                <w:rFonts w:ascii="Arial" w:cs="Arial" w:eastAsia="Arial" w:hAnsi="Arial"/>
                <w:sz w:val="18"/>
                <w:szCs w:val="18"/>
                <w:b w:val="1"/>
                <w:bCs w:val="1"/>
                <w:color w:val="auto"/>
              </w:rPr>
              <w:t>Net income per common share</w:t>
            </w:r>
          </w:p>
        </w:tc>
        <w:tc>
          <w:tcPr>
            <w:tcW w:w="1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Basic</w:t>
            </w:r>
          </w:p>
        </w:tc>
        <w:tc>
          <w:tcPr>
            <w:tcW w:w="17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8.72</w:t>
            </w:r>
          </w:p>
        </w:tc>
        <w:tc>
          <w:tcPr>
            <w:tcW w:w="5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7.80</w:t>
            </w:r>
          </w:p>
        </w:tc>
        <w:tc>
          <w:tcPr>
            <w:tcW w:w="16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Pr>
          <w:p>
            <w:pPr>
              <w:ind w:left="480"/>
              <w:spacing w:after="0"/>
              <w:rPr>
                <w:sz w:val="20"/>
                <w:szCs w:val="20"/>
                <w:color w:val="auto"/>
              </w:rPr>
            </w:pPr>
            <w:r>
              <w:rPr>
                <w:rFonts w:ascii="Arial" w:cs="Arial" w:eastAsia="Arial" w:hAnsi="Arial"/>
                <w:sz w:val="18"/>
                <w:szCs w:val="18"/>
                <w:color w:val="auto"/>
              </w:rPr>
              <w:t>Diluted</w:t>
            </w:r>
          </w:p>
        </w:tc>
        <w:tc>
          <w:tcPr>
            <w:tcW w:w="1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8.70</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See accompanying notes to financial statements.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110" w:name="page111"/>
    <w:bookmarkEnd w:id="110"/>
    <w:p>
      <w:pPr>
        <w:spacing w:after="0"/>
        <w:rPr>
          <w:sz w:val="20"/>
          <w:szCs w:val="20"/>
          <w:color w:val="auto"/>
        </w:rPr>
      </w:pPr>
      <w:r>
        <w:rPr>
          <w:rFonts w:ascii="Arial" w:cs="Arial" w:eastAsia="Arial" w:hAnsi="Arial"/>
          <w:sz w:val="20"/>
          <w:szCs w:val="20"/>
          <w:b w:val="1"/>
          <w:bCs w:val="1"/>
          <w:color w:val="auto"/>
        </w:rPr>
        <w:t>M&amp;T BANK CORPORATION AND SUBSIDIARIES</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Consolidated Statement of Comprehensive Income</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3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3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w w:val="91"/>
              </w:rPr>
              <w:t>Year Ended December 31</w:t>
            </w: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5360" w:type="dxa"/>
            <w:vAlign w:val="bottom"/>
            <w:vMerge w:val="continue"/>
          </w:tcPr>
          <w:p>
            <w:pPr>
              <w:spacing w:after="0"/>
              <w:rPr>
                <w:sz w:val="13"/>
                <w:szCs w:val="13"/>
                <w:color w:val="auto"/>
              </w:rPr>
            </w:pPr>
          </w:p>
        </w:tc>
        <w:tc>
          <w:tcPr>
            <w:tcW w:w="13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23"/>
              <w:spacing w:after="0" w:line="151"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43"/>
              <w:spacing w:after="0" w:line="151" w:lineRule="exact"/>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43"/>
              <w:spacing w:after="0" w:line="151" w:lineRule="exact"/>
              <w:rPr>
                <w:sz w:val="20"/>
                <w:szCs w:val="20"/>
                <w:color w:val="auto"/>
              </w:rPr>
            </w:pPr>
            <w:r>
              <w:rPr>
                <w:rFonts w:ascii="Arial" w:cs="Arial" w:eastAsia="Arial" w:hAnsi="Arial"/>
                <w:sz w:val="14"/>
                <w:szCs w:val="14"/>
                <w:b w:val="1"/>
                <w:bCs w:val="1"/>
                <w:color w:val="auto"/>
              </w:rPr>
              <w:t>2015</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53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5360" w:type="dxa"/>
            <w:vAlign w:val="bottom"/>
            <w:shd w:val="clear" w:color="auto" w:fill="CFF0FC"/>
          </w:tcPr>
          <w:p>
            <w:pPr>
              <w:spacing w:after="0"/>
              <w:rPr>
                <w:sz w:val="20"/>
                <w:szCs w:val="20"/>
                <w:color w:val="auto"/>
              </w:rPr>
            </w:pPr>
            <w:r>
              <w:rPr>
                <w:rFonts w:ascii="Arial" w:cs="Arial" w:eastAsia="Arial" w:hAnsi="Arial"/>
                <w:sz w:val="20"/>
                <w:szCs w:val="20"/>
                <w:color w:val="auto"/>
              </w:rPr>
              <w:t>Net income</w:t>
            </w:r>
          </w:p>
        </w:tc>
        <w:tc>
          <w:tcPr>
            <w:tcW w:w="1600" w:type="dxa"/>
            <w:vAlign w:val="bottom"/>
            <w:gridSpan w:val="2"/>
            <w:shd w:val="clear" w:color="auto" w:fill="CFF0FC"/>
          </w:tcPr>
          <w:p>
            <w:pPr>
              <w:jc w:val="right"/>
              <w:ind w:right="99"/>
              <w:spacing w:after="0"/>
              <w:rPr>
                <w:sz w:val="20"/>
                <w:szCs w:val="20"/>
                <w:color w:val="auto"/>
              </w:rPr>
            </w:pPr>
            <w:r>
              <w:rPr>
                <w:rFonts w:ascii="Arial" w:cs="Arial" w:eastAsia="Arial" w:hAnsi="Arial"/>
                <w:sz w:val="20"/>
                <w:szCs w:val="20"/>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1,408,306</w:t>
            </w:r>
          </w:p>
        </w:tc>
        <w:tc>
          <w:tcPr>
            <w:tcW w:w="120" w:type="dxa"/>
            <w:vAlign w:val="bottom"/>
            <w:shd w:val="clear" w:color="auto" w:fill="CFF0FC"/>
          </w:tcPr>
          <w:p>
            <w:pPr>
              <w:spacing w:after="0"/>
              <w:rPr>
                <w:sz w:val="21"/>
                <w:szCs w:val="21"/>
                <w:color w:val="auto"/>
              </w:rPr>
            </w:pPr>
          </w:p>
        </w:tc>
        <w:tc>
          <w:tcPr>
            <w:tcW w:w="440" w:type="dxa"/>
            <w:vAlign w:val="bottom"/>
            <w:gridSpan w:val="2"/>
            <w:shd w:val="clear" w:color="auto" w:fill="CFF0FC"/>
          </w:tcPr>
          <w:p>
            <w:pPr>
              <w:jc w:val="right"/>
              <w:ind w:right="99"/>
              <w:spacing w:after="0"/>
              <w:rPr>
                <w:sz w:val="20"/>
                <w:szCs w:val="20"/>
                <w:color w:val="auto"/>
              </w:rPr>
            </w:pPr>
            <w:r>
              <w:rPr>
                <w:rFonts w:ascii="Arial" w:cs="Arial" w:eastAsia="Arial" w:hAnsi="Arial"/>
                <w:sz w:val="20"/>
                <w:szCs w:val="20"/>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1,315,114</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19"/>
              <w:spacing w:after="0"/>
              <w:rPr>
                <w:sz w:val="20"/>
                <w:szCs w:val="20"/>
                <w:color w:val="auto"/>
              </w:rPr>
            </w:pPr>
            <w:r>
              <w:rPr>
                <w:rFonts w:ascii="Arial" w:cs="Arial" w:eastAsia="Arial" w:hAnsi="Arial"/>
                <w:sz w:val="20"/>
                <w:szCs w:val="20"/>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1,079,667</w:t>
            </w:r>
          </w:p>
        </w:tc>
        <w:tc>
          <w:tcPr>
            <w:tcW w:w="2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360" w:type="dxa"/>
            <w:vAlign w:val="bottom"/>
          </w:tcPr>
          <w:p>
            <w:pPr>
              <w:spacing w:after="0"/>
              <w:rPr>
                <w:sz w:val="20"/>
                <w:szCs w:val="20"/>
                <w:color w:val="auto"/>
              </w:rPr>
            </w:pPr>
            <w:r>
              <w:rPr>
                <w:rFonts w:ascii="Arial" w:cs="Arial" w:eastAsia="Arial" w:hAnsi="Arial"/>
                <w:sz w:val="20"/>
                <w:szCs w:val="20"/>
                <w:color w:val="auto"/>
              </w:rPr>
              <w:t>Other comprehensive income (loss), net of tax and</w:t>
            </w:r>
          </w:p>
        </w:tc>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360" w:type="dxa"/>
            <w:vAlign w:val="bottom"/>
          </w:tcPr>
          <w:p>
            <w:pPr>
              <w:ind w:left="160"/>
              <w:spacing w:after="0"/>
              <w:rPr>
                <w:sz w:val="20"/>
                <w:szCs w:val="20"/>
                <w:color w:val="auto"/>
              </w:rPr>
            </w:pPr>
            <w:r>
              <w:rPr>
                <w:rFonts w:ascii="Arial" w:cs="Arial" w:eastAsia="Arial" w:hAnsi="Arial"/>
                <w:sz w:val="20"/>
                <w:szCs w:val="20"/>
                <w:color w:val="auto"/>
              </w:rPr>
              <w:t>reclassification adjustments:</w:t>
            </w:r>
          </w:p>
        </w:tc>
        <w:tc>
          <w:tcPr>
            <w:tcW w:w="1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36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Net unrealized losses on investment securities</w:t>
            </w:r>
          </w:p>
        </w:tc>
        <w:tc>
          <w:tcPr>
            <w:tcW w:w="1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20"/>
                <w:szCs w:val="20"/>
                <w:color w:val="auto"/>
              </w:rPr>
              <w:t>(19,766)</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20"/>
                <w:szCs w:val="20"/>
                <w:color w:val="auto"/>
              </w:rPr>
              <w:t>(64,406)</w:t>
            </w:r>
          </w:p>
        </w:tc>
        <w:tc>
          <w:tcPr>
            <w:tcW w:w="3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20"/>
                <w:szCs w:val="20"/>
                <w:color w:val="auto"/>
              </w:rPr>
              <w:t>(79,114)</w:t>
            </w:r>
          </w:p>
        </w:tc>
        <w:tc>
          <w:tcPr>
            <w:tcW w:w="0" w:type="dxa"/>
            <w:vAlign w:val="bottom"/>
          </w:tcPr>
          <w:p>
            <w:pPr>
              <w:spacing w:after="0"/>
              <w:rPr>
                <w:sz w:val="1"/>
                <w:szCs w:val="1"/>
                <w:color w:val="auto"/>
              </w:rPr>
            </w:pPr>
          </w:p>
        </w:tc>
      </w:tr>
      <w:tr>
        <w:trPr>
          <w:trHeight w:val="250"/>
        </w:trPr>
        <w:tc>
          <w:tcPr>
            <w:tcW w:w="5360" w:type="dxa"/>
            <w:vAlign w:val="bottom"/>
          </w:tcPr>
          <w:p>
            <w:pPr>
              <w:ind w:left="240"/>
              <w:spacing w:after="0"/>
              <w:rPr>
                <w:sz w:val="20"/>
                <w:szCs w:val="20"/>
                <w:color w:val="auto"/>
              </w:rPr>
            </w:pPr>
            <w:r>
              <w:rPr>
                <w:rFonts w:ascii="Arial" w:cs="Arial" w:eastAsia="Arial" w:hAnsi="Arial"/>
                <w:sz w:val="20"/>
                <w:szCs w:val="20"/>
                <w:color w:val="auto"/>
              </w:rPr>
              <w:t>Cash flow hedges adjustments</w:t>
            </w:r>
          </w:p>
        </w:tc>
        <w:tc>
          <w:tcPr>
            <w:tcW w:w="1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20"/>
                <w:szCs w:val="20"/>
                <w:color w:val="auto"/>
              </w:rPr>
              <w:t>(9,912)</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20"/>
                <w:szCs w:val="20"/>
                <w:color w:val="auto"/>
              </w:rPr>
              <w:t>(94)</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796</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360" w:type="dxa"/>
            <w:vAlign w:val="bottom"/>
            <w:shd w:val="clear" w:color="auto" w:fill="CFF0FC"/>
          </w:tcPr>
          <w:p>
            <w:pPr>
              <w:ind w:left="240"/>
              <w:spacing w:after="0"/>
              <w:rPr>
                <w:sz w:val="20"/>
                <w:szCs w:val="20"/>
                <w:color w:val="auto"/>
              </w:rPr>
            </w:pPr>
            <w:r>
              <w:rPr>
                <w:rFonts w:ascii="Arial" w:cs="Arial" w:eastAsia="Arial" w:hAnsi="Arial"/>
                <w:sz w:val="20"/>
                <w:szCs w:val="20"/>
                <w:color w:val="auto"/>
              </w:rPr>
              <w:t>Foreign currency translation adjustment</w:t>
            </w:r>
          </w:p>
        </w:tc>
        <w:tc>
          <w:tcPr>
            <w:tcW w:w="1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2,241</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20"/>
                <w:szCs w:val="20"/>
                <w:color w:val="auto"/>
              </w:rPr>
              <w:t>(2,614)</w:t>
            </w:r>
          </w:p>
        </w:tc>
        <w:tc>
          <w:tcPr>
            <w:tcW w:w="3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20"/>
                <w:szCs w:val="20"/>
                <w:color w:val="auto"/>
              </w:rPr>
              <w:t>(925)</w:t>
            </w:r>
          </w:p>
        </w:tc>
        <w:tc>
          <w:tcPr>
            <w:tcW w:w="0" w:type="dxa"/>
            <w:vAlign w:val="bottom"/>
          </w:tcPr>
          <w:p>
            <w:pPr>
              <w:spacing w:after="0"/>
              <w:rPr>
                <w:sz w:val="1"/>
                <w:szCs w:val="1"/>
                <w:color w:val="auto"/>
              </w:rPr>
            </w:pPr>
          </w:p>
        </w:tc>
      </w:tr>
      <w:tr>
        <w:trPr>
          <w:trHeight w:val="250"/>
        </w:trPr>
        <w:tc>
          <w:tcPr>
            <w:tcW w:w="5360" w:type="dxa"/>
            <w:vAlign w:val="bottom"/>
            <w:tcBorders>
              <w:bottom w:val="single" w:sz="8" w:color="CFF0FC"/>
            </w:tcBorders>
          </w:tcPr>
          <w:p>
            <w:pPr>
              <w:ind w:left="240"/>
              <w:spacing w:after="0"/>
              <w:rPr>
                <w:sz w:val="20"/>
                <w:szCs w:val="20"/>
                <w:color w:val="auto"/>
              </w:rPr>
            </w:pPr>
            <w:r>
              <w:rPr>
                <w:rFonts w:ascii="Arial" w:cs="Arial" w:eastAsia="Arial" w:hAnsi="Arial"/>
                <w:sz w:val="20"/>
                <w:szCs w:val="20"/>
                <w:color w:val="auto"/>
              </w:rPr>
              <w:t>Defined benefit plans liability adjustments</w:t>
            </w:r>
          </w:p>
        </w:tc>
        <w:tc>
          <w:tcPr>
            <w:tcW w:w="130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22,288</w:t>
            </w:r>
          </w:p>
        </w:tc>
        <w:tc>
          <w:tcPr>
            <w:tcW w:w="12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24,105</w:t>
            </w:r>
          </w:p>
        </w:tc>
        <w:tc>
          <w:tcPr>
            <w:tcW w:w="24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8,610</w:t>
            </w:r>
          </w:p>
        </w:tc>
        <w:tc>
          <w:tcPr>
            <w:tcW w:w="26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60" w:type="dxa"/>
            <w:vAlign w:val="bottom"/>
            <w:shd w:val="clear" w:color="auto" w:fill="CFF0FC"/>
          </w:tcPr>
          <w:p>
            <w:pPr>
              <w:ind w:left="480"/>
              <w:spacing w:after="0"/>
              <w:rPr>
                <w:sz w:val="20"/>
                <w:szCs w:val="20"/>
                <w:color w:val="auto"/>
              </w:rPr>
            </w:pPr>
            <w:r>
              <w:rPr>
                <w:rFonts w:ascii="Arial" w:cs="Arial" w:eastAsia="Arial" w:hAnsi="Arial"/>
                <w:sz w:val="20"/>
                <w:szCs w:val="20"/>
                <w:color w:val="auto"/>
              </w:rPr>
              <w:t>Total other comprehensive loss</w:t>
            </w:r>
          </w:p>
        </w:tc>
        <w:tc>
          <w:tcPr>
            <w:tcW w:w="1300" w:type="dxa"/>
            <w:vAlign w:val="bottom"/>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(5,149)</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(43,009)</w:t>
            </w:r>
          </w:p>
        </w:tc>
        <w:tc>
          <w:tcPr>
            <w:tcW w:w="240" w:type="dxa"/>
            <w:vAlign w:val="bottom"/>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(70,633)</w:t>
            </w:r>
          </w:p>
        </w:tc>
        <w:tc>
          <w:tcPr>
            <w:tcW w:w="2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60" w:type="dxa"/>
            <w:vAlign w:val="bottom"/>
          </w:tcPr>
          <w:p>
            <w:pPr>
              <w:ind w:left="480"/>
              <w:spacing w:after="0"/>
              <w:rPr>
                <w:sz w:val="20"/>
                <w:szCs w:val="20"/>
                <w:color w:val="auto"/>
              </w:rPr>
            </w:pPr>
            <w:r>
              <w:rPr>
                <w:rFonts w:ascii="Arial" w:cs="Arial" w:eastAsia="Arial" w:hAnsi="Arial"/>
                <w:sz w:val="20"/>
                <w:szCs w:val="20"/>
                <w:color w:val="auto"/>
              </w:rPr>
              <w:t>Total comprehensive income</w:t>
            </w:r>
          </w:p>
        </w:tc>
        <w:tc>
          <w:tcPr>
            <w:tcW w:w="1300" w:type="dxa"/>
            <w:vAlign w:val="bottom"/>
          </w:tcPr>
          <w:p>
            <w:pPr>
              <w:spacing w:after="0"/>
              <w:rPr>
                <w:sz w:val="21"/>
                <w:szCs w:val="21"/>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20"/>
                <w:szCs w:val="20"/>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1,403,157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20"/>
                <w:szCs w:val="20"/>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1,272,105</w:t>
            </w:r>
          </w:p>
        </w:tc>
        <w:tc>
          <w:tcPr>
            <w:tcW w:w="240" w:type="dxa"/>
            <w:vAlign w:val="bottom"/>
          </w:tcPr>
          <w:p>
            <w:pPr>
              <w:spacing w:after="0"/>
              <w:rPr>
                <w:sz w:val="21"/>
                <w:szCs w:val="21"/>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20"/>
                <w:szCs w:val="20"/>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1,009,034</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color w:val="auto"/>
        </w:rPr>
        <w:t>M&amp;T BANK CORPORATION AND SUBSIDIARIES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Cash Flows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8100" w:type="dxa"/>
            <w:vAlign w:val="bottom"/>
            <w:vMerge w:val="restart"/>
          </w:tcPr>
          <w:p>
            <w:pPr>
              <w:spacing w:after="0"/>
              <w:rPr>
                <w:sz w:val="20"/>
                <w:szCs w:val="20"/>
                <w:color w:val="auto"/>
              </w:rPr>
            </w:pPr>
            <w:r>
              <w:rPr>
                <w:rFonts w:ascii="Arial" w:cs="Arial" w:eastAsia="Arial" w:hAnsi="Arial"/>
                <w:sz w:val="12"/>
                <w:szCs w:val="12"/>
                <w:b w:val="1"/>
                <w:bCs w:val="1"/>
                <w:color w:val="auto"/>
              </w:rPr>
              <w:t>(In thousands)</w:t>
            </w: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2"/>
                <w:szCs w:val="12"/>
                <w:b w:val="1"/>
                <w:bCs w:val="1"/>
                <w:color w:val="auto"/>
                <w:w w:val="91"/>
              </w:rPr>
              <w:t>Year Ended December 31</w:t>
            </w: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8100" w:type="dxa"/>
            <w:vAlign w:val="bottom"/>
            <w:tcBorders>
              <w:bottom w:val="single" w:sz="8" w:color="CFF0FC"/>
            </w:tcBorders>
            <w:vMerge w:val="continue"/>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59"/>
              <w:spacing w:after="0"/>
              <w:rPr>
                <w:sz w:val="20"/>
                <w:szCs w:val="20"/>
                <w:color w:val="auto"/>
              </w:rPr>
            </w:pPr>
            <w:r>
              <w:rPr>
                <w:rFonts w:ascii="Arial" w:cs="Arial" w:eastAsia="Arial" w:hAnsi="Arial"/>
                <w:sz w:val="12"/>
                <w:szCs w:val="12"/>
                <w:b w:val="1"/>
                <w:bCs w:val="1"/>
                <w:color w:val="auto"/>
              </w:rPr>
              <w:t>2017</w:t>
            </w:r>
          </w:p>
        </w:tc>
        <w:tc>
          <w:tcPr>
            <w:tcW w:w="40" w:type="dxa"/>
            <w:vAlign w:val="bottom"/>
            <w:tcBorders>
              <w:bottom w:val="single" w:sz="8" w:color="CFF0FC"/>
            </w:tcBorders>
          </w:tcPr>
          <w:p>
            <w:pPr>
              <w:spacing w:after="0"/>
              <w:rPr>
                <w:sz w:val="11"/>
                <w:szCs w:val="11"/>
                <w:color w:val="auto"/>
              </w:rPr>
            </w:pPr>
          </w:p>
        </w:tc>
        <w:tc>
          <w:tcPr>
            <w:tcW w:w="240" w:type="dxa"/>
            <w:vAlign w:val="bottom"/>
            <w:tcBorders>
              <w:bottom w:val="single" w:sz="8" w:color="CFF0FC"/>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59"/>
              <w:spacing w:after="0"/>
              <w:rPr>
                <w:sz w:val="20"/>
                <w:szCs w:val="20"/>
                <w:color w:val="auto"/>
              </w:rPr>
            </w:pPr>
            <w:r>
              <w:rPr>
                <w:rFonts w:ascii="Arial" w:cs="Arial" w:eastAsia="Arial" w:hAnsi="Arial"/>
                <w:sz w:val="12"/>
                <w:szCs w:val="12"/>
                <w:b w:val="1"/>
                <w:bCs w:val="1"/>
                <w:color w:val="auto"/>
              </w:rPr>
              <w:t>2016</w:t>
            </w:r>
          </w:p>
        </w:tc>
        <w:tc>
          <w:tcPr>
            <w:tcW w:w="280" w:type="dxa"/>
            <w:vAlign w:val="bottom"/>
            <w:tcBorders>
              <w:bottom w:val="single" w:sz="8" w:color="CFF0FC"/>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79"/>
              <w:spacing w:after="0"/>
              <w:rPr>
                <w:sz w:val="20"/>
                <w:szCs w:val="20"/>
                <w:color w:val="auto"/>
              </w:rPr>
            </w:pPr>
            <w:r>
              <w:rPr>
                <w:rFonts w:ascii="Arial" w:cs="Arial" w:eastAsia="Arial" w:hAnsi="Arial"/>
                <w:sz w:val="12"/>
                <w:szCs w:val="12"/>
                <w:b w:val="1"/>
                <w:bCs w:val="1"/>
                <w:color w:val="auto"/>
              </w:rPr>
              <w:t>2015</w:t>
            </w:r>
          </w:p>
        </w:tc>
        <w:tc>
          <w:tcPr>
            <w:tcW w:w="10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810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Cash flows from operating activities</w:t>
            </w:r>
          </w:p>
        </w:tc>
        <w:tc>
          <w:tcPr>
            <w:tcW w:w="1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8100" w:type="dxa"/>
            <w:vAlign w:val="bottom"/>
          </w:tcPr>
          <w:p>
            <w:pPr>
              <w:spacing w:after="0"/>
              <w:rPr>
                <w:sz w:val="20"/>
                <w:szCs w:val="20"/>
                <w:color w:val="auto"/>
              </w:rPr>
            </w:pPr>
            <w:r>
              <w:rPr>
                <w:rFonts w:ascii="Arial" w:cs="Arial" w:eastAsia="Arial" w:hAnsi="Arial"/>
                <w:sz w:val="12"/>
                <w:szCs w:val="12"/>
                <w:color w:val="auto"/>
              </w:rPr>
              <w:t>Net income</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1,408,306</w:t>
            </w:r>
          </w:p>
        </w:tc>
        <w:tc>
          <w:tcPr>
            <w:tcW w:w="40" w:type="dxa"/>
            <w:vAlign w:val="bottom"/>
          </w:tcPr>
          <w:p>
            <w:pPr>
              <w:spacing w:after="0"/>
              <w:rPr>
                <w:sz w:val="12"/>
                <w:szCs w:val="12"/>
                <w:color w:val="auto"/>
              </w:rPr>
            </w:pPr>
          </w:p>
        </w:tc>
        <w:tc>
          <w:tcPr>
            <w:tcW w:w="420" w:type="dxa"/>
            <w:vAlign w:val="bottom"/>
            <w:gridSpan w:val="2"/>
          </w:tcPr>
          <w:p>
            <w:pPr>
              <w:jc w:val="right"/>
              <w:ind w:right="69"/>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1,315,114</w:t>
            </w:r>
          </w:p>
        </w:tc>
        <w:tc>
          <w:tcPr>
            <w:tcW w:w="280" w:type="dxa"/>
            <w:vAlign w:val="bottom"/>
          </w:tcPr>
          <w:p>
            <w:pPr>
              <w:spacing w:after="0"/>
              <w:rPr>
                <w:sz w:val="12"/>
                <w:szCs w:val="12"/>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1,079,667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100" w:type="dxa"/>
            <w:vAlign w:val="bottom"/>
            <w:shd w:val="clear" w:color="auto" w:fill="CFF0FC"/>
          </w:tcPr>
          <w:p>
            <w:pPr>
              <w:spacing w:after="0"/>
              <w:rPr>
                <w:sz w:val="20"/>
                <w:szCs w:val="20"/>
                <w:color w:val="auto"/>
              </w:rPr>
            </w:pPr>
            <w:r>
              <w:rPr>
                <w:rFonts w:ascii="Arial" w:cs="Arial" w:eastAsia="Arial" w:hAnsi="Arial"/>
                <w:sz w:val="12"/>
                <w:szCs w:val="12"/>
                <w:color w:val="auto"/>
              </w:rPr>
              <w:t>Adjustments to reconcile net income to net cash provided by operating activities</w:t>
            </w: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100" w:type="dxa"/>
            <w:vAlign w:val="bottom"/>
          </w:tcPr>
          <w:p>
            <w:pPr>
              <w:ind w:left="240"/>
              <w:spacing w:after="0"/>
              <w:rPr>
                <w:sz w:val="20"/>
                <w:szCs w:val="20"/>
                <w:color w:val="auto"/>
              </w:rPr>
            </w:pPr>
            <w:r>
              <w:rPr>
                <w:rFonts w:ascii="Arial" w:cs="Arial" w:eastAsia="Arial" w:hAnsi="Arial"/>
                <w:sz w:val="12"/>
                <w:szCs w:val="12"/>
                <w:color w:val="auto"/>
              </w:rPr>
              <w:t>Provision for credit losses</w:t>
            </w: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168,000</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190,000</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170,000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100" w:type="dxa"/>
            <w:vAlign w:val="bottom"/>
            <w:shd w:val="clear" w:color="auto" w:fill="CFF0FC"/>
          </w:tcPr>
          <w:p>
            <w:pPr>
              <w:ind w:left="240"/>
              <w:spacing w:after="0"/>
              <w:rPr>
                <w:sz w:val="20"/>
                <w:szCs w:val="20"/>
                <w:color w:val="auto"/>
              </w:rPr>
            </w:pPr>
            <w:r>
              <w:rPr>
                <w:rFonts w:ascii="Arial" w:cs="Arial" w:eastAsia="Arial" w:hAnsi="Arial"/>
                <w:sz w:val="12"/>
                <w:szCs w:val="12"/>
                <w:color w:val="auto"/>
              </w:rPr>
              <w:t>Depreciation and amortization of premises and equipment</w:t>
            </w: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109,587</w:t>
            </w:r>
          </w:p>
        </w:tc>
        <w:tc>
          <w:tcPr>
            <w:tcW w:w="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106,996</w:t>
            </w: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99,019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100" w:type="dxa"/>
            <w:vAlign w:val="bottom"/>
          </w:tcPr>
          <w:p>
            <w:pPr>
              <w:ind w:left="240"/>
              <w:spacing w:after="0"/>
              <w:rPr>
                <w:sz w:val="20"/>
                <w:szCs w:val="20"/>
                <w:color w:val="auto"/>
              </w:rPr>
            </w:pPr>
            <w:r>
              <w:rPr>
                <w:rFonts w:ascii="Arial" w:cs="Arial" w:eastAsia="Arial" w:hAnsi="Arial"/>
                <w:sz w:val="12"/>
                <w:szCs w:val="12"/>
                <w:color w:val="auto"/>
              </w:rPr>
              <w:t>Amortization of capitalized servicing rights</w:t>
            </w: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56,172</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50,982</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49,906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100" w:type="dxa"/>
            <w:vAlign w:val="bottom"/>
            <w:shd w:val="clear" w:color="auto" w:fill="CFF0FC"/>
          </w:tcPr>
          <w:p>
            <w:pPr>
              <w:ind w:left="240"/>
              <w:spacing w:after="0"/>
              <w:rPr>
                <w:sz w:val="20"/>
                <w:szCs w:val="20"/>
                <w:color w:val="auto"/>
              </w:rPr>
            </w:pPr>
            <w:r>
              <w:rPr>
                <w:rFonts w:ascii="Arial" w:cs="Arial" w:eastAsia="Arial" w:hAnsi="Arial"/>
                <w:sz w:val="12"/>
                <w:szCs w:val="12"/>
                <w:color w:val="auto"/>
              </w:rPr>
              <w:t>Amortization of core deposit and other intangible assets</w:t>
            </w: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31,366</w:t>
            </w:r>
          </w:p>
        </w:tc>
        <w:tc>
          <w:tcPr>
            <w:tcW w:w="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42,613</w:t>
            </w: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26,424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100" w:type="dxa"/>
            <w:vAlign w:val="bottom"/>
          </w:tcPr>
          <w:p>
            <w:pPr>
              <w:ind w:left="240"/>
              <w:spacing w:after="0"/>
              <w:rPr>
                <w:sz w:val="20"/>
                <w:szCs w:val="20"/>
                <w:color w:val="auto"/>
              </w:rPr>
            </w:pPr>
            <w:r>
              <w:rPr>
                <w:rFonts w:ascii="Arial" w:cs="Arial" w:eastAsia="Arial" w:hAnsi="Arial"/>
                <w:sz w:val="12"/>
                <w:szCs w:val="12"/>
                <w:color w:val="auto"/>
              </w:rPr>
              <w:t>Provision for deferred income taxes</w:t>
            </w: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400,790</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174,013</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396,596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100" w:type="dxa"/>
            <w:vAlign w:val="bottom"/>
            <w:shd w:val="clear" w:color="auto" w:fill="CFF0FC"/>
          </w:tcPr>
          <w:p>
            <w:pPr>
              <w:ind w:left="240"/>
              <w:spacing w:after="0"/>
              <w:rPr>
                <w:sz w:val="20"/>
                <w:szCs w:val="20"/>
                <w:color w:val="auto"/>
              </w:rPr>
            </w:pPr>
            <w:r>
              <w:rPr>
                <w:rFonts w:ascii="Arial" w:cs="Arial" w:eastAsia="Arial" w:hAnsi="Arial"/>
                <w:sz w:val="12"/>
                <w:szCs w:val="12"/>
                <w:color w:val="auto"/>
              </w:rPr>
              <w:t>Asset write-downs</w:t>
            </w: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15,429</w:t>
            </w:r>
          </w:p>
        </w:tc>
        <w:tc>
          <w:tcPr>
            <w:tcW w:w="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21,036</w:t>
            </w: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9,029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100" w:type="dxa"/>
            <w:vAlign w:val="bottom"/>
          </w:tcPr>
          <w:p>
            <w:pPr>
              <w:ind w:left="240"/>
              <w:spacing w:after="0"/>
              <w:rPr>
                <w:sz w:val="20"/>
                <w:szCs w:val="20"/>
                <w:color w:val="auto"/>
              </w:rPr>
            </w:pPr>
            <w:r>
              <w:rPr>
                <w:rFonts w:ascii="Arial" w:cs="Arial" w:eastAsia="Arial" w:hAnsi="Arial"/>
                <w:sz w:val="12"/>
                <w:szCs w:val="12"/>
                <w:color w:val="auto"/>
              </w:rPr>
              <w:t>Net gain on sales of assets</w:t>
            </w:r>
          </w:p>
        </w:tc>
        <w:tc>
          <w:tcPr>
            <w:tcW w:w="180" w:type="dxa"/>
            <w:vAlign w:val="bottom"/>
          </w:tcPr>
          <w:p>
            <w:pPr>
              <w:spacing w:after="0"/>
              <w:rPr>
                <w:sz w:val="12"/>
                <w:szCs w:val="12"/>
                <w:color w:val="auto"/>
              </w:rPr>
            </w:pPr>
          </w:p>
        </w:tc>
        <w:tc>
          <w:tcPr>
            <w:tcW w:w="740" w:type="dxa"/>
            <w:vAlign w:val="bottom"/>
            <w:gridSpan w:val="2"/>
          </w:tcPr>
          <w:p>
            <w:pPr>
              <w:jc w:val="right"/>
              <w:spacing w:after="0"/>
              <w:rPr>
                <w:sz w:val="20"/>
                <w:szCs w:val="20"/>
                <w:color w:val="auto"/>
              </w:rPr>
            </w:pPr>
            <w:r>
              <w:rPr>
                <w:rFonts w:ascii="Arial" w:cs="Arial" w:eastAsia="Arial" w:hAnsi="Arial"/>
                <w:sz w:val="12"/>
                <w:szCs w:val="12"/>
                <w:color w:val="auto"/>
              </w:rPr>
              <w:t>(53,467)</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2"/>
                <w:szCs w:val="12"/>
                <w:color w:val="auto"/>
              </w:rPr>
              <w:t>(63,222)</w:t>
            </w:r>
          </w:p>
        </w:tc>
        <w:tc>
          <w:tcPr>
            <w:tcW w:w="200" w:type="dxa"/>
            <w:vAlign w:val="bottom"/>
          </w:tcPr>
          <w:p>
            <w:pPr>
              <w:spacing w:after="0"/>
              <w:rPr>
                <w:sz w:val="12"/>
                <w:szCs w:val="1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2"/>
                <w:szCs w:val="12"/>
                <w:color w:val="auto"/>
              </w:rPr>
              <w:t>(67,759)</w:t>
            </w:r>
          </w:p>
        </w:tc>
        <w:tc>
          <w:tcPr>
            <w:tcW w:w="0" w:type="dxa"/>
            <w:vAlign w:val="bottom"/>
          </w:tcPr>
          <w:p>
            <w:pPr>
              <w:spacing w:after="0"/>
              <w:rPr>
                <w:sz w:val="1"/>
                <w:szCs w:val="1"/>
                <w:color w:val="auto"/>
              </w:rPr>
            </w:pPr>
          </w:p>
        </w:tc>
      </w:tr>
      <w:tr>
        <w:trPr>
          <w:trHeight w:val="145"/>
        </w:trPr>
        <w:tc>
          <w:tcPr>
            <w:tcW w:w="8100" w:type="dxa"/>
            <w:vAlign w:val="bottom"/>
            <w:shd w:val="clear" w:color="auto" w:fill="CFF0FC"/>
          </w:tcPr>
          <w:p>
            <w:pPr>
              <w:ind w:left="240"/>
              <w:spacing w:after="0"/>
              <w:rPr>
                <w:sz w:val="20"/>
                <w:szCs w:val="20"/>
                <w:color w:val="auto"/>
              </w:rPr>
            </w:pPr>
            <w:r>
              <w:rPr>
                <w:rFonts w:ascii="Arial" w:cs="Arial" w:eastAsia="Arial" w:hAnsi="Arial"/>
                <w:sz w:val="12"/>
                <w:szCs w:val="12"/>
                <w:color w:val="auto"/>
              </w:rPr>
              <w:t>Net change in accrued interest receivable, payable</w:t>
            </w:r>
          </w:p>
        </w:tc>
        <w:tc>
          <w:tcPr>
            <w:tcW w:w="18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(17,896)</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(12,282)</w:t>
            </w:r>
          </w:p>
        </w:tc>
        <w:tc>
          <w:tcPr>
            <w:tcW w:w="20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(46,338)</w:t>
            </w:r>
          </w:p>
        </w:tc>
        <w:tc>
          <w:tcPr>
            <w:tcW w:w="0" w:type="dxa"/>
            <w:vAlign w:val="bottom"/>
          </w:tcPr>
          <w:p>
            <w:pPr>
              <w:spacing w:after="0"/>
              <w:rPr>
                <w:sz w:val="1"/>
                <w:szCs w:val="1"/>
                <w:color w:val="auto"/>
              </w:rPr>
            </w:pPr>
          </w:p>
        </w:tc>
      </w:tr>
      <w:tr>
        <w:trPr>
          <w:trHeight w:val="145"/>
        </w:trPr>
        <w:tc>
          <w:tcPr>
            <w:tcW w:w="8100" w:type="dxa"/>
            <w:vAlign w:val="bottom"/>
          </w:tcPr>
          <w:p>
            <w:pPr>
              <w:ind w:left="240"/>
              <w:spacing w:after="0"/>
              <w:rPr>
                <w:sz w:val="20"/>
                <w:szCs w:val="20"/>
                <w:color w:val="auto"/>
              </w:rPr>
            </w:pPr>
            <w:r>
              <w:rPr>
                <w:rFonts w:ascii="Arial" w:cs="Arial" w:eastAsia="Arial" w:hAnsi="Arial"/>
                <w:sz w:val="12"/>
                <w:szCs w:val="12"/>
                <w:color w:val="auto"/>
              </w:rPr>
              <w:t>Net change in other accrued income and expense</w:t>
            </w:r>
          </w:p>
        </w:tc>
        <w:tc>
          <w:tcPr>
            <w:tcW w:w="180" w:type="dxa"/>
            <w:vAlign w:val="bottom"/>
          </w:tcPr>
          <w:p>
            <w:pPr>
              <w:spacing w:after="0"/>
              <w:rPr>
                <w:sz w:val="12"/>
                <w:szCs w:val="12"/>
                <w:color w:val="auto"/>
              </w:rPr>
            </w:pPr>
          </w:p>
        </w:tc>
        <w:tc>
          <w:tcPr>
            <w:tcW w:w="740" w:type="dxa"/>
            <w:vAlign w:val="bottom"/>
            <w:gridSpan w:val="2"/>
          </w:tcPr>
          <w:p>
            <w:pPr>
              <w:jc w:val="right"/>
              <w:spacing w:after="0"/>
              <w:rPr>
                <w:sz w:val="20"/>
                <w:szCs w:val="20"/>
                <w:color w:val="auto"/>
              </w:rPr>
            </w:pPr>
            <w:r>
              <w:rPr>
                <w:rFonts w:ascii="Arial" w:cs="Arial" w:eastAsia="Arial" w:hAnsi="Arial"/>
                <w:sz w:val="12"/>
                <w:szCs w:val="12"/>
                <w:color w:val="auto"/>
              </w:rPr>
              <w:t>(201,981)</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60,263</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2"/>
                <w:szCs w:val="12"/>
                <w:color w:val="auto"/>
              </w:rPr>
              <w:t>(289,139)</w:t>
            </w:r>
          </w:p>
        </w:tc>
        <w:tc>
          <w:tcPr>
            <w:tcW w:w="0" w:type="dxa"/>
            <w:vAlign w:val="bottom"/>
          </w:tcPr>
          <w:p>
            <w:pPr>
              <w:spacing w:after="0"/>
              <w:rPr>
                <w:sz w:val="1"/>
                <w:szCs w:val="1"/>
                <w:color w:val="auto"/>
              </w:rPr>
            </w:pPr>
          </w:p>
        </w:tc>
      </w:tr>
      <w:tr>
        <w:trPr>
          <w:trHeight w:val="145"/>
        </w:trPr>
        <w:tc>
          <w:tcPr>
            <w:tcW w:w="8100" w:type="dxa"/>
            <w:vAlign w:val="bottom"/>
            <w:shd w:val="clear" w:color="auto" w:fill="CFF0FC"/>
          </w:tcPr>
          <w:p>
            <w:pPr>
              <w:ind w:left="240"/>
              <w:spacing w:after="0"/>
              <w:rPr>
                <w:sz w:val="20"/>
                <w:szCs w:val="20"/>
                <w:color w:val="auto"/>
              </w:rPr>
            </w:pPr>
            <w:r>
              <w:rPr>
                <w:rFonts w:ascii="Arial" w:cs="Arial" w:eastAsia="Arial" w:hAnsi="Arial"/>
                <w:sz w:val="12"/>
                <w:szCs w:val="12"/>
                <w:color w:val="auto"/>
              </w:rPr>
              <w:t>Net change in loans originated for sale</w:t>
            </w: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711,657</w:t>
            </w:r>
          </w:p>
        </w:tc>
        <w:tc>
          <w:tcPr>
            <w:tcW w:w="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(665,649)</w:t>
            </w: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323,330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100" w:type="dxa"/>
            <w:vAlign w:val="bottom"/>
          </w:tcPr>
          <w:p>
            <w:pPr>
              <w:ind w:left="240"/>
              <w:spacing w:after="0"/>
              <w:rPr>
                <w:sz w:val="20"/>
                <w:szCs w:val="20"/>
                <w:color w:val="auto"/>
              </w:rPr>
            </w:pPr>
            <w:r>
              <w:rPr>
                <w:rFonts w:ascii="Arial" w:cs="Arial" w:eastAsia="Arial" w:hAnsi="Arial"/>
                <w:sz w:val="12"/>
                <w:szCs w:val="12"/>
                <w:color w:val="auto"/>
              </w:rPr>
              <w:t>Net change in trading account assets and liabilities</w:t>
            </w: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153,972</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2"/>
                <w:szCs w:val="12"/>
                <w:color w:val="auto"/>
              </w:rPr>
              <w:t>(36,453)</w:t>
            </w:r>
          </w:p>
        </w:tc>
        <w:tc>
          <w:tcPr>
            <w:tcW w:w="200" w:type="dxa"/>
            <w:vAlign w:val="bottom"/>
          </w:tcPr>
          <w:p>
            <w:pPr>
              <w:spacing w:after="0"/>
              <w:rPr>
                <w:sz w:val="12"/>
                <w:szCs w:val="1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2"/>
                <w:szCs w:val="12"/>
                <w:color w:val="auto"/>
              </w:rPr>
              <w:t>(8,327)</w:t>
            </w:r>
          </w:p>
        </w:tc>
        <w:tc>
          <w:tcPr>
            <w:tcW w:w="0" w:type="dxa"/>
            <w:vAlign w:val="bottom"/>
          </w:tcPr>
          <w:p>
            <w:pPr>
              <w:spacing w:after="0"/>
              <w:rPr>
                <w:sz w:val="1"/>
                <w:szCs w:val="1"/>
                <w:color w:val="auto"/>
              </w:rPr>
            </w:pPr>
          </w:p>
        </w:tc>
      </w:tr>
      <w:tr>
        <w:trPr>
          <w:trHeight w:val="138"/>
        </w:trPr>
        <w:tc>
          <w:tcPr>
            <w:tcW w:w="810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2"/>
                <w:szCs w:val="12"/>
                <w:color w:val="auto"/>
              </w:rPr>
              <w:t>Net cash provided by operating activities</w:t>
            </w:r>
          </w:p>
        </w:tc>
        <w:tc>
          <w:tcPr>
            <w:tcW w:w="180" w:type="dxa"/>
            <w:vAlign w:val="bottom"/>
            <w:tcBorders>
              <w:top w:val="single" w:sz="8" w:color="auto"/>
              <w:bottom w:val="single" w:sz="8" w:color="auto"/>
            </w:tcBorders>
            <w:shd w:val="clear" w:color="auto" w:fill="CFF0FC"/>
          </w:tcPr>
          <w:p>
            <w:pPr>
              <w:spacing w:after="0"/>
              <w:rPr>
                <w:sz w:val="11"/>
                <w:szCs w:val="11"/>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2,781,935</w:t>
            </w:r>
          </w:p>
        </w:tc>
        <w:tc>
          <w:tcPr>
            <w:tcW w:w="40" w:type="dxa"/>
            <w:vAlign w:val="bottom"/>
            <w:tcBorders>
              <w:top w:val="single" w:sz="8" w:color="CFF0FC"/>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bottom w:val="single" w:sz="8" w:color="auto"/>
            </w:tcBorders>
            <w:shd w:val="clear" w:color="auto" w:fill="CFF0FC"/>
          </w:tcPr>
          <w:p>
            <w:pPr>
              <w:spacing w:after="0"/>
              <w:rPr>
                <w:sz w:val="11"/>
                <w:szCs w:val="11"/>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1,183,411</w:t>
            </w:r>
          </w:p>
        </w:tc>
        <w:tc>
          <w:tcPr>
            <w:tcW w:w="280" w:type="dxa"/>
            <w:vAlign w:val="bottom"/>
            <w:tcBorders>
              <w:top w:val="single" w:sz="8" w:color="CFF0FC"/>
            </w:tcBorders>
            <w:shd w:val="clear" w:color="auto" w:fill="CFF0FC"/>
          </w:tcPr>
          <w:p>
            <w:pPr>
              <w:spacing w:after="0"/>
              <w:rPr>
                <w:sz w:val="11"/>
                <w:szCs w:val="11"/>
                <w:color w:val="auto"/>
              </w:rPr>
            </w:pPr>
          </w:p>
        </w:tc>
        <w:tc>
          <w:tcPr>
            <w:tcW w:w="200" w:type="dxa"/>
            <w:vAlign w:val="bottom"/>
            <w:tcBorders>
              <w:top w:val="single" w:sz="8" w:color="auto"/>
              <w:bottom w:val="single" w:sz="8" w:color="auto"/>
            </w:tcBorders>
            <w:shd w:val="clear" w:color="auto" w:fill="CFF0FC"/>
          </w:tcPr>
          <w:p>
            <w:pPr>
              <w:spacing w:after="0"/>
              <w:rPr>
                <w:sz w:val="11"/>
                <w:szCs w:val="11"/>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1,742,408</w:t>
            </w:r>
          </w:p>
        </w:tc>
        <w:tc>
          <w:tcPr>
            <w:tcW w:w="1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8100" w:type="dxa"/>
            <w:vAlign w:val="bottom"/>
          </w:tcPr>
          <w:p>
            <w:pPr>
              <w:spacing w:after="0"/>
              <w:rPr>
                <w:sz w:val="20"/>
                <w:szCs w:val="20"/>
                <w:color w:val="auto"/>
              </w:rPr>
            </w:pPr>
            <w:r>
              <w:rPr>
                <w:rFonts w:ascii="Arial" w:cs="Arial" w:eastAsia="Arial" w:hAnsi="Arial"/>
                <w:sz w:val="12"/>
                <w:szCs w:val="12"/>
                <w:b w:val="1"/>
                <w:bCs w:val="1"/>
                <w:color w:val="auto"/>
              </w:rPr>
              <w:t>Cash flows from investing activities</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8100" w:type="dxa"/>
            <w:vAlign w:val="bottom"/>
            <w:shd w:val="clear" w:color="auto" w:fill="CFF0FC"/>
          </w:tcPr>
          <w:p>
            <w:pPr>
              <w:spacing w:after="0"/>
              <w:rPr>
                <w:sz w:val="20"/>
                <w:szCs w:val="20"/>
                <w:color w:val="auto"/>
              </w:rPr>
            </w:pPr>
            <w:r>
              <w:rPr>
                <w:rFonts w:ascii="Arial" w:cs="Arial" w:eastAsia="Arial" w:hAnsi="Arial"/>
                <w:sz w:val="12"/>
                <w:szCs w:val="12"/>
                <w:color w:val="auto"/>
              </w:rPr>
              <w:t>Proceeds from sales of investment securities</w:t>
            </w: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100" w:type="dxa"/>
            <w:vAlign w:val="bottom"/>
          </w:tcPr>
          <w:p>
            <w:pPr>
              <w:ind w:left="240"/>
              <w:spacing w:after="0"/>
              <w:rPr>
                <w:sz w:val="20"/>
                <w:szCs w:val="20"/>
                <w:color w:val="auto"/>
              </w:rPr>
            </w:pPr>
            <w:r>
              <w:rPr>
                <w:rFonts w:ascii="Arial" w:cs="Arial" w:eastAsia="Arial" w:hAnsi="Arial"/>
                <w:sz w:val="12"/>
                <w:szCs w:val="12"/>
                <w:color w:val="auto"/>
              </w:rPr>
              <w:t>Available for sale</w:t>
            </w: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534,160</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63,513</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5,654,850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100" w:type="dxa"/>
            <w:vAlign w:val="bottom"/>
            <w:shd w:val="clear" w:color="auto" w:fill="CFF0FC"/>
          </w:tcPr>
          <w:p>
            <w:pPr>
              <w:ind w:left="240"/>
              <w:spacing w:after="0"/>
              <w:rPr>
                <w:sz w:val="20"/>
                <w:szCs w:val="20"/>
                <w:color w:val="auto"/>
              </w:rPr>
            </w:pPr>
            <w:r>
              <w:rPr>
                <w:rFonts w:ascii="Arial" w:cs="Arial" w:eastAsia="Arial" w:hAnsi="Arial"/>
                <w:sz w:val="12"/>
                <w:szCs w:val="12"/>
                <w:color w:val="auto"/>
              </w:rPr>
              <w:t>Other</w:t>
            </w: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178,468</w:t>
            </w:r>
          </w:p>
        </w:tc>
        <w:tc>
          <w:tcPr>
            <w:tcW w:w="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94,749</w:t>
            </w: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183,892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100" w:type="dxa"/>
            <w:vAlign w:val="bottom"/>
          </w:tcPr>
          <w:p>
            <w:pPr>
              <w:spacing w:after="0"/>
              <w:rPr>
                <w:sz w:val="20"/>
                <w:szCs w:val="20"/>
                <w:color w:val="auto"/>
              </w:rPr>
            </w:pPr>
            <w:r>
              <w:rPr>
                <w:rFonts w:ascii="Arial" w:cs="Arial" w:eastAsia="Arial" w:hAnsi="Arial"/>
                <w:sz w:val="12"/>
                <w:szCs w:val="12"/>
                <w:color w:val="auto"/>
              </w:rPr>
              <w:t>Proceeds from maturities of investment securities</w:t>
            </w: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100" w:type="dxa"/>
            <w:vAlign w:val="bottom"/>
            <w:shd w:val="clear" w:color="auto" w:fill="CFF0FC"/>
          </w:tcPr>
          <w:p>
            <w:pPr>
              <w:ind w:left="240"/>
              <w:spacing w:after="0"/>
              <w:rPr>
                <w:sz w:val="20"/>
                <w:szCs w:val="20"/>
                <w:color w:val="auto"/>
              </w:rPr>
            </w:pPr>
            <w:r>
              <w:rPr>
                <w:rFonts w:ascii="Arial" w:cs="Arial" w:eastAsia="Arial" w:hAnsi="Arial"/>
                <w:sz w:val="12"/>
                <w:szCs w:val="12"/>
                <w:color w:val="auto"/>
              </w:rPr>
              <w:t>Available for sale</w:t>
            </w: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2,131,118</w:t>
            </w:r>
          </w:p>
        </w:tc>
        <w:tc>
          <w:tcPr>
            <w:tcW w:w="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2,309,208</w:t>
            </w: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2,392,331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100" w:type="dxa"/>
            <w:vAlign w:val="bottom"/>
          </w:tcPr>
          <w:p>
            <w:pPr>
              <w:ind w:left="240"/>
              <w:spacing w:after="0"/>
              <w:rPr>
                <w:sz w:val="20"/>
                <w:szCs w:val="20"/>
                <w:color w:val="auto"/>
              </w:rPr>
            </w:pPr>
            <w:r>
              <w:rPr>
                <w:rFonts w:ascii="Arial" w:cs="Arial" w:eastAsia="Arial" w:hAnsi="Arial"/>
                <w:sz w:val="12"/>
                <w:szCs w:val="12"/>
                <w:color w:val="auto"/>
              </w:rPr>
              <w:t>Held to maturity</w:t>
            </w: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528,585</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609,080</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662,959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100" w:type="dxa"/>
            <w:vAlign w:val="bottom"/>
            <w:shd w:val="clear" w:color="auto" w:fill="CFF0FC"/>
          </w:tcPr>
          <w:p>
            <w:pPr>
              <w:spacing w:after="0"/>
              <w:rPr>
                <w:sz w:val="20"/>
                <w:szCs w:val="20"/>
                <w:color w:val="auto"/>
              </w:rPr>
            </w:pPr>
            <w:r>
              <w:rPr>
                <w:rFonts w:ascii="Arial" w:cs="Arial" w:eastAsia="Arial" w:hAnsi="Arial"/>
                <w:sz w:val="12"/>
                <w:szCs w:val="12"/>
                <w:color w:val="auto"/>
              </w:rPr>
              <w:t>Purchases of investment securities</w:t>
            </w: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100" w:type="dxa"/>
            <w:vAlign w:val="bottom"/>
          </w:tcPr>
          <w:p>
            <w:pPr>
              <w:ind w:left="240"/>
              <w:spacing w:after="0"/>
              <w:rPr>
                <w:sz w:val="20"/>
                <w:szCs w:val="20"/>
                <w:color w:val="auto"/>
              </w:rPr>
            </w:pPr>
            <w:r>
              <w:rPr>
                <w:rFonts w:ascii="Arial" w:cs="Arial" w:eastAsia="Arial" w:hAnsi="Arial"/>
                <w:sz w:val="12"/>
                <w:szCs w:val="12"/>
                <w:color w:val="auto"/>
              </w:rPr>
              <w:t>Available for sale</w:t>
            </w:r>
          </w:p>
        </w:tc>
        <w:tc>
          <w:tcPr>
            <w:tcW w:w="180" w:type="dxa"/>
            <w:vAlign w:val="bottom"/>
          </w:tcPr>
          <w:p>
            <w:pPr>
              <w:spacing w:after="0"/>
              <w:rPr>
                <w:sz w:val="12"/>
                <w:szCs w:val="12"/>
                <w:color w:val="auto"/>
              </w:rPr>
            </w:pPr>
          </w:p>
        </w:tc>
        <w:tc>
          <w:tcPr>
            <w:tcW w:w="740" w:type="dxa"/>
            <w:vAlign w:val="bottom"/>
            <w:gridSpan w:val="2"/>
          </w:tcPr>
          <w:p>
            <w:pPr>
              <w:jc w:val="right"/>
              <w:spacing w:after="0"/>
              <w:rPr>
                <w:sz w:val="20"/>
                <w:szCs w:val="20"/>
                <w:color w:val="auto"/>
              </w:rPr>
            </w:pPr>
            <w:r>
              <w:rPr>
                <w:rFonts w:ascii="Arial" w:cs="Arial" w:eastAsia="Arial" w:hAnsi="Arial"/>
                <w:sz w:val="12"/>
                <w:szCs w:val="12"/>
                <w:color w:val="auto"/>
              </w:rPr>
              <w:t>(251,185)</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2"/>
                <w:szCs w:val="12"/>
                <w:color w:val="auto"/>
              </w:rPr>
              <w:t>(3,562,711)</w:t>
            </w:r>
          </w:p>
        </w:tc>
        <w:tc>
          <w:tcPr>
            <w:tcW w:w="200" w:type="dxa"/>
            <w:vAlign w:val="bottom"/>
          </w:tcPr>
          <w:p>
            <w:pPr>
              <w:spacing w:after="0"/>
              <w:rPr>
                <w:sz w:val="12"/>
                <w:szCs w:val="1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2"/>
                <w:szCs w:val="12"/>
                <w:color w:val="auto"/>
              </w:rPr>
              <w:t>(3,614,324)</w:t>
            </w:r>
          </w:p>
        </w:tc>
        <w:tc>
          <w:tcPr>
            <w:tcW w:w="0" w:type="dxa"/>
            <w:vAlign w:val="bottom"/>
          </w:tcPr>
          <w:p>
            <w:pPr>
              <w:spacing w:after="0"/>
              <w:rPr>
                <w:sz w:val="1"/>
                <w:szCs w:val="1"/>
                <w:color w:val="auto"/>
              </w:rPr>
            </w:pPr>
          </w:p>
        </w:tc>
      </w:tr>
      <w:tr>
        <w:trPr>
          <w:trHeight w:val="145"/>
        </w:trPr>
        <w:tc>
          <w:tcPr>
            <w:tcW w:w="8100" w:type="dxa"/>
            <w:vAlign w:val="bottom"/>
            <w:shd w:val="clear" w:color="auto" w:fill="CFF0FC"/>
          </w:tcPr>
          <w:p>
            <w:pPr>
              <w:ind w:left="240"/>
              <w:spacing w:after="0"/>
              <w:rPr>
                <w:sz w:val="20"/>
                <w:szCs w:val="20"/>
                <w:color w:val="auto"/>
              </w:rPr>
            </w:pPr>
            <w:r>
              <w:rPr>
                <w:rFonts w:ascii="Arial" w:cs="Arial" w:eastAsia="Arial" w:hAnsi="Arial"/>
                <w:sz w:val="12"/>
                <w:szCs w:val="12"/>
                <w:color w:val="auto"/>
              </w:rPr>
              <w:t>Held to maturity</w:t>
            </w:r>
          </w:p>
        </w:tc>
        <w:tc>
          <w:tcPr>
            <w:tcW w:w="18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(1,425,690)</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(214,791)</w:t>
            </w:r>
          </w:p>
        </w:tc>
        <w:tc>
          <w:tcPr>
            <w:tcW w:w="20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(29,431)</w:t>
            </w:r>
          </w:p>
        </w:tc>
        <w:tc>
          <w:tcPr>
            <w:tcW w:w="0" w:type="dxa"/>
            <w:vAlign w:val="bottom"/>
          </w:tcPr>
          <w:p>
            <w:pPr>
              <w:spacing w:after="0"/>
              <w:rPr>
                <w:sz w:val="1"/>
                <w:szCs w:val="1"/>
                <w:color w:val="auto"/>
              </w:rPr>
            </w:pPr>
          </w:p>
        </w:tc>
      </w:tr>
      <w:tr>
        <w:trPr>
          <w:trHeight w:val="145"/>
        </w:trPr>
        <w:tc>
          <w:tcPr>
            <w:tcW w:w="8100" w:type="dxa"/>
            <w:vAlign w:val="bottom"/>
          </w:tcPr>
          <w:p>
            <w:pPr>
              <w:ind w:left="240"/>
              <w:spacing w:after="0"/>
              <w:rPr>
                <w:sz w:val="20"/>
                <w:szCs w:val="20"/>
                <w:color w:val="auto"/>
              </w:rPr>
            </w:pPr>
            <w:r>
              <w:rPr>
                <w:rFonts w:ascii="Arial" w:cs="Arial" w:eastAsia="Arial" w:hAnsi="Arial"/>
                <w:sz w:val="12"/>
                <w:szCs w:val="12"/>
                <w:color w:val="auto"/>
              </w:rPr>
              <w:t>Other</w:t>
            </w:r>
          </w:p>
        </w:tc>
        <w:tc>
          <w:tcPr>
            <w:tcW w:w="180" w:type="dxa"/>
            <w:vAlign w:val="bottom"/>
          </w:tcPr>
          <w:p>
            <w:pPr>
              <w:spacing w:after="0"/>
              <w:rPr>
                <w:sz w:val="12"/>
                <w:szCs w:val="12"/>
                <w:color w:val="auto"/>
              </w:rPr>
            </w:pPr>
          </w:p>
        </w:tc>
        <w:tc>
          <w:tcPr>
            <w:tcW w:w="740" w:type="dxa"/>
            <w:vAlign w:val="bottom"/>
            <w:gridSpan w:val="2"/>
          </w:tcPr>
          <w:p>
            <w:pPr>
              <w:jc w:val="right"/>
              <w:spacing w:after="0"/>
              <w:rPr>
                <w:sz w:val="20"/>
                <w:szCs w:val="20"/>
                <w:color w:val="auto"/>
              </w:rPr>
            </w:pPr>
            <w:r>
              <w:rPr>
                <w:rFonts w:ascii="Arial" w:cs="Arial" w:eastAsia="Arial" w:hAnsi="Arial"/>
                <w:sz w:val="12"/>
                <w:szCs w:val="12"/>
                <w:color w:val="auto"/>
              </w:rPr>
              <w:t>(132,378)</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2"/>
                <w:szCs w:val="12"/>
                <w:color w:val="auto"/>
              </w:rPr>
              <w:t>(1,808)</w:t>
            </w:r>
          </w:p>
        </w:tc>
        <w:tc>
          <w:tcPr>
            <w:tcW w:w="200" w:type="dxa"/>
            <w:vAlign w:val="bottom"/>
          </w:tcPr>
          <w:p>
            <w:pPr>
              <w:spacing w:after="0"/>
              <w:rPr>
                <w:sz w:val="12"/>
                <w:szCs w:val="1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2"/>
                <w:szCs w:val="12"/>
                <w:color w:val="auto"/>
              </w:rPr>
              <w:t>(99,317)</w:t>
            </w:r>
          </w:p>
        </w:tc>
        <w:tc>
          <w:tcPr>
            <w:tcW w:w="0" w:type="dxa"/>
            <w:vAlign w:val="bottom"/>
          </w:tcPr>
          <w:p>
            <w:pPr>
              <w:spacing w:after="0"/>
              <w:rPr>
                <w:sz w:val="1"/>
                <w:szCs w:val="1"/>
                <w:color w:val="auto"/>
              </w:rPr>
            </w:pPr>
          </w:p>
        </w:tc>
      </w:tr>
      <w:tr>
        <w:trPr>
          <w:trHeight w:val="145"/>
        </w:trPr>
        <w:tc>
          <w:tcPr>
            <w:tcW w:w="8100" w:type="dxa"/>
            <w:vAlign w:val="bottom"/>
            <w:shd w:val="clear" w:color="auto" w:fill="CFF0FC"/>
          </w:tcPr>
          <w:p>
            <w:pPr>
              <w:spacing w:after="0"/>
              <w:rPr>
                <w:sz w:val="20"/>
                <w:szCs w:val="20"/>
                <w:color w:val="auto"/>
              </w:rPr>
            </w:pPr>
            <w:r>
              <w:rPr>
                <w:rFonts w:ascii="Arial" w:cs="Arial" w:eastAsia="Arial" w:hAnsi="Arial"/>
                <w:sz w:val="12"/>
                <w:szCs w:val="12"/>
                <w:color w:val="auto"/>
              </w:rPr>
              <w:t>Net (increase) decrease in loans and leases</w:t>
            </w: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1,931,492</w:t>
            </w:r>
          </w:p>
        </w:tc>
        <w:tc>
          <w:tcPr>
            <w:tcW w:w="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(2,952,129)</w:t>
            </w:r>
          </w:p>
        </w:tc>
        <w:tc>
          <w:tcPr>
            <w:tcW w:w="20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(2,326,744)</w:t>
            </w:r>
          </w:p>
        </w:tc>
        <w:tc>
          <w:tcPr>
            <w:tcW w:w="0" w:type="dxa"/>
            <w:vAlign w:val="bottom"/>
          </w:tcPr>
          <w:p>
            <w:pPr>
              <w:spacing w:after="0"/>
              <w:rPr>
                <w:sz w:val="1"/>
                <w:szCs w:val="1"/>
                <w:color w:val="auto"/>
              </w:rPr>
            </w:pPr>
          </w:p>
        </w:tc>
      </w:tr>
      <w:tr>
        <w:trPr>
          <w:trHeight w:val="145"/>
        </w:trPr>
        <w:tc>
          <w:tcPr>
            <w:tcW w:w="8100" w:type="dxa"/>
            <w:vAlign w:val="bottom"/>
          </w:tcPr>
          <w:p>
            <w:pPr>
              <w:spacing w:after="0"/>
              <w:rPr>
                <w:sz w:val="20"/>
                <w:szCs w:val="20"/>
                <w:color w:val="auto"/>
              </w:rPr>
            </w:pPr>
            <w:r>
              <w:rPr>
                <w:rFonts w:ascii="Arial" w:cs="Arial" w:eastAsia="Arial" w:hAnsi="Arial"/>
                <w:sz w:val="12"/>
                <w:szCs w:val="12"/>
                <w:color w:val="auto"/>
              </w:rPr>
              <w:t>Net (increase) decrease in interest-bearing deposits at banks</w:t>
            </w:r>
          </w:p>
        </w:tc>
        <w:tc>
          <w:tcPr>
            <w:tcW w:w="180" w:type="dxa"/>
            <w:vAlign w:val="bottom"/>
          </w:tcPr>
          <w:p>
            <w:pPr>
              <w:spacing w:after="0"/>
              <w:rPr>
                <w:sz w:val="12"/>
                <w:szCs w:val="12"/>
                <w:color w:val="auto"/>
              </w:rPr>
            </w:pPr>
          </w:p>
        </w:tc>
        <w:tc>
          <w:tcPr>
            <w:tcW w:w="740" w:type="dxa"/>
            <w:vAlign w:val="bottom"/>
            <w:gridSpan w:val="2"/>
          </w:tcPr>
          <w:p>
            <w:pPr>
              <w:jc w:val="right"/>
              <w:spacing w:after="0"/>
              <w:rPr>
                <w:sz w:val="20"/>
                <w:szCs w:val="20"/>
                <w:color w:val="auto"/>
              </w:rPr>
            </w:pPr>
            <w:r>
              <w:rPr>
                <w:rFonts w:ascii="Arial" w:cs="Arial" w:eastAsia="Arial" w:hAnsi="Arial"/>
                <w:sz w:val="12"/>
                <w:szCs w:val="12"/>
                <w:color w:val="auto"/>
              </w:rPr>
              <w:t>(78,265)</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2,593,712</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6,445,451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100" w:type="dxa"/>
            <w:vAlign w:val="bottom"/>
            <w:shd w:val="clear" w:color="auto" w:fill="CFF0FC"/>
          </w:tcPr>
          <w:p>
            <w:pPr>
              <w:spacing w:after="0"/>
              <w:rPr>
                <w:sz w:val="20"/>
                <w:szCs w:val="20"/>
                <w:color w:val="auto"/>
              </w:rPr>
            </w:pPr>
            <w:r>
              <w:rPr>
                <w:rFonts w:ascii="Arial" w:cs="Arial" w:eastAsia="Arial" w:hAnsi="Arial"/>
                <w:sz w:val="12"/>
                <w:szCs w:val="12"/>
                <w:color w:val="auto"/>
              </w:rPr>
              <w:t>Capital expenditures, net</w:t>
            </w:r>
          </w:p>
        </w:tc>
        <w:tc>
          <w:tcPr>
            <w:tcW w:w="18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(78,966)</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(107,693)</w:t>
            </w:r>
          </w:p>
        </w:tc>
        <w:tc>
          <w:tcPr>
            <w:tcW w:w="20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(81,936)</w:t>
            </w:r>
          </w:p>
        </w:tc>
        <w:tc>
          <w:tcPr>
            <w:tcW w:w="0" w:type="dxa"/>
            <w:vAlign w:val="bottom"/>
          </w:tcPr>
          <w:p>
            <w:pPr>
              <w:spacing w:after="0"/>
              <w:rPr>
                <w:sz w:val="1"/>
                <w:szCs w:val="1"/>
                <w:color w:val="auto"/>
              </w:rPr>
            </w:pPr>
          </w:p>
        </w:tc>
      </w:tr>
      <w:tr>
        <w:trPr>
          <w:trHeight w:val="145"/>
        </w:trPr>
        <w:tc>
          <w:tcPr>
            <w:tcW w:w="8100" w:type="dxa"/>
            <w:vAlign w:val="bottom"/>
          </w:tcPr>
          <w:p>
            <w:pPr>
              <w:spacing w:after="0"/>
              <w:rPr>
                <w:sz w:val="20"/>
                <w:szCs w:val="20"/>
                <w:color w:val="auto"/>
              </w:rPr>
            </w:pPr>
            <w:r>
              <w:rPr>
                <w:rFonts w:ascii="Arial" w:cs="Arial" w:eastAsia="Arial" w:hAnsi="Arial"/>
                <w:sz w:val="12"/>
                <w:szCs w:val="12"/>
                <w:color w:val="auto"/>
              </w:rPr>
              <w:t>Net decrease in loan servicing advances</w:t>
            </w: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37,761</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170,141</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448,271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100" w:type="dxa"/>
            <w:vAlign w:val="bottom"/>
            <w:shd w:val="clear" w:color="auto" w:fill="CFF0FC"/>
          </w:tcPr>
          <w:p>
            <w:pPr>
              <w:spacing w:after="0"/>
              <w:rPr>
                <w:sz w:val="20"/>
                <w:szCs w:val="20"/>
                <w:color w:val="auto"/>
              </w:rPr>
            </w:pPr>
            <w:r>
              <w:rPr>
                <w:rFonts w:ascii="Arial" w:cs="Arial" w:eastAsia="Arial" w:hAnsi="Arial"/>
                <w:sz w:val="12"/>
                <w:szCs w:val="12"/>
                <w:color w:val="auto"/>
              </w:rPr>
              <w:t>Acquisition of bank and bank holding company, net of cash acquired</w:t>
            </w:r>
          </w:p>
        </w:tc>
        <w:tc>
          <w:tcPr>
            <w:tcW w:w="18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(1,932,596)</w:t>
            </w:r>
          </w:p>
        </w:tc>
        <w:tc>
          <w:tcPr>
            <w:tcW w:w="0" w:type="dxa"/>
            <w:vAlign w:val="bottom"/>
          </w:tcPr>
          <w:p>
            <w:pPr>
              <w:spacing w:after="0"/>
              <w:rPr>
                <w:sz w:val="1"/>
                <w:szCs w:val="1"/>
                <w:color w:val="auto"/>
              </w:rPr>
            </w:pPr>
          </w:p>
        </w:tc>
      </w:tr>
      <w:tr>
        <w:trPr>
          <w:trHeight w:val="145"/>
        </w:trPr>
        <w:tc>
          <w:tcPr>
            <w:tcW w:w="810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Other, net</w:t>
            </w: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19,825</w:t>
            </w:r>
          </w:p>
        </w:tc>
        <w:tc>
          <w:tcPr>
            <w:tcW w:w="40" w:type="dxa"/>
            <w:vAlign w:val="bottom"/>
            <w:tcBorders>
              <w:bottom w:val="single" w:sz="8" w:color="CFF0FC"/>
            </w:tcBorders>
          </w:tcPr>
          <w:p>
            <w:pPr>
              <w:spacing w:after="0"/>
              <w:rPr>
                <w:sz w:val="12"/>
                <w:szCs w:val="12"/>
                <w:color w:val="auto"/>
              </w:rPr>
            </w:pPr>
          </w:p>
        </w:tc>
        <w:tc>
          <w:tcPr>
            <w:tcW w:w="24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277,961</w:t>
            </w:r>
          </w:p>
        </w:tc>
        <w:tc>
          <w:tcPr>
            <w:tcW w:w="28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10,876</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8100" w:type="dxa"/>
            <w:vAlign w:val="bottom"/>
            <w:shd w:val="clear" w:color="auto" w:fill="CFF0FC"/>
          </w:tcPr>
          <w:p>
            <w:pPr>
              <w:ind w:left="240"/>
              <w:spacing w:after="0"/>
              <w:rPr>
                <w:sz w:val="20"/>
                <w:szCs w:val="20"/>
                <w:color w:val="auto"/>
              </w:rPr>
            </w:pPr>
            <w:r>
              <w:rPr>
                <w:rFonts w:ascii="Arial" w:cs="Arial" w:eastAsia="Arial" w:hAnsi="Arial"/>
                <w:sz w:val="12"/>
                <w:szCs w:val="12"/>
                <w:color w:val="auto"/>
              </w:rPr>
              <w:t>Net cash provided (used) by investing activities</w:t>
            </w:r>
          </w:p>
        </w:tc>
        <w:tc>
          <w:tcPr>
            <w:tcW w:w="180" w:type="dxa"/>
            <w:vAlign w:val="bottom"/>
            <w:tcBorders>
              <w:bottom w:val="single" w:sz="8" w:color="auto"/>
            </w:tcBorders>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3,394,925</w:t>
            </w:r>
          </w:p>
        </w:tc>
        <w:tc>
          <w:tcPr>
            <w:tcW w:w="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tcBorders>
              <w:bottom w:val="single" w:sz="8" w:color="auto"/>
            </w:tcBorders>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(720,768)</w:t>
            </w:r>
          </w:p>
        </w:tc>
        <w:tc>
          <w:tcPr>
            <w:tcW w:w="280" w:type="dxa"/>
            <w:vAlign w:val="bottom"/>
            <w:shd w:val="clear" w:color="auto" w:fill="CFF0FC"/>
          </w:tcPr>
          <w:p>
            <w:pPr>
              <w:spacing w:after="0"/>
              <w:rPr>
                <w:sz w:val="11"/>
                <w:szCs w:val="11"/>
                <w:color w:val="auto"/>
              </w:rPr>
            </w:pPr>
          </w:p>
        </w:tc>
        <w:tc>
          <w:tcPr>
            <w:tcW w:w="200" w:type="dxa"/>
            <w:vAlign w:val="bottom"/>
            <w:tcBorders>
              <w:bottom w:val="single" w:sz="8" w:color="auto"/>
            </w:tcBorders>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7,714,282</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8100" w:type="dxa"/>
            <w:vAlign w:val="bottom"/>
          </w:tcPr>
          <w:p>
            <w:pPr>
              <w:spacing w:after="0"/>
              <w:rPr>
                <w:sz w:val="20"/>
                <w:szCs w:val="20"/>
                <w:color w:val="auto"/>
              </w:rPr>
            </w:pPr>
            <w:r>
              <w:rPr>
                <w:rFonts w:ascii="Arial" w:cs="Arial" w:eastAsia="Arial" w:hAnsi="Arial"/>
                <w:sz w:val="12"/>
                <w:szCs w:val="12"/>
                <w:b w:val="1"/>
                <w:bCs w:val="1"/>
                <w:color w:val="auto"/>
              </w:rPr>
              <w:t>Cash flows from financing activities</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8100" w:type="dxa"/>
            <w:vAlign w:val="bottom"/>
            <w:shd w:val="clear" w:color="auto" w:fill="CFF0FC"/>
          </w:tcPr>
          <w:p>
            <w:pPr>
              <w:spacing w:after="0"/>
              <w:rPr>
                <w:sz w:val="20"/>
                <w:szCs w:val="20"/>
                <w:color w:val="auto"/>
              </w:rPr>
            </w:pPr>
            <w:r>
              <w:rPr>
                <w:rFonts w:ascii="Arial" w:cs="Arial" w:eastAsia="Arial" w:hAnsi="Arial"/>
                <w:sz w:val="12"/>
                <w:szCs w:val="12"/>
                <w:color w:val="auto"/>
              </w:rPr>
              <w:t>Net increase (decrease) in deposits</w:t>
            </w:r>
          </w:p>
        </w:tc>
        <w:tc>
          <w:tcPr>
            <w:tcW w:w="18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(3,075,322)</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3,554,673</w:t>
            </w: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504,393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100" w:type="dxa"/>
            <w:vAlign w:val="bottom"/>
          </w:tcPr>
          <w:p>
            <w:pPr>
              <w:spacing w:after="0"/>
              <w:rPr>
                <w:sz w:val="20"/>
                <w:szCs w:val="20"/>
                <w:color w:val="auto"/>
              </w:rPr>
            </w:pPr>
            <w:r>
              <w:rPr>
                <w:rFonts w:ascii="Arial" w:cs="Arial" w:eastAsia="Arial" w:hAnsi="Arial"/>
                <w:sz w:val="12"/>
                <w:szCs w:val="12"/>
                <w:color w:val="auto"/>
              </w:rPr>
              <w:t>Net increase (decrease) in short-term borrowings</w:t>
            </w: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11,657</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2"/>
                <w:szCs w:val="12"/>
                <w:color w:val="auto"/>
              </w:rPr>
              <w:t>(1,937,105)</w:t>
            </w:r>
          </w:p>
        </w:tc>
        <w:tc>
          <w:tcPr>
            <w:tcW w:w="200" w:type="dxa"/>
            <w:vAlign w:val="bottom"/>
          </w:tcPr>
          <w:p>
            <w:pPr>
              <w:spacing w:after="0"/>
              <w:rPr>
                <w:sz w:val="12"/>
                <w:szCs w:val="1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2"/>
                <w:szCs w:val="12"/>
                <w:color w:val="auto"/>
              </w:rPr>
              <w:t>(2,167,405)</w:t>
            </w:r>
          </w:p>
        </w:tc>
        <w:tc>
          <w:tcPr>
            <w:tcW w:w="0" w:type="dxa"/>
            <w:vAlign w:val="bottom"/>
          </w:tcPr>
          <w:p>
            <w:pPr>
              <w:spacing w:after="0"/>
              <w:rPr>
                <w:sz w:val="1"/>
                <w:szCs w:val="1"/>
                <w:color w:val="auto"/>
              </w:rPr>
            </w:pPr>
          </w:p>
        </w:tc>
      </w:tr>
      <w:tr>
        <w:trPr>
          <w:trHeight w:val="145"/>
        </w:trPr>
        <w:tc>
          <w:tcPr>
            <w:tcW w:w="8100" w:type="dxa"/>
            <w:vAlign w:val="bottom"/>
            <w:shd w:val="clear" w:color="auto" w:fill="CFF0FC"/>
          </w:tcPr>
          <w:p>
            <w:pPr>
              <w:spacing w:after="0"/>
              <w:rPr>
                <w:sz w:val="20"/>
                <w:szCs w:val="20"/>
                <w:color w:val="auto"/>
              </w:rPr>
            </w:pPr>
            <w:r>
              <w:rPr>
                <w:rFonts w:ascii="Arial" w:cs="Arial" w:eastAsia="Arial" w:hAnsi="Arial"/>
                <w:sz w:val="12"/>
                <w:szCs w:val="12"/>
                <w:color w:val="auto"/>
              </w:rPr>
              <w:t>Proceeds from long-term borrowings</w:t>
            </w: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2,145,950</w:t>
            </w:r>
          </w:p>
        </w:tc>
        <w:tc>
          <w:tcPr>
            <w:tcW w:w="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1,500,000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100" w:type="dxa"/>
            <w:vAlign w:val="bottom"/>
          </w:tcPr>
          <w:p>
            <w:pPr>
              <w:spacing w:after="0"/>
              <w:rPr>
                <w:sz w:val="20"/>
                <w:szCs w:val="20"/>
                <w:color w:val="auto"/>
              </w:rPr>
            </w:pPr>
            <w:r>
              <w:rPr>
                <w:rFonts w:ascii="Arial" w:cs="Arial" w:eastAsia="Arial" w:hAnsi="Arial"/>
                <w:sz w:val="12"/>
                <w:szCs w:val="12"/>
                <w:color w:val="auto"/>
              </w:rPr>
              <w:t>Payments on long-term borrowings</w:t>
            </w:r>
          </w:p>
        </w:tc>
        <w:tc>
          <w:tcPr>
            <w:tcW w:w="180" w:type="dxa"/>
            <w:vAlign w:val="bottom"/>
          </w:tcPr>
          <w:p>
            <w:pPr>
              <w:spacing w:after="0"/>
              <w:rPr>
                <w:sz w:val="12"/>
                <w:szCs w:val="12"/>
                <w:color w:val="auto"/>
              </w:rPr>
            </w:pPr>
          </w:p>
        </w:tc>
        <w:tc>
          <w:tcPr>
            <w:tcW w:w="740" w:type="dxa"/>
            <w:vAlign w:val="bottom"/>
            <w:gridSpan w:val="2"/>
          </w:tcPr>
          <w:p>
            <w:pPr>
              <w:jc w:val="right"/>
              <w:spacing w:after="0"/>
              <w:rPr>
                <w:sz w:val="20"/>
                <w:szCs w:val="20"/>
                <w:color w:val="auto"/>
              </w:rPr>
            </w:pPr>
            <w:r>
              <w:rPr>
                <w:rFonts w:ascii="Arial" w:cs="Arial" w:eastAsia="Arial" w:hAnsi="Arial"/>
                <w:sz w:val="12"/>
                <w:szCs w:val="12"/>
                <w:color w:val="auto"/>
              </w:rPr>
              <w:t>(3,433,440)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2"/>
                <w:szCs w:val="12"/>
                <w:color w:val="auto"/>
              </w:rPr>
              <w:t>(1,119,898)</w:t>
            </w:r>
          </w:p>
        </w:tc>
        <w:tc>
          <w:tcPr>
            <w:tcW w:w="200" w:type="dxa"/>
            <w:vAlign w:val="bottom"/>
          </w:tcPr>
          <w:p>
            <w:pPr>
              <w:spacing w:after="0"/>
              <w:rPr>
                <w:sz w:val="12"/>
                <w:szCs w:val="1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2"/>
                <w:szCs w:val="12"/>
                <w:color w:val="auto"/>
              </w:rPr>
              <w:t>(8,912,474)</w:t>
            </w:r>
          </w:p>
        </w:tc>
        <w:tc>
          <w:tcPr>
            <w:tcW w:w="0" w:type="dxa"/>
            <w:vAlign w:val="bottom"/>
          </w:tcPr>
          <w:p>
            <w:pPr>
              <w:spacing w:after="0"/>
              <w:rPr>
                <w:sz w:val="1"/>
                <w:szCs w:val="1"/>
                <w:color w:val="auto"/>
              </w:rPr>
            </w:pPr>
          </w:p>
        </w:tc>
      </w:tr>
      <w:tr>
        <w:trPr>
          <w:trHeight w:val="145"/>
        </w:trPr>
        <w:tc>
          <w:tcPr>
            <w:tcW w:w="8100" w:type="dxa"/>
            <w:vAlign w:val="bottom"/>
            <w:shd w:val="clear" w:color="auto" w:fill="CFF0FC"/>
          </w:tcPr>
          <w:p>
            <w:pPr>
              <w:spacing w:after="0"/>
              <w:rPr>
                <w:sz w:val="20"/>
                <w:szCs w:val="20"/>
                <w:color w:val="auto"/>
              </w:rPr>
            </w:pPr>
            <w:r>
              <w:rPr>
                <w:rFonts w:ascii="Arial" w:cs="Arial" w:eastAsia="Arial" w:hAnsi="Arial"/>
                <w:sz w:val="12"/>
                <w:szCs w:val="12"/>
                <w:color w:val="auto"/>
              </w:rPr>
              <w:t>Purchases of treasury stock</w:t>
            </w:r>
          </w:p>
        </w:tc>
        <w:tc>
          <w:tcPr>
            <w:tcW w:w="18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(1,205,905)</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(641,334)</w:t>
            </w:r>
          </w:p>
        </w:tc>
        <w:tc>
          <w:tcPr>
            <w:tcW w:w="20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5"/>
        </w:trPr>
        <w:tc>
          <w:tcPr>
            <w:tcW w:w="8100" w:type="dxa"/>
            <w:vAlign w:val="bottom"/>
          </w:tcPr>
          <w:p>
            <w:pPr>
              <w:spacing w:after="0"/>
              <w:rPr>
                <w:sz w:val="20"/>
                <w:szCs w:val="20"/>
                <w:color w:val="auto"/>
              </w:rPr>
            </w:pPr>
            <w:r>
              <w:rPr>
                <w:rFonts w:ascii="Arial" w:cs="Arial" w:eastAsia="Arial" w:hAnsi="Arial"/>
                <w:sz w:val="12"/>
                <w:szCs w:val="12"/>
                <w:color w:val="auto"/>
              </w:rPr>
              <w:t>Dividends paid — common</w:t>
            </w:r>
          </w:p>
        </w:tc>
        <w:tc>
          <w:tcPr>
            <w:tcW w:w="180" w:type="dxa"/>
            <w:vAlign w:val="bottom"/>
          </w:tcPr>
          <w:p>
            <w:pPr>
              <w:spacing w:after="0"/>
              <w:rPr>
                <w:sz w:val="12"/>
                <w:szCs w:val="12"/>
                <w:color w:val="auto"/>
              </w:rPr>
            </w:pPr>
          </w:p>
        </w:tc>
        <w:tc>
          <w:tcPr>
            <w:tcW w:w="740" w:type="dxa"/>
            <w:vAlign w:val="bottom"/>
            <w:gridSpan w:val="2"/>
          </w:tcPr>
          <w:p>
            <w:pPr>
              <w:jc w:val="right"/>
              <w:spacing w:after="0"/>
              <w:rPr>
                <w:sz w:val="20"/>
                <w:szCs w:val="20"/>
                <w:color w:val="auto"/>
              </w:rPr>
            </w:pPr>
            <w:r>
              <w:rPr>
                <w:rFonts w:ascii="Arial" w:cs="Arial" w:eastAsia="Arial" w:hAnsi="Arial"/>
                <w:sz w:val="12"/>
                <w:szCs w:val="12"/>
                <w:color w:val="auto"/>
              </w:rPr>
              <w:t>(457,402)</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2"/>
                <w:szCs w:val="12"/>
                <w:color w:val="auto"/>
              </w:rPr>
              <w:t>(441,891)</w:t>
            </w:r>
          </w:p>
        </w:tc>
        <w:tc>
          <w:tcPr>
            <w:tcW w:w="200" w:type="dxa"/>
            <w:vAlign w:val="bottom"/>
          </w:tcPr>
          <w:p>
            <w:pPr>
              <w:spacing w:after="0"/>
              <w:rPr>
                <w:sz w:val="12"/>
                <w:szCs w:val="1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2"/>
                <w:szCs w:val="12"/>
                <w:color w:val="auto"/>
              </w:rPr>
              <w:t>(375,017)</w:t>
            </w:r>
          </w:p>
        </w:tc>
        <w:tc>
          <w:tcPr>
            <w:tcW w:w="0" w:type="dxa"/>
            <w:vAlign w:val="bottom"/>
          </w:tcPr>
          <w:p>
            <w:pPr>
              <w:spacing w:after="0"/>
              <w:rPr>
                <w:sz w:val="1"/>
                <w:szCs w:val="1"/>
                <w:color w:val="auto"/>
              </w:rPr>
            </w:pPr>
          </w:p>
        </w:tc>
      </w:tr>
      <w:tr>
        <w:trPr>
          <w:trHeight w:val="145"/>
        </w:trPr>
        <w:tc>
          <w:tcPr>
            <w:tcW w:w="8100" w:type="dxa"/>
            <w:vAlign w:val="bottom"/>
            <w:shd w:val="clear" w:color="auto" w:fill="CFF0FC"/>
          </w:tcPr>
          <w:p>
            <w:pPr>
              <w:spacing w:after="0"/>
              <w:rPr>
                <w:sz w:val="20"/>
                <w:szCs w:val="20"/>
                <w:color w:val="auto"/>
              </w:rPr>
            </w:pPr>
            <w:r>
              <w:rPr>
                <w:rFonts w:ascii="Arial" w:cs="Arial" w:eastAsia="Arial" w:hAnsi="Arial"/>
                <w:sz w:val="12"/>
                <w:szCs w:val="12"/>
                <w:color w:val="auto"/>
              </w:rPr>
              <w:t>Dividends paid — preferred</w:t>
            </w:r>
          </w:p>
        </w:tc>
        <w:tc>
          <w:tcPr>
            <w:tcW w:w="18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(72,734)</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(81,270)</w:t>
            </w:r>
          </w:p>
        </w:tc>
        <w:tc>
          <w:tcPr>
            <w:tcW w:w="20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(81,270)</w:t>
            </w:r>
          </w:p>
        </w:tc>
        <w:tc>
          <w:tcPr>
            <w:tcW w:w="0" w:type="dxa"/>
            <w:vAlign w:val="bottom"/>
          </w:tcPr>
          <w:p>
            <w:pPr>
              <w:spacing w:after="0"/>
              <w:rPr>
                <w:sz w:val="1"/>
                <w:szCs w:val="1"/>
                <w:color w:val="auto"/>
              </w:rPr>
            </w:pPr>
          </w:p>
        </w:tc>
      </w:tr>
      <w:tr>
        <w:trPr>
          <w:trHeight w:val="145"/>
        </w:trPr>
        <w:tc>
          <w:tcPr>
            <w:tcW w:w="8100" w:type="dxa"/>
            <w:vAlign w:val="bottom"/>
          </w:tcPr>
          <w:p>
            <w:pPr>
              <w:spacing w:after="0"/>
              <w:rPr>
                <w:sz w:val="20"/>
                <w:szCs w:val="20"/>
                <w:color w:val="auto"/>
              </w:rPr>
            </w:pPr>
            <w:r>
              <w:rPr>
                <w:rFonts w:ascii="Arial" w:cs="Arial" w:eastAsia="Arial" w:hAnsi="Arial"/>
                <w:sz w:val="12"/>
                <w:szCs w:val="12"/>
                <w:color w:val="auto"/>
              </w:rPr>
              <w:t>Redemption of Series D preferred stock</w:t>
            </w:r>
          </w:p>
        </w:tc>
        <w:tc>
          <w:tcPr>
            <w:tcW w:w="180" w:type="dxa"/>
            <w:vAlign w:val="bottom"/>
          </w:tcPr>
          <w:p>
            <w:pPr>
              <w:spacing w:after="0"/>
              <w:rPr>
                <w:sz w:val="12"/>
                <w:szCs w:val="12"/>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2"/>
                <w:szCs w:val="12"/>
                <w:color w:val="auto"/>
              </w:rPr>
              <w:t>(500,000)</w:t>
            </w:r>
          </w:p>
        </w:tc>
        <w:tc>
          <w:tcPr>
            <w:tcW w:w="20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5"/>
        </w:trPr>
        <w:tc>
          <w:tcPr>
            <w:tcW w:w="8100" w:type="dxa"/>
            <w:vAlign w:val="bottom"/>
            <w:shd w:val="clear" w:color="auto" w:fill="CFF0FC"/>
          </w:tcPr>
          <w:p>
            <w:pPr>
              <w:spacing w:after="0"/>
              <w:rPr>
                <w:sz w:val="20"/>
                <w:szCs w:val="20"/>
                <w:color w:val="auto"/>
              </w:rPr>
            </w:pPr>
            <w:r>
              <w:rPr>
                <w:rFonts w:ascii="Arial" w:cs="Arial" w:eastAsia="Arial" w:hAnsi="Arial"/>
                <w:sz w:val="12"/>
                <w:szCs w:val="12"/>
                <w:color w:val="auto"/>
              </w:rPr>
              <w:t>Proceeds from issuance of Series F preferred stock</w:t>
            </w:r>
          </w:p>
        </w:tc>
        <w:tc>
          <w:tcPr>
            <w:tcW w:w="18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495,000</w:t>
            </w: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5"/>
        </w:trPr>
        <w:tc>
          <w:tcPr>
            <w:tcW w:w="810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Other, net</w:t>
            </w: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10,675</w:t>
            </w:r>
          </w:p>
        </w:tc>
        <w:tc>
          <w:tcPr>
            <w:tcW w:w="40" w:type="dxa"/>
            <w:vAlign w:val="bottom"/>
            <w:tcBorders>
              <w:bottom w:val="single" w:sz="8" w:color="CFF0FC"/>
            </w:tcBorders>
          </w:tcPr>
          <w:p>
            <w:pPr>
              <w:spacing w:after="0"/>
              <w:rPr>
                <w:sz w:val="12"/>
                <w:szCs w:val="12"/>
                <w:color w:val="auto"/>
              </w:rPr>
            </w:pPr>
          </w:p>
        </w:tc>
        <w:tc>
          <w:tcPr>
            <w:tcW w:w="24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161,691</w:t>
            </w:r>
          </w:p>
        </w:tc>
        <w:tc>
          <w:tcPr>
            <w:tcW w:w="28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69,766</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8100" w:type="dxa"/>
            <w:vAlign w:val="bottom"/>
            <w:shd w:val="clear" w:color="auto" w:fill="CFF0FC"/>
          </w:tcPr>
          <w:p>
            <w:pPr>
              <w:ind w:left="240"/>
              <w:spacing w:after="0"/>
              <w:rPr>
                <w:sz w:val="20"/>
                <w:szCs w:val="20"/>
                <w:color w:val="auto"/>
              </w:rPr>
            </w:pPr>
            <w:r>
              <w:rPr>
                <w:rFonts w:ascii="Arial" w:cs="Arial" w:eastAsia="Arial" w:hAnsi="Arial"/>
                <w:sz w:val="12"/>
                <w:szCs w:val="12"/>
                <w:color w:val="auto"/>
              </w:rPr>
              <w:t>Net cash used by financing activities</w:t>
            </w:r>
          </w:p>
        </w:tc>
        <w:tc>
          <w:tcPr>
            <w:tcW w:w="180" w:type="dxa"/>
            <w:vAlign w:val="bottom"/>
            <w:tcBorders>
              <w:bottom w:val="single" w:sz="8" w:color="auto"/>
            </w:tcBorders>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(6,076,521)</w:t>
            </w:r>
          </w:p>
        </w:tc>
        <w:tc>
          <w:tcPr>
            <w:tcW w:w="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tcBorders>
              <w:bottom w:val="single" w:sz="8" w:color="auto"/>
            </w:tcBorders>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(510,134)</w:t>
            </w:r>
          </w:p>
        </w:tc>
        <w:tc>
          <w:tcPr>
            <w:tcW w:w="280" w:type="dxa"/>
            <w:vAlign w:val="bottom"/>
            <w:shd w:val="clear" w:color="auto" w:fill="CFF0FC"/>
          </w:tcPr>
          <w:p>
            <w:pPr>
              <w:spacing w:after="0"/>
              <w:rPr>
                <w:sz w:val="11"/>
                <w:szCs w:val="11"/>
                <w:color w:val="auto"/>
              </w:rPr>
            </w:pPr>
          </w:p>
        </w:tc>
        <w:tc>
          <w:tcPr>
            <w:tcW w:w="200" w:type="dxa"/>
            <w:vAlign w:val="bottom"/>
            <w:tcBorders>
              <w:bottom w:val="single" w:sz="8" w:color="auto"/>
            </w:tcBorders>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(9,462,007)</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8100" w:type="dxa"/>
            <w:vAlign w:val="bottom"/>
          </w:tcPr>
          <w:p>
            <w:pPr>
              <w:spacing w:after="0"/>
              <w:rPr>
                <w:sz w:val="20"/>
                <w:szCs w:val="20"/>
                <w:color w:val="auto"/>
              </w:rPr>
            </w:pPr>
            <w:r>
              <w:rPr>
                <w:rFonts w:ascii="Arial" w:cs="Arial" w:eastAsia="Arial" w:hAnsi="Arial"/>
                <w:sz w:val="12"/>
                <w:szCs w:val="12"/>
                <w:color w:val="auto"/>
              </w:rPr>
              <w:t>Net increase (decrease) in cash and cash equivalents</w:t>
            </w:r>
          </w:p>
        </w:tc>
        <w:tc>
          <w:tcPr>
            <w:tcW w:w="1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100,339</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(47,491)</w:t>
            </w: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(5,317)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8100" w:type="dxa"/>
            <w:vAlign w:val="bottom"/>
            <w:shd w:val="clear" w:color="auto" w:fill="CFF0FC"/>
          </w:tcPr>
          <w:p>
            <w:pPr>
              <w:spacing w:after="0"/>
              <w:rPr>
                <w:sz w:val="20"/>
                <w:szCs w:val="20"/>
                <w:color w:val="auto"/>
              </w:rPr>
            </w:pPr>
            <w:r>
              <w:rPr>
                <w:rFonts w:ascii="Arial" w:cs="Arial" w:eastAsia="Arial" w:hAnsi="Arial"/>
                <w:sz w:val="12"/>
                <w:szCs w:val="12"/>
                <w:color w:val="auto"/>
              </w:rPr>
              <w:t>Cash and cash equivalents at beginning of year</w:t>
            </w:r>
          </w:p>
        </w:tc>
        <w:tc>
          <w:tcPr>
            <w:tcW w:w="18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1,320,549</w:t>
            </w:r>
          </w:p>
        </w:tc>
        <w:tc>
          <w:tcPr>
            <w:tcW w:w="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1,368,040</w:t>
            </w:r>
          </w:p>
        </w:tc>
        <w:tc>
          <w:tcPr>
            <w:tcW w:w="280" w:type="dxa"/>
            <w:vAlign w:val="bottom"/>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1,373,357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810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Cash and cash equivalents at end of year</w:t>
            </w: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1,420,888</w:t>
            </w:r>
          </w:p>
        </w:tc>
        <w:tc>
          <w:tcPr>
            <w:tcW w:w="40" w:type="dxa"/>
            <w:vAlign w:val="bottom"/>
            <w:tcBorders>
              <w:bottom w:val="single" w:sz="8" w:color="CFF0FC"/>
            </w:tcBorders>
          </w:tcPr>
          <w:p>
            <w:pPr>
              <w:spacing w:after="0"/>
              <w:rPr>
                <w:sz w:val="15"/>
                <w:szCs w:val="15"/>
                <w:color w:val="auto"/>
              </w:rPr>
            </w:pPr>
          </w:p>
        </w:tc>
        <w:tc>
          <w:tcPr>
            <w:tcW w:w="24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1,320,549</w:t>
            </w:r>
          </w:p>
        </w:tc>
        <w:tc>
          <w:tcPr>
            <w:tcW w:w="28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1,368,040</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8100" w:type="dxa"/>
            <w:vAlign w:val="bottom"/>
            <w:shd w:val="clear" w:color="auto" w:fill="CFF0FC"/>
          </w:tcPr>
          <w:p>
            <w:pPr>
              <w:spacing w:after="0" w:line="124" w:lineRule="exact"/>
              <w:rPr>
                <w:sz w:val="20"/>
                <w:szCs w:val="20"/>
                <w:color w:val="auto"/>
              </w:rPr>
            </w:pPr>
            <w:r>
              <w:rPr>
                <w:rFonts w:ascii="Arial" w:cs="Arial" w:eastAsia="Arial" w:hAnsi="Arial"/>
                <w:sz w:val="12"/>
                <w:szCs w:val="12"/>
                <w:b w:val="1"/>
                <w:bCs w:val="1"/>
                <w:color w:val="auto"/>
              </w:rPr>
              <w:t>Supplemental disclosure of cash flow information</w:t>
            </w:r>
          </w:p>
        </w:tc>
        <w:tc>
          <w:tcPr>
            <w:tcW w:w="18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8100" w:type="dxa"/>
            <w:vAlign w:val="bottom"/>
          </w:tcPr>
          <w:p>
            <w:pPr>
              <w:spacing w:after="0"/>
              <w:rPr>
                <w:sz w:val="20"/>
                <w:szCs w:val="20"/>
                <w:color w:val="auto"/>
              </w:rPr>
            </w:pPr>
            <w:r>
              <w:rPr>
                <w:rFonts w:ascii="Arial" w:cs="Arial" w:eastAsia="Arial" w:hAnsi="Arial"/>
                <w:sz w:val="12"/>
                <w:szCs w:val="12"/>
                <w:color w:val="auto"/>
              </w:rPr>
              <w:t>Interest received during the year</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4,155,723</w:t>
            </w:r>
          </w:p>
        </w:tc>
        <w:tc>
          <w:tcPr>
            <w:tcW w:w="40" w:type="dxa"/>
            <w:vAlign w:val="bottom"/>
          </w:tcPr>
          <w:p>
            <w:pPr>
              <w:spacing w:after="0"/>
              <w:rPr>
                <w:sz w:val="12"/>
                <w:szCs w:val="12"/>
                <w:color w:val="auto"/>
              </w:rPr>
            </w:pPr>
          </w:p>
        </w:tc>
        <w:tc>
          <w:tcPr>
            <w:tcW w:w="420" w:type="dxa"/>
            <w:vAlign w:val="bottom"/>
            <w:gridSpan w:val="2"/>
          </w:tcPr>
          <w:p>
            <w:pPr>
              <w:jc w:val="right"/>
              <w:ind w:right="69"/>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3,903,374</w:t>
            </w:r>
          </w:p>
        </w:tc>
        <w:tc>
          <w:tcPr>
            <w:tcW w:w="280" w:type="dxa"/>
            <w:vAlign w:val="bottom"/>
          </w:tcPr>
          <w:p>
            <w:pPr>
              <w:spacing w:after="0"/>
              <w:rPr>
                <w:sz w:val="12"/>
                <w:szCs w:val="12"/>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3,134,311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100" w:type="dxa"/>
            <w:vAlign w:val="bottom"/>
            <w:shd w:val="clear" w:color="auto" w:fill="CFF0FC"/>
          </w:tcPr>
          <w:p>
            <w:pPr>
              <w:spacing w:after="0"/>
              <w:rPr>
                <w:sz w:val="20"/>
                <w:szCs w:val="20"/>
                <w:color w:val="auto"/>
              </w:rPr>
            </w:pPr>
            <w:r>
              <w:rPr>
                <w:rFonts w:ascii="Arial" w:cs="Arial" w:eastAsia="Arial" w:hAnsi="Arial"/>
                <w:sz w:val="12"/>
                <w:szCs w:val="12"/>
                <w:color w:val="auto"/>
              </w:rPr>
              <w:t>Interest paid during the year</w:t>
            </w: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405,290</w:t>
            </w:r>
          </w:p>
        </w:tc>
        <w:tc>
          <w:tcPr>
            <w:tcW w:w="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498,951</w:t>
            </w: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400,329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100" w:type="dxa"/>
            <w:vAlign w:val="bottom"/>
          </w:tcPr>
          <w:p>
            <w:pPr>
              <w:spacing w:after="0"/>
              <w:rPr>
                <w:sz w:val="20"/>
                <w:szCs w:val="20"/>
                <w:color w:val="auto"/>
              </w:rPr>
            </w:pPr>
            <w:r>
              <w:rPr>
                <w:rFonts w:ascii="Arial" w:cs="Arial" w:eastAsia="Arial" w:hAnsi="Arial"/>
                <w:sz w:val="12"/>
                <w:szCs w:val="12"/>
                <w:color w:val="auto"/>
              </w:rPr>
              <w:t>Income taxes paid during the year</w:t>
            </w: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494,205</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276,866</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378,660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10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Supplemental schedule of noncash investing and financing activities</w:t>
            </w: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100" w:type="dxa"/>
            <w:vAlign w:val="bottom"/>
          </w:tcPr>
          <w:p>
            <w:pPr>
              <w:spacing w:after="0"/>
              <w:rPr>
                <w:sz w:val="20"/>
                <w:szCs w:val="20"/>
                <w:color w:val="auto"/>
              </w:rPr>
            </w:pPr>
            <w:r>
              <w:rPr>
                <w:rFonts w:ascii="Arial" w:cs="Arial" w:eastAsia="Arial" w:hAnsi="Arial"/>
                <w:sz w:val="12"/>
                <w:szCs w:val="12"/>
                <w:color w:val="auto"/>
              </w:rPr>
              <w:t>Real estate acquired in settlement of loans</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121,292</w:t>
            </w:r>
          </w:p>
        </w:tc>
        <w:tc>
          <w:tcPr>
            <w:tcW w:w="40" w:type="dxa"/>
            <w:vAlign w:val="bottom"/>
          </w:tcPr>
          <w:p>
            <w:pPr>
              <w:spacing w:after="0"/>
              <w:rPr>
                <w:sz w:val="12"/>
                <w:szCs w:val="12"/>
                <w:color w:val="auto"/>
              </w:rPr>
            </w:pPr>
          </w:p>
        </w:tc>
        <w:tc>
          <w:tcPr>
            <w:tcW w:w="420" w:type="dxa"/>
            <w:vAlign w:val="bottom"/>
            <w:gridSpan w:val="2"/>
          </w:tcPr>
          <w:p>
            <w:pPr>
              <w:jc w:val="right"/>
              <w:ind w:right="69"/>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124,033</w:t>
            </w:r>
          </w:p>
        </w:tc>
        <w:tc>
          <w:tcPr>
            <w:tcW w:w="280" w:type="dxa"/>
            <w:vAlign w:val="bottom"/>
          </w:tcPr>
          <w:p>
            <w:pPr>
              <w:spacing w:after="0"/>
              <w:rPr>
                <w:sz w:val="12"/>
                <w:szCs w:val="12"/>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67,753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100" w:type="dxa"/>
            <w:vAlign w:val="bottom"/>
            <w:shd w:val="clear" w:color="auto" w:fill="CFF0FC"/>
          </w:tcPr>
          <w:p>
            <w:pPr>
              <w:spacing w:after="0"/>
              <w:rPr>
                <w:sz w:val="20"/>
                <w:szCs w:val="20"/>
                <w:color w:val="auto"/>
              </w:rPr>
            </w:pPr>
            <w:r>
              <w:rPr>
                <w:rFonts w:ascii="Arial" w:cs="Arial" w:eastAsia="Arial" w:hAnsi="Arial"/>
                <w:sz w:val="12"/>
                <w:szCs w:val="12"/>
                <w:color w:val="auto"/>
              </w:rPr>
              <w:t>Acquisition of bank and bank holding company</w:t>
            </w: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100" w:type="dxa"/>
            <w:vAlign w:val="bottom"/>
          </w:tcPr>
          <w:p>
            <w:pPr>
              <w:ind w:left="240"/>
              <w:spacing w:after="0"/>
              <w:rPr>
                <w:sz w:val="20"/>
                <w:szCs w:val="20"/>
                <w:color w:val="auto"/>
              </w:rPr>
            </w:pPr>
            <w:r>
              <w:rPr>
                <w:rFonts w:ascii="Arial" w:cs="Arial" w:eastAsia="Arial" w:hAnsi="Arial"/>
                <w:sz w:val="12"/>
                <w:szCs w:val="12"/>
                <w:color w:val="auto"/>
              </w:rPr>
              <w:t>Common stock issued</w:t>
            </w:r>
          </w:p>
        </w:tc>
        <w:tc>
          <w:tcPr>
            <w:tcW w:w="180" w:type="dxa"/>
            <w:vAlign w:val="bottom"/>
          </w:tcPr>
          <w:p>
            <w:pPr>
              <w:spacing w:after="0"/>
              <w:rPr>
                <w:sz w:val="12"/>
                <w:szCs w:val="12"/>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3,110,581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100" w:type="dxa"/>
            <w:vAlign w:val="bottom"/>
            <w:shd w:val="clear" w:color="auto" w:fill="CFF0FC"/>
          </w:tcPr>
          <w:p>
            <w:pPr>
              <w:ind w:left="240"/>
              <w:spacing w:after="0"/>
              <w:rPr>
                <w:sz w:val="20"/>
                <w:szCs w:val="20"/>
                <w:color w:val="auto"/>
              </w:rPr>
            </w:pPr>
            <w:r>
              <w:rPr>
                <w:rFonts w:ascii="Arial" w:cs="Arial" w:eastAsia="Arial" w:hAnsi="Arial"/>
                <w:sz w:val="12"/>
                <w:szCs w:val="12"/>
                <w:color w:val="auto"/>
              </w:rPr>
              <w:t>Common stock awards converted</w:t>
            </w:r>
          </w:p>
        </w:tc>
        <w:tc>
          <w:tcPr>
            <w:tcW w:w="18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28,243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100" w:type="dxa"/>
            <w:vAlign w:val="bottom"/>
          </w:tcPr>
          <w:p>
            <w:pPr>
              <w:ind w:left="240"/>
              <w:spacing w:after="0"/>
              <w:rPr>
                <w:sz w:val="20"/>
                <w:szCs w:val="20"/>
                <w:color w:val="auto"/>
              </w:rPr>
            </w:pPr>
            <w:r>
              <w:rPr>
                <w:rFonts w:ascii="Arial" w:cs="Arial" w:eastAsia="Arial" w:hAnsi="Arial"/>
                <w:sz w:val="12"/>
                <w:szCs w:val="12"/>
                <w:color w:val="auto"/>
              </w:rPr>
              <w:t>Fair value of</w:t>
            </w: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100" w:type="dxa"/>
            <w:vAlign w:val="bottom"/>
            <w:shd w:val="clear" w:color="auto" w:fill="CFF0FC"/>
          </w:tcPr>
          <w:p>
            <w:pPr>
              <w:ind w:left="460"/>
              <w:spacing w:after="0"/>
              <w:rPr>
                <w:sz w:val="20"/>
                <w:szCs w:val="20"/>
                <w:color w:val="auto"/>
              </w:rPr>
            </w:pPr>
            <w:r>
              <w:rPr>
                <w:rFonts w:ascii="Arial" w:cs="Arial" w:eastAsia="Arial" w:hAnsi="Arial"/>
                <w:sz w:val="12"/>
                <w:szCs w:val="12"/>
                <w:color w:val="auto"/>
              </w:rPr>
              <w:t>Assets acquired (noncash)</w:t>
            </w:r>
          </w:p>
        </w:tc>
        <w:tc>
          <w:tcPr>
            <w:tcW w:w="18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36,567,632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100" w:type="dxa"/>
            <w:vAlign w:val="bottom"/>
          </w:tcPr>
          <w:p>
            <w:pPr>
              <w:ind w:left="460"/>
              <w:spacing w:after="0"/>
              <w:rPr>
                <w:sz w:val="20"/>
                <w:szCs w:val="20"/>
                <w:color w:val="auto"/>
              </w:rPr>
            </w:pPr>
            <w:r>
              <w:rPr>
                <w:rFonts w:ascii="Arial" w:cs="Arial" w:eastAsia="Arial" w:hAnsi="Arial"/>
                <w:sz w:val="12"/>
                <w:szCs w:val="12"/>
                <w:color w:val="auto"/>
              </w:rPr>
              <w:t>Liabilities assumed</w:t>
            </w:r>
          </w:p>
        </w:tc>
        <w:tc>
          <w:tcPr>
            <w:tcW w:w="180" w:type="dxa"/>
            <w:vAlign w:val="bottom"/>
          </w:tcPr>
          <w:p>
            <w:pPr>
              <w:spacing w:after="0"/>
              <w:rPr>
                <w:sz w:val="12"/>
                <w:szCs w:val="12"/>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31,496,212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100" w:type="dxa"/>
            <w:vAlign w:val="bottom"/>
            <w:shd w:val="clear" w:color="auto" w:fill="CFF0FC"/>
          </w:tcPr>
          <w:p>
            <w:pPr>
              <w:spacing w:after="0"/>
              <w:rPr>
                <w:sz w:val="20"/>
                <w:szCs w:val="20"/>
                <w:color w:val="auto"/>
              </w:rPr>
            </w:pPr>
            <w:r>
              <w:rPr>
                <w:rFonts w:ascii="Arial" w:cs="Arial" w:eastAsia="Arial" w:hAnsi="Arial"/>
                <w:sz w:val="12"/>
                <w:szCs w:val="12"/>
                <w:color w:val="auto"/>
              </w:rPr>
              <w:t>Securitization of residential mortgage loans allocated to</w:t>
            </w: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100" w:type="dxa"/>
            <w:vAlign w:val="bottom"/>
          </w:tcPr>
          <w:p>
            <w:pPr>
              <w:ind w:left="120"/>
              <w:spacing w:after="0"/>
              <w:rPr>
                <w:sz w:val="20"/>
                <w:szCs w:val="20"/>
                <w:color w:val="auto"/>
              </w:rPr>
            </w:pPr>
            <w:r>
              <w:rPr>
                <w:rFonts w:ascii="Arial" w:cs="Arial" w:eastAsia="Arial" w:hAnsi="Arial"/>
                <w:sz w:val="12"/>
                <w:szCs w:val="12"/>
                <w:color w:val="auto"/>
              </w:rPr>
              <w:t>Available-for-sale investment securities</w:t>
            </w: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36,747</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24,233</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65,023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100" w:type="dxa"/>
            <w:vAlign w:val="bottom"/>
            <w:shd w:val="clear" w:color="auto" w:fill="CFF0FC"/>
          </w:tcPr>
          <w:p>
            <w:pPr>
              <w:ind w:left="120"/>
              <w:spacing w:after="0"/>
              <w:rPr>
                <w:sz w:val="20"/>
                <w:szCs w:val="20"/>
                <w:color w:val="auto"/>
              </w:rPr>
            </w:pPr>
            <w:r>
              <w:rPr>
                <w:rFonts w:ascii="Arial" w:cs="Arial" w:eastAsia="Arial" w:hAnsi="Arial"/>
                <w:sz w:val="12"/>
                <w:szCs w:val="12"/>
                <w:color w:val="auto"/>
              </w:rPr>
              <w:t>Capitalized servicing rights</w:t>
            </w: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422</w:t>
            </w:r>
          </w:p>
        </w:tc>
        <w:tc>
          <w:tcPr>
            <w:tcW w:w="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248</w:t>
            </w: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646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financial statements.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112" w:name="page113"/>
    <w:bookmarkEnd w:id="112"/>
    <w:p>
      <w:pPr>
        <w:spacing w:after="0"/>
        <w:rPr>
          <w:sz w:val="20"/>
          <w:szCs w:val="20"/>
          <w:color w:val="auto"/>
        </w:rPr>
      </w:pPr>
      <w:r>
        <w:rPr>
          <w:rFonts w:ascii="Arial" w:cs="Arial" w:eastAsia="Arial" w:hAnsi="Arial"/>
          <w:sz w:val="20"/>
          <w:szCs w:val="20"/>
          <w:b w:val="1"/>
          <w:bCs w:val="1"/>
          <w:color w:val="auto"/>
        </w:rPr>
        <w:t>M&amp;T BANK CORPORATION AND SUBSIDIARIES</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Consolidated Statement of Changes in Shareholders’ Equity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4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Accumulated</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4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Other</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4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2"/>
              </w:rPr>
              <w:t>Common</w:t>
            </w:r>
          </w:p>
        </w:tc>
        <w:tc>
          <w:tcPr>
            <w:tcW w:w="88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w w:val="94"/>
              </w:rPr>
              <w:t>Additional</w:t>
            </w: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Comprehensive</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480" w:type="dxa"/>
            <w:vAlign w:val="bottom"/>
          </w:tcPr>
          <w:p>
            <w:pPr>
              <w:spacing w:after="0"/>
              <w:rPr>
                <w:sz w:val="13"/>
                <w:szCs w:val="13"/>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Preferred</w:t>
            </w:r>
          </w:p>
        </w:tc>
        <w:tc>
          <w:tcPr>
            <w:tcW w:w="76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88"/>
              </w:rPr>
              <w:t>Common</w:t>
            </w:r>
          </w:p>
        </w:tc>
        <w:tc>
          <w:tcPr>
            <w:tcW w:w="7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4"/>
              </w:rPr>
              <w:t>Stock</w:t>
            </w:r>
          </w:p>
        </w:tc>
        <w:tc>
          <w:tcPr>
            <w:tcW w:w="88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Paid-in</w:t>
            </w:r>
          </w:p>
        </w:tc>
        <w:tc>
          <w:tcPr>
            <w:tcW w:w="92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Retained</w:t>
            </w:r>
          </w:p>
        </w:tc>
        <w:tc>
          <w:tcPr>
            <w:tcW w:w="10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Income</w:t>
            </w:r>
          </w:p>
        </w:tc>
        <w:tc>
          <w:tcPr>
            <w:tcW w:w="82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Treasury</w:t>
            </w: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480" w:type="dxa"/>
            <w:vAlign w:val="bottom"/>
          </w:tcPr>
          <w:p>
            <w:pPr>
              <w:spacing w:after="0"/>
              <w:rPr>
                <w:sz w:val="20"/>
                <w:szCs w:val="20"/>
                <w:color w:val="auto"/>
              </w:rPr>
            </w:pPr>
            <w:r>
              <w:rPr>
                <w:rFonts w:ascii="Arial" w:cs="Arial" w:eastAsia="Arial" w:hAnsi="Arial"/>
                <w:sz w:val="13"/>
                <w:szCs w:val="13"/>
                <w:b w:val="1"/>
                <w:bCs w:val="1"/>
                <w:color w:val="auto"/>
              </w:rPr>
              <w:t>Dollars in thousands, except per share</w:t>
            </w:r>
          </w:p>
        </w:tc>
        <w:tc>
          <w:tcPr>
            <w:tcW w:w="86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Stock</w:t>
            </w:r>
          </w:p>
        </w:tc>
        <w:tc>
          <w:tcPr>
            <w:tcW w:w="76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Stock</w:t>
            </w:r>
          </w:p>
        </w:tc>
        <w:tc>
          <w:tcPr>
            <w:tcW w:w="7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Issuable</w:t>
            </w:r>
          </w:p>
        </w:tc>
        <w:tc>
          <w:tcPr>
            <w:tcW w:w="88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Capital</w:t>
            </w:r>
          </w:p>
        </w:tc>
        <w:tc>
          <w:tcPr>
            <w:tcW w:w="92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Earnings</w:t>
            </w:r>
          </w:p>
        </w:tc>
        <w:tc>
          <w:tcPr>
            <w:tcW w:w="10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(Loss), Net</w:t>
            </w:r>
          </w:p>
        </w:tc>
        <w:tc>
          <w:tcPr>
            <w:tcW w:w="82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Stock</w:t>
            </w:r>
          </w:p>
        </w:tc>
        <w:tc>
          <w:tcPr>
            <w:tcW w:w="80" w:type="dxa"/>
            <w:vAlign w:val="bottom"/>
          </w:tcPr>
          <w:p>
            <w:pPr>
              <w:spacing w:after="0"/>
              <w:rPr>
                <w:sz w:val="13"/>
                <w:szCs w:val="13"/>
                <w:color w:val="auto"/>
              </w:rPr>
            </w:pPr>
          </w:p>
        </w:tc>
        <w:tc>
          <w:tcPr>
            <w:tcW w:w="780" w:type="dxa"/>
            <w:vAlign w:val="bottom"/>
          </w:tcPr>
          <w:p>
            <w:pPr>
              <w:jc w:val="right"/>
              <w:ind w:right="214"/>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1"/>
        </w:trPr>
        <w:tc>
          <w:tcPr>
            <w:tcW w:w="4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3"/>
                <w:szCs w:val="13"/>
                <w:b w:val="1"/>
                <w:bCs w:val="1"/>
                <w:color w:val="auto"/>
              </w:rPr>
              <w:t>2015</w:t>
            </w:r>
          </w:p>
        </w:tc>
        <w:tc>
          <w:tcPr>
            <w:tcW w:w="64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56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56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780" w:type="dxa"/>
            <w:vAlign w:val="bottom"/>
            <w:tcBorders>
              <w:top w:val="single" w:sz="8" w:color="auto"/>
              <w:right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480" w:type="dxa"/>
            <w:vAlign w:val="bottom"/>
          </w:tcPr>
          <w:p>
            <w:pPr>
              <w:spacing w:after="0"/>
              <w:rPr>
                <w:sz w:val="20"/>
                <w:szCs w:val="20"/>
                <w:color w:val="auto"/>
              </w:rPr>
            </w:pPr>
            <w:r>
              <w:rPr>
                <w:rFonts w:ascii="Arial" w:cs="Arial" w:eastAsia="Arial" w:hAnsi="Arial"/>
                <w:sz w:val="13"/>
                <w:szCs w:val="13"/>
                <w:color w:val="auto"/>
              </w:rPr>
              <w:t>Balance — January 1, 2015</w:t>
            </w:r>
          </w:p>
        </w:tc>
        <w:tc>
          <w:tcPr>
            <w:tcW w:w="640" w:type="dxa"/>
            <w:vAlign w:val="bottom"/>
          </w:tcPr>
          <w:p>
            <w:pPr>
              <w:jc w:val="right"/>
              <w:spacing w:after="0"/>
              <w:rPr>
                <w:sz w:val="20"/>
                <w:szCs w:val="20"/>
                <w:color w:val="auto"/>
              </w:rPr>
            </w:pPr>
            <w:r>
              <w:rPr>
                <w:rFonts w:ascii="Arial" w:cs="Arial" w:eastAsia="Arial" w:hAnsi="Arial"/>
                <w:sz w:val="13"/>
                <w:szCs w:val="13"/>
                <w:color w:val="auto"/>
                <w:w w:val="90"/>
              </w:rPr>
              <w:t>$ 1,231,500</w:t>
            </w:r>
          </w:p>
        </w:tc>
        <w:tc>
          <w:tcPr>
            <w:tcW w:w="2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66,157</w:t>
            </w:r>
          </w:p>
        </w:tc>
        <w:tc>
          <w:tcPr>
            <w:tcW w:w="2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2,608</w:t>
            </w: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3,409,506</w:t>
            </w: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7,807,119</w:t>
            </w:r>
          </w:p>
        </w:tc>
        <w:tc>
          <w:tcPr>
            <w:tcW w:w="220" w:type="dxa"/>
            <w:vAlign w:val="bottom"/>
          </w:tcPr>
          <w:p>
            <w:pPr>
              <w:spacing w:after="0"/>
              <w:rPr>
                <w:sz w:val="13"/>
                <w:szCs w:val="13"/>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(180,994)</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4"/>
              <w:spacing w:after="0"/>
              <w:rPr>
                <w:sz w:val="20"/>
                <w:szCs w:val="20"/>
                <w:color w:val="auto"/>
              </w:rPr>
            </w:pPr>
            <w:r>
              <w:rPr>
                <w:rFonts w:ascii="Arial" w:cs="Arial" w:eastAsia="Arial" w:hAnsi="Arial"/>
                <w:sz w:val="13"/>
                <w:szCs w:val="13"/>
                <w:color w:val="auto"/>
              </w:rPr>
              <w:t>$ 12,335,896</w:t>
            </w:r>
          </w:p>
        </w:tc>
        <w:tc>
          <w:tcPr>
            <w:tcW w:w="0" w:type="dxa"/>
            <w:vAlign w:val="bottom"/>
          </w:tcPr>
          <w:p>
            <w:pPr>
              <w:spacing w:after="0"/>
              <w:rPr>
                <w:sz w:val="1"/>
                <w:szCs w:val="1"/>
                <w:color w:val="auto"/>
              </w:rPr>
            </w:pPr>
          </w:p>
        </w:tc>
      </w:tr>
      <w:tr>
        <w:trPr>
          <w:trHeight w:val="158"/>
        </w:trPr>
        <w:tc>
          <w:tcPr>
            <w:tcW w:w="4480" w:type="dxa"/>
            <w:vAlign w:val="bottom"/>
            <w:shd w:val="clear" w:color="auto" w:fill="CFF0FC"/>
          </w:tcPr>
          <w:p>
            <w:pPr>
              <w:spacing w:after="0"/>
              <w:rPr>
                <w:sz w:val="20"/>
                <w:szCs w:val="20"/>
                <w:color w:val="auto"/>
              </w:rPr>
            </w:pPr>
            <w:r>
              <w:rPr>
                <w:rFonts w:ascii="Arial" w:cs="Arial" w:eastAsia="Arial" w:hAnsi="Arial"/>
                <w:sz w:val="13"/>
                <w:szCs w:val="13"/>
                <w:color w:val="auto"/>
              </w:rPr>
              <w:t>Total comprehensive income</w:t>
            </w: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1,079,667</w:t>
            </w:r>
          </w:p>
        </w:tc>
        <w:tc>
          <w:tcPr>
            <w:tcW w:w="22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(70,633)</w:t>
            </w: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60" w:type="dxa"/>
            <w:vAlign w:val="bottom"/>
            <w:tcBorders>
              <w:right w:val="single" w:sz="8" w:color="CFF0FC"/>
            </w:tcBorders>
            <w:gridSpan w:val="2"/>
            <w:shd w:val="clear" w:color="auto" w:fill="CFF0FC"/>
          </w:tcPr>
          <w:p>
            <w:pPr>
              <w:jc w:val="right"/>
              <w:ind w:right="14"/>
              <w:spacing w:after="0"/>
              <w:rPr>
                <w:sz w:val="20"/>
                <w:szCs w:val="20"/>
                <w:color w:val="auto"/>
              </w:rPr>
            </w:pPr>
            <w:r>
              <w:rPr>
                <w:rFonts w:ascii="Arial" w:cs="Arial" w:eastAsia="Arial" w:hAnsi="Arial"/>
                <w:sz w:val="13"/>
                <w:szCs w:val="13"/>
                <w:color w:val="auto"/>
              </w:rPr>
              <w:t>1,009,034</w:t>
            </w:r>
          </w:p>
        </w:tc>
        <w:tc>
          <w:tcPr>
            <w:tcW w:w="0" w:type="dxa"/>
            <w:vAlign w:val="bottom"/>
          </w:tcPr>
          <w:p>
            <w:pPr>
              <w:spacing w:after="0"/>
              <w:rPr>
                <w:sz w:val="1"/>
                <w:szCs w:val="1"/>
                <w:color w:val="auto"/>
              </w:rPr>
            </w:pPr>
          </w:p>
        </w:tc>
      </w:tr>
      <w:tr>
        <w:trPr>
          <w:trHeight w:val="158"/>
        </w:trPr>
        <w:tc>
          <w:tcPr>
            <w:tcW w:w="4480" w:type="dxa"/>
            <w:vAlign w:val="bottom"/>
          </w:tcPr>
          <w:p>
            <w:pPr>
              <w:spacing w:after="0"/>
              <w:rPr>
                <w:sz w:val="20"/>
                <w:szCs w:val="20"/>
                <w:color w:val="auto"/>
              </w:rPr>
            </w:pPr>
            <w:r>
              <w:rPr>
                <w:rFonts w:ascii="Arial" w:cs="Arial" w:eastAsia="Arial" w:hAnsi="Arial"/>
                <w:sz w:val="13"/>
                <w:szCs w:val="13"/>
                <w:color w:val="auto"/>
              </w:rPr>
              <w:t>Acquisition of Hudson City Bancorp, Inc.:</w:t>
            </w: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480" w:type="dxa"/>
            <w:vAlign w:val="bottom"/>
            <w:shd w:val="clear" w:color="auto" w:fill="CFF0FC"/>
          </w:tcPr>
          <w:p>
            <w:pPr>
              <w:ind w:left="120"/>
              <w:spacing w:after="0"/>
              <w:rPr>
                <w:sz w:val="20"/>
                <w:szCs w:val="20"/>
                <w:color w:val="auto"/>
              </w:rPr>
            </w:pPr>
            <w:r>
              <w:rPr>
                <w:rFonts w:ascii="Arial" w:cs="Arial" w:eastAsia="Arial" w:hAnsi="Arial"/>
                <w:sz w:val="13"/>
                <w:szCs w:val="13"/>
                <w:color w:val="auto"/>
              </w:rPr>
              <w:t>Common stock issued</w:t>
            </w: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12,977</w:t>
            </w:r>
          </w:p>
        </w:tc>
        <w:tc>
          <w:tcPr>
            <w:tcW w:w="20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3,097,604</w:t>
            </w:r>
          </w:p>
        </w:tc>
        <w:tc>
          <w:tcPr>
            <w:tcW w:w="22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60" w:type="dxa"/>
            <w:vAlign w:val="bottom"/>
            <w:tcBorders>
              <w:right w:val="single" w:sz="8" w:color="CFF0FC"/>
            </w:tcBorders>
            <w:gridSpan w:val="2"/>
            <w:shd w:val="clear" w:color="auto" w:fill="CFF0FC"/>
          </w:tcPr>
          <w:p>
            <w:pPr>
              <w:jc w:val="right"/>
              <w:ind w:right="14"/>
              <w:spacing w:after="0"/>
              <w:rPr>
                <w:sz w:val="20"/>
                <w:szCs w:val="20"/>
                <w:color w:val="auto"/>
              </w:rPr>
            </w:pPr>
            <w:r>
              <w:rPr>
                <w:rFonts w:ascii="Arial" w:cs="Arial" w:eastAsia="Arial" w:hAnsi="Arial"/>
                <w:sz w:val="13"/>
                <w:szCs w:val="13"/>
                <w:color w:val="auto"/>
              </w:rPr>
              <w:t>3,110,581</w:t>
            </w:r>
          </w:p>
        </w:tc>
        <w:tc>
          <w:tcPr>
            <w:tcW w:w="0" w:type="dxa"/>
            <w:vAlign w:val="bottom"/>
          </w:tcPr>
          <w:p>
            <w:pPr>
              <w:spacing w:after="0"/>
              <w:rPr>
                <w:sz w:val="1"/>
                <w:szCs w:val="1"/>
                <w:color w:val="auto"/>
              </w:rPr>
            </w:pPr>
          </w:p>
        </w:tc>
      </w:tr>
      <w:tr>
        <w:trPr>
          <w:trHeight w:val="158"/>
        </w:trPr>
        <w:tc>
          <w:tcPr>
            <w:tcW w:w="4480" w:type="dxa"/>
            <w:vAlign w:val="bottom"/>
          </w:tcPr>
          <w:p>
            <w:pPr>
              <w:ind w:left="120"/>
              <w:spacing w:after="0"/>
              <w:rPr>
                <w:sz w:val="20"/>
                <w:szCs w:val="20"/>
                <w:color w:val="auto"/>
              </w:rPr>
            </w:pPr>
            <w:r>
              <w:rPr>
                <w:rFonts w:ascii="Arial" w:cs="Arial" w:eastAsia="Arial" w:hAnsi="Arial"/>
                <w:sz w:val="13"/>
                <w:szCs w:val="13"/>
                <w:color w:val="auto"/>
              </w:rPr>
              <w:t>Common stock awards converted</w:t>
            </w: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28,243</w:t>
            </w:r>
          </w:p>
        </w:tc>
        <w:tc>
          <w:tcPr>
            <w:tcW w:w="220" w:type="dxa"/>
            <w:vAlign w:val="bottom"/>
          </w:tcPr>
          <w:p>
            <w:pPr>
              <w:spacing w:after="0"/>
              <w:rPr>
                <w:sz w:val="13"/>
                <w:szCs w:val="1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4"/>
              <w:spacing w:after="0"/>
              <w:rPr>
                <w:sz w:val="20"/>
                <w:szCs w:val="20"/>
                <w:color w:val="auto"/>
              </w:rPr>
            </w:pPr>
            <w:r>
              <w:rPr>
                <w:rFonts w:ascii="Arial" w:cs="Arial" w:eastAsia="Arial" w:hAnsi="Arial"/>
                <w:sz w:val="13"/>
                <w:szCs w:val="13"/>
                <w:color w:val="auto"/>
              </w:rPr>
              <w:t>28,243</w:t>
            </w:r>
          </w:p>
        </w:tc>
        <w:tc>
          <w:tcPr>
            <w:tcW w:w="0" w:type="dxa"/>
            <w:vAlign w:val="bottom"/>
          </w:tcPr>
          <w:p>
            <w:pPr>
              <w:spacing w:after="0"/>
              <w:rPr>
                <w:sz w:val="1"/>
                <w:szCs w:val="1"/>
                <w:color w:val="auto"/>
              </w:rPr>
            </w:pPr>
          </w:p>
        </w:tc>
      </w:tr>
      <w:tr>
        <w:trPr>
          <w:trHeight w:val="158"/>
        </w:trPr>
        <w:tc>
          <w:tcPr>
            <w:tcW w:w="4480" w:type="dxa"/>
            <w:vAlign w:val="bottom"/>
            <w:shd w:val="clear" w:color="auto" w:fill="CFF0FC"/>
          </w:tcPr>
          <w:p>
            <w:pPr>
              <w:spacing w:after="0"/>
              <w:rPr>
                <w:sz w:val="20"/>
                <w:szCs w:val="20"/>
                <w:color w:val="auto"/>
              </w:rPr>
            </w:pPr>
            <w:r>
              <w:rPr>
                <w:rFonts w:ascii="Arial" w:cs="Arial" w:eastAsia="Arial" w:hAnsi="Arial"/>
                <w:sz w:val="13"/>
                <w:szCs w:val="13"/>
                <w:color w:val="auto"/>
              </w:rPr>
              <w:t>Preferred stock cash dividends</w:t>
            </w: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(81,270)</w:t>
            </w: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6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3"/>
                <w:szCs w:val="13"/>
                <w:color w:val="auto"/>
              </w:rPr>
              <w:t>(81,270)</w:t>
            </w:r>
          </w:p>
        </w:tc>
        <w:tc>
          <w:tcPr>
            <w:tcW w:w="0" w:type="dxa"/>
            <w:vAlign w:val="bottom"/>
          </w:tcPr>
          <w:p>
            <w:pPr>
              <w:spacing w:after="0"/>
              <w:rPr>
                <w:sz w:val="1"/>
                <w:szCs w:val="1"/>
                <w:color w:val="auto"/>
              </w:rPr>
            </w:pPr>
          </w:p>
        </w:tc>
      </w:tr>
      <w:tr>
        <w:trPr>
          <w:trHeight w:val="149"/>
        </w:trPr>
        <w:tc>
          <w:tcPr>
            <w:tcW w:w="4480" w:type="dxa"/>
            <w:vAlign w:val="bottom"/>
          </w:tcPr>
          <w:p>
            <w:pPr>
              <w:spacing w:after="0"/>
              <w:rPr>
                <w:sz w:val="20"/>
                <w:szCs w:val="20"/>
                <w:color w:val="auto"/>
              </w:rPr>
            </w:pPr>
            <w:r>
              <w:rPr>
                <w:rFonts w:ascii="Arial" w:cs="Arial" w:eastAsia="Arial" w:hAnsi="Arial"/>
                <w:sz w:val="13"/>
                <w:szCs w:val="13"/>
                <w:color w:val="auto"/>
              </w:rPr>
              <w:t>Exercise of 2,315 Series A stock warrants</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480" w:type="dxa"/>
            <w:vAlign w:val="bottom"/>
          </w:tcPr>
          <w:p>
            <w:pPr>
              <w:ind w:left="140"/>
              <w:spacing w:after="0"/>
              <w:rPr>
                <w:sz w:val="20"/>
                <w:szCs w:val="20"/>
                <w:color w:val="auto"/>
              </w:rPr>
            </w:pPr>
            <w:r>
              <w:rPr>
                <w:rFonts w:ascii="Arial" w:cs="Arial" w:eastAsia="Arial" w:hAnsi="Arial"/>
                <w:sz w:val="13"/>
                <w:szCs w:val="13"/>
                <w:color w:val="auto"/>
              </w:rPr>
              <w:t>into 904 shares of common stock</w:t>
            </w: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w:t>
            </w:r>
          </w:p>
        </w:tc>
        <w:tc>
          <w:tcPr>
            <w:tcW w:w="20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(1)</w:t>
            </w: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8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8"/>
        </w:trPr>
        <w:tc>
          <w:tcPr>
            <w:tcW w:w="4480" w:type="dxa"/>
            <w:vAlign w:val="bottom"/>
            <w:shd w:val="clear" w:color="auto" w:fill="CFF0FC"/>
          </w:tcPr>
          <w:p>
            <w:pPr>
              <w:spacing w:after="0"/>
              <w:rPr>
                <w:sz w:val="20"/>
                <w:szCs w:val="20"/>
                <w:color w:val="auto"/>
              </w:rPr>
            </w:pPr>
            <w:r>
              <w:rPr>
                <w:rFonts w:ascii="Arial" w:cs="Arial" w:eastAsia="Arial" w:hAnsi="Arial"/>
                <w:sz w:val="13"/>
                <w:szCs w:val="13"/>
                <w:color w:val="auto"/>
              </w:rPr>
              <w:t>Stock-based compensation plans:</w:t>
            </w:r>
          </w:p>
        </w:tc>
        <w:tc>
          <w:tcPr>
            <w:tcW w:w="6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80" w:type="dxa"/>
            <w:vAlign w:val="bottom"/>
            <w:tcBorders>
              <w:right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480" w:type="dxa"/>
            <w:vAlign w:val="bottom"/>
          </w:tcPr>
          <w:p>
            <w:pPr>
              <w:ind w:left="240"/>
              <w:spacing w:after="0"/>
              <w:rPr>
                <w:sz w:val="20"/>
                <w:szCs w:val="20"/>
                <w:color w:val="auto"/>
              </w:rPr>
            </w:pPr>
            <w:r>
              <w:rPr>
                <w:rFonts w:ascii="Arial" w:cs="Arial" w:eastAsia="Arial" w:hAnsi="Arial"/>
                <w:sz w:val="13"/>
                <w:szCs w:val="13"/>
                <w:color w:val="auto"/>
              </w:rPr>
              <w:t>Compensation expense, net</w:t>
            </w: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155</w:t>
            </w:r>
          </w:p>
        </w:tc>
        <w:tc>
          <w:tcPr>
            <w:tcW w:w="20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43,040</w:t>
            </w:r>
          </w:p>
        </w:tc>
        <w:tc>
          <w:tcPr>
            <w:tcW w:w="220" w:type="dxa"/>
            <w:vAlign w:val="bottom"/>
          </w:tcPr>
          <w:p>
            <w:pPr>
              <w:spacing w:after="0"/>
              <w:rPr>
                <w:sz w:val="13"/>
                <w:szCs w:val="1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4"/>
              <w:spacing w:after="0"/>
              <w:rPr>
                <w:sz w:val="20"/>
                <w:szCs w:val="20"/>
                <w:color w:val="auto"/>
              </w:rPr>
            </w:pPr>
            <w:r>
              <w:rPr>
                <w:rFonts w:ascii="Arial" w:cs="Arial" w:eastAsia="Arial" w:hAnsi="Arial"/>
                <w:sz w:val="13"/>
                <w:szCs w:val="13"/>
                <w:color w:val="auto"/>
              </w:rPr>
              <w:t>43,195</w:t>
            </w:r>
          </w:p>
        </w:tc>
        <w:tc>
          <w:tcPr>
            <w:tcW w:w="0" w:type="dxa"/>
            <w:vAlign w:val="bottom"/>
          </w:tcPr>
          <w:p>
            <w:pPr>
              <w:spacing w:after="0"/>
              <w:rPr>
                <w:sz w:val="1"/>
                <w:szCs w:val="1"/>
                <w:color w:val="auto"/>
              </w:rPr>
            </w:pPr>
          </w:p>
        </w:tc>
      </w:tr>
      <w:tr>
        <w:trPr>
          <w:trHeight w:val="158"/>
        </w:trPr>
        <w:tc>
          <w:tcPr>
            <w:tcW w:w="4480" w:type="dxa"/>
            <w:vAlign w:val="bottom"/>
            <w:shd w:val="clear" w:color="auto" w:fill="CFF0FC"/>
          </w:tcPr>
          <w:p>
            <w:pPr>
              <w:ind w:left="240"/>
              <w:spacing w:after="0"/>
              <w:rPr>
                <w:sz w:val="20"/>
                <w:szCs w:val="20"/>
                <w:color w:val="auto"/>
              </w:rPr>
            </w:pPr>
            <w:r>
              <w:rPr>
                <w:rFonts w:ascii="Arial" w:cs="Arial" w:eastAsia="Arial" w:hAnsi="Arial"/>
                <w:sz w:val="13"/>
                <w:szCs w:val="13"/>
                <w:color w:val="auto"/>
              </w:rPr>
              <w:t>Exercises of stock options, net</w:t>
            </w: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438</w:t>
            </w:r>
          </w:p>
        </w:tc>
        <w:tc>
          <w:tcPr>
            <w:tcW w:w="20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88,455</w:t>
            </w:r>
          </w:p>
        </w:tc>
        <w:tc>
          <w:tcPr>
            <w:tcW w:w="22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60" w:type="dxa"/>
            <w:vAlign w:val="bottom"/>
            <w:tcBorders>
              <w:right w:val="single" w:sz="8" w:color="CFF0FC"/>
            </w:tcBorders>
            <w:gridSpan w:val="2"/>
            <w:shd w:val="clear" w:color="auto" w:fill="CFF0FC"/>
          </w:tcPr>
          <w:p>
            <w:pPr>
              <w:jc w:val="right"/>
              <w:ind w:right="14"/>
              <w:spacing w:after="0"/>
              <w:rPr>
                <w:sz w:val="20"/>
                <w:szCs w:val="20"/>
                <w:color w:val="auto"/>
              </w:rPr>
            </w:pPr>
            <w:r>
              <w:rPr>
                <w:rFonts w:ascii="Arial" w:cs="Arial" w:eastAsia="Arial" w:hAnsi="Arial"/>
                <w:sz w:val="13"/>
                <w:szCs w:val="13"/>
                <w:color w:val="auto"/>
              </w:rPr>
              <w:t>88,893</w:t>
            </w:r>
          </w:p>
        </w:tc>
        <w:tc>
          <w:tcPr>
            <w:tcW w:w="0" w:type="dxa"/>
            <w:vAlign w:val="bottom"/>
          </w:tcPr>
          <w:p>
            <w:pPr>
              <w:spacing w:after="0"/>
              <w:rPr>
                <w:sz w:val="1"/>
                <w:szCs w:val="1"/>
                <w:color w:val="auto"/>
              </w:rPr>
            </w:pPr>
          </w:p>
        </w:tc>
      </w:tr>
      <w:tr>
        <w:trPr>
          <w:trHeight w:val="158"/>
        </w:trPr>
        <w:tc>
          <w:tcPr>
            <w:tcW w:w="4480" w:type="dxa"/>
            <w:vAlign w:val="bottom"/>
          </w:tcPr>
          <w:p>
            <w:pPr>
              <w:ind w:left="240"/>
              <w:spacing w:after="0"/>
              <w:rPr>
                <w:sz w:val="20"/>
                <w:szCs w:val="20"/>
                <w:color w:val="auto"/>
              </w:rPr>
            </w:pPr>
            <w:r>
              <w:rPr>
                <w:rFonts w:ascii="Arial" w:cs="Arial" w:eastAsia="Arial" w:hAnsi="Arial"/>
                <w:sz w:val="13"/>
                <w:szCs w:val="13"/>
                <w:color w:val="auto"/>
              </w:rPr>
              <w:t>Stock purchase plan</w:t>
            </w: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45</w:t>
            </w:r>
          </w:p>
        </w:tc>
        <w:tc>
          <w:tcPr>
            <w:tcW w:w="20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10,301</w:t>
            </w:r>
          </w:p>
        </w:tc>
        <w:tc>
          <w:tcPr>
            <w:tcW w:w="220" w:type="dxa"/>
            <w:vAlign w:val="bottom"/>
          </w:tcPr>
          <w:p>
            <w:pPr>
              <w:spacing w:after="0"/>
              <w:rPr>
                <w:sz w:val="13"/>
                <w:szCs w:val="1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4"/>
              <w:spacing w:after="0"/>
              <w:rPr>
                <w:sz w:val="20"/>
                <w:szCs w:val="20"/>
                <w:color w:val="auto"/>
              </w:rPr>
            </w:pPr>
            <w:r>
              <w:rPr>
                <w:rFonts w:ascii="Arial" w:cs="Arial" w:eastAsia="Arial" w:hAnsi="Arial"/>
                <w:sz w:val="13"/>
                <w:szCs w:val="13"/>
                <w:color w:val="auto"/>
              </w:rPr>
              <w:t>10,346</w:t>
            </w:r>
          </w:p>
        </w:tc>
        <w:tc>
          <w:tcPr>
            <w:tcW w:w="0" w:type="dxa"/>
            <w:vAlign w:val="bottom"/>
          </w:tcPr>
          <w:p>
            <w:pPr>
              <w:spacing w:after="0"/>
              <w:rPr>
                <w:sz w:val="1"/>
                <w:szCs w:val="1"/>
                <w:color w:val="auto"/>
              </w:rPr>
            </w:pPr>
          </w:p>
        </w:tc>
      </w:tr>
      <w:tr>
        <w:trPr>
          <w:trHeight w:val="158"/>
        </w:trPr>
        <w:tc>
          <w:tcPr>
            <w:tcW w:w="4480" w:type="dxa"/>
            <w:vAlign w:val="bottom"/>
            <w:shd w:val="clear" w:color="auto" w:fill="CFF0FC"/>
          </w:tcPr>
          <w:p>
            <w:pPr>
              <w:ind w:left="240"/>
              <w:spacing w:after="0"/>
              <w:rPr>
                <w:sz w:val="20"/>
                <w:szCs w:val="20"/>
                <w:color w:val="auto"/>
              </w:rPr>
            </w:pPr>
            <w:r>
              <w:rPr>
                <w:rFonts w:ascii="Arial" w:cs="Arial" w:eastAsia="Arial" w:hAnsi="Arial"/>
                <w:sz w:val="13"/>
                <w:szCs w:val="13"/>
                <w:color w:val="auto"/>
              </w:rPr>
              <w:t>Directors’ stock plan</w:t>
            </w: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w:t>
            </w:r>
          </w:p>
        </w:tc>
        <w:tc>
          <w:tcPr>
            <w:tcW w:w="20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1,754</w:t>
            </w:r>
          </w:p>
        </w:tc>
        <w:tc>
          <w:tcPr>
            <w:tcW w:w="22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60" w:type="dxa"/>
            <w:vAlign w:val="bottom"/>
            <w:tcBorders>
              <w:right w:val="single" w:sz="8" w:color="CFF0FC"/>
            </w:tcBorders>
            <w:gridSpan w:val="2"/>
            <w:shd w:val="clear" w:color="auto" w:fill="CFF0FC"/>
          </w:tcPr>
          <w:p>
            <w:pPr>
              <w:jc w:val="right"/>
              <w:ind w:right="14"/>
              <w:spacing w:after="0"/>
              <w:rPr>
                <w:sz w:val="20"/>
                <w:szCs w:val="20"/>
                <w:color w:val="auto"/>
              </w:rPr>
            </w:pPr>
            <w:r>
              <w:rPr>
                <w:rFonts w:ascii="Arial" w:cs="Arial" w:eastAsia="Arial" w:hAnsi="Arial"/>
                <w:sz w:val="13"/>
                <w:szCs w:val="13"/>
                <w:color w:val="auto"/>
              </w:rPr>
              <w:t>1,761</w:t>
            </w:r>
          </w:p>
        </w:tc>
        <w:tc>
          <w:tcPr>
            <w:tcW w:w="0" w:type="dxa"/>
            <w:vAlign w:val="bottom"/>
          </w:tcPr>
          <w:p>
            <w:pPr>
              <w:spacing w:after="0"/>
              <w:rPr>
                <w:sz w:val="1"/>
                <w:szCs w:val="1"/>
                <w:color w:val="auto"/>
              </w:rPr>
            </w:pPr>
          </w:p>
        </w:tc>
      </w:tr>
      <w:tr>
        <w:trPr>
          <w:trHeight w:val="149"/>
        </w:trPr>
        <w:tc>
          <w:tcPr>
            <w:tcW w:w="4480" w:type="dxa"/>
            <w:vAlign w:val="bottom"/>
          </w:tcPr>
          <w:p>
            <w:pPr>
              <w:ind w:left="240"/>
              <w:spacing w:after="0"/>
              <w:rPr>
                <w:sz w:val="20"/>
                <w:szCs w:val="20"/>
                <w:color w:val="auto"/>
              </w:rPr>
            </w:pPr>
            <w:r>
              <w:rPr>
                <w:rFonts w:ascii="Arial" w:cs="Arial" w:eastAsia="Arial" w:hAnsi="Arial"/>
                <w:sz w:val="13"/>
                <w:szCs w:val="13"/>
                <w:color w:val="auto"/>
              </w:rPr>
              <w:t>Deferred compensation plans, net,</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480" w:type="dxa"/>
            <w:vAlign w:val="bottom"/>
          </w:tcPr>
          <w:p>
            <w:pPr>
              <w:ind w:left="380"/>
              <w:spacing w:after="0"/>
              <w:rPr>
                <w:sz w:val="20"/>
                <w:szCs w:val="20"/>
                <w:color w:val="auto"/>
              </w:rPr>
            </w:pPr>
            <w:r>
              <w:rPr>
                <w:rFonts w:ascii="Arial" w:cs="Arial" w:eastAsia="Arial" w:hAnsi="Arial"/>
                <w:sz w:val="13"/>
                <w:szCs w:val="13"/>
                <w:color w:val="auto"/>
              </w:rPr>
              <w:t>including dividend equivalents</w:t>
            </w: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2</w:t>
            </w:r>
          </w:p>
        </w:tc>
        <w:tc>
          <w:tcPr>
            <w:tcW w:w="20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(244)</w:t>
            </w:r>
          </w:p>
        </w:tc>
        <w:tc>
          <w:tcPr>
            <w:tcW w:w="660" w:type="dxa"/>
            <w:vAlign w:val="bottom"/>
          </w:tcPr>
          <w:p>
            <w:pPr>
              <w:jc w:val="right"/>
              <w:spacing w:after="0"/>
              <w:rPr>
                <w:sz w:val="20"/>
                <w:szCs w:val="20"/>
                <w:color w:val="auto"/>
              </w:rPr>
            </w:pPr>
            <w:r>
              <w:rPr>
                <w:rFonts w:ascii="Arial" w:cs="Arial" w:eastAsia="Arial" w:hAnsi="Arial"/>
                <w:sz w:val="13"/>
                <w:szCs w:val="13"/>
                <w:color w:val="auto"/>
              </w:rPr>
              <w:t>293</w:t>
            </w:r>
          </w:p>
        </w:tc>
        <w:tc>
          <w:tcPr>
            <w:tcW w:w="220" w:type="dxa"/>
            <w:vAlign w:val="bottom"/>
          </w:tcPr>
          <w:p>
            <w:pPr>
              <w:spacing w:after="0"/>
              <w:rPr>
                <w:sz w:val="13"/>
                <w:szCs w:val="13"/>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(102)</w:t>
            </w: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(51)</w:t>
            </w:r>
          </w:p>
        </w:tc>
        <w:tc>
          <w:tcPr>
            <w:tcW w:w="0" w:type="dxa"/>
            <w:vAlign w:val="bottom"/>
          </w:tcPr>
          <w:p>
            <w:pPr>
              <w:spacing w:after="0"/>
              <w:rPr>
                <w:sz w:val="1"/>
                <w:szCs w:val="1"/>
                <w:color w:val="auto"/>
              </w:rPr>
            </w:pPr>
          </w:p>
        </w:tc>
      </w:tr>
      <w:tr>
        <w:trPr>
          <w:trHeight w:val="158"/>
        </w:trPr>
        <w:tc>
          <w:tcPr>
            <w:tcW w:w="4480" w:type="dxa"/>
            <w:vAlign w:val="bottom"/>
            <w:shd w:val="clear" w:color="auto" w:fill="CFF0FC"/>
          </w:tcPr>
          <w:p>
            <w:pPr>
              <w:ind w:left="240"/>
              <w:spacing w:after="0"/>
              <w:rPr>
                <w:sz w:val="20"/>
                <w:szCs w:val="20"/>
                <w:color w:val="auto"/>
              </w:rPr>
            </w:pPr>
            <w:r>
              <w:rPr>
                <w:rFonts w:ascii="Arial" w:cs="Arial" w:eastAsia="Arial" w:hAnsi="Arial"/>
                <w:sz w:val="13"/>
                <w:szCs w:val="13"/>
                <w:color w:val="auto"/>
              </w:rPr>
              <w:t>Other</w:t>
            </w: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1,573</w:t>
            </w:r>
          </w:p>
        </w:tc>
        <w:tc>
          <w:tcPr>
            <w:tcW w:w="22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60" w:type="dxa"/>
            <w:vAlign w:val="bottom"/>
            <w:tcBorders>
              <w:right w:val="single" w:sz="8" w:color="CFF0FC"/>
            </w:tcBorders>
            <w:gridSpan w:val="2"/>
            <w:shd w:val="clear" w:color="auto" w:fill="CFF0FC"/>
          </w:tcPr>
          <w:p>
            <w:pPr>
              <w:jc w:val="right"/>
              <w:ind w:right="14"/>
              <w:spacing w:after="0"/>
              <w:rPr>
                <w:sz w:val="20"/>
                <w:szCs w:val="20"/>
                <w:color w:val="auto"/>
              </w:rPr>
            </w:pPr>
            <w:r>
              <w:rPr>
                <w:rFonts w:ascii="Arial" w:cs="Arial" w:eastAsia="Arial" w:hAnsi="Arial"/>
                <w:sz w:val="13"/>
                <w:szCs w:val="13"/>
                <w:color w:val="auto"/>
              </w:rPr>
              <w:t>1,573</w:t>
            </w:r>
          </w:p>
        </w:tc>
        <w:tc>
          <w:tcPr>
            <w:tcW w:w="0" w:type="dxa"/>
            <w:vAlign w:val="bottom"/>
          </w:tcPr>
          <w:p>
            <w:pPr>
              <w:spacing w:after="0"/>
              <w:rPr>
                <w:sz w:val="1"/>
                <w:szCs w:val="1"/>
                <w:color w:val="auto"/>
              </w:rPr>
            </w:pPr>
          </w:p>
        </w:tc>
      </w:tr>
      <w:tr>
        <w:trPr>
          <w:trHeight w:val="149"/>
        </w:trPr>
        <w:tc>
          <w:tcPr>
            <w:tcW w:w="4480" w:type="dxa"/>
            <w:vAlign w:val="bottom"/>
          </w:tcPr>
          <w:p>
            <w:pPr>
              <w:spacing w:after="0"/>
              <w:rPr>
                <w:sz w:val="20"/>
                <w:szCs w:val="20"/>
                <w:color w:val="auto"/>
              </w:rPr>
            </w:pPr>
            <w:r>
              <w:rPr>
                <w:rFonts w:ascii="Arial" w:cs="Arial" w:eastAsia="Arial" w:hAnsi="Arial"/>
                <w:sz w:val="13"/>
                <w:szCs w:val="13"/>
                <w:color w:val="auto"/>
              </w:rPr>
              <w:t>Common stock cash dividends - $2.80 per</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480" w:type="dxa"/>
            <w:vAlign w:val="bottom"/>
          </w:tcPr>
          <w:p>
            <w:pPr>
              <w:ind w:left="140"/>
              <w:spacing w:after="0"/>
              <w:rPr>
                <w:sz w:val="20"/>
                <w:szCs w:val="20"/>
                <w:color w:val="auto"/>
              </w:rPr>
            </w:pPr>
            <w:r>
              <w:rPr>
                <w:rFonts w:ascii="Arial" w:cs="Arial" w:eastAsia="Arial" w:hAnsi="Arial"/>
                <w:sz w:val="13"/>
                <w:szCs w:val="13"/>
                <w:color w:val="auto"/>
              </w:rPr>
              <w:t>share</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(374,912)</w:t>
            </w: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(374,912)</w:t>
            </w:r>
          </w:p>
        </w:tc>
        <w:tc>
          <w:tcPr>
            <w:tcW w:w="0" w:type="dxa"/>
            <w:vAlign w:val="bottom"/>
          </w:tcPr>
          <w:p>
            <w:pPr>
              <w:spacing w:after="0"/>
              <w:rPr>
                <w:sz w:val="1"/>
                <w:szCs w:val="1"/>
                <w:color w:val="auto"/>
              </w:rPr>
            </w:pPr>
          </w:p>
        </w:tc>
      </w:tr>
      <w:tr>
        <w:trPr>
          <w:trHeight w:val="20"/>
        </w:trPr>
        <w:tc>
          <w:tcPr>
            <w:tcW w:w="4480" w:type="dxa"/>
            <w:vAlign w:val="bottom"/>
            <w:vMerge w:val="restart"/>
            <w:shd w:val="clear" w:color="auto" w:fill="CFF0FC"/>
          </w:tcPr>
          <w:p>
            <w:pPr>
              <w:spacing w:after="0"/>
              <w:rPr>
                <w:sz w:val="20"/>
                <w:szCs w:val="20"/>
                <w:color w:val="auto"/>
              </w:rPr>
            </w:pPr>
            <w:r>
              <w:rPr>
                <w:rFonts w:ascii="Arial" w:cs="Arial" w:eastAsia="Arial" w:hAnsi="Arial"/>
                <w:sz w:val="13"/>
                <w:szCs w:val="13"/>
                <w:color w:val="auto"/>
              </w:rPr>
              <w:t>Balance — December 31, 2015</w:t>
            </w: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78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480" w:type="dxa"/>
            <w:vAlign w:val="bottom"/>
            <w:vMerge w:val="continue"/>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0"/>
              </w:rPr>
              <w:t>$ 1,231,500</w:t>
            </w:r>
          </w:p>
        </w:tc>
        <w:tc>
          <w:tcPr>
            <w:tcW w:w="22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79,782</w:t>
            </w:r>
          </w:p>
        </w:tc>
        <w:tc>
          <w:tcPr>
            <w:tcW w:w="20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2,364</w:t>
            </w:r>
          </w:p>
        </w:tc>
        <w:tc>
          <w:tcPr>
            <w:tcW w:w="20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6,680,768</w:t>
            </w: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8,430,502</w:t>
            </w:r>
          </w:p>
        </w:tc>
        <w:tc>
          <w:tcPr>
            <w:tcW w:w="22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(251,627)</w:t>
            </w: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60" w:type="dxa"/>
            <w:vAlign w:val="bottom"/>
            <w:tcBorders>
              <w:right w:val="single" w:sz="8" w:color="CFF0FC"/>
            </w:tcBorders>
            <w:gridSpan w:val="2"/>
            <w:shd w:val="clear" w:color="auto" w:fill="CFF0FC"/>
          </w:tcPr>
          <w:p>
            <w:pPr>
              <w:jc w:val="right"/>
              <w:ind w:right="14"/>
              <w:spacing w:after="0"/>
              <w:rPr>
                <w:sz w:val="20"/>
                <w:szCs w:val="20"/>
                <w:color w:val="auto"/>
              </w:rPr>
            </w:pPr>
            <w:r>
              <w:rPr>
                <w:rFonts w:ascii="Arial" w:cs="Arial" w:eastAsia="Arial" w:hAnsi="Arial"/>
                <w:sz w:val="13"/>
                <w:szCs w:val="13"/>
                <w:color w:val="auto"/>
              </w:rPr>
              <w:t>$ 16,173,289</w:t>
            </w:r>
          </w:p>
        </w:tc>
        <w:tc>
          <w:tcPr>
            <w:tcW w:w="0" w:type="dxa"/>
            <w:vAlign w:val="bottom"/>
          </w:tcPr>
          <w:p>
            <w:pPr>
              <w:spacing w:after="0"/>
              <w:rPr>
                <w:sz w:val="1"/>
                <w:szCs w:val="1"/>
                <w:color w:val="auto"/>
              </w:rPr>
            </w:pPr>
          </w:p>
        </w:tc>
      </w:tr>
      <w:tr>
        <w:trPr>
          <w:trHeight w:val="158"/>
        </w:trPr>
        <w:tc>
          <w:tcPr>
            <w:tcW w:w="4480" w:type="dxa"/>
            <w:vAlign w:val="bottom"/>
          </w:tcPr>
          <w:p>
            <w:pPr>
              <w:spacing w:after="0"/>
              <w:rPr>
                <w:sz w:val="20"/>
                <w:szCs w:val="20"/>
                <w:color w:val="auto"/>
              </w:rPr>
            </w:pPr>
            <w:r>
              <w:rPr>
                <w:rFonts w:ascii="Arial" w:cs="Arial" w:eastAsia="Arial" w:hAnsi="Arial"/>
                <w:sz w:val="13"/>
                <w:szCs w:val="13"/>
                <w:b w:val="1"/>
                <w:bCs w:val="1"/>
                <w:color w:val="auto"/>
              </w:rPr>
              <w:t>2016</w:t>
            </w: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480" w:type="dxa"/>
            <w:vAlign w:val="bottom"/>
            <w:shd w:val="clear" w:color="auto" w:fill="CFF0FC"/>
          </w:tcPr>
          <w:p>
            <w:pPr>
              <w:spacing w:after="0"/>
              <w:rPr>
                <w:sz w:val="20"/>
                <w:szCs w:val="20"/>
                <w:color w:val="auto"/>
              </w:rPr>
            </w:pPr>
            <w:r>
              <w:rPr>
                <w:rFonts w:ascii="Arial" w:cs="Arial" w:eastAsia="Arial" w:hAnsi="Arial"/>
                <w:sz w:val="13"/>
                <w:szCs w:val="13"/>
                <w:color w:val="auto"/>
              </w:rPr>
              <w:t>Total comprehensive income</w:t>
            </w: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1,315,114</w:t>
            </w:r>
          </w:p>
        </w:tc>
        <w:tc>
          <w:tcPr>
            <w:tcW w:w="22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(43,009)</w:t>
            </w: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60" w:type="dxa"/>
            <w:vAlign w:val="bottom"/>
            <w:tcBorders>
              <w:right w:val="single" w:sz="8" w:color="CFF0FC"/>
            </w:tcBorders>
            <w:gridSpan w:val="2"/>
            <w:shd w:val="clear" w:color="auto" w:fill="CFF0FC"/>
          </w:tcPr>
          <w:p>
            <w:pPr>
              <w:jc w:val="right"/>
              <w:ind w:right="14"/>
              <w:spacing w:after="0"/>
              <w:rPr>
                <w:sz w:val="20"/>
                <w:szCs w:val="20"/>
                <w:color w:val="auto"/>
              </w:rPr>
            </w:pPr>
            <w:r>
              <w:rPr>
                <w:rFonts w:ascii="Arial" w:cs="Arial" w:eastAsia="Arial" w:hAnsi="Arial"/>
                <w:sz w:val="13"/>
                <w:szCs w:val="13"/>
                <w:color w:val="auto"/>
              </w:rPr>
              <w:t>1,272,105</w:t>
            </w:r>
          </w:p>
        </w:tc>
        <w:tc>
          <w:tcPr>
            <w:tcW w:w="0" w:type="dxa"/>
            <w:vAlign w:val="bottom"/>
          </w:tcPr>
          <w:p>
            <w:pPr>
              <w:spacing w:after="0"/>
              <w:rPr>
                <w:sz w:val="1"/>
                <w:szCs w:val="1"/>
                <w:color w:val="auto"/>
              </w:rPr>
            </w:pPr>
          </w:p>
        </w:tc>
      </w:tr>
      <w:tr>
        <w:trPr>
          <w:trHeight w:val="158"/>
        </w:trPr>
        <w:tc>
          <w:tcPr>
            <w:tcW w:w="4480" w:type="dxa"/>
            <w:vAlign w:val="bottom"/>
          </w:tcPr>
          <w:p>
            <w:pPr>
              <w:spacing w:after="0"/>
              <w:rPr>
                <w:sz w:val="20"/>
                <w:szCs w:val="20"/>
                <w:color w:val="auto"/>
              </w:rPr>
            </w:pPr>
            <w:r>
              <w:rPr>
                <w:rFonts w:ascii="Arial" w:cs="Arial" w:eastAsia="Arial" w:hAnsi="Arial"/>
                <w:sz w:val="13"/>
                <w:szCs w:val="13"/>
                <w:color w:val="auto"/>
              </w:rPr>
              <w:t>Preferred stock cash dividends</w:t>
            </w: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(81,270)</w:t>
            </w: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(81,270)</w:t>
            </w:r>
          </w:p>
        </w:tc>
        <w:tc>
          <w:tcPr>
            <w:tcW w:w="0" w:type="dxa"/>
            <w:vAlign w:val="bottom"/>
          </w:tcPr>
          <w:p>
            <w:pPr>
              <w:spacing w:after="0"/>
              <w:rPr>
                <w:sz w:val="1"/>
                <w:szCs w:val="1"/>
                <w:color w:val="auto"/>
              </w:rPr>
            </w:pPr>
          </w:p>
        </w:tc>
      </w:tr>
      <w:tr>
        <w:trPr>
          <w:trHeight w:val="158"/>
        </w:trPr>
        <w:tc>
          <w:tcPr>
            <w:tcW w:w="4480" w:type="dxa"/>
            <w:vAlign w:val="bottom"/>
            <w:shd w:val="clear" w:color="auto" w:fill="CFF0FC"/>
          </w:tcPr>
          <w:p>
            <w:pPr>
              <w:spacing w:after="0"/>
              <w:rPr>
                <w:sz w:val="20"/>
                <w:szCs w:val="20"/>
                <w:color w:val="auto"/>
              </w:rPr>
            </w:pPr>
            <w:r>
              <w:rPr>
                <w:rFonts w:ascii="Arial" w:cs="Arial" w:eastAsia="Arial" w:hAnsi="Arial"/>
                <w:sz w:val="13"/>
                <w:szCs w:val="13"/>
                <w:color w:val="auto"/>
              </w:rPr>
              <w:t>Redemption of Series D preferred stock</w:t>
            </w: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(500,000)</w:t>
            </w: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6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3"/>
                <w:szCs w:val="13"/>
                <w:color w:val="auto"/>
              </w:rPr>
              <w:t>(500,000)</w:t>
            </w:r>
          </w:p>
        </w:tc>
        <w:tc>
          <w:tcPr>
            <w:tcW w:w="0" w:type="dxa"/>
            <w:vAlign w:val="bottom"/>
          </w:tcPr>
          <w:p>
            <w:pPr>
              <w:spacing w:after="0"/>
              <w:rPr>
                <w:sz w:val="1"/>
                <w:szCs w:val="1"/>
                <w:color w:val="auto"/>
              </w:rPr>
            </w:pPr>
          </w:p>
        </w:tc>
      </w:tr>
      <w:tr>
        <w:trPr>
          <w:trHeight w:val="158"/>
        </w:trPr>
        <w:tc>
          <w:tcPr>
            <w:tcW w:w="4480" w:type="dxa"/>
            <w:vAlign w:val="bottom"/>
          </w:tcPr>
          <w:p>
            <w:pPr>
              <w:spacing w:after="0"/>
              <w:rPr>
                <w:sz w:val="20"/>
                <w:szCs w:val="20"/>
                <w:color w:val="auto"/>
              </w:rPr>
            </w:pPr>
            <w:r>
              <w:rPr>
                <w:rFonts w:ascii="Arial" w:cs="Arial" w:eastAsia="Arial" w:hAnsi="Arial"/>
                <w:sz w:val="13"/>
                <w:szCs w:val="13"/>
                <w:color w:val="auto"/>
              </w:rPr>
              <w:t>Issuance of Series F preferred stock</w:t>
            </w:r>
          </w:p>
        </w:tc>
        <w:tc>
          <w:tcPr>
            <w:tcW w:w="640" w:type="dxa"/>
            <w:vAlign w:val="bottom"/>
          </w:tcPr>
          <w:p>
            <w:pPr>
              <w:jc w:val="right"/>
              <w:spacing w:after="0"/>
              <w:rPr>
                <w:sz w:val="20"/>
                <w:szCs w:val="20"/>
                <w:color w:val="auto"/>
              </w:rPr>
            </w:pPr>
            <w:r>
              <w:rPr>
                <w:rFonts w:ascii="Arial" w:cs="Arial" w:eastAsia="Arial" w:hAnsi="Arial"/>
                <w:sz w:val="13"/>
                <w:szCs w:val="13"/>
                <w:color w:val="auto"/>
              </w:rPr>
              <w:t>500,000</w:t>
            </w:r>
          </w:p>
        </w:tc>
        <w:tc>
          <w:tcPr>
            <w:tcW w:w="22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(5,000)</w:t>
            </w: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4"/>
              <w:spacing w:after="0"/>
              <w:rPr>
                <w:sz w:val="20"/>
                <w:szCs w:val="20"/>
                <w:color w:val="auto"/>
              </w:rPr>
            </w:pPr>
            <w:r>
              <w:rPr>
                <w:rFonts w:ascii="Arial" w:cs="Arial" w:eastAsia="Arial" w:hAnsi="Arial"/>
                <w:sz w:val="13"/>
                <w:szCs w:val="13"/>
                <w:color w:val="auto"/>
              </w:rPr>
              <w:t>495,000</w:t>
            </w:r>
          </w:p>
        </w:tc>
        <w:tc>
          <w:tcPr>
            <w:tcW w:w="0" w:type="dxa"/>
            <w:vAlign w:val="bottom"/>
          </w:tcPr>
          <w:p>
            <w:pPr>
              <w:spacing w:after="0"/>
              <w:rPr>
                <w:sz w:val="1"/>
                <w:szCs w:val="1"/>
                <w:color w:val="auto"/>
              </w:rPr>
            </w:pPr>
          </w:p>
        </w:tc>
      </w:tr>
      <w:tr>
        <w:trPr>
          <w:trHeight w:val="149"/>
        </w:trPr>
        <w:tc>
          <w:tcPr>
            <w:tcW w:w="4480" w:type="dxa"/>
            <w:vAlign w:val="bottom"/>
            <w:shd w:val="clear" w:color="auto" w:fill="CFF0FC"/>
          </w:tcPr>
          <w:p>
            <w:pPr>
              <w:spacing w:after="0"/>
              <w:rPr>
                <w:sz w:val="20"/>
                <w:szCs w:val="20"/>
                <w:color w:val="auto"/>
              </w:rPr>
            </w:pPr>
            <w:r>
              <w:rPr>
                <w:rFonts w:ascii="Arial" w:cs="Arial" w:eastAsia="Arial" w:hAnsi="Arial"/>
                <w:sz w:val="13"/>
                <w:szCs w:val="13"/>
                <w:color w:val="auto"/>
              </w:rPr>
              <w:t>Exercise of 87,381 Series A stock warrants</w:t>
            </w:r>
          </w:p>
        </w:tc>
        <w:tc>
          <w:tcPr>
            <w:tcW w:w="6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tcBorders>
              <w:right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480" w:type="dxa"/>
            <w:vAlign w:val="bottom"/>
            <w:shd w:val="clear" w:color="auto" w:fill="CFF0FC"/>
          </w:tcPr>
          <w:p>
            <w:pPr>
              <w:ind w:left="140"/>
              <w:spacing w:after="0"/>
              <w:rPr>
                <w:sz w:val="20"/>
                <w:szCs w:val="20"/>
                <w:color w:val="auto"/>
              </w:rPr>
            </w:pPr>
            <w:r>
              <w:rPr>
                <w:rFonts w:ascii="Arial" w:cs="Arial" w:eastAsia="Arial" w:hAnsi="Arial"/>
                <w:sz w:val="13"/>
                <w:szCs w:val="13"/>
                <w:color w:val="auto"/>
              </w:rPr>
              <w:t>into 41,439 shares of common stock</w:t>
            </w: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(4,750)</w:t>
            </w: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4,748</w:t>
            </w:r>
          </w:p>
        </w:tc>
        <w:tc>
          <w:tcPr>
            <w:tcW w:w="120" w:type="dxa"/>
            <w:vAlign w:val="bottom"/>
            <w:shd w:val="clear" w:color="auto" w:fill="CFF0FC"/>
          </w:tcPr>
          <w:p>
            <w:pPr>
              <w:spacing w:after="0"/>
              <w:rPr>
                <w:sz w:val="13"/>
                <w:szCs w:val="13"/>
                <w:color w:val="auto"/>
              </w:rPr>
            </w:pPr>
          </w:p>
        </w:tc>
        <w:tc>
          <w:tcPr>
            <w:tcW w:w="86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58"/>
        </w:trPr>
        <w:tc>
          <w:tcPr>
            <w:tcW w:w="4480" w:type="dxa"/>
            <w:vAlign w:val="bottom"/>
          </w:tcPr>
          <w:p>
            <w:pPr>
              <w:spacing w:after="0"/>
              <w:rPr>
                <w:sz w:val="20"/>
                <w:szCs w:val="20"/>
                <w:color w:val="auto"/>
              </w:rPr>
            </w:pPr>
            <w:r>
              <w:rPr>
                <w:rFonts w:ascii="Arial" w:cs="Arial" w:eastAsia="Arial" w:hAnsi="Arial"/>
                <w:sz w:val="13"/>
                <w:szCs w:val="13"/>
                <w:color w:val="auto"/>
              </w:rPr>
              <w:t>Purchases of treasury stock</w:t>
            </w: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3"/>
                <w:szCs w:val="13"/>
                <w:color w:val="auto"/>
              </w:rPr>
              <w:t>(641,334)</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(641,334)</w:t>
            </w:r>
          </w:p>
        </w:tc>
        <w:tc>
          <w:tcPr>
            <w:tcW w:w="0" w:type="dxa"/>
            <w:vAlign w:val="bottom"/>
          </w:tcPr>
          <w:p>
            <w:pPr>
              <w:spacing w:after="0"/>
              <w:rPr>
                <w:sz w:val="1"/>
                <w:szCs w:val="1"/>
                <w:color w:val="auto"/>
              </w:rPr>
            </w:pPr>
          </w:p>
        </w:tc>
      </w:tr>
      <w:tr>
        <w:trPr>
          <w:trHeight w:val="158"/>
        </w:trPr>
        <w:tc>
          <w:tcPr>
            <w:tcW w:w="4480" w:type="dxa"/>
            <w:vAlign w:val="bottom"/>
            <w:shd w:val="clear" w:color="auto" w:fill="CFF0FC"/>
          </w:tcPr>
          <w:p>
            <w:pPr>
              <w:spacing w:after="0"/>
              <w:rPr>
                <w:sz w:val="20"/>
                <w:szCs w:val="20"/>
                <w:color w:val="auto"/>
              </w:rPr>
            </w:pPr>
            <w:r>
              <w:rPr>
                <w:rFonts w:ascii="Arial" w:cs="Arial" w:eastAsia="Arial" w:hAnsi="Arial"/>
                <w:sz w:val="13"/>
                <w:szCs w:val="13"/>
                <w:color w:val="auto"/>
              </w:rPr>
              <w:t>Stock-based compensation plans:</w:t>
            </w:r>
          </w:p>
        </w:tc>
        <w:tc>
          <w:tcPr>
            <w:tcW w:w="6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80" w:type="dxa"/>
            <w:vAlign w:val="bottom"/>
            <w:tcBorders>
              <w:right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480" w:type="dxa"/>
            <w:vAlign w:val="bottom"/>
          </w:tcPr>
          <w:p>
            <w:pPr>
              <w:ind w:left="240"/>
              <w:spacing w:after="0"/>
              <w:rPr>
                <w:sz w:val="20"/>
                <w:szCs w:val="20"/>
                <w:color w:val="auto"/>
              </w:rPr>
            </w:pPr>
            <w:r>
              <w:rPr>
                <w:rFonts w:ascii="Arial" w:cs="Arial" w:eastAsia="Arial" w:hAnsi="Arial"/>
                <w:sz w:val="13"/>
                <w:szCs w:val="13"/>
                <w:color w:val="auto"/>
              </w:rPr>
              <w:t>Compensation expense, net</w:t>
            </w: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169</w:t>
            </w:r>
          </w:p>
        </w:tc>
        <w:tc>
          <w:tcPr>
            <w:tcW w:w="20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16,132</w:t>
            </w:r>
          </w:p>
        </w:tc>
        <w:tc>
          <w:tcPr>
            <w:tcW w:w="220" w:type="dxa"/>
            <w:vAlign w:val="bottom"/>
          </w:tcPr>
          <w:p>
            <w:pPr>
              <w:spacing w:after="0"/>
              <w:rPr>
                <w:sz w:val="13"/>
                <w:szCs w:val="1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10,989</w:t>
            </w:r>
          </w:p>
        </w:tc>
        <w:tc>
          <w:tcPr>
            <w:tcW w:w="120" w:type="dxa"/>
            <w:vAlign w:val="bottom"/>
          </w:tcPr>
          <w:p>
            <w:pPr>
              <w:spacing w:after="0"/>
              <w:rPr>
                <w:sz w:val="13"/>
                <w:szCs w:val="13"/>
                <w:color w:val="auto"/>
              </w:rPr>
            </w:pPr>
          </w:p>
        </w:tc>
        <w:tc>
          <w:tcPr>
            <w:tcW w:w="860" w:type="dxa"/>
            <w:vAlign w:val="bottom"/>
            <w:gridSpan w:val="2"/>
          </w:tcPr>
          <w:p>
            <w:pPr>
              <w:jc w:val="right"/>
              <w:ind w:right="14"/>
              <w:spacing w:after="0"/>
              <w:rPr>
                <w:sz w:val="20"/>
                <w:szCs w:val="20"/>
                <w:color w:val="auto"/>
              </w:rPr>
            </w:pPr>
            <w:r>
              <w:rPr>
                <w:rFonts w:ascii="Arial" w:cs="Arial" w:eastAsia="Arial" w:hAnsi="Arial"/>
                <w:sz w:val="13"/>
                <w:szCs w:val="13"/>
                <w:color w:val="auto"/>
              </w:rPr>
              <w:t>27,290</w:t>
            </w:r>
          </w:p>
        </w:tc>
        <w:tc>
          <w:tcPr>
            <w:tcW w:w="0" w:type="dxa"/>
            <w:vAlign w:val="bottom"/>
          </w:tcPr>
          <w:p>
            <w:pPr>
              <w:spacing w:after="0"/>
              <w:rPr>
                <w:sz w:val="1"/>
                <w:szCs w:val="1"/>
                <w:color w:val="auto"/>
              </w:rPr>
            </w:pPr>
          </w:p>
        </w:tc>
      </w:tr>
      <w:tr>
        <w:trPr>
          <w:trHeight w:val="158"/>
        </w:trPr>
        <w:tc>
          <w:tcPr>
            <w:tcW w:w="4480" w:type="dxa"/>
            <w:vAlign w:val="bottom"/>
            <w:shd w:val="clear" w:color="auto" w:fill="CFF0FC"/>
          </w:tcPr>
          <w:p>
            <w:pPr>
              <w:ind w:left="240"/>
              <w:spacing w:after="0"/>
              <w:rPr>
                <w:sz w:val="20"/>
                <w:szCs w:val="20"/>
                <w:color w:val="auto"/>
              </w:rPr>
            </w:pPr>
            <w:r>
              <w:rPr>
                <w:rFonts w:ascii="Arial" w:cs="Arial" w:eastAsia="Arial" w:hAnsi="Arial"/>
                <w:sz w:val="13"/>
                <w:szCs w:val="13"/>
                <w:color w:val="auto"/>
              </w:rPr>
              <w:t>Exercises of stock options, net</w:t>
            </w: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w:t>
            </w:r>
          </w:p>
        </w:tc>
        <w:tc>
          <w:tcPr>
            <w:tcW w:w="20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(12,190)</w:t>
            </w: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181,789</w:t>
            </w:r>
          </w:p>
        </w:tc>
        <w:tc>
          <w:tcPr>
            <w:tcW w:w="120" w:type="dxa"/>
            <w:vAlign w:val="bottom"/>
            <w:shd w:val="clear" w:color="auto" w:fill="CFF0FC"/>
          </w:tcPr>
          <w:p>
            <w:pPr>
              <w:spacing w:after="0"/>
              <w:rPr>
                <w:sz w:val="13"/>
                <w:szCs w:val="13"/>
                <w:color w:val="auto"/>
              </w:rPr>
            </w:pPr>
          </w:p>
        </w:tc>
        <w:tc>
          <w:tcPr>
            <w:tcW w:w="860" w:type="dxa"/>
            <w:vAlign w:val="bottom"/>
            <w:tcBorders>
              <w:right w:val="single" w:sz="8" w:color="CFF0FC"/>
            </w:tcBorders>
            <w:gridSpan w:val="2"/>
            <w:shd w:val="clear" w:color="auto" w:fill="CFF0FC"/>
          </w:tcPr>
          <w:p>
            <w:pPr>
              <w:jc w:val="right"/>
              <w:ind w:right="14"/>
              <w:spacing w:after="0"/>
              <w:rPr>
                <w:sz w:val="20"/>
                <w:szCs w:val="20"/>
                <w:color w:val="auto"/>
              </w:rPr>
            </w:pPr>
            <w:r>
              <w:rPr>
                <w:rFonts w:ascii="Arial" w:cs="Arial" w:eastAsia="Arial" w:hAnsi="Arial"/>
                <w:sz w:val="13"/>
                <w:szCs w:val="13"/>
                <w:color w:val="auto"/>
              </w:rPr>
              <w:t>169,617</w:t>
            </w:r>
          </w:p>
        </w:tc>
        <w:tc>
          <w:tcPr>
            <w:tcW w:w="0" w:type="dxa"/>
            <w:vAlign w:val="bottom"/>
          </w:tcPr>
          <w:p>
            <w:pPr>
              <w:spacing w:after="0"/>
              <w:rPr>
                <w:sz w:val="1"/>
                <w:szCs w:val="1"/>
                <w:color w:val="auto"/>
              </w:rPr>
            </w:pPr>
          </w:p>
        </w:tc>
      </w:tr>
      <w:tr>
        <w:trPr>
          <w:trHeight w:val="158"/>
        </w:trPr>
        <w:tc>
          <w:tcPr>
            <w:tcW w:w="4480" w:type="dxa"/>
            <w:vAlign w:val="bottom"/>
          </w:tcPr>
          <w:p>
            <w:pPr>
              <w:ind w:left="240"/>
              <w:spacing w:after="0"/>
              <w:rPr>
                <w:sz w:val="20"/>
                <w:szCs w:val="20"/>
                <w:color w:val="auto"/>
              </w:rPr>
            </w:pPr>
            <w:r>
              <w:rPr>
                <w:rFonts w:ascii="Arial" w:cs="Arial" w:eastAsia="Arial" w:hAnsi="Arial"/>
                <w:sz w:val="13"/>
                <w:szCs w:val="13"/>
                <w:color w:val="auto"/>
              </w:rPr>
              <w:t>Stock purchase plan</w:t>
            </w: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275</w:t>
            </w:r>
          </w:p>
        </w:tc>
        <w:tc>
          <w:tcPr>
            <w:tcW w:w="220" w:type="dxa"/>
            <w:vAlign w:val="bottom"/>
          </w:tcPr>
          <w:p>
            <w:pPr>
              <w:spacing w:after="0"/>
              <w:rPr>
                <w:sz w:val="13"/>
                <w:szCs w:val="1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10,319</w:t>
            </w:r>
          </w:p>
        </w:tc>
        <w:tc>
          <w:tcPr>
            <w:tcW w:w="120" w:type="dxa"/>
            <w:vAlign w:val="bottom"/>
          </w:tcPr>
          <w:p>
            <w:pPr>
              <w:spacing w:after="0"/>
              <w:rPr>
                <w:sz w:val="13"/>
                <w:szCs w:val="13"/>
                <w:color w:val="auto"/>
              </w:rPr>
            </w:pPr>
          </w:p>
        </w:tc>
        <w:tc>
          <w:tcPr>
            <w:tcW w:w="860" w:type="dxa"/>
            <w:vAlign w:val="bottom"/>
            <w:gridSpan w:val="2"/>
          </w:tcPr>
          <w:p>
            <w:pPr>
              <w:jc w:val="right"/>
              <w:ind w:right="14"/>
              <w:spacing w:after="0"/>
              <w:rPr>
                <w:sz w:val="20"/>
                <w:szCs w:val="20"/>
                <w:color w:val="auto"/>
              </w:rPr>
            </w:pPr>
            <w:r>
              <w:rPr>
                <w:rFonts w:ascii="Arial" w:cs="Arial" w:eastAsia="Arial" w:hAnsi="Arial"/>
                <w:sz w:val="13"/>
                <w:szCs w:val="13"/>
                <w:color w:val="auto"/>
              </w:rPr>
              <w:t>10,594</w:t>
            </w:r>
          </w:p>
        </w:tc>
        <w:tc>
          <w:tcPr>
            <w:tcW w:w="0" w:type="dxa"/>
            <w:vAlign w:val="bottom"/>
          </w:tcPr>
          <w:p>
            <w:pPr>
              <w:spacing w:after="0"/>
              <w:rPr>
                <w:sz w:val="1"/>
                <w:szCs w:val="1"/>
                <w:color w:val="auto"/>
              </w:rPr>
            </w:pPr>
          </w:p>
        </w:tc>
      </w:tr>
      <w:tr>
        <w:trPr>
          <w:trHeight w:val="158"/>
        </w:trPr>
        <w:tc>
          <w:tcPr>
            <w:tcW w:w="4480" w:type="dxa"/>
            <w:vAlign w:val="bottom"/>
            <w:shd w:val="clear" w:color="auto" w:fill="CFF0FC"/>
          </w:tcPr>
          <w:p>
            <w:pPr>
              <w:ind w:left="240"/>
              <w:spacing w:after="0"/>
              <w:rPr>
                <w:sz w:val="20"/>
                <w:szCs w:val="20"/>
                <w:color w:val="auto"/>
              </w:rPr>
            </w:pPr>
            <w:r>
              <w:rPr>
                <w:rFonts w:ascii="Arial" w:cs="Arial" w:eastAsia="Arial" w:hAnsi="Arial"/>
                <w:sz w:val="13"/>
                <w:szCs w:val="13"/>
                <w:color w:val="auto"/>
              </w:rPr>
              <w:t>Directors’ stock plan</w:t>
            </w: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w:t>
            </w:r>
          </w:p>
        </w:tc>
        <w:tc>
          <w:tcPr>
            <w:tcW w:w="20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535</w:t>
            </w:r>
          </w:p>
        </w:tc>
        <w:tc>
          <w:tcPr>
            <w:tcW w:w="22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1,543</w:t>
            </w:r>
          </w:p>
        </w:tc>
        <w:tc>
          <w:tcPr>
            <w:tcW w:w="120" w:type="dxa"/>
            <w:vAlign w:val="bottom"/>
            <w:shd w:val="clear" w:color="auto" w:fill="CFF0FC"/>
          </w:tcPr>
          <w:p>
            <w:pPr>
              <w:spacing w:after="0"/>
              <w:rPr>
                <w:sz w:val="13"/>
                <w:szCs w:val="13"/>
                <w:color w:val="auto"/>
              </w:rPr>
            </w:pPr>
          </w:p>
        </w:tc>
        <w:tc>
          <w:tcPr>
            <w:tcW w:w="860" w:type="dxa"/>
            <w:vAlign w:val="bottom"/>
            <w:tcBorders>
              <w:right w:val="single" w:sz="8" w:color="CFF0FC"/>
            </w:tcBorders>
            <w:gridSpan w:val="2"/>
            <w:shd w:val="clear" w:color="auto" w:fill="CFF0FC"/>
          </w:tcPr>
          <w:p>
            <w:pPr>
              <w:jc w:val="right"/>
              <w:ind w:right="14"/>
              <w:spacing w:after="0"/>
              <w:rPr>
                <w:sz w:val="20"/>
                <w:szCs w:val="20"/>
                <w:color w:val="auto"/>
              </w:rPr>
            </w:pPr>
            <w:r>
              <w:rPr>
                <w:rFonts w:ascii="Arial" w:cs="Arial" w:eastAsia="Arial" w:hAnsi="Arial"/>
                <w:sz w:val="13"/>
                <w:szCs w:val="13"/>
                <w:color w:val="auto"/>
              </w:rPr>
              <w:t>2,080</w:t>
            </w:r>
          </w:p>
        </w:tc>
        <w:tc>
          <w:tcPr>
            <w:tcW w:w="0" w:type="dxa"/>
            <w:vAlign w:val="bottom"/>
          </w:tcPr>
          <w:p>
            <w:pPr>
              <w:spacing w:after="0"/>
              <w:rPr>
                <w:sz w:val="1"/>
                <w:szCs w:val="1"/>
                <w:color w:val="auto"/>
              </w:rPr>
            </w:pPr>
          </w:p>
        </w:tc>
      </w:tr>
      <w:tr>
        <w:trPr>
          <w:trHeight w:val="149"/>
        </w:trPr>
        <w:tc>
          <w:tcPr>
            <w:tcW w:w="4480" w:type="dxa"/>
            <w:vAlign w:val="bottom"/>
          </w:tcPr>
          <w:p>
            <w:pPr>
              <w:ind w:left="240"/>
              <w:spacing w:after="0"/>
              <w:rPr>
                <w:sz w:val="20"/>
                <w:szCs w:val="20"/>
                <w:color w:val="auto"/>
              </w:rPr>
            </w:pPr>
            <w:r>
              <w:rPr>
                <w:rFonts w:ascii="Arial" w:cs="Arial" w:eastAsia="Arial" w:hAnsi="Arial"/>
                <w:sz w:val="13"/>
                <w:szCs w:val="13"/>
                <w:color w:val="auto"/>
              </w:rPr>
              <w:t>Deferred compensation plans, net,</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480" w:type="dxa"/>
            <w:vAlign w:val="bottom"/>
          </w:tcPr>
          <w:p>
            <w:pPr>
              <w:ind w:left="380"/>
              <w:spacing w:after="0"/>
              <w:rPr>
                <w:sz w:val="20"/>
                <w:szCs w:val="20"/>
                <w:color w:val="auto"/>
              </w:rPr>
            </w:pPr>
            <w:r>
              <w:rPr>
                <w:rFonts w:ascii="Arial" w:cs="Arial" w:eastAsia="Arial" w:hAnsi="Arial"/>
                <w:sz w:val="13"/>
                <w:szCs w:val="13"/>
                <w:color w:val="auto"/>
              </w:rPr>
              <w:t>including dividend equivalents</w:t>
            </w: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2</w:t>
            </w:r>
          </w:p>
        </w:tc>
        <w:tc>
          <w:tcPr>
            <w:tcW w:w="20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(219)</w:t>
            </w:r>
          </w:p>
        </w:tc>
        <w:tc>
          <w:tcPr>
            <w:tcW w:w="660" w:type="dxa"/>
            <w:vAlign w:val="bottom"/>
          </w:tcPr>
          <w:p>
            <w:pPr>
              <w:jc w:val="right"/>
              <w:spacing w:after="0"/>
              <w:rPr>
                <w:sz w:val="20"/>
                <w:szCs w:val="20"/>
                <w:color w:val="auto"/>
              </w:rPr>
            </w:pPr>
            <w:r>
              <w:rPr>
                <w:rFonts w:ascii="Arial" w:cs="Arial" w:eastAsia="Arial" w:hAnsi="Arial"/>
                <w:sz w:val="13"/>
                <w:szCs w:val="13"/>
                <w:color w:val="auto"/>
              </w:rPr>
              <w:t>163</w:t>
            </w:r>
          </w:p>
        </w:tc>
        <w:tc>
          <w:tcPr>
            <w:tcW w:w="220" w:type="dxa"/>
            <w:vAlign w:val="bottom"/>
          </w:tcPr>
          <w:p>
            <w:pPr>
              <w:spacing w:after="0"/>
              <w:rPr>
                <w:sz w:val="13"/>
                <w:szCs w:val="13"/>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(93)</w:t>
            </w: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150</w:t>
            </w:r>
          </w:p>
        </w:tc>
        <w:tc>
          <w:tcPr>
            <w:tcW w:w="120" w:type="dxa"/>
            <w:vAlign w:val="bottom"/>
          </w:tcPr>
          <w:p>
            <w:pPr>
              <w:spacing w:after="0"/>
              <w:rPr>
                <w:sz w:val="13"/>
                <w:szCs w:val="13"/>
                <w:color w:val="auto"/>
              </w:rPr>
            </w:pPr>
          </w:p>
        </w:tc>
        <w:tc>
          <w:tcPr>
            <w:tcW w:w="860" w:type="dxa"/>
            <w:vAlign w:val="bottom"/>
            <w:gridSpan w:val="2"/>
          </w:tcPr>
          <w:p>
            <w:pPr>
              <w:jc w:val="right"/>
              <w:ind w:right="14"/>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58"/>
        </w:trPr>
        <w:tc>
          <w:tcPr>
            <w:tcW w:w="4480" w:type="dxa"/>
            <w:vAlign w:val="bottom"/>
            <w:shd w:val="clear" w:color="auto" w:fill="CFF0FC"/>
          </w:tcPr>
          <w:p>
            <w:pPr>
              <w:ind w:left="240"/>
              <w:spacing w:after="0"/>
              <w:rPr>
                <w:sz w:val="20"/>
                <w:szCs w:val="20"/>
                <w:color w:val="auto"/>
              </w:rPr>
            </w:pPr>
            <w:r>
              <w:rPr>
                <w:rFonts w:ascii="Arial" w:cs="Arial" w:eastAsia="Arial" w:hAnsi="Arial"/>
                <w:sz w:val="13"/>
                <w:szCs w:val="13"/>
                <w:color w:val="auto"/>
              </w:rPr>
              <w:t>Other</w:t>
            </w: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1,015</w:t>
            </w:r>
          </w:p>
        </w:tc>
        <w:tc>
          <w:tcPr>
            <w:tcW w:w="22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60" w:type="dxa"/>
            <w:vAlign w:val="bottom"/>
            <w:tcBorders>
              <w:right w:val="single" w:sz="8" w:color="CFF0FC"/>
            </w:tcBorders>
            <w:gridSpan w:val="2"/>
            <w:shd w:val="clear" w:color="auto" w:fill="CFF0FC"/>
          </w:tcPr>
          <w:p>
            <w:pPr>
              <w:jc w:val="right"/>
              <w:ind w:right="14"/>
              <w:spacing w:after="0"/>
              <w:rPr>
                <w:sz w:val="20"/>
                <w:szCs w:val="20"/>
                <w:color w:val="auto"/>
              </w:rPr>
            </w:pPr>
            <w:r>
              <w:rPr>
                <w:rFonts w:ascii="Arial" w:cs="Arial" w:eastAsia="Arial" w:hAnsi="Arial"/>
                <w:sz w:val="13"/>
                <w:szCs w:val="13"/>
                <w:color w:val="auto"/>
              </w:rPr>
              <w:t>1,015</w:t>
            </w:r>
          </w:p>
        </w:tc>
        <w:tc>
          <w:tcPr>
            <w:tcW w:w="0" w:type="dxa"/>
            <w:vAlign w:val="bottom"/>
          </w:tcPr>
          <w:p>
            <w:pPr>
              <w:spacing w:after="0"/>
              <w:rPr>
                <w:sz w:val="1"/>
                <w:szCs w:val="1"/>
                <w:color w:val="auto"/>
              </w:rPr>
            </w:pPr>
          </w:p>
        </w:tc>
      </w:tr>
      <w:tr>
        <w:trPr>
          <w:trHeight w:val="149"/>
        </w:trPr>
        <w:tc>
          <w:tcPr>
            <w:tcW w:w="4480" w:type="dxa"/>
            <w:vAlign w:val="bottom"/>
          </w:tcPr>
          <w:p>
            <w:pPr>
              <w:spacing w:after="0"/>
              <w:rPr>
                <w:sz w:val="20"/>
                <w:szCs w:val="20"/>
                <w:color w:val="auto"/>
              </w:rPr>
            </w:pPr>
            <w:r>
              <w:rPr>
                <w:rFonts w:ascii="Arial" w:cs="Arial" w:eastAsia="Arial" w:hAnsi="Arial"/>
                <w:sz w:val="13"/>
                <w:szCs w:val="13"/>
                <w:color w:val="auto"/>
              </w:rPr>
              <w:t>Common stock cash dividends - $2.80 per</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480" w:type="dxa"/>
            <w:vAlign w:val="bottom"/>
          </w:tcPr>
          <w:p>
            <w:pPr>
              <w:ind w:left="140"/>
              <w:spacing w:after="0"/>
              <w:rPr>
                <w:sz w:val="20"/>
                <w:szCs w:val="20"/>
                <w:color w:val="auto"/>
              </w:rPr>
            </w:pPr>
            <w:r>
              <w:rPr>
                <w:rFonts w:ascii="Arial" w:cs="Arial" w:eastAsia="Arial" w:hAnsi="Arial"/>
                <w:sz w:val="13"/>
                <w:szCs w:val="13"/>
                <w:color w:val="auto"/>
              </w:rPr>
              <w:t>share</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(441,765)</w:t>
            </w: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(441,765)</w:t>
            </w:r>
          </w:p>
        </w:tc>
        <w:tc>
          <w:tcPr>
            <w:tcW w:w="0" w:type="dxa"/>
            <w:vAlign w:val="bottom"/>
          </w:tcPr>
          <w:p>
            <w:pPr>
              <w:spacing w:after="0"/>
              <w:rPr>
                <w:sz w:val="1"/>
                <w:szCs w:val="1"/>
                <w:color w:val="auto"/>
              </w:rPr>
            </w:pPr>
          </w:p>
        </w:tc>
      </w:tr>
      <w:tr>
        <w:trPr>
          <w:trHeight w:val="20"/>
        </w:trPr>
        <w:tc>
          <w:tcPr>
            <w:tcW w:w="4480" w:type="dxa"/>
            <w:vAlign w:val="bottom"/>
            <w:vMerge w:val="restart"/>
            <w:shd w:val="clear" w:color="auto" w:fill="CFF0FC"/>
          </w:tcPr>
          <w:p>
            <w:pPr>
              <w:spacing w:after="0"/>
              <w:rPr>
                <w:sz w:val="20"/>
                <w:szCs w:val="20"/>
                <w:color w:val="auto"/>
              </w:rPr>
            </w:pPr>
            <w:r>
              <w:rPr>
                <w:rFonts w:ascii="Arial" w:cs="Arial" w:eastAsia="Arial" w:hAnsi="Arial"/>
                <w:sz w:val="13"/>
                <w:szCs w:val="13"/>
                <w:color w:val="auto"/>
              </w:rPr>
              <w:t>Balance — December 31, 2016</w:t>
            </w: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78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480" w:type="dxa"/>
            <w:vAlign w:val="bottom"/>
            <w:vMerge w:val="continue"/>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0"/>
              </w:rPr>
              <w:t>$ 1,231,500</w:t>
            </w:r>
          </w:p>
        </w:tc>
        <w:tc>
          <w:tcPr>
            <w:tcW w:w="22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79,973</w:t>
            </w:r>
          </w:p>
        </w:tc>
        <w:tc>
          <w:tcPr>
            <w:tcW w:w="20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2,145</w:t>
            </w:r>
          </w:p>
        </w:tc>
        <w:tc>
          <w:tcPr>
            <w:tcW w:w="20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6,676,948</w:t>
            </w: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9,222,488</w:t>
            </w:r>
          </w:p>
        </w:tc>
        <w:tc>
          <w:tcPr>
            <w:tcW w:w="22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(294,636)</w:t>
            </w: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(431,796)</w:t>
            </w:r>
          </w:p>
        </w:tc>
        <w:tc>
          <w:tcPr>
            <w:tcW w:w="860" w:type="dxa"/>
            <w:vAlign w:val="bottom"/>
            <w:tcBorders>
              <w:right w:val="single" w:sz="8" w:color="CFF0FC"/>
            </w:tcBorders>
            <w:gridSpan w:val="2"/>
            <w:shd w:val="clear" w:color="auto" w:fill="CFF0FC"/>
          </w:tcPr>
          <w:p>
            <w:pPr>
              <w:jc w:val="right"/>
              <w:ind w:right="14"/>
              <w:spacing w:after="0"/>
              <w:rPr>
                <w:sz w:val="20"/>
                <w:szCs w:val="20"/>
                <w:color w:val="auto"/>
              </w:rPr>
            </w:pPr>
            <w:r>
              <w:rPr>
                <w:rFonts w:ascii="Arial" w:cs="Arial" w:eastAsia="Arial" w:hAnsi="Arial"/>
                <w:sz w:val="13"/>
                <w:szCs w:val="13"/>
                <w:color w:val="auto"/>
              </w:rPr>
              <w:t>$ 16,486,622</w:t>
            </w:r>
          </w:p>
        </w:tc>
        <w:tc>
          <w:tcPr>
            <w:tcW w:w="0" w:type="dxa"/>
            <w:vAlign w:val="bottom"/>
          </w:tcPr>
          <w:p>
            <w:pPr>
              <w:spacing w:after="0"/>
              <w:rPr>
                <w:sz w:val="1"/>
                <w:szCs w:val="1"/>
                <w:color w:val="auto"/>
              </w:rPr>
            </w:pPr>
          </w:p>
        </w:tc>
      </w:tr>
      <w:tr>
        <w:trPr>
          <w:trHeight w:val="158"/>
        </w:trPr>
        <w:tc>
          <w:tcPr>
            <w:tcW w:w="4480" w:type="dxa"/>
            <w:vAlign w:val="bottom"/>
          </w:tcPr>
          <w:p>
            <w:pPr>
              <w:spacing w:after="0"/>
              <w:rPr>
                <w:sz w:val="20"/>
                <w:szCs w:val="20"/>
                <w:color w:val="auto"/>
              </w:rPr>
            </w:pPr>
            <w:r>
              <w:rPr>
                <w:rFonts w:ascii="Arial" w:cs="Arial" w:eastAsia="Arial" w:hAnsi="Arial"/>
                <w:sz w:val="13"/>
                <w:szCs w:val="13"/>
                <w:b w:val="1"/>
                <w:bCs w:val="1"/>
                <w:color w:val="auto"/>
              </w:rPr>
              <w:t>2017</w:t>
            </w: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480" w:type="dxa"/>
            <w:vAlign w:val="bottom"/>
            <w:shd w:val="clear" w:color="auto" w:fill="CFF0FC"/>
          </w:tcPr>
          <w:p>
            <w:pPr>
              <w:spacing w:after="0"/>
              <w:rPr>
                <w:sz w:val="20"/>
                <w:szCs w:val="20"/>
                <w:color w:val="auto"/>
              </w:rPr>
            </w:pPr>
            <w:r>
              <w:rPr>
                <w:rFonts w:ascii="Arial" w:cs="Arial" w:eastAsia="Arial" w:hAnsi="Arial"/>
                <w:sz w:val="13"/>
                <w:szCs w:val="13"/>
                <w:color w:val="auto"/>
              </w:rPr>
              <w:t>Total comprehensive income</w:t>
            </w: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1,408,306</w:t>
            </w:r>
          </w:p>
        </w:tc>
        <w:tc>
          <w:tcPr>
            <w:tcW w:w="22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(5,149)</w:t>
            </w: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60" w:type="dxa"/>
            <w:vAlign w:val="bottom"/>
            <w:tcBorders>
              <w:right w:val="single" w:sz="8" w:color="CFF0FC"/>
            </w:tcBorders>
            <w:gridSpan w:val="2"/>
            <w:shd w:val="clear" w:color="auto" w:fill="CFF0FC"/>
          </w:tcPr>
          <w:p>
            <w:pPr>
              <w:jc w:val="right"/>
              <w:ind w:right="14"/>
              <w:spacing w:after="0"/>
              <w:rPr>
                <w:sz w:val="20"/>
                <w:szCs w:val="20"/>
                <w:color w:val="auto"/>
              </w:rPr>
            </w:pPr>
            <w:r>
              <w:rPr>
                <w:rFonts w:ascii="Arial" w:cs="Arial" w:eastAsia="Arial" w:hAnsi="Arial"/>
                <w:sz w:val="13"/>
                <w:szCs w:val="13"/>
                <w:color w:val="auto"/>
              </w:rPr>
              <w:t>1,403,157</w:t>
            </w:r>
          </w:p>
        </w:tc>
        <w:tc>
          <w:tcPr>
            <w:tcW w:w="0" w:type="dxa"/>
            <w:vAlign w:val="bottom"/>
          </w:tcPr>
          <w:p>
            <w:pPr>
              <w:spacing w:after="0"/>
              <w:rPr>
                <w:sz w:val="1"/>
                <w:szCs w:val="1"/>
                <w:color w:val="auto"/>
              </w:rPr>
            </w:pPr>
          </w:p>
        </w:tc>
      </w:tr>
      <w:tr>
        <w:trPr>
          <w:trHeight w:val="149"/>
        </w:trPr>
        <w:tc>
          <w:tcPr>
            <w:tcW w:w="4480" w:type="dxa"/>
            <w:vAlign w:val="bottom"/>
          </w:tcPr>
          <w:p>
            <w:pPr>
              <w:spacing w:after="0"/>
              <w:rPr>
                <w:sz w:val="20"/>
                <w:szCs w:val="20"/>
                <w:color w:val="auto"/>
              </w:rPr>
            </w:pPr>
            <w:r>
              <w:rPr>
                <w:rFonts w:ascii="Arial" w:cs="Arial" w:eastAsia="Arial" w:hAnsi="Arial"/>
                <w:sz w:val="13"/>
                <w:szCs w:val="13"/>
                <w:color w:val="auto"/>
              </w:rPr>
              <w:t>Reclassification of income tax effects</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480" w:type="dxa"/>
            <w:vAlign w:val="bottom"/>
          </w:tcPr>
          <w:p>
            <w:pPr>
              <w:ind w:left="100"/>
              <w:spacing w:after="0"/>
              <w:rPr>
                <w:sz w:val="20"/>
                <w:szCs w:val="20"/>
                <w:color w:val="auto"/>
              </w:rPr>
            </w:pPr>
            <w:r>
              <w:rPr>
                <w:rFonts w:ascii="Arial" w:cs="Arial" w:eastAsia="Arial" w:hAnsi="Arial"/>
                <w:sz w:val="13"/>
                <w:szCs w:val="13"/>
                <w:color w:val="auto"/>
              </w:rPr>
              <w:t>to retained earnings</w:t>
            </w: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64,029</w:t>
            </w:r>
          </w:p>
        </w:tc>
        <w:tc>
          <w:tcPr>
            <w:tcW w:w="220" w:type="dxa"/>
            <w:vAlign w:val="bottom"/>
          </w:tcPr>
          <w:p>
            <w:pPr>
              <w:spacing w:after="0"/>
              <w:rPr>
                <w:sz w:val="13"/>
                <w:szCs w:val="13"/>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(64,029)</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8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8"/>
        </w:trPr>
        <w:tc>
          <w:tcPr>
            <w:tcW w:w="4480" w:type="dxa"/>
            <w:vAlign w:val="bottom"/>
            <w:shd w:val="clear" w:color="auto" w:fill="CFF0FC"/>
          </w:tcPr>
          <w:p>
            <w:pPr>
              <w:spacing w:after="0"/>
              <w:rPr>
                <w:sz w:val="20"/>
                <w:szCs w:val="20"/>
                <w:color w:val="auto"/>
              </w:rPr>
            </w:pPr>
            <w:r>
              <w:rPr>
                <w:rFonts w:ascii="Arial" w:cs="Arial" w:eastAsia="Arial" w:hAnsi="Arial"/>
                <w:sz w:val="13"/>
                <w:szCs w:val="13"/>
                <w:color w:val="auto"/>
              </w:rPr>
              <w:t>Preferred stock cash dividends</w:t>
            </w: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(72,734)</w:t>
            </w: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6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3"/>
                <w:szCs w:val="13"/>
                <w:color w:val="auto"/>
              </w:rPr>
              <w:t>(72,734)</w:t>
            </w:r>
          </w:p>
        </w:tc>
        <w:tc>
          <w:tcPr>
            <w:tcW w:w="0" w:type="dxa"/>
            <w:vAlign w:val="bottom"/>
          </w:tcPr>
          <w:p>
            <w:pPr>
              <w:spacing w:after="0"/>
              <w:rPr>
                <w:sz w:val="1"/>
                <w:szCs w:val="1"/>
                <w:color w:val="auto"/>
              </w:rPr>
            </w:pPr>
          </w:p>
        </w:tc>
      </w:tr>
      <w:tr>
        <w:trPr>
          <w:trHeight w:val="149"/>
        </w:trPr>
        <w:tc>
          <w:tcPr>
            <w:tcW w:w="4480" w:type="dxa"/>
            <w:vAlign w:val="bottom"/>
          </w:tcPr>
          <w:p>
            <w:pPr>
              <w:spacing w:after="0"/>
              <w:rPr>
                <w:sz w:val="20"/>
                <w:szCs w:val="20"/>
                <w:color w:val="auto"/>
              </w:rPr>
            </w:pPr>
            <w:r>
              <w:rPr>
                <w:rFonts w:ascii="Arial" w:cs="Arial" w:eastAsia="Arial" w:hAnsi="Arial"/>
                <w:sz w:val="13"/>
                <w:szCs w:val="13"/>
                <w:color w:val="auto"/>
              </w:rPr>
              <w:t>Exercise of 374,786 Series A stock warrants</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480" w:type="dxa"/>
            <w:vAlign w:val="bottom"/>
          </w:tcPr>
          <w:p>
            <w:pPr>
              <w:ind w:left="140"/>
              <w:spacing w:after="0"/>
              <w:rPr>
                <w:sz w:val="20"/>
                <w:szCs w:val="20"/>
                <w:color w:val="auto"/>
              </w:rPr>
            </w:pPr>
            <w:r>
              <w:rPr>
                <w:rFonts w:ascii="Arial" w:cs="Arial" w:eastAsia="Arial" w:hAnsi="Arial"/>
                <w:sz w:val="13"/>
                <w:szCs w:val="13"/>
                <w:color w:val="auto"/>
              </w:rPr>
              <w:t>into 204,133 shares of common stock</w:t>
            </w: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(28,746)</w:t>
            </w: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28,746</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8"/>
        </w:trPr>
        <w:tc>
          <w:tcPr>
            <w:tcW w:w="4480" w:type="dxa"/>
            <w:vAlign w:val="bottom"/>
            <w:shd w:val="clear" w:color="auto" w:fill="CFF0FC"/>
          </w:tcPr>
          <w:p>
            <w:pPr>
              <w:spacing w:after="0"/>
              <w:rPr>
                <w:sz w:val="20"/>
                <w:szCs w:val="20"/>
                <w:color w:val="auto"/>
              </w:rPr>
            </w:pPr>
            <w:r>
              <w:rPr>
                <w:rFonts w:ascii="Arial" w:cs="Arial" w:eastAsia="Arial" w:hAnsi="Arial"/>
                <w:sz w:val="13"/>
                <w:szCs w:val="13"/>
                <w:color w:val="auto"/>
              </w:rPr>
              <w:t>Purchases of treasury stock</w:t>
            </w: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(1,205,905)</w:t>
            </w:r>
          </w:p>
        </w:tc>
        <w:tc>
          <w:tcPr>
            <w:tcW w:w="86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3"/>
                <w:szCs w:val="13"/>
                <w:color w:val="auto"/>
              </w:rPr>
              <w:t>(1,205,905)</w:t>
            </w:r>
          </w:p>
        </w:tc>
        <w:tc>
          <w:tcPr>
            <w:tcW w:w="0" w:type="dxa"/>
            <w:vAlign w:val="bottom"/>
          </w:tcPr>
          <w:p>
            <w:pPr>
              <w:spacing w:after="0"/>
              <w:rPr>
                <w:sz w:val="1"/>
                <w:szCs w:val="1"/>
                <w:color w:val="auto"/>
              </w:rPr>
            </w:pPr>
          </w:p>
        </w:tc>
      </w:tr>
      <w:tr>
        <w:trPr>
          <w:trHeight w:val="158"/>
        </w:trPr>
        <w:tc>
          <w:tcPr>
            <w:tcW w:w="4480" w:type="dxa"/>
            <w:vAlign w:val="bottom"/>
          </w:tcPr>
          <w:p>
            <w:pPr>
              <w:spacing w:after="0"/>
              <w:rPr>
                <w:sz w:val="20"/>
                <w:szCs w:val="20"/>
                <w:color w:val="auto"/>
              </w:rPr>
            </w:pPr>
            <w:r>
              <w:rPr>
                <w:rFonts w:ascii="Arial" w:cs="Arial" w:eastAsia="Arial" w:hAnsi="Arial"/>
                <w:sz w:val="13"/>
                <w:szCs w:val="13"/>
                <w:color w:val="auto"/>
              </w:rPr>
              <w:t>Stock-based compensation plans:</w:t>
            </w: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480" w:type="dxa"/>
            <w:vAlign w:val="bottom"/>
            <w:shd w:val="clear" w:color="auto" w:fill="CFF0FC"/>
          </w:tcPr>
          <w:p>
            <w:pPr>
              <w:ind w:left="240"/>
              <w:spacing w:after="0"/>
              <w:rPr>
                <w:sz w:val="20"/>
                <w:szCs w:val="20"/>
                <w:color w:val="auto"/>
              </w:rPr>
            </w:pPr>
            <w:r>
              <w:rPr>
                <w:rFonts w:ascii="Arial" w:cs="Arial" w:eastAsia="Arial" w:hAnsi="Arial"/>
                <w:sz w:val="13"/>
                <w:szCs w:val="13"/>
                <w:color w:val="auto"/>
              </w:rPr>
              <w:t>Compensation expense, net</w:t>
            </w: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(64)</w:t>
            </w: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(47,670)</w:t>
            </w: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59,738</w:t>
            </w:r>
          </w:p>
        </w:tc>
        <w:tc>
          <w:tcPr>
            <w:tcW w:w="120" w:type="dxa"/>
            <w:vAlign w:val="bottom"/>
            <w:shd w:val="clear" w:color="auto" w:fill="CFF0FC"/>
          </w:tcPr>
          <w:p>
            <w:pPr>
              <w:spacing w:after="0"/>
              <w:rPr>
                <w:sz w:val="13"/>
                <w:szCs w:val="13"/>
                <w:color w:val="auto"/>
              </w:rPr>
            </w:pPr>
          </w:p>
        </w:tc>
        <w:tc>
          <w:tcPr>
            <w:tcW w:w="860" w:type="dxa"/>
            <w:vAlign w:val="bottom"/>
            <w:tcBorders>
              <w:right w:val="single" w:sz="8" w:color="CFF0FC"/>
            </w:tcBorders>
            <w:gridSpan w:val="2"/>
            <w:shd w:val="clear" w:color="auto" w:fill="CFF0FC"/>
          </w:tcPr>
          <w:p>
            <w:pPr>
              <w:jc w:val="right"/>
              <w:ind w:right="14"/>
              <w:spacing w:after="0"/>
              <w:rPr>
                <w:sz w:val="20"/>
                <w:szCs w:val="20"/>
                <w:color w:val="auto"/>
              </w:rPr>
            </w:pPr>
            <w:r>
              <w:rPr>
                <w:rFonts w:ascii="Arial" w:cs="Arial" w:eastAsia="Arial" w:hAnsi="Arial"/>
                <w:sz w:val="13"/>
                <w:szCs w:val="13"/>
                <w:color w:val="auto"/>
              </w:rPr>
              <w:t>12,004</w:t>
            </w:r>
          </w:p>
        </w:tc>
        <w:tc>
          <w:tcPr>
            <w:tcW w:w="0" w:type="dxa"/>
            <w:vAlign w:val="bottom"/>
          </w:tcPr>
          <w:p>
            <w:pPr>
              <w:spacing w:after="0"/>
              <w:rPr>
                <w:sz w:val="1"/>
                <w:szCs w:val="1"/>
                <w:color w:val="auto"/>
              </w:rPr>
            </w:pPr>
          </w:p>
        </w:tc>
      </w:tr>
      <w:tr>
        <w:trPr>
          <w:trHeight w:val="158"/>
        </w:trPr>
        <w:tc>
          <w:tcPr>
            <w:tcW w:w="4480" w:type="dxa"/>
            <w:vAlign w:val="bottom"/>
          </w:tcPr>
          <w:p>
            <w:pPr>
              <w:ind w:left="240"/>
              <w:spacing w:after="0"/>
              <w:rPr>
                <w:sz w:val="20"/>
                <w:szCs w:val="20"/>
                <w:color w:val="auto"/>
              </w:rPr>
            </w:pPr>
            <w:r>
              <w:rPr>
                <w:rFonts w:ascii="Arial" w:cs="Arial" w:eastAsia="Arial" w:hAnsi="Arial"/>
                <w:sz w:val="13"/>
                <w:szCs w:val="13"/>
                <w:color w:val="auto"/>
              </w:rPr>
              <w:t>Exercises of stock options, net</w:t>
            </w: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(12,142)</w:t>
            </w: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84,416</w:t>
            </w:r>
          </w:p>
        </w:tc>
        <w:tc>
          <w:tcPr>
            <w:tcW w:w="120" w:type="dxa"/>
            <w:vAlign w:val="bottom"/>
          </w:tcPr>
          <w:p>
            <w:pPr>
              <w:spacing w:after="0"/>
              <w:rPr>
                <w:sz w:val="13"/>
                <w:szCs w:val="13"/>
                <w:color w:val="auto"/>
              </w:rPr>
            </w:pPr>
          </w:p>
        </w:tc>
        <w:tc>
          <w:tcPr>
            <w:tcW w:w="860" w:type="dxa"/>
            <w:vAlign w:val="bottom"/>
            <w:gridSpan w:val="2"/>
          </w:tcPr>
          <w:p>
            <w:pPr>
              <w:jc w:val="right"/>
              <w:ind w:right="14"/>
              <w:spacing w:after="0"/>
              <w:rPr>
                <w:sz w:val="20"/>
                <w:szCs w:val="20"/>
                <w:color w:val="auto"/>
              </w:rPr>
            </w:pPr>
            <w:r>
              <w:rPr>
                <w:rFonts w:ascii="Arial" w:cs="Arial" w:eastAsia="Arial" w:hAnsi="Arial"/>
                <w:sz w:val="13"/>
                <w:szCs w:val="13"/>
                <w:color w:val="auto"/>
              </w:rPr>
              <w:t>72,274</w:t>
            </w:r>
          </w:p>
        </w:tc>
        <w:tc>
          <w:tcPr>
            <w:tcW w:w="0" w:type="dxa"/>
            <w:vAlign w:val="bottom"/>
          </w:tcPr>
          <w:p>
            <w:pPr>
              <w:spacing w:after="0"/>
              <w:rPr>
                <w:sz w:val="1"/>
                <w:szCs w:val="1"/>
                <w:color w:val="auto"/>
              </w:rPr>
            </w:pPr>
          </w:p>
        </w:tc>
      </w:tr>
      <w:tr>
        <w:trPr>
          <w:trHeight w:val="158"/>
        </w:trPr>
        <w:tc>
          <w:tcPr>
            <w:tcW w:w="4480" w:type="dxa"/>
            <w:vAlign w:val="bottom"/>
            <w:shd w:val="clear" w:color="auto" w:fill="CFF0FC"/>
          </w:tcPr>
          <w:p>
            <w:pPr>
              <w:ind w:left="240"/>
              <w:spacing w:after="0"/>
              <w:rPr>
                <w:sz w:val="20"/>
                <w:szCs w:val="20"/>
                <w:color w:val="auto"/>
              </w:rPr>
            </w:pPr>
            <w:r>
              <w:rPr>
                <w:rFonts w:ascii="Arial" w:cs="Arial" w:eastAsia="Arial" w:hAnsi="Arial"/>
                <w:sz w:val="13"/>
                <w:szCs w:val="13"/>
                <w:color w:val="auto"/>
              </w:rPr>
              <w:t>Stock purchase plan</w:t>
            </w: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2,563</w:t>
            </w:r>
          </w:p>
        </w:tc>
        <w:tc>
          <w:tcPr>
            <w:tcW w:w="22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8,268</w:t>
            </w:r>
          </w:p>
        </w:tc>
        <w:tc>
          <w:tcPr>
            <w:tcW w:w="120" w:type="dxa"/>
            <w:vAlign w:val="bottom"/>
            <w:shd w:val="clear" w:color="auto" w:fill="CFF0FC"/>
          </w:tcPr>
          <w:p>
            <w:pPr>
              <w:spacing w:after="0"/>
              <w:rPr>
                <w:sz w:val="13"/>
                <w:szCs w:val="13"/>
                <w:color w:val="auto"/>
              </w:rPr>
            </w:pPr>
          </w:p>
        </w:tc>
        <w:tc>
          <w:tcPr>
            <w:tcW w:w="860" w:type="dxa"/>
            <w:vAlign w:val="bottom"/>
            <w:tcBorders>
              <w:right w:val="single" w:sz="8" w:color="CFF0FC"/>
            </w:tcBorders>
            <w:gridSpan w:val="2"/>
            <w:shd w:val="clear" w:color="auto" w:fill="CFF0FC"/>
          </w:tcPr>
          <w:p>
            <w:pPr>
              <w:jc w:val="right"/>
              <w:ind w:right="14"/>
              <w:spacing w:after="0"/>
              <w:rPr>
                <w:sz w:val="20"/>
                <w:szCs w:val="20"/>
                <w:color w:val="auto"/>
              </w:rPr>
            </w:pPr>
            <w:r>
              <w:rPr>
                <w:rFonts w:ascii="Arial" w:cs="Arial" w:eastAsia="Arial" w:hAnsi="Arial"/>
                <w:sz w:val="13"/>
                <w:szCs w:val="13"/>
                <w:color w:val="auto"/>
              </w:rPr>
              <w:t>10,831</w:t>
            </w:r>
          </w:p>
        </w:tc>
        <w:tc>
          <w:tcPr>
            <w:tcW w:w="0" w:type="dxa"/>
            <w:vAlign w:val="bottom"/>
          </w:tcPr>
          <w:p>
            <w:pPr>
              <w:spacing w:after="0"/>
              <w:rPr>
                <w:sz w:val="1"/>
                <w:szCs w:val="1"/>
                <w:color w:val="auto"/>
              </w:rPr>
            </w:pPr>
          </w:p>
        </w:tc>
      </w:tr>
      <w:tr>
        <w:trPr>
          <w:trHeight w:val="158"/>
        </w:trPr>
        <w:tc>
          <w:tcPr>
            <w:tcW w:w="4480" w:type="dxa"/>
            <w:vAlign w:val="bottom"/>
          </w:tcPr>
          <w:p>
            <w:pPr>
              <w:ind w:left="240"/>
              <w:spacing w:after="0"/>
              <w:rPr>
                <w:sz w:val="20"/>
                <w:szCs w:val="20"/>
                <w:color w:val="auto"/>
              </w:rPr>
            </w:pPr>
            <w:r>
              <w:rPr>
                <w:rFonts w:ascii="Arial" w:cs="Arial" w:eastAsia="Arial" w:hAnsi="Arial"/>
                <w:sz w:val="13"/>
                <w:szCs w:val="13"/>
                <w:color w:val="auto"/>
              </w:rPr>
              <w:t>Directors’ stock plan</w:t>
            </w: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270</w:t>
            </w:r>
          </w:p>
        </w:tc>
        <w:tc>
          <w:tcPr>
            <w:tcW w:w="220" w:type="dxa"/>
            <w:vAlign w:val="bottom"/>
          </w:tcPr>
          <w:p>
            <w:pPr>
              <w:spacing w:after="0"/>
              <w:rPr>
                <w:sz w:val="13"/>
                <w:szCs w:val="1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1,656</w:t>
            </w:r>
          </w:p>
        </w:tc>
        <w:tc>
          <w:tcPr>
            <w:tcW w:w="120" w:type="dxa"/>
            <w:vAlign w:val="bottom"/>
          </w:tcPr>
          <w:p>
            <w:pPr>
              <w:spacing w:after="0"/>
              <w:rPr>
                <w:sz w:val="13"/>
                <w:szCs w:val="13"/>
                <w:color w:val="auto"/>
              </w:rPr>
            </w:pPr>
          </w:p>
        </w:tc>
        <w:tc>
          <w:tcPr>
            <w:tcW w:w="860" w:type="dxa"/>
            <w:vAlign w:val="bottom"/>
            <w:gridSpan w:val="2"/>
          </w:tcPr>
          <w:p>
            <w:pPr>
              <w:jc w:val="right"/>
              <w:ind w:right="14"/>
              <w:spacing w:after="0"/>
              <w:rPr>
                <w:sz w:val="20"/>
                <w:szCs w:val="20"/>
                <w:color w:val="auto"/>
              </w:rPr>
            </w:pPr>
            <w:r>
              <w:rPr>
                <w:rFonts w:ascii="Arial" w:cs="Arial" w:eastAsia="Arial" w:hAnsi="Arial"/>
                <w:sz w:val="13"/>
                <w:szCs w:val="13"/>
                <w:color w:val="auto"/>
              </w:rPr>
              <w:t>1,926</w:t>
            </w:r>
          </w:p>
        </w:tc>
        <w:tc>
          <w:tcPr>
            <w:tcW w:w="0" w:type="dxa"/>
            <w:vAlign w:val="bottom"/>
          </w:tcPr>
          <w:p>
            <w:pPr>
              <w:spacing w:after="0"/>
              <w:rPr>
                <w:sz w:val="1"/>
                <w:szCs w:val="1"/>
                <w:color w:val="auto"/>
              </w:rPr>
            </w:pPr>
          </w:p>
        </w:tc>
      </w:tr>
      <w:tr>
        <w:trPr>
          <w:trHeight w:val="149"/>
        </w:trPr>
        <w:tc>
          <w:tcPr>
            <w:tcW w:w="4480" w:type="dxa"/>
            <w:vAlign w:val="bottom"/>
            <w:shd w:val="clear" w:color="auto" w:fill="CFF0FC"/>
          </w:tcPr>
          <w:p>
            <w:pPr>
              <w:ind w:left="240"/>
              <w:spacing w:after="0"/>
              <w:rPr>
                <w:sz w:val="20"/>
                <w:szCs w:val="20"/>
                <w:color w:val="auto"/>
              </w:rPr>
            </w:pPr>
            <w:r>
              <w:rPr>
                <w:rFonts w:ascii="Arial" w:cs="Arial" w:eastAsia="Arial" w:hAnsi="Arial"/>
                <w:sz w:val="13"/>
                <w:szCs w:val="13"/>
                <w:color w:val="auto"/>
              </w:rPr>
              <w:t>Deferred compensation plans, net,</w:t>
            </w:r>
          </w:p>
        </w:tc>
        <w:tc>
          <w:tcPr>
            <w:tcW w:w="6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tcBorders>
              <w:right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480" w:type="dxa"/>
            <w:vAlign w:val="bottom"/>
            <w:shd w:val="clear" w:color="auto" w:fill="CFF0FC"/>
          </w:tcPr>
          <w:p>
            <w:pPr>
              <w:ind w:left="380"/>
              <w:spacing w:after="0"/>
              <w:rPr>
                <w:sz w:val="20"/>
                <w:szCs w:val="20"/>
                <w:color w:val="auto"/>
              </w:rPr>
            </w:pPr>
            <w:r>
              <w:rPr>
                <w:rFonts w:ascii="Arial" w:cs="Arial" w:eastAsia="Arial" w:hAnsi="Arial"/>
                <w:sz w:val="13"/>
                <w:szCs w:val="13"/>
                <w:color w:val="auto"/>
              </w:rPr>
              <w:t>including dividend equivalents</w:t>
            </w: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(298)</w:t>
            </w: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(368)</w:t>
            </w: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(85)</w:t>
            </w: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595</w:t>
            </w:r>
          </w:p>
        </w:tc>
        <w:tc>
          <w:tcPr>
            <w:tcW w:w="120" w:type="dxa"/>
            <w:vAlign w:val="bottom"/>
            <w:shd w:val="clear" w:color="auto" w:fill="CFF0FC"/>
          </w:tcPr>
          <w:p>
            <w:pPr>
              <w:spacing w:after="0"/>
              <w:rPr>
                <w:sz w:val="13"/>
                <w:szCs w:val="13"/>
                <w:color w:val="auto"/>
              </w:rPr>
            </w:pPr>
          </w:p>
        </w:tc>
        <w:tc>
          <w:tcPr>
            <w:tcW w:w="86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3"/>
                <w:szCs w:val="13"/>
                <w:color w:val="auto"/>
              </w:rPr>
              <w:t>(156)</w:t>
            </w:r>
          </w:p>
        </w:tc>
        <w:tc>
          <w:tcPr>
            <w:tcW w:w="0" w:type="dxa"/>
            <w:vAlign w:val="bottom"/>
          </w:tcPr>
          <w:p>
            <w:pPr>
              <w:spacing w:after="0"/>
              <w:rPr>
                <w:sz w:val="1"/>
                <w:szCs w:val="1"/>
                <w:color w:val="auto"/>
              </w:rPr>
            </w:pPr>
          </w:p>
        </w:tc>
      </w:tr>
      <w:tr>
        <w:trPr>
          <w:trHeight w:val="149"/>
        </w:trPr>
        <w:tc>
          <w:tcPr>
            <w:tcW w:w="4480" w:type="dxa"/>
            <w:vAlign w:val="bottom"/>
          </w:tcPr>
          <w:p>
            <w:pPr>
              <w:spacing w:after="0"/>
              <w:rPr>
                <w:sz w:val="20"/>
                <w:szCs w:val="20"/>
                <w:color w:val="auto"/>
              </w:rPr>
            </w:pPr>
            <w:r>
              <w:rPr>
                <w:rFonts w:ascii="Arial" w:cs="Arial" w:eastAsia="Arial" w:hAnsi="Arial"/>
                <w:sz w:val="13"/>
                <w:szCs w:val="13"/>
                <w:color w:val="auto"/>
              </w:rPr>
              <w:t>Common stock cash dividends - $3.00 per</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480" w:type="dxa"/>
            <w:vAlign w:val="bottom"/>
          </w:tcPr>
          <w:p>
            <w:pPr>
              <w:ind w:left="140"/>
              <w:spacing w:after="0"/>
              <w:rPr>
                <w:sz w:val="20"/>
                <w:szCs w:val="20"/>
                <w:color w:val="auto"/>
              </w:rPr>
            </w:pPr>
            <w:r>
              <w:rPr>
                <w:rFonts w:ascii="Arial" w:cs="Arial" w:eastAsia="Arial" w:hAnsi="Arial"/>
                <w:sz w:val="13"/>
                <w:szCs w:val="13"/>
                <w:color w:val="auto"/>
              </w:rPr>
              <w:t>share</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(457,200)</w:t>
            </w: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(457,200)</w:t>
            </w:r>
          </w:p>
        </w:tc>
        <w:tc>
          <w:tcPr>
            <w:tcW w:w="0" w:type="dxa"/>
            <w:vAlign w:val="bottom"/>
          </w:tcPr>
          <w:p>
            <w:pPr>
              <w:spacing w:after="0"/>
              <w:rPr>
                <w:sz w:val="1"/>
                <w:szCs w:val="1"/>
                <w:color w:val="auto"/>
              </w:rPr>
            </w:pPr>
          </w:p>
        </w:tc>
      </w:tr>
      <w:tr>
        <w:trPr>
          <w:trHeight w:val="20"/>
        </w:trPr>
        <w:tc>
          <w:tcPr>
            <w:tcW w:w="4480" w:type="dxa"/>
            <w:vAlign w:val="bottom"/>
            <w:vMerge w:val="restart"/>
            <w:shd w:val="clear" w:color="auto" w:fill="CFF0FC"/>
          </w:tcPr>
          <w:p>
            <w:pPr>
              <w:spacing w:after="0"/>
              <w:rPr>
                <w:sz w:val="20"/>
                <w:szCs w:val="20"/>
                <w:color w:val="auto"/>
              </w:rPr>
            </w:pPr>
            <w:r>
              <w:rPr>
                <w:rFonts w:ascii="Arial" w:cs="Arial" w:eastAsia="Arial" w:hAnsi="Arial"/>
                <w:sz w:val="13"/>
                <w:szCs w:val="13"/>
                <w:color w:val="auto"/>
              </w:rPr>
              <w:t>Balance — December 31, 2017</w:t>
            </w: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78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480" w:type="dxa"/>
            <w:vAlign w:val="bottom"/>
            <w:vMerge w:val="continue"/>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0"/>
              </w:rPr>
              <w:t>$ 1,231,500</w:t>
            </w:r>
          </w:p>
        </w:tc>
        <w:tc>
          <w:tcPr>
            <w:tcW w:w="22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79,909</w:t>
            </w:r>
          </w:p>
        </w:tc>
        <w:tc>
          <w:tcPr>
            <w:tcW w:w="20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1,847</w:t>
            </w:r>
          </w:p>
        </w:tc>
        <w:tc>
          <w:tcPr>
            <w:tcW w:w="20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6,590,855</w:t>
            </w: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10,164,804</w:t>
            </w:r>
          </w:p>
        </w:tc>
        <w:tc>
          <w:tcPr>
            <w:tcW w:w="22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(363,814)</w:t>
            </w: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(1,454,282)</w:t>
            </w:r>
          </w:p>
        </w:tc>
        <w:tc>
          <w:tcPr>
            <w:tcW w:w="860" w:type="dxa"/>
            <w:vAlign w:val="bottom"/>
            <w:tcBorders>
              <w:right w:val="single" w:sz="8" w:color="CFF0FC"/>
            </w:tcBorders>
            <w:gridSpan w:val="2"/>
            <w:shd w:val="clear" w:color="auto" w:fill="CFF0FC"/>
          </w:tcPr>
          <w:p>
            <w:pPr>
              <w:jc w:val="right"/>
              <w:ind w:right="14"/>
              <w:spacing w:after="0"/>
              <w:rPr>
                <w:sz w:val="20"/>
                <w:szCs w:val="20"/>
                <w:color w:val="auto"/>
              </w:rPr>
            </w:pPr>
            <w:r>
              <w:rPr>
                <w:rFonts w:ascii="Arial" w:cs="Arial" w:eastAsia="Arial" w:hAnsi="Arial"/>
                <w:sz w:val="13"/>
                <w:szCs w:val="13"/>
                <w:color w:val="auto"/>
              </w:rPr>
              <w:t>$ 16,250,819</w:t>
            </w:r>
          </w:p>
        </w:tc>
        <w:tc>
          <w:tcPr>
            <w:tcW w:w="0" w:type="dxa"/>
            <w:vAlign w:val="bottom"/>
          </w:tcPr>
          <w:p>
            <w:pPr>
              <w:spacing w:after="0"/>
              <w:rPr>
                <w:sz w:val="1"/>
                <w:szCs w:val="1"/>
                <w:color w:val="auto"/>
              </w:rPr>
            </w:pPr>
          </w:p>
        </w:tc>
      </w:tr>
      <w:tr>
        <w:trPr>
          <w:trHeight w:val="20"/>
        </w:trPr>
        <w:tc>
          <w:tcPr>
            <w:tcW w:w="448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See accompanying notes to financial statements.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113" w:name="page114"/>
    <w:bookmarkEnd w:id="113"/>
    <w:p>
      <w:pPr>
        <w:spacing w:after="0"/>
        <w:rPr>
          <w:sz w:val="20"/>
          <w:szCs w:val="20"/>
          <w:color w:val="auto"/>
        </w:rPr>
      </w:pPr>
      <w:r>
        <w:rPr>
          <w:rFonts w:ascii="Arial" w:cs="Arial" w:eastAsia="Arial" w:hAnsi="Arial"/>
          <w:sz w:val="20"/>
          <w:szCs w:val="20"/>
          <w:b w:val="1"/>
          <w:bCs w:val="1"/>
          <w:color w:val="auto"/>
        </w:rPr>
        <w:t>M&amp;T BANK CORPORATION AND SUBSIDIARIES</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Notes to Financial Statements</w:t>
      </w:r>
    </w:p>
    <w:p>
      <w:pPr>
        <w:spacing w:after="0" w:line="125"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1.</w:t>
      </w:r>
      <w:r>
        <w:rPr>
          <w:sz w:val="20"/>
          <w:szCs w:val="20"/>
          <w:color w:val="auto"/>
        </w:rPr>
        <w:tab/>
      </w:r>
      <w:r>
        <w:rPr>
          <w:rFonts w:ascii="Arial" w:cs="Arial" w:eastAsia="Arial" w:hAnsi="Arial"/>
          <w:sz w:val="17"/>
          <w:szCs w:val="17"/>
          <w:b w:val="1"/>
          <w:bCs w:val="1"/>
          <w:color w:val="auto"/>
        </w:rPr>
        <w:t>Significant accounting policies</w:t>
      </w:r>
    </w:p>
    <w:p>
      <w:pPr>
        <w:spacing w:after="0" w:line="29" w:lineRule="exact"/>
        <w:rPr>
          <w:sz w:val="20"/>
          <w:szCs w:val="20"/>
          <w:color w:val="auto"/>
        </w:rPr>
      </w:pPr>
    </w:p>
    <w:p>
      <w:pPr>
        <w:ind w:right="240"/>
        <w:spacing w:after="0" w:line="274" w:lineRule="auto"/>
        <w:rPr>
          <w:sz w:val="20"/>
          <w:szCs w:val="20"/>
          <w:color w:val="auto"/>
        </w:rPr>
      </w:pPr>
      <w:r>
        <w:rPr>
          <w:rFonts w:ascii="Arial" w:cs="Arial" w:eastAsia="Arial" w:hAnsi="Arial"/>
          <w:sz w:val="18"/>
          <w:szCs w:val="18"/>
          <w:color w:val="auto"/>
        </w:rPr>
        <w:t>M&amp;T Bank Corporation (“M&amp;T”) is a bank holding company headquartered in Buffalo, New York. Through subsidiaries, M&amp;T provides individuals, corporations and other businesses, and institutions with commercial and retail banking services, including loans and deposits, trust, mortgage banking, asset management, insurance and other financial services. Banking activities are largely focused on consumers residing in New York State, Maryland, New Jersey, Pennsylvania, Delaware, Connecticut, Virginia, West Virginia and the District of Columbia and on small and medium-size businesses based in those areas. Certain subsidiaries also conduct activities in other areas.</w:t>
      </w:r>
    </w:p>
    <w:p>
      <w:pPr>
        <w:spacing w:after="0" w:line="1" w:lineRule="exact"/>
        <w:rPr>
          <w:sz w:val="20"/>
          <w:szCs w:val="20"/>
          <w:color w:val="auto"/>
        </w:rPr>
      </w:pPr>
    </w:p>
    <w:p>
      <w:pPr>
        <w:ind w:right="80" w:firstLine="598"/>
        <w:spacing w:after="0" w:line="248" w:lineRule="auto"/>
        <w:rPr>
          <w:sz w:val="20"/>
          <w:szCs w:val="20"/>
          <w:color w:val="auto"/>
        </w:rPr>
      </w:pPr>
      <w:r>
        <w:rPr>
          <w:rFonts w:ascii="Arial" w:cs="Arial" w:eastAsia="Arial" w:hAnsi="Arial"/>
          <w:sz w:val="20"/>
          <w:szCs w:val="20"/>
          <w:color w:val="auto"/>
        </w:rPr>
        <w:t>The accounting and reporting policies of M&amp;T and subsidiaries (“the Company”) are in accordance with accounting principles generally accepted in the United States of America (“GAAP”) and to general practices within the banking industry. 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The significant accounting policies are as follows:</w:t>
      </w:r>
    </w:p>
    <w:p>
      <w:pPr>
        <w:spacing w:after="0" w:line="29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Consolidation</w:t>
      </w:r>
    </w:p>
    <w:p>
      <w:pPr>
        <w:spacing w:after="0" w:line="25"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The consolidated financial statements include M&amp;T and all of its subsidiaries. All significant intercompany accounts and transactions of consolidated subsidiaries have been eliminated in consolidation. The financial statements of M&amp;T included in note 25 report investments in subsidiaries under the equity method. Information about some limited purpose entities that are affiliates of the Company but are not included in the consolidated financial statements appears in note 19.</w:t>
      </w: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Consolidated Statement of Cash Flows</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For purposes of this statement, cash and due from banks and federal funds sold are considered cash and cash equivalents.</w:t>
      </w:r>
    </w:p>
    <w:p>
      <w:pPr>
        <w:spacing w:after="0" w:line="30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Securities purchased under agreements to resell and securities sold under agreements to repurchase</w:t>
      </w:r>
    </w:p>
    <w:p>
      <w:pPr>
        <w:spacing w:after="0" w:line="25" w:lineRule="exact"/>
        <w:rPr>
          <w:sz w:val="20"/>
          <w:szCs w:val="20"/>
          <w:color w:val="auto"/>
        </w:rPr>
      </w:pPr>
    </w:p>
    <w:p>
      <w:pPr>
        <w:jc w:val="both"/>
        <w:ind w:right="300"/>
        <w:spacing w:after="0" w:line="251" w:lineRule="auto"/>
        <w:rPr>
          <w:sz w:val="20"/>
          <w:szCs w:val="20"/>
          <w:color w:val="auto"/>
        </w:rPr>
      </w:pPr>
      <w:r>
        <w:rPr>
          <w:rFonts w:ascii="Arial" w:cs="Arial" w:eastAsia="Arial" w:hAnsi="Arial"/>
          <w:sz w:val="20"/>
          <w:szCs w:val="20"/>
          <w:color w:val="auto"/>
        </w:rPr>
        <w:t>Securities purchased under agreements to resell and securities sold under agreements to repurchase are treated as collateralized financing transactions and are recorded at amounts equal to the cash or other consideration exchanged. It is generally the Company’s policy to take possession of collateral pledged to secure agreements to resell.</w:t>
      </w: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Trading account</w:t>
      </w:r>
    </w:p>
    <w:p>
      <w:pPr>
        <w:spacing w:after="0" w:line="25" w:lineRule="exact"/>
        <w:rPr>
          <w:sz w:val="20"/>
          <w:szCs w:val="20"/>
          <w:color w:val="auto"/>
        </w:rPr>
      </w:pPr>
    </w:p>
    <w:p>
      <w:pPr>
        <w:spacing w:after="0" w:line="251" w:lineRule="auto"/>
        <w:rPr>
          <w:sz w:val="20"/>
          <w:szCs w:val="20"/>
          <w:color w:val="auto"/>
        </w:rPr>
      </w:pPr>
      <w:r>
        <w:rPr>
          <w:rFonts w:ascii="Arial" w:cs="Arial" w:eastAsia="Arial" w:hAnsi="Arial"/>
          <w:sz w:val="20"/>
          <w:szCs w:val="20"/>
          <w:color w:val="auto"/>
        </w:rPr>
        <w:t>Financial instruments used for trading purposes are stated at fair value. Realized gains and losses and unrealized changes in fair value of financial instruments utilized in trading activities are included in “trading account and foreign exchange gains” in the consolidated statement of income.</w:t>
      </w: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Investment securities</w:t>
      </w:r>
    </w:p>
    <w:p>
      <w:pPr>
        <w:spacing w:after="0" w:line="25" w:lineRule="exact"/>
        <w:rPr>
          <w:sz w:val="20"/>
          <w:szCs w:val="20"/>
          <w:color w:val="auto"/>
        </w:rPr>
      </w:pPr>
    </w:p>
    <w:p>
      <w:pPr>
        <w:ind w:right="280"/>
        <w:spacing w:after="0" w:line="256" w:lineRule="auto"/>
        <w:rPr>
          <w:sz w:val="20"/>
          <w:szCs w:val="20"/>
          <w:color w:val="auto"/>
        </w:rPr>
      </w:pPr>
      <w:r>
        <w:rPr>
          <w:rFonts w:ascii="Arial" w:cs="Arial" w:eastAsia="Arial" w:hAnsi="Arial"/>
          <w:sz w:val="20"/>
          <w:szCs w:val="20"/>
          <w:color w:val="auto"/>
        </w:rPr>
        <w:t>Investments in debt securities are classified as held to maturity and stated at amortized cost when management has the positive intent and ability to hold such securities to maturity. Investments in</w:t>
      </w:r>
    </w:p>
    <w:p>
      <w:pPr>
        <w:spacing w:after="0" w:line="17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340"/>
          </w:cols>
          <w:pgMar w:left="240" w:top="332" w:right="319" w:bottom="1440" w:gutter="0" w:footer="0" w:header="0"/>
        </w:sectPr>
      </w:pPr>
    </w:p>
    <w:bookmarkStart w:id="114" w:name="page115"/>
    <w:bookmarkEnd w:id="114"/>
    <w:p>
      <w:pPr>
        <w:ind w:right="60"/>
        <w:spacing w:after="0" w:line="253" w:lineRule="auto"/>
        <w:rPr>
          <w:sz w:val="20"/>
          <w:szCs w:val="20"/>
          <w:color w:val="auto"/>
        </w:rPr>
      </w:pPr>
      <w:r>
        <w:rPr>
          <w:rFonts w:ascii="Arial" w:cs="Arial" w:eastAsia="Arial" w:hAnsi="Arial"/>
          <w:sz w:val="20"/>
          <w:szCs w:val="20"/>
          <w:color w:val="auto"/>
        </w:rPr>
        <w:t>other debt securities and equity securities having readily determinable fair values are classified as available for sale and stated at estimated fair value. Amortization of premiums and accretion of discounts for investment securities available for sale and held to maturity are included in interest income.</w:t>
      </w:r>
    </w:p>
    <w:p>
      <w:pPr>
        <w:ind w:right="500" w:firstLine="598"/>
        <w:spacing w:after="0" w:line="246" w:lineRule="auto"/>
        <w:rPr>
          <w:sz w:val="20"/>
          <w:szCs w:val="20"/>
          <w:color w:val="auto"/>
        </w:rPr>
      </w:pPr>
      <w:r>
        <w:rPr>
          <w:rFonts w:ascii="Arial" w:cs="Arial" w:eastAsia="Arial" w:hAnsi="Arial"/>
          <w:sz w:val="20"/>
          <w:szCs w:val="20"/>
          <w:color w:val="auto"/>
        </w:rPr>
        <w:t>Other securities are stated at cost and include stock of the Federal Reserve Bank of New York and the Federal Home Loan Bank (“FHLB”) of New York.</w:t>
      </w:r>
    </w:p>
    <w:p>
      <w:pPr>
        <w:spacing w:after="0" w:line="2" w:lineRule="exact"/>
        <w:rPr>
          <w:sz w:val="20"/>
          <w:szCs w:val="20"/>
          <w:color w:val="auto"/>
        </w:rPr>
      </w:pPr>
    </w:p>
    <w:p>
      <w:pPr>
        <w:ind w:right="40" w:firstLine="598"/>
        <w:spacing w:after="0" w:line="261" w:lineRule="auto"/>
        <w:rPr>
          <w:sz w:val="20"/>
          <w:szCs w:val="20"/>
          <w:color w:val="auto"/>
        </w:rPr>
      </w:pPr>
      <w:r>
        <w:rPr>
          <w:rFonts w:ascii="Arial" w:cs="Arial" w:eastAsia="Arial" w:hAnsi="Arial"/>
          <w:sz w:val="19"/>
          <w:szCs w:val="19"/>
          <w:color w:val="auto"/>
        </w:rPr>
        <w:t>Individual securities are written down through a charge to earnings when declines in value below the cost basis of a security are considered to be other than temporary. In cases where fair value is less than amortized cost and the Company intends to sell a debt security, it is more likely than not to be required to sell a debt security before recovery of its amortized cost basis, or the Company does not expect to recover the entire amortized cost basis of a debt security, an other-than-temporary impairment is considered to have occurred. If the Company intends to sell the debt security or more likely than not will be required to sell the security before recovery of its amortized cost basis, the other-than-temporary impairment is recognized in earnings equal to the entire difference between the debt security’s amortized cost basis and its fair value. If the Company does not expect to recover the entire amortized cost basis of the security, the Company does not intend to sell the security and it is not more likely than not that the Company will be required to sell the security before recovery of its amortized cost basis, the other-than-temporary impairment is separated into (a) the amount representing the credit loss and (b) the amount related to all other factors. The amount of the other-than-temporary impairment related to the credit loss is recognized in earnings while the amount related to other factors is recognized in other comprehensive income, net of applicable taxes. Subsequently, the Company accounts for the other-than-temporarily impaired debt security as if the security had been purchased on the measurement date of the other-than-temporary impairment at an amortized cost basis equal to the previous amortized cost basis less the other-than-temporary impairment recognized in earnings. Realized gains and losses on the sales of investment securities are determined using the specific identification method.</w:t>
      </w:r>
    </w:p>
    <w:p>
      <w:pPr>
        <w:spacing w:after="0" w:line="2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Loans and leases</w:t>
      </w:r>
    </w:p>
    <w:p>
      <w:pPr>
        <w:spacing w:after="0" w:line="25" w:lineRule="exact"/>
        <w:rPr>
          <w:sz w:val="20"/>
          <w:szCs w:val="20"/>
          <w:color w:val="auto"/>
        </w:rPr>
      </w:pPr>
    </w:p>
    <w:p>
      <w:pPr>
        <w:ind w:right="100"/>
        <w:spacing w:after="0" w:line="256" w:lineRule="auto"/>
        <w:rPr>
          <w:sz w:val="20"/>
          <w:szCs w:val="20"/>
          <w:color w:val="auto"/>
        </w:rPr>
      </w:pPr>
      <w:r>
        <w:rPr>
          <w:rFonts w:ascii="Arial" w:cs="Arial" w:eastAsia="Arial" w:hAnsi="Arial"/>
          <w:sz w:val="20"/>
          <w:szCs w:val="20"/>
          <w:color w:val="auto"/>
        </w:rPr>
        <w:t>The Company’s accounting methods for loans depends on whether the loans were originated by the Company or were acquired in a business combination.</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Originated loans and leases</w:t>
      </w:r>
    </w:p>
    <w:p>
      <w:pPr>
        <w:spacing w:after="0" w:line="25" w:lineRule="exact"/>
        <w:rPr>
          <w:sz w:val="20"/>
          <w:szCs w:val="20"/>
          <w:color w:val="auto"/>
        </w:rPr>
      </w:pPr>
    </w:p>
    <w:p>
      <w:pPr>
        <w:spacing w:after="0" w:line="261" w:lineRule="auto"/>
        <w:rPr>
          <w:sz w:val="20"/>
          <w:szCs w:val="20"/>
          <w:color w:val="auto"/>
        </w:rPr>
      </w:pPr>
      <w:r>
        <w:rPr>
          <w:rFonts w:ascii="Arial" w:cs="Arial" w:eastAsia="Arial" w:hAnsi="Arial"/>
          <w:sz w:val="19"/>
          <w:szCs w:val="19"/>
          <w:color w:val="auto"/>
        </w:rPr>
        <w:t>Interest income on loans is accrued on a level yield method. Loans are placed on nonaccrual status and previously accrued interest thereon is charged against income when principal or interest is delinquent 90 days, unless management determines that the loan status clearly warrants other treatment. Nonaccrual commercial loans and commercial real estate loans are returned to accrual status when borrowers have demonstrated an ability to repay their loans and there are no delinquent principal and interest payments. Consumer loans not secured by residential real estate are returned to accrual status when all past due principal and interest payments have been paid by the borrower. Loans secured by residential real estate are returned to accrual status when they are deemed to have an insignificant delay in payments of 90 days or less. Loan balances are charged off when it becomes evident that such balances are not fully collectible. For commercial loans and commercial real estate loans, charge-offs are recognized after an assessment by credit personnel of the capacity and willingness of the borrower to repay, the estimated value of any collateral, and any other potential sources of repayment. A charge-off is recognized when, after such assessment, it becomes evident that the loan balance is not fully collectible. For loans secured by residential real estate, the excess of the loan balances over the net realizable value of the property collateralizing the loan is charged-off when the loan becomes 150 days delinquent. Consumer loans are generally charged-off when the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15" w:name="page116"/>
    <w:bookmarkEnd w:id="115"/>
    <w:p>
      <w:pPr>
        <w:ind w:right="60"/>
        <w:spacing w:after="0" w:line="249" w:lineRule="auto"/>
        <w:rPr>
          <w:sz w:val="20"/>
          <w:szCs w:val="20"/>
          <w:color w:val="auto"/>
        </w:rPr>
      </w:pPr>
      <w:r>
        <w:rPr>
          <w:rFonts w:ascii="Arial" w:cs="Arial" w:eastAsia="Arial" w:hAnsi="Arial"/>
          <w:sz w:val="20"/>
          <w:szCs w:val="20"/>
          <w:color w:val="auto"/>
        </w:rPr>
        <w:t>loans are 91 to 180 days past due, depending on whether the loan is collateralized and the status of repossession activities with respect to such collateral. Loan fees and certain direct loan origination costs are deferred and recognized as an interest yield adjustment over the life of the loan. Net deferred fees have been included in unearned discount as a reduction of loans outstanding. Commitments to sell real estate loans are utilized by the Company to hedge the exposure to changes in fair value of real estate loans held for sale. The carrying value of hedged real estate loans held for sale recorded in the consolidated balance sheet includes changes in estimated fair market value during the hedge period, typically from the date of close through the sale date. Valuation adjustments made on these loans and commitments are included in “mortgage banking revenues.”</w:t>
      </w:r>
    </w:p>
    <w:p>
      <w:pPr>
        <w:spacing w:after="0" w:line="3" w:lineRule="exact"/>
        <w:rPr>
          <w:sz w:val="20"/>
          <w:szCs w:val="20"/>
          <w:color w:val="auto"/>
        </w:rPr>
      </w:pPr>
    </w:p>
    <w:p>
      <w:pPr>
        <w:ind w:firstLine="598"/>
        <w:spacing w:after="0" w:line="259" w:lineRule="auto"/>
        <w:rPr>
          <w:sz w:val="20"/>
          <w:szCs w:val="20"/>
          <w:color w:val="auto"/>
        </w:rPr>
      </w:pPr>
      <w:r>
        <w:rPr>
          <w:rFonts w:ascii="Arial" w:cs="Arial" w:eastAsia="Arial" w:hAnsi="Arial"/>
          <w:sz w:val="19"/>
          <w:szCs w:val="19"/>
          <w:color w:val="auto"/>
        </w:rPr>
        <w:t>Except for consumer and residential mortgage loans that are considered smaller balance homogenous loans and are evaluated collectively, the Company considers a loan to be impaired for purposes of applying GAAP when, based on current information and events, it is probable that the Company will be unable to collect all amounts according to the contractual terms of the loan agreement or the loan is delinquent 90 days. Regardless of loan type, the Company considers a loan to be impaired if it qualifies as a troubled debt restructuring. Impaired loans are classified as either nonaccrual or as loans renegotiated at below market rates which continue to accrue interest, provided that a credit assessment of the borrower’s financial condition results in an expectation of full repayment under the modified contractual terms. Certain loans greater than 90 days delinquent are not considered impaired if they are well-secured and in the process of collection. Loans less than 90 days delinquent are deemed to have an insignificant delay in payment and are generally not considered impaired. Impairment of a loan is measured based on the present value of expected future cash flows discounted at the loan’s effective interest rate, the loan’s observable market price, or the fair value of collateral if the loan is collateral-dependent. Interest received on impaired loans placed on nonaccrual status is generally applied to reduce the carrying value of the loan or, if principal is considered fully collectible, recognized as interest income.</w:t>
      </w:r>
    </w:p>
    <w:p>
      <w:pPr>
        <w:spacing w:after="0" w:line="9" w:lineRule="exact"/>
        <w:rPr>
          <w:sz w:val="20"/>
          <w:szCs w:val="20"/>
          <w:color w:val="auto"/>
        </w:rPr>
      </w:pPr>
    </w:p>
    <w:p>
      <w:pPr>
        <w:ind w:right="20" w:firstLine="598"/>
        <w:spacing w:after="0" w:line="251" w:lineRule="auto"/>
        <w:rPr>
          <w:sz w:val="20"/>
          <w:szCs w:val="20"/>
          <w:color w:val="auto"/>
        </w:rPr>
      </w:pPr>
      <w:r>
        <w:rPr>
          <w:rFonts w:ascii="Arial" w:cs="Arial" w:eastAsia="Arial" w:hAnsi="Arial"/>
          <w:sz w:val="20"/>
          <w:szCs w:val="20"/>
          <w:color w:val="auto"/>
        </w:rPr>
        <w:t>Residual value estimates for commercial leases are generally determined through internal or external reviews of the leased property. The Company reviews commercial lease residual values at least annually and recognizes residual value impairments deemed to be other than temporary.</w:t>
      </w: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Loans and leases acquired in a business combination</w:t>
      </w:r>
    </w:p>
    <w:p>
      <w:pPr>
        <w:spacing w:after="0" w:line="25"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Loans acquired in a business combination subsequent to December 31, 2008 are initially recorded at fair value with no carry-over of an acquired entity’s previously established allowance for credit losses. Purchased impaired loans represent specifically identified loans with evidence of credit deterioration for which it was probable at acquisition that the Company would be unable to collect all contractual principal and interest payments. For purchased impaired loans and other loans acquired at a discount that was, in part, attributable to credit quality, the excess of cash flows expected at acquisition over the estimated fair value of acquired loans is recognized as interest income over the remaining lives of the loans. Subsequent decreases in the expected principal cash flows require the Company to evaluate the need for additions to the Company’s allowance for credit losses. Subsequent improvements in expected cash flows result first in the recovery of any related allowance for credit losses and then in recognition of additional interest income over the then-remaining lives of the loans.</w:t>
      </w:r>
    </w:p>
    <w:p>
      <w:pPr>
        <w:spacing w:after="0" w:line="2" w:lineRule="exact"/>
        <w:rPr>
          <w:sz w:val="20"/>
          <w:szCs w:val="20"/>
          <w:color w:val="auto"/>
        </w:rPr>
      </w:pPr>
    </w:p>
    <w:p>
      <w:pPr>
        <w:ind w:right="40" w:firstLine="598"/>
        <w:spacing w:after="0" w:line="311" w:lineRule="auto"/>
        <w:rPr>
          <w:sz w:val="20"/>
          <w:szCs w:val="20"/>
          <w:color w:val="auto"/>
        </w:rPr>
      </w:pPr>
      <w:r>
        <w:rPr>
          <w:rFonts w:ascii="Arial" w:cs="Arial" w:eastAsia="Arial" w:hAnsi="Arial"/>
          <w:sz w:val="18"/>
          <w:szCs w:val="18"/>
          <w:color w:val="auto"/>
        </w:rPr>
        <w:t>For all other acquired loans, the difference between the fair value and outstanding principal balance of the loans is recognized as an adjustment to interest income over the lives of those loans. Those loans are then accounted for in a manner that is similar to originated loans.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380"/>
          </w:cols>
          <w:pgMar w:left="240" w:top="336" w:right="279" w:bottom="1440" w:gutter="0" w:footer="0" w:header="0"/>
        </w:sectPr>
      </w:pPr>
    </w:p>
    <w:bookmarkStart w:id="116" w:name="page117"/>
    <w:bookmarkEnd w:id="116"/>
    <w:p>
      <w:pPr>
        <w:spacing w:after="0"/>
        <w:rPr>
          <w:sz w:val="20"/>
          <w:szCs w:val="20"/>
          <w:color w:val="auto"/>
        </w:rPr>
      </w:pPr>
      <w:r>
        <w:rPr>
          <w:rFonts w:ascii="Arial" w:cs="Arial" w:eastAsia="Arial" w:hAnsi="Arial"/>
          <w:sz w:val="20"/>
          <w:szCs w:val="20"/>
          <w:b w:val="1"/>
          <w:bCs w:val="1"/>
          <w:i w:val="1"/>
          <w:iCs w:val="1"/>
          <w:color w:val="auto"/>
        </w:rPr>
        <w:t>Allowance for credit losses</w:t>
      </w:r>
    </w:p>
    <w:p>
      <w:pPr>
        <w:spacing w:after="0" w:line="25" w:lineRule="exact"/>
        <w:rPr>
          <w:sz w:val="20"/>
          <w:szCs w:val="20"/>
          <w:color w:val="auto"/>
        </w:rPr>
      </w:pPr>
    </w:p>
    <w:p>
      <w:pPr>
        <w:spacing w:after="0" w:line="264" w:lineRule="auto"/>
        <w:rPr>
          <w:sz w:val="20"/>
          <w:szCs w:val="20"/>
          <w:color w:val="auto"/>
        </w:rPr>
      </w:pPr>
      <w:r>
        <w:rPr>
          <w:rFonts w:ascii="Arial" w:cs="Arial" w:eastAsia="Arial" w:hAnsi="Arial"/>
          <w:sz w:val="19"/>
          <w:szCs w:val="19"/>
          <w:color w:val="auto"/>
        </w:rPr>
        <w:t>The allowance for credit losses represents, in management’s judgment, the amount of losses inherent in the loan and lease portfolio as of the balance sheet date. The allowance is determined by management’s evaluation of the loan and lease portfolio based on such factors as the differing economic risks associated with each loan category, the current financial condition of specific borrowers, the economic environment in which borrowers operate, the level of delinquent loans, the value of any collateral and, where applicable, the existence of any guarantees or indemnifications. The effects of probable decreases in expected principal cash flows on loans acquired at a discount are also considered in the establishment of the allowance for credit losses.</w:t>
      </w: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Assets taken in foreclosure of defaulted loans</w:t>
      </w:r>
    </w:p>
    <w:p>
      <w:pPr>
        <w:spacing w:after="0" w:line="25" w:lineRule="exact"/>
        <w:rPr>
          <w:sz w:val="20"/>
          <w:szCs w:val="20"/>
          <w:color w:val="auto"/>
        </w:rPr>
      </w:pPr>
    </w:p>
    <w:p>
      <w:pPr>
        <w:ind w:right="20"/>
        <w:spacing w:after="0" w:line="263" w:lineRule="auto"/>
        <w:rPr>
          <w:sz w:val="20"/>
          <w:szCs w:val="20"/>
          <w:color w:val="auto"/>
        </w:rPr>
      </w:pPr>
      <w:r>
        <w:rPr>
          <w:rFonts w:ascii="Arial" w:cs="Arial" w:eastAsia="Arial" w:hAnsi="Arial"/>
          <w:sz w:val="19"/>
          <w:szCs w:val="19"/>
          <w:color w:val="auto"/>
        </w:rPr>
        <w:t>Assets taken in foreclosure of defaulted loans are primarily comprised of commercial and residential real property and are included in “other assets” in the consolidated balance sheet. An in-substance repossession or foreclosure occurs and a creditor is considered to have received physical possession of residential real estate property collateralizing a consumer mortgage loan upon either (1) the creditor obtaining legal title to the residential real estate property upon completion of a foreclosure or (2) the borrower conveying all interest in the residential real estate property to the creditor to satisfy that loan through completion of a deed in lieu of foreclosure or through a similar legal agreement. Upon acquisition of assets taken in satisfaction of a defaulted loan, the excess of the remaining loan balance over the asset’s estimated fair value less costs to sell is charged-off against the allowance for credit losses. Subsequent declines in value of the assets are recognized as “other costs of operations” in the consolidated statement of income.</w:t>
      </w: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Premises and equipment</w:t>
      </w:r>
    </w:p>
    <w:p>
      <w:pPr>
        <w:spacing w:after="0" w:line="25" w:lineRule="exact"/>
        <w:rPr>
          <w:sz w:val="20"/>
          <w:szCs w:val="20"/>
          <w:color w:val="auto"/>
        </w:rPr>
      </w:pPr>
    </w:p>
    <w:p>
      <w:pPr>
        <w:ind w:right="240"/>
        <w:spacing w:after="0" w:line="256" w:lineRule="auto"/>
        <w:rPr>
          <w:sz w:val="20"/>
          <w:szCs w:val="20"/>
          <w:color w:val="auto"/>
        </w:rPr>
      </w:pPr>
      <w:r>
        <w:rPr>
          <w:rFonts w:ascii="Arial" w:cs="Arial" w:eastAsia="Arial" w:hAnsi="Arial"/>
          <w:sz w:val="20"/>
          <w:szCs w:val="20"/>
          <w:color w:val="auto"/>
        </w:rPr>
        <w:t>Premises and equipment are stated at cost less accumulated depreciation. Depreciation expense is computed principally using the straight-line method over the estimated useful lives of the assets.</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Capitalized servicing rights</w:t>
      </w:r>
    </w:p>
    <w:p>
      <w:pPr>
        <w:spacing w:after="0" w:line="25" w:lineRule="exact"/>
        <w:rPr>
          <w:sz w:val="20"/>
          <w:szCs w:val="20"/>
          <w:color w:val="auto"/>
        </w:rPr>
      </w:pPr>
    </w:p>
    <w:p>
      <w:pPr>
        <w:ind w:right="240"/>
        <w:spacing w:after="0" w:line="274" w:lineRule="auto"/>
        <w:rPr>
          <w:sz w:val="20"/>
          <w:szCs w:val="20"/>
          <w:color w:val="auto"/>
        </w:rPr>
      </w:pPr>
      <w:r>
        <w:rPr>
          <w:rFonts w:ascii="Arial" w:cs="Arial" w:eastAsia="Arial" w:hAnsi="Arial"/>
          <w:sz w:val="18"/>
          <w:szCs w:val="18"/>
          <w:color w:val="auto"/>
        </w:rPr>
        <w:t>Capitalized servicing assets are included in “other assets” in the consolidated balance sheet. Separately recognized servicing assets are initially measured at fair value. The Company uses the amortization method to subsequently measure servicing assets. Under that method, capitalized servicing assets are charged to expense in proportion to and over the period of estimated net servicing income.</w:t>
      </w:r>
    </w:p>
    <w:p>
      <w:pPr>
        <w:spacing w:after="0" w:line="1" w:lineRule="exact"/>
        <w:rPr>
          <w:sz w:val="20"/>
          <w:szCs w:val="20"/>
          <w:color w:val="auto"/>
        </w:rPr>
      </w:pPr>
    </w:p>
    <w:p>
      <w:pPr>
        <w:ind w:firstLine="598"/>
        <w:spacing w:after="0" w:line="248" w:lineRule="auto"/>
        <w:rPr>
          <w:sz w:val="20"/>
          <w:szCs w:val="20"/>
          <w:color w:val="auto"/>
        </w:rPr>
      </w:pPr>
      <w:r>
        <w:rPr>
          <w:rFonts w:ascii="Arial" w:cs="Arial" w:eastAsia="Arial" w:hAnsi="Arial"/>
          <w:sz w:val="20"/>
          <w:szCs w:val="20"/>
          <w:color w:val="auto"/>
        </w:rPr>
        <w:t>To estimate the fair value of servicing rights, the Company considers market prices for similar assets and the present value of expected future cash flows associated with the servicing rights calculated using assumptions that market participants would use in estimating future servicing income and expense. Such assumptions include estimates of the cost of servicing loans, loan default rates, an appropriate discount rate, and prepayment speeds. For purposes of evaluating and measuring impairment of capitalized servicing rights, the Company stratifies such assets based on the predominant risk characteristics of the underlying financial instruments that are expected to have the most impact on projected prepayments, cost of servicing and other factors affecting future cash flows associated with the servicing rights. Such factors may include financial asset or loan type, note rate and term. The amount of impairment recognized is the amount by which the carrying value of the capitalized servicing rights for a stratum exceeds estimated fair value. Impairment is recognized through a valuation allowance.</w:t>
      </w: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360"/>
          </w:cols>
          <w:pgMar w:left="240" w:top="652" w:right="299" w:bottom="1440" w:gutter="0" w:footer="0" w:header="0"/>
        </w:sectPr>
      </w:pPr>
    </w:p>
    <w:bookmarkStart w:id="117" w:name="page118"/>
    <w:bookmarkEnd w:id="117"/>
    <w:p>
      <w:pPr>
        <w:spacing w:after="0"/>
        <w:rPr>
          <w:sz w:val="20"/>
          <w:szCs w:val="20"/>
          <w:color w:val="auto"/>
        </w:rPr>
      </w:pPr>
      <w:r>
        <w:rPr>
          <w:rFonts w:ascii="Arial" w:cs="Arial" w:eastAsia="Arial" w:hAnsi="Arial"/>
          <w:sz w:val="20"/>
          <w:szCs w:val="20"/>
          <w:b w:val="1"/>
          <w:bCs w:val="1"/>
          <w:i w:val="1"/>
          <w:iCs w:val="1"/>
          <w:color w:val="auto"/>
        </w:rPr>
        <w:t>Sales and securitizations of financial assets</w:t>
      </w:r>
    </w:p>
    <w:p>
      <w:pPr>
        <w:spacing w:after="0" w:line="25" w:lineRule="exact"/>
        <w:rPr>
          <w:sz w:val="20"/>
          <w:szCs w:val="20"/>
          <w:color w:val="auto"/>
        </w:rPr>
      </w:pPr>
    </w:p>
    <w:p>
      <w:pPr>
        <w:ind w:right="60"/>
        <w:spacing w:after="0" w:line="246" w:lineRule="auto"/>
        <w:rPr>
          <w:sz w:val="20"/>
          <w:szCs w:val="20"/>
          <w:color w:val="auto"/>
        </w:rPr>
      </w:pPr>
      <w:r>
        <w:rPr>
          <w:rFonts w:ascii="Arial" w:cs="Arial" w:eastAsia="Arial" w:hAnsi="Arial"/>
          <w:sz w:val="20"/>
          <w:szCs w:val="20"/>
          <w:color w:val="auto"/>
        </w:rPr>
        <w:t>Transfers of financial assets for which the Company has surrendered control of the financial assets are accounted for as sales. Interests in a sale of financial assets that continue to be held by the Company, including servicing rights, are measured at fair value. The fair values of retained debt securities are generally determined through reference to independent pricing information. The fair values of retained servicing rights and any other retained interests are determined based on the present value of expected future cash flows associated with those interests and by reference to market prices for similar assets.</w:t>
      </w:r>
    </w:p>
    <w:p>
      <w:pPr>
        <w:spacing w:after="0" w:line="4" w:lineRule="exact"/>
        <w:rPr>
          <w:sz w:val="20"/>
          <w:szCs w:val="20"/>
          <w:color w:val="auto"/>
        </w:rPr>
      </w:pPr>
    </w:p>
    <w:p>
      <w:pPr>
        <w:ind w:right="40" w:firstLine="598"/>
        <w:spacing w:after="0" w:line="250" w:lineRule="auto"/>
        <w:rPr>
          <w:sz w:val="20"/>
          <w:szCs w:val="20"/>
          <w:color w:val="auto"/>
        </w:rPr>
      </w:pPr>
      <w:r>
        <w:rPr>
          <w:rFonts w:ascii="Arial" w:cs="Arial" w:eastAsia="Arial" w:hAnsi="Arial"/>
          <w:sz w:val="20"/>
          <w:szCs w:val="20"/>
          <w:color w:val="auto"/>
        </w:rPr>
        <w:t>Securitization structures typically require the use of special-purpose trusts that are considered variable interest entities. A variable interest entity is included in the consolidated financial statements if the Company has the power to direct the activities that most significantly impact the variable interest entity’s economic performance and has the obligation to absorb losses or the right to receive benefits of the variable interest entity that could potentially be significant to that entity.</w:t>
      </w: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Goodwill and core deposit and other intangible assets</w:t>
      </w:r>
    </w:p>
    <w:p>
      <w:pPr>
        <w:spacing w:after="0" w:line="25" w:lineRule="exact"/>
        <w:rPr>
          <w:sz w:val="20"/>
          <w:szCs w:val="20"/>
          <w:color w:val="auto"/>
        </w:rPr>
      </w:pPr>
    </w:p>
    <w:p>
      <w:pPr>
        <w:ind w:right="100"/>
        <w:spacing w:after="0" w:line="264" w:lineRule="auto"/>
        <w:rPr>
          <w:sz w:val="20"/>
          <w:szCs w:val="20"/>
          <w:color w:val="auto"/>
        </w:rPr>
      </w:pPr>
      <w:r>
        <w:rPr>
          <w:rFonts w:ascii="Arial" w:cs="Arial" w:eastAsia="Arial" w:hAnsi="Arial"/>
          <w:sz w:val="19"/>
          <w:szCs w:val="19"/>
          <w:color w:val="auto"/>
        </w:rPr>
        <w:t>Goodwill represents the excess of the cost of an acquired entity over the fair value of the identifiable net assets acquired. Goodwill is not amortized, but rather is tested for impairment at least annually at the reporting unit level, which is either at the same level or one level below an operating segment. Other acquired intangible assets with finite lives, such as core deposit intangibles, are initially recorded at estimated fair value and are amortized over their estimated lives. Core deposit and other intangible assets are generally amortized using accelerated methods over estimated useful lives of five to ten years. The Company periodically assesses whether events or changes in circumstances indicate that the carrying amounts of core deposit and other intangible assets may be impaired.</w:t>
      </w: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Derivative financial instruments</w:t>
      </w:r>
    </w:p>
    <w:p>
      <w:pPr>
        <w:spacing w:after="0" w:line="25" w:lineRule="exact"/>
        <w:rPr>
          <w:sz w:val="20"/>
          <w:szCs w:val="20"/>
          <w:color w:val="auto"/>
        </w:rPr>
      </w:pPr>
    </w:p>
    <w:p>
      <w:pPr>
        <w:ind w:right="140"/>
        <w:spacing w:after="0" w:line="274" w:lineRule="auto"/>
        <w:rPr>
          <w:sz w:val="20"/>
          <w:szCs w:val="20"/>
          <w:color w:val="auto"/>
        </w:rPr>
      </w:pPr>
      <w:r>
        <w:rPr>
          <w:rFonts w:ascii="Arial" w:cs="Arial" w:eastAsia="Arial" w:hAnsi="Arial"/>
          <w:sz w:val="18"/>
          <w:szCs w:val="18"/>
          <w:color w:val="auto"/>
        </w:rPr>
        <w:t>The Company accounts for derivative financial instruments at fair value. If certain conditions are met, a derivative may be specifically designated as (a) a hedge of the exposure to changes in the fair value of a recognized asset or liability or an unrecognized firm commitment,</w:t>
      </w:r>
    </w:p>
    <w:p>
      <w:pPr>
        <w:ind w:right="540" w:firstLine="5"/>
        <w:spacing w:after="0" w:line="246" w:lineRule="auto"/>
        <w:tabs>
          <w:tab w:leader="none" w:pos="285" w:val="left"/>
        </w:tabs>
        <w:numPr>
          <w:ilvl w:val="0"/>
          <w:numId w:val="42"/>
        </w:numPr>
        <w:rPr>
          <w:rFonts w:ascii="Arial" w:cs="Arial" w:eastAsia="Arial" w:hAnsi="Arial"/>
          <w:sz w:val="20"/>
          <w:szCs w:val="20"/>
          <w:color w:val="auto"/>
        </w:rPr>
      </w:pPr>
      <w:r>
        <w:rPr>
          <w:rFonts w:ascii="Arial" w:cs="Arial" w:eastAsia="Arial" w:hAnsi="Arial"/>
          <w:sz w:val="20"/>
          <w:szCs w:val="20"/>
          <w:color w:val="auto"/>
        </w:rPr>
        <w:t>a hedge of the exposure to variable cash flows of a forecasted transaction or (c) a hedge of the foreign currency exposure of a net investment in a foreign operation, an unrecognized firm commitment, an available-for-sale security, or a foreign currency denominated forecasted transaction.</w:t>
      </w:r>
    </w:p>
    <w:p>
      <w:pPr>
        <w:spacing w:after="0" w:line="2" w:lineRule="exact"/>
        <w:rPr>
          <w:rFonts w:ascii="Arial" w:cs="Arial" w:eastAsia="Arial" w:hAnsi="Arial"/>
          <w:sz w:val="20"/>
          <w:szCs w:val="20"/>
          <w:color w:val="auto"/>
        </w:rPr>
      </w:pPr>
    </w:p>
    <w:p>
      <w:pPr>
        <w:ind w:firstLine="598"/>
        <w:spacing w:after="0" w:line="246" w:lineRule="auto"/>
        <w:rPr>
          <w:rFonts w:ascii="Arial" w:cs="Arial" w:eastAsia="Arial" w:hAnsi="Arial"/>
          <w:sz w:val="20"/>
          <w:szCs w:val="20"/>
          <w:color w:val="auto"/>
        </w:rPr>
      </w:pPr>
      <w:r>
        <w:rPr>
          <w:rFonts w:ascii="Arial" w:cs="Arial" w:eastAsia="Arial" w:hAnsi="Arial"/>
          <w:sz w:val="20"/>
          <w:szCs w:val="20"/>
          <w:color w:val="auto"/>
        </w:rPr>
        <w:t>The Company utilizes interest rate swap agreements as part of the management of interest rate risk to modify the repricing characteristics of certain portions of its portfolios of earning assets and interest-bearing liabilities. For such agreements, amounts receivable or payable are recognized as accrued under the terms of the agreement and the net differential is recorded as an adjustment to interest income or expense of the related asset or liability. Interest rate swap agreements may be designated as either fair value hedges or cash flow hedges. In a fair value hedge, the fair values of the interest rate swap agreements and changes in the fair values of the hedged items are recorded in the Company’s consolidated balance sheet with the corresponding gain or loss recognized in current earnings. The difference between changes in the fair values of interest rate swap agreements and the hedged items represents hedge ineffectiveness and is recorded in “other revenues from operations” in the consolidated statement of income. In a cash flow hedge, the effective portion of the derivative’s unrealized gain or loss is initially recorded as a component of other comprehensive income and subsequently reclassified into earnings when the forecasted transaction affects earnings. The ineffective portion of the unrealized gain or loss is reported in “other revenues from operations” immediately.</w:t>
      </w:r>
    </w:p>
    <w:p>
      <w:pPr>
        <w:spacing w:after="0" w:line="8" w:lineRule="exact"/>
        <w:rPr>
          <w:rFonts w:ascii="Arial" w:cs="Arial" w:eastAsia="Arial" w:hAnsi="Arial"/>
          <w:sz w:val="20"/>
          <w:szCs w:val="20"/>
          <w:color w:val="auto"/>
        </w:rPr>
      </w:pPr>
    </w:p>
    <w:p>
      <w:pPr>
        <w:ind w:right="20" w:firstLine="598"/>
        <w:spacing w:after="0" w:line="256" w:lineRule="auto"/>
        <w:rPr>
          <w:rFonts w:ascii="Arial" w:cs="Arial" w:eastAsia="Arial" w:hAnsi="Arial"/>
          <w:sz w:val="20"/>
          <w:szCs w:val="20"/>
          <w:color w:val="auto"/>
        </w:rPr>
      </w:pPr>
      <w:r>
        <w:rPr>
          <w:rFonts w:ascii="Arial" w:cs="Arial" w:eastAsia="Arial" w:hAnsi="Arial"/>
          <w:sz w:val="20"/>
          <w:szCs w:val="20"/>
          <w:color w:val="auto"/>
        </w:rPr>
        <w:t>The Company utilizes commitments to sell real estate loans to hedge the exposure to changes in the fair value of real estate loans held for sale. Commitments to originate real estate loans to be held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651" w:right="239" w:bottom="1440" w:gutter="0" w:footer="0" w:header="0"/>
        </w:sectPr>
      </w:pPr>
    </w:p>
    <w:bookmarkStart w:id="118" w:name="page119"/>
    <w:bookmarkEnd w:id="118"/>
    <w:p>
      <w:pPr>
        <w:ind w:left="600" w:right="400" w:hanging="597"/>
        <w:spacing w:after="0" w:line="284" w:lineRule="auto"/>
        <w:rPr>
          <w:sz w:val="20"/>
          <w:szCs w:val="20"/>
          <w:color w:val="auto"/>
        </w:rPr>
      </w:pPr>
      <w:r>
        <w:rPr>
          <w:rFonts w:ascii="Arial" w:cs="Arial" w:eastAsia="Arial" w:hAnsi="Arial"/>
          <w:sz w:val="18"/>
          <w:szCs w:val="18"/>
          <w:color w:val="auto"/>
        </w:rPr>
        <w:t>for sale and commitments to sell real estate loans are generally recorded in the consolidated balance sheet at estimated fair value. Derivative instruments not related to mortgage banking activities, including financial futures commitments and interest rate swap</w:t>
      </w:r>
    </w:p>
    <w:p>
      <w:pPr>
        <w:spacing w:after="0" w:line="1" w:lineRule="exact"/>
        <w:rPr>
          <w:sz w:val="20"/>
          <w:szCs w:val="20"/>
          <w:color w:val="auto"/>
        </w:rPr>
      </w:pPr>
    </w:p>
    <w:p>
      <w:pPr>
        <w:ind w:right="100"/>
        <w:spacing w:after="0" w:line="251" w:lineRule="auto"/>
        <w:rPr>
          <w:sz w:val="20"/>
          <w:szCs w:val="20"/>
          <w:color w:val="auto"/>
        </w:rPr>
      </w:pPr>
      <w:r>
        <w:rPr>
          <w:rFonts w:ascii="Arial" w:cs="Arial" w:eastAsia="Arial" w:hAnsi="Arial"/>
          <w:sz w:val="20"/>
          <w:szCs w:val="20"/>
          <w:color w:val="auto"/>
        </w:rPr>
        <w:t>agreements, that do not satisfy the hedge accounting requirements are recorded at fair value and are generally classified as trading account assets or liabilities with resultant changes in fair value being recognized in “trading account and foreign exchange gains” in the consolidated statement of income.</w:t>
      </w: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Stock-based compensation</w:t>
      </w:r>
    </w:p>
    <w:p>
      <w:pPr>
        <w:spacing w:after="0" w:line="25" w:lineRule="exact"/>
        <w:rPr>
          <w:sz w:val="20"/>
          <w:szCs w:val="20"/>
          <w:color w:val="auto"/>
        </w:rPr>
      </w:pPr>
    </w:p>
    <w:p>
      <w:pPr>
        <w:ind w:right="60"/>
        <w:spacing w:after="0" w:line="248" w:lineRule="auto"/>
        <w:rPr>
          <w:sz w:val="20"/>
          <w:szCs w:val="20"/>
          <w:color w:val="auto"/>
        </w:rPr>
      </w:pPr>
      <w:r>
        <w:rPr>
          <w:rFonts w:ascii="Arial" w:cs="Arial" w:eastAsia="Arial" w:hAnsi="Arial"/>
          <w:sz w:val="20"/>
          <w:szCs w:val="20"/>
          <w:color w:val="auto"/>
        </w:rPr>
        <w:t>Stock-based compensation expense is recognized over the vesting period of the stock-based grant based on the estimated grant date value of the stock-based compensation, except that the recognition of compensation costs is accelerated for stock-based awards granted to retirement-eligible employees and employees who will become retirement-eligible prior to full vesting of the award because the Company’s incentive compensation plan allows for vesting at the time an employee retires. As discussed in note 26 herein, effective January 2017 the Company adopted amended accounting guidance which requires excess tax benefits or deficiencies associated with stock-based compensation be recognized in income tax expense. Previously, tax effects resulting from changes in M&amp;T’s share price were recorded through shareholders’ equity.</w:t>
      </w:r>
    </w:p>
    <w:p>
      <w:pPr>
        <w:spacing w:after="0" w:line="28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Income taxes</w:t>
      </w:r>
    </w:p>
    <w:p>
      <w:pPr>
        <w:spacing w:after="0" w:line="25" w:lineRule="exact"/>
        <w:rPr>
          <w:sz w:val="20"/>
          <w:szCs w:val="20"/>
          <w:color w:val="auto"/>
        </w:rPr>
      </w:pPr>
    </w:p>
    <w:p>
      <w:pPr>
        <w:jc w:val="both"/>
        <w:ind w:right="100"/>
        <w:spacing w:after="0" w:line="246" w:lineRule="auto"/>
        <w:rPr>
          <w:sz w:val="20"/>
          <w:szCs w:val="20"/>
          <w:color w:val="auto"/>
        </w:rPr>
      </w:pPr>
      <w:r>
        <w:rPr>
          <w:rFonts w:ascii="Arial" w:cs="Arial" w:eastAsia="Arial" w:hAnsi="Arial"/>
          <w:sz w:val="20"/>
          <w:szCs w:val="20"/>
          <w:color w:val="auto"/>
        </w:rPr>
        <w:t>Deferred tax assets and liabilities are recognized for the future tax effects attributable to differences between the financial statement value of existing assets and liabilities and their respective tax bases and carryforwards. Deferred tax assets and liabilities are measured using enacted tax rates and laws.</w:t>
      </w:r>
    </w:p>
    <w:p>
      <w:pPr>
        <w:spacing w:after="0" w:line="2" w:lineRule="exact"/>
        <w:rPr>
          <w:sz w:val="20"/>
          <w:szCs w:val="20"/>
          <w:color w:val="auto"/>
        </w:rPr>
      </w:pPr>
    </w:p>
    <w:p>
      <w:pPr>
        <w:ind w:right="100" w:firstLine="598"/>
        <w:spacing w:after="0" w:line="246" w:lineRule="auto"/>
        <w:rPr>
          <w:sz w:val="20"/>
          <w:szCs w:val="20"/>
          <w:color w:val="auto"/>
        </w:rPr>
      </w:pPr>
      <w:r>
        <w:rPr>
          <w:rFonts w:ascii="Arial" w:cs="Arial" w:eastAsia="Arial" w:hAnsi="Arial"/>
          <w:sz w:val="20"/>
          <w:szCs w:val="20"/>
          <w:color w:val="auto"/>
        </w:rPr>
        <w:t>The Company evaluates uncertain tax positions using the two-step process required by GAAP. The first step requires a determination of whether it is more likely than not that a tax position will be sustained upon examination, including resolution of any related appeals or litigation processes, based on the technical merits of the position. Under the second step, a tax position that meets the more-likely-than-not recognition threshold is measured at the largest amount of benefit that is greater than fifty percent likely of being realized upon ultimate settlement.</w:t>
      </w:r>
    </w:p>
    <w:p>
      <w:pPr>
        <w:spacing w:after="0" w:line="4" w:lineRule="exact"/>
        <w:rPr>
          <w:sz w:val="20"/>
          <w:szCs w:val="20"/>
          <w:color w:val="auto"/>
        </w:rPr>
      </w:pPr>
    </w:p>
    <w:p>
      <w:pPr>
        <w:ind w:firstLine="598"/>
        <w:spacing w:after="0" w:line="271" w:lineRule="auto"/>
        <w:rPr>
          <w:sz w:val="20"/>
          <w:szCs w:val="20"/>
          <w:color w:val="auto"/>
        </w:rPr>
      </w:pPr>
      <w:r>
        <w:rPr>
          <w:rFonts w:ascii="Arial" w:cs="Arial" w:eastAsia="Arial" w:hAnsi="Arial"/>
          <w:sz w:val="19"/>
          <w:szCs w:val="19"/>
          <w:color w:val="auto"/>
        </w:rPr>
        <w:t>The Company accounts for its investments in qualified affordable housing projects using the proportional amortization method. Under that method, the Company amortizes the initial cost of the investment in proportion to the tax credits and other tax benefits received and recognizes the net investment performance in the income statement as a component of income tax expense.</w:t>
      </w: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Earnings per common share</w:t>
      </w:r>
    </w:p>
    <w:p>
      <w:pPr>
        <w:spacing w:after="0" w:line="25"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Basic earnings per common share exclude dilution and are computed by dividing income available to common shareholders by the weighted-average number of common shares outstanding (exclusive of shares represented by the unvested portion of restricted stock and restricted stock unit grants) and common shares issuable under deferred compensation arrangements during the period. Diluted earnings per common share reflect shares represented by the unvested portion of restricted stock and restricted stock unit grants and the potential dilution that could occur if securities or other contracts to issue common stock were exercised or converted into common stock or resulted in the issuance of common stock that then shared in earnings. Proceeds assumed to have been received on such exercise or conversion are assumed to be used to purchase shares of M&amp;T common stock at the average market price during the period, as required by the “treasury stock method” of accounting.</w:t>
      </w:r>
    </w:p>
    <w:p>
      <w:pPr>
        <w:spacing w:after="0" w:line="6" w:lineRule="exact"/>
        <w:rPr>
          <w:sz w:val="20"/>
          <w:szCs w:val="20"/>
          <w:color w:val="auto"/>
        </w:rPr>
      </w:pPr>
    </w:p>
    <w:p>
      <w:pPr>
        <w:ind w:right="400" w:firstLine="598"/>
        <w:spacing w:after="0" w:line="256" w:lineRule="auto"/>
        <w:rPr>
          <w:sz w:val="20"/>
          <w:szCs w:val="20"/>
          <w:color w:val="auto"/>
        </w:rPr>
      </w:pPr>
      <w:r>
        <w:rPr>
          <w:rFonts w:ascii="Arial" w:cs="Arial" w:eastAsia="Arial" w:hAnsi="Arial"/>
          <w:sz w:val="20"/>
          <w:szCs w:val="20"/>
          <w:color w:val="auto"/>
        </w:rPr>
        <w:t>GAAP requires that unvested share-based payment awards that contain nonforfeitable rights to dividends or dividend equivalents (whether paid or unpaid) shall be considered participating</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19" w:name="page120"/>
    <w:bookmarkEnd w:id="119"/>
    <w:p>
      <w:pPr>
        <w:spacing w:after="0" w:line="261" w:lineRule="auto"/>
        <w:rPr>
          <w:sz w:val="20"/>
          <w:szCs w:val="20"/>
          <w:color w:val="auto"/>
        </w:rPr>
      </w:pPr>
      <w:r>
        <w:rPr>
          <w:rFonts w:ascii="Arial" w:cs="Arial" w:eastAsia="Arial" w:hAnsi="Arial"/>
          <w:sz w:val="20"/>
          <w:szCs w:val="20"/>
          <w:color w:val="auto"/>
        </w:rPr>
        <w:t>securities and shall be included in the computation of earnings per common share pursuant to the two-class method. The Company has issued stock-based compensation awards in the form of restricted stock and restricted stock units that contain such rights and, accordingly, the Company’s earnings per common share are calculated using the two-class method.</w:t>
      </w: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Treasury stock</w:t>
      </w:r>
    </w:p>
    <w:p>
      <w:pPr>
        <w:spacing w:after="0" w:line="25" w:lineRule="exact"/>
        <w:rPr>
          <w:sz w:val="20"/>
          <w:szCs w:val="20"/>
          <w:color w:val="auto"/>
        </w:rPr>
      </w:pPr>
    </w:p>
    <w:p>
      <w:pPr>
        <w:ind w:right="180"/>
        <w:spacing w:after="0" w:line="256" w:lineRule="auto"/>
        <w:rPr>
          <w:sz w:val="20"/>
          <w:szCs w:val="20"/>
          <w:color w:val="auto"/>
        </w:rPr>
      </w:pPr>
      <w:r>
        <w:rPr>
          <w:rFonts w:ascii="Arial" w:cs="Arial" w:eastAsia="Arial" w:hAnsi="Arial"/>
          <w:sz w:val="20"/>
          <w:szCs w:val="20"/>
          <w:color w:val="auto"/>
        </w:rPr>
        <w:t>Repurchases of shares of M&amp;T common stock are recorded at cost as a reduction of shareholders’ equity. Reissuances of shares of treasury stock are recorded at average cost.</w:t>
      </w:r>
    </w:p>
    <w:p>
      <w:pPr>
        <w:spacing w:after="0" w:line="355" w:lineRule="exact"/>
        <w:rPr>
          <w:sz w:val="20"/>
          <w:szCs w:val="20"/>
          <w:color w:val="auto"/>
        </w:rPr>
      </w:pPr>
    </w:p>
    <w:p>
      <w:pPr>
        <w:spacing w:after="0"/>
        <w:tabs>
          <w:tab w:leader="none" w:pos="320" w:val="left"/>
        </w:tabs>
        <w:rPr>
          <w:sz w:val="20"/>
          <w:szCs w:val="20"/>
          <w:color w:val="auto"/>
        </w:rPr>
      </w:pPr>
      <w:r>
        <w:rPr>
          <w:rFonts w:ascii="Arial" w:cs="Arial" w:eastAsia="Arial" w:hAnsi="Arial"/>
          <w:sz w:val="20"/>
          <w:szCs w:val="20"/>
          <w:b w:val="1"/>
          <w:bCs w:val="1"/>
          <w:color w:val="auto"/>
        </w:rPr>
        <w:t>2.</w:t>
      </w:r>
      <w:r>
        <w:rPr>
          <w:sz w:val="20"/>
          <w:szCs w:val="20"/>
          <w:color w:val="auto"/>
        </w:rPr>
        <w:tab/>
      </w:r>
      <w:r>
        <w:rPr>
          <w:rFonts w:ascii="Arial" w:cs="Arial" w:eastAsia="Arial" w:hAnsi="Arial"/>
          <w:sz w:val="18"/>
          <w:szCs w:val="18"/>
          <w:b w:val="1"/>
          <w:bCs w:val="1"/>
          <w:color w:val="auto"/>
        </w:rPr>
        <w:t>Acquisition and divestiture</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Hudson City Bancorp, Inc.</w:t>
      </w:r>
    </w:p>
    <w:p>
      <w:pPr>
        <w:spacing w:after="0" w:line="25" w:lineRule="exact"/>
        <w:rPr>
          <w:sz w:val="20"/>
          <w:szCs w:val="20"/>
          <w:color w:val="auto"/>
        </w:rPr>
      </w:pPr>
    </w:p>
    <w:p>
      <w:pPr>
        <w:ind w:right="20"/>
        <w:spacing w:after="0" w:line="274" w:lineRule="auto"/>
        <w:rPr>
          <w:sz w:val="20"/>
          <w:szCs w:val="20"/>
          <w:color w:val="auto"/>
        </w:rPr>
      </w:pPr>
      <w:r>
        <w:rPr>
          <w:rFonts w:ascii="Arial" w:cs="Arial" w:eastAsia="Arial" w:hAnsi="Arial"/>
          <w:sz w:val="18"/>
          <w:szCs w:val="18"/>
          <w:color w:val="auto"/>
        </w:rPr>
        <w:t>On November 1, 2015, M&amp;T completed the acquisition of Hudson City Bancorp, Inc. (“Hudson City”), headquartered in Paramus, New Jersey. On that date, Hudson City Savings Bank, the banking subsidiary of Hudson City, was merged into M&amp;T Bank, a wholly owned banking subsidiary of M&amp;T. Hudson City Savings Bank operated 135 banking offices in New Jersey, Connecticut and New York at the date of acquisition. The results of operations acquired in the Hudson City transaction have been included in the Company’s financial results since November 1, 2015. After application of the election, allocation and proration procedures contained in the merger agreement with Hudson City, M&amp;T paid $2.1 billion in cash and issued 25,953,950 shares of M&amp;T common stock in exchange for Hudson City shares outstanding at the time of the acquisition. The purchase price was approximately $5.2 billion based on the cash paid to Hudson City shareholders, the fair value of M&amp;T stock exchanged and the estimated fair value of Hudson City stock awards converted into M&amp;T stock awards. The acquisition of Hudson City expanded the Company’s presence in New Jersey, Connecticut and New York, and management expects that the Company will benefit from greater geographic diversity and the advantages of scale associated with a larger company.</w:t>
      </w:r>
    </w:p>
    <w:p>
      <w:pPr>
        <w:spacing w:after="0" w:line="2" w:lineRule="exact"/>
        <w:rPr>
          <w:sz w:val="20"/>
          <w:szCs w:val="20"/>
          <w:color w:val="auto"/>
        </w:rPr>
      </w:pPr>
    </w:p>
    <w:p>
      <w:pPr>
        <w:ind w:right="60" w:firstLine="598"/>
        <w:spacing w:after="0" w:line="248" w:lineRule="auto"/>
        <w:rPr>
          <w:sz w:val="20"/>
          <w:szCs w:val="20"/>
          <w:color w:val="auto"/>
        </w:rPr>
      </w:pPr>
      <w:r>
        <w:rPr>
          <w:rFonts w:ascii="Arial" w:cs="Arial" w:eastAsia="Arial" w:hAnsi="Arial"/>
          <w:sz w:val="20"/>
          <w:szCs w:val="20"/>
          <w:color w:val="auto"/>
        </w:rPr>
        <w:t>The Hudson City transaction was accounted for using the acquisition method of accounting and, accordingly, assets acquired, liabilities assumed and consideration exchanged were recorded at estimated fair value on the acquisition date. Assets acquired totaled approximately $36.7 billion, including $19.0 billion of loans (predominantly residential real estate loans) and $7.9 billion of investment securities. Liabilities assumed aggregated $31.5 billion, including $17.9 billion of deposits and $13.2 billion of borrowings. Immediately following the acquisition, the Company restructured its balance sheet by selling $5.8 billion of investment securities obtained in the acquisition and repaying $10.6 billion of borrowings assumed in the transaction. In connection with the acquisition, the Company recorded approximately $1.1 billion of goodwill and $132 million of core deposit intangible. The core deposit intangible asset is being amortized over a period of seven years using an accelerated method.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00"/>
          </w:cols>
          <w:pgMar w:left="240" w:top="336" w:right="259" w:bottom="1440" w:gutter="0" w:footer="0" w:header="0"/>
        </w:sectPr>
      </w:pPr>
    </w:p>
    <w:bookmarkStart w:id="120" w:name="page121"/>
    <w:bookmarkEnd w:id="120"/>
    <w:p>
      <w:pPr>
        <w:ind w:right="20" w:firstLine="598"/>
        <w:spacing w:after="0" w:line="270" w:lineRule="auto"/>
        <w:rPr>
          <w:sz w:val="20"/>
          <w:szCs w:val="20"/>
          <w:color w:val="auto"/>
        </w:rPr>
      </w:pPr>
      <w:r>
        <w:rPr>
          <w:rFonts w:ascii="Arial" w:cs="Arial" w:eastAsia="Arial" w:hAnsi="Arial"/>
          <w:sz w:val="19"/>
          <w:szCs w:val="19"/>
          <w:color w:val="auto"/>
        </w:rPr>
        <w:t>The following table discloses the impact of Hudson City since the acquisition on November 1, 2015 through the end of 2015. The table also presents certain pro forma information as if Hudson City had been included in the Company’s consolidated financial statements for all of 2015. These results combine the historical results of Hudson City into the Company’s consolidated statement of income and, while certain adjustments were made for the estimated impact of certain fair valuation adjustments and other acquisition-related activity, they are not necessarily indicative of what would have occurred had the acquisition taken place on the indicated date.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tcPr>
          <w:p>
            <w:pPr>
              <w:jc w:val="center"/>
              <w:ind w:right="301"/>
              <w:spacing w:after="0"/>
              <w:rPr>
                <w:sz w:val="20"/>
                <w:szCs w:val="20"/>
                <w:color w:val="auto"/>
              </w:rPr>
            </w:pPr>
            <w:r>
              <w:rPr>
                <w:rFonts w:ascii="Arial" w:cs="Arial" w:eastAsia="Arial" w:hAnsi="Arial"/>
                <w:sz w:val="14"/>
                <w:szCs w:val="14"/>
                <w:b w:val="1"/>
                <w:bCs w:val="1"/>
                <w:color w:val="auto"/>
                <w:w w:val="88"/>
              </w:rPr>
              <w:t>Actual Since</w:t>
            </w:r>
          </w:p>
        </w:tc>
        <w:tc>
          <w:tcPr>
            <w:tcW w:w="4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58"/>
        </w:trPr>
        <w:tc>
          <w:tcPr>
            <w:tcW w:w="7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20" w:type="dxa"/>
            <w:vAlign w:val="bottom"/>
          </w:tcPr>
          <w:p>
            <w:pPr>
              <w:jc w:val="center"/>
              <w:ind w:right="301"/>
              <w:spacing w:after="0" w:line="158" w:lineRule="exact"/>
              <w:rPr>
                <w:sz w:val="20"/>
                <w:szCs w:val="20"/>
                <w:color w:val="auto"/>
              </w:rPr>
            </w:pPr>
            <w:r>
              <w:rPr>
                <w:rFonts w:ascii="Arial" w:cs="Arial" w:eastAsia="Arial" w:hAnsi="Arial"/>
                <w:sz w:val="14"/>
                <w:szCs w:val="14"/>
                <w:b w:val="1"/>
                <w:bCs w:val="1"/>
                <w:color w:val="auto"/>
                <w:w w:val="91"/>
              </w:rPr>
              <w:t>Acquisition</w:t>
            </w:r>
          </w:p>
        </w:tc>
        <w:tc>
          <w:tcPr>
            <w:tcW w:w="420" w:type="dxa"/>
            <w:vAlign w:val="bottom"/>
          </w:tcPr>
          <w:p>
            <w:pPr>
              <w:spacing w:after="0"/>
              <w:rPr>
                <w:sz w:val="13"/>
                <w:szCs w:val="13"/>
                <w:color w:val="auto"/>
              </w:rPr>
            </w:pPr>
          </w:p>
        </w:tc>
        <w:tc>
          <w:tcPr>
            <w:tcW w:w="1560" w:type="dxa"/>
            <w:vAlign w:val="bottom"/>
            <w:gridSpan w:val="2"/>
          </w:tcPr>
          <w:p>
            <w:pPr>
              <w:jc w:val="center"/>
              <w:ind w:right="420"/>
              <w:spacing w:after="0" w:line="158" w:lineRule="exact"/>
              <w:rPr>
                <w:sz w:val="20"/>
                <w:szCs w:val="20"/>
                <w:color w:val="auto"/>
              </w:rPr>
            </w:pPr>
            <w:r>
              <w:rPr>
                <w:rFonts w:ascii="Arial" w:cs="Arial" w:eastAsia="Arial" w:hAnsi="Arial"/>
                <w:sz w:val="14"/>
                <w:szCs w:val="14"/>
                <w:b w:val="1"/>
                <w:bCs w:val="1"/>
                <w:color w:val="auto"/>
                <w:w w:val="94"/>
              </w:rPr>
              <w:t>Pro Forma</w:t>
            </w:r>
          </w:p>
        </w:tc>
      </w:tr>
      <w:tr>
        <w:trPr>
          <w:trHeight w:val="158"/>
        </w:trPr>
        <w:tc>
          <w:tcPr>
            <w:tcW w:w="7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20" w:type="dxa"/>
            <w:vAlign w:val="bottom"/>
          </w:tcPr>
          <w:p>
            <w:pPr>
              <w:jc w:val="center"/>
              <w:ind w:right="301"/>
              <w:spacing w:after="0" w:line="158" w:lineRule="exact"/>
              <w:rPr>
                <w:sz w:val="20"/>
                <w:szCs w:val="20"/>
                <w:color w:val="auto"/>
              </w:rPr>
            </w:pPr>
            <w:r>
              <w:rPr>
                <w:rFonts w:ascii="Arial" w:cs="Arial" w:eastAsia="Arial" w:hAnsi="Arial"/>
                <w:sz w:val="14"/>
                <w:szCs w:val="14"/>
                <w:b w:val="1"/>
                <w:bCs w:val="1"/>
                <w:color w:val="auto"/>
                <w:w w:val="95"/>
              </w:rPr>
              <w:t>Through</w:t>
            </w:r>
          </w:p>
        </w:tc>
        <w:tc>
          <w:tcPr>
            <w:tcW w:w="420" w:type="dxa"/>
            <w:vAlign w:val="bottom"/>
          </w:tcPr>
          <w:p>
            <w:pPr>
              <w:spacing w:after="0"/>
              <w:rPr>
                <w:sz w:val="13"/>
                <w:szCs w:val="13"/>
                <w:color w:val="auto"/>
              </w:rPr>
            </w:pPr>
          </w:p>
        </w:tc>
        <w:tc>
          <w:tcPr>
            <w:tcW w:w="1560" w:type="dxa"/>
            <w:vAlign w:val="bottom"/>
            <w:gridSpan w:val="2"/>
          </w:tcPr>
          <w:p>
            <w:pPr>
              <w:jc w:val="center"/>
              <w:ind w:right="420"/>
              <w:spacing w:after="0" w:line="158" w:lineRule="exact"/>
              <w:rPr>
                <w:sz w:val="20"/>
                <w:szCs w:val="20"/>
                <w:color w:val="auto"/>
              </w:rPr>
            </w:pPr>
            <w:r>
              <w:rPr>
                <w:rFonts w:ascii="Arial" w:cs="Arial" w:eastAsia="Arial" w:hAnsi="Arial"/>
                <w:sz w:val="14"/>
                <w:szCs w:val="14"/>
                <w:b w:val="1"/>
                <w:bCs w:val="1"/>
                <w:color w:val="auto"/>
                <w:w w:val="90"/>
              </w:rPr>
              <w:t>Year Ended</w:t>
            </w:r>
          </w:p>
        </w:tc>
      </w:tr>
      <w:tr>
        <w:trPr>
          <w:trHeight w:val="167"/>
        </w:trPr>
        <w:tc>
          <w:tcPr>
            <w:tcW w:w="7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tcPr>
          <w:p>
            <w:pPr>
              <w:jc w:val="center"/>
              <w:ind w:right="301"/>
              <w:spacing w:after="0"/>
              <w:rPr>
                <w:sz w:val="20"/>
                <w:szCs w:val="20"/>
                <w:color w:val="auto"/>
              </w:rPr>
            </w:pPr>
            <w:r>
              <w:rPr>
                <w:rFonts w:ascii="Arial" w:cs="Arial" w:eastAsia="Arial" w:hAnsi="Arial"/>
                <w:sz w:val="14"/>
                <w:szCs w:val="14"/>
                <w:b w:val="1"/>
                <w:bCs w:val="1"/>
                <w:color w:val="auto"/>
                <w:w w:val="90"/>
              </w:rPr>
              <w:t>December 31, 2015</w:t>
            </w:r>
          </w:p>
        </w:tc>
        <w:tc>
          <w:tcPr>
            <w:tcW w:w="420" w:type="dxa"/>
            <w:vAlign w:val="bottom"/>
          </w:tcPr>
          <w:p>
            <w:pPr>
              <w:spacing w:after="0"/>
              <w:rPr>
                <w:sz w:val="14"/>
                <w:szCs w:val="14"/>
                <w:color w:val="auto"/>
              </w:rPr>
            </w:pPr>
          </w:p>
        </w:tc>
        <w:tc>
          <w:tcPr>
            <w:tcW w:w="15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December 31, 2015</w:t>
            </w:r>
          </w:p>
        </w:tc>
      </w:tr>
      <w:tr>
        <w:trPr>
          <w:trHeight w:val="176"/>
        </w:trPr>
        <w:tc>
          <w:tcPr>
            <w:tcW w:w="75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214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(In thousands)</w:t>
            </w:r>
          </w:p>
        </w:tc>
        <w:tc>
          <w:tcPr>
            <w:tcW w:w="14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33"/>
        </w:trPr>
        <w:tc>
          <w:tcPr>
            <w:tcW w:w="7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250"/>
        </w:trPr>
        <w:tc>
          <w:tcPr>
            <w:tcW w:w="7540" w:type="dxa"/>
            <w:vAlign w:val="bottom"/>
            <w:shd w:val="clear" w:color="auto" w:fill="CFF0FC"/>
          </w:tcPr>
          <w:p>
            <w:pPr>
              <w:spacing w:after="0"/>
              <w:rPr>
                <w:sz w:val="20"/>
                <w:szCs w:val="20"/>
                <w:color w:val="auto"/>
              </w:rPr>
            </w:pPr>
            <w:r>
              <w:rPr>
                <w:rFonts w:ascii="Arial" w:cs="Arial" w:eastAsia="Arial" w:hAnsi="Arial"/>
                <w:sz w:val="20"/>
                <w:szCs w:val="20"/>
                <w:color w:val="auto"/>
              </w:rPr>
              <w:t>Total revenues(a)</w:t>
            </w:r>
          </w:p>
        </w:tc>
        <w:tc>
          <w:tcPr>
            <w:tcW w:w="18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72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111,168</w:t>
            </w:r>
          </w:p>
        </w:tc>
        <w:tc>
          <w:tcPr>
            <w:tcW w:w="420" w:type="dxa"/>
            <w:vAlign w:val="bottom"/>
            <w:shd w:val="clear" w:color="auto" w:fill="CFF0FC"/>
          </w:tcPr>
          <w:p>
            <w:pPr>
              <w:jc w:val="right"/>
              <w:ind w:right="79"/>
              <w:spacing w:after="0"/>
              <w:rPr>
                <w:sz w:val="20"/>
                <w:szCs w:val="20"/>
                <w:color w:val="auto"/>
              </w:rPr>
            </w:pPr>
            <w:r>
              <w:rPr>
                <w:rFonts w:ascii="Arial" w:cs="Arial" w:eastAsia="Arial" w:hAnsi="Arial"/>
                <w:sz w:val="20"/>
                <w:szCs w:val="20"/>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5,132,662</w:t>
            </w:r>
          </w:p>
        </w:tc>
        <w:tc>
          <w:tcPr>
            <w:tcW w:w="120" w:type="dxa"/>
            <w:vAlign w:val="bottom"/>
            <w:shd w:val="clear" w:color="auto" w:fill="CFF0FC"/>
          </w:tcPr>
          <w:p>
            <w:pPr>
              <w:spacing w:after="0"/>
              <w:rPr>
                <w:sz w:val="21"/>
                <w:szCs w:val="21"/>
                <w:color w:val="auto"/>
              </w:rPr>
            </w:pPr>
          </w:p>
        </w:tc>
      </w:tr>
      <w:tr>
        <w:trPr>
          <w:trHeight w:val="257"/>
        </w:trPr>
        <w:tc>
          <w:tcPr>
            <w:tcW w:w="7540" w:type="dxa"/>
            <w:vAlign w:val="bottom"/>
          </w:tcPr>
          <w:p>
            <w:pPr>
              <w:spacing w:after="0"/>
              <w:rPr>
                <w:sz w:val="20"/>
                <w:szCs w:val="20"/>
                <w:color w:val="auto"/>
              </w:rPr>
            </w:pPr>
            <w:r>
              <w:rPr>
                <w:rFonts w:ascii="Arial" w:cs="Arial" w:eastAsia="Arial" w:hAnsi="Arial"/>
                <w:sz w:val="20"/>
                <w:szCs w:val="20"/>
                <w:color w:val="auto"/>
              </w:rPr>
              <w:t>Net income (loss)</w:t>
            </w:r>
          </w:p>
        </w:tc>
        <w:tc>
          <w:tcPr>
            <w:tcW w:w="180" w:type="dxa"/>
            <w:vAlign w:val="bottom"/>
          </w:tcPr>
          <w:p>
            <w:pPr>
              <w:spacing w:after="0"/>
              <w:rPr>
                <w:sz w:val="22"/>
                <w:szCs w:val="22"/>
                <w:color w:val="auto"/>
              </w:rPr>
            </w:pPr>
          </w:p>
        </w:tc>
        <w:tc>
          <w:tcPr>
            <w:tcW w:w="1720" w:type="dxa"/>
            <w:vAlign w:val="bottom"/>
          </w:tcPr>
          <w:p>
            <w:pPr>
              <w:jc w:val="right"/>
              <w:ind w:right="41"/>
              <w:spacing w:after="0"/>
              <w:rPr>
                <w:sz w:val="20"/>
                <w:szCs w:val="20"/>
                <w:color w:val="auto"/>
              </w:rPr>
            </w:pPr>
            <w:r>
              <w:rPr>
                <w:rFonts w:ascii="Arial" w:cs="Arial" w:eastAsia="Arial" w:hAnsi="Arial"/>
                <w:sz w:val="20"/>
                <w:szCs w:val="20"/>
                <w:color w:val="auto"/>
              </w:rPr>
              <w:t>(21,175)</w:t>
            </w:r>
          </w:p>
        </w:tc>
        <w:tc>
          <w:tcPr>
            <w:tcW w:w="4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auto"/>
              </w:rPr>
              <w:t>1,011,463</w:t>
            </w:r>
          </w:p>
        </w:tc>
        <w:tc>
          <w:tcPr>
            <w:tcW w:w="12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136017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143" w:lineRule="exact"/>
        <w:rPr>
          <w:sz w:val="20"/>
          <w:szCs w:val="20"/>
          <w:color w:val="auto"/>
        </w:rPr>
      </w:pPr>
    </w:p>
    <w:p>
      <w:pPr>
        <w:ind w:left="600" w:hanging="595"/>
        <w:spacing w:after="0"/>
        <w:tabs>
          <w:tab w:leader="none" w:pos="600" w:val="left"/>
        </w:tabs>
        <w:numPr>
          <w:ilvl w:val="0"/>
          <w:numId w:val="43"/>
        </w:numPr>
        <w:rPr>
          <w:rFonts w:ascii="Arial" w:cs="Arial" w:eastAsia="Arial" w:hAnsi="Arial"/>
          <w:sz w:val="20"/>
          <w:szCs w:val="20"/>
          <w:i w:val="1"/>
          <w:iCs w:val="1"/>
          <w:color w:val="auto"/>
        </w:rPr>
      </w:pPr>
      <w:r>
        <w:rPr>
          <w:rFonts w:ascii="Arial" w:cs="Arial" w:eastAsia="Arial" w:hAnsi="Arial"/>
          <w:sz w:val="20"/>
          <w:szCs w:val="20"/>
          <w:i w:val="1"/>
          <w:iCs w:val="1"/>
          <w:color w:val="auto"/>
        </w:rPr>
        <w:t>Represents net interest income plus other income.</w:t>
      </w:r>
    </w:p>
    <w:p>
      <w:pPr>
        <w:spacing w:after="0" w:line="230" w:lineRule="exact"/>
        <w:rPr>
          <w:sz w:val="20"/>
          <w:szCs w:val="20"/>
          <w:color w:val="auto"/>
        </w:rPr>
      </w:pPr>
    </w:p>
    <w:p>
      <w:pPr>
        <w:ind w:firstLine="598"/>
        <w:spacing w:after="0" w:line="279" w:lineRule="auto"/>
        <w:rPr>
          <w:sz w:val="20"/>
          <w:szCs w:val="20"/>
          <w:color w:val="auto"/>
        </w:rPr>
      </w:pPr>
      <w:r>
        <w:rPr>
          <w:rFonts w:ascii="Arial" w:cs="Arial" w:eastAsia="Arial" w:hAnsi="Arial"/>
          <w:sz w:val="18"/>
          <w:szCs w:val="18"/>
          <w:color w:val="auto"/>
        </w:rPr>
        <w:t>In connection with the Hudson City acquisition, the Company incurred merger-related expenses of $36 million in 2016 and $97 million in 2015 related to systems conversions and other costs of integrating and conforming acquired operations with and into the Company. Those expenses consisted largely of professional services and other temporary help fees associated with preparing for systems conversions and/or integration of operations; costs related to termination of existing contractual arrangements for various services; initial marketing and promotion expenses designed to introduce M&amp;T Bank to its new customers; severance (for former Hudson City employees); travel costs; and other costs of completing the transaction and commencing operations in new markets and offices. In 2015, the Company also recognized a $21 million provision for credit losses related to the $18.3 billion of Hudson City loans acquired at a premium. GAAP does not allow the credit loss component of the net premium associated with those loans to be bifurcated and accounted for as a nonaccreting difference as is the case with purchased impaired loans and other loans acquired at a discount. Nevertheless, GAAP requires that an allowance for credit losses be recognized for incurred losses in loans acquired at a premium even though in a relatively homogenous portfolio of residential mortgage loans the specific loans to which the losses relate cannot be individually identified at the acquisition date. Given the recognition of such losses above and beyond the impact of forecasted losses used in determining the fair value of the loans acquired at a premium, the initial $21 million provision for credit losses has been noted as a merger-related expense. There were no merger related expenses in 2017.</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21" w:name="page122"/>
    <w:bookmarkEnd w:id="121"/>
    <w:p>
      <w:pPr>
        <w:ind w:right="100" w:firstLine="598"/>
        <w:spacing w:after="0" w:line="275" w:lineRule="auto"/>
        <w:rPr>
          <w:sz w:val="20"/>
          <w:szCs w:val="20"/>
          <w:color w:val="auto"/>
        </w:rPr>
      </w:pPr>
      <w:r>
        <w:rPr>
          <w:rFonts w:ascii="Arial" w:cs="Arial" w:eastAsia="Arial" w:hAnsi="Arial"/>
          <w:sz w:val="20"/>
          <w:szCs w:val="20"/>
          <w:color w:val="auto"/>
        </w:rPr>
        <w:t>A summary of merger-related expenses included in the consolidated statement of income for the years ended December 31, 2016 and 2015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76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4"/>
                <w:szCs w:val="14"/>
                <w:color w:val="auto"/>
              </w:rPr>
            </w:pPr>
          </w:p>
        </w:tc>
      </w:tr>
      <w:tr>
        <w:trPr>
          <w:trHeight w:val="217"/>
        </w:trPr>
        <w:tc>
          <w:tcPr>
            <w:tcW w:w="57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2"/>
        </w:trPr>
        <w:tc>
          <w:tcPr>
            <w:tcW w:w="5760" w:type="dxa"/>
            <w:vAlign w:val="bottom"/>
          </w:tcPr>
          <w:p>
            <w:pPr>
              <w:spacing w:after="0"/>
              <w:rPr>
                <w:sz w:val="20"/>
                <w:szCs w:val="20"/>
                <w:color w:val="auto"/>
              </w:rPr>
            </w:pPr>
            <w:r>
              <w:rPr>
                <w:rFonts w:ascii="Arial" w:cs="Arial" w:eastAsia="Arial" w:hAnsi="Arial"/>
                <w:sz w:val="18"/>
                <w:szCs w:val="18"/>
                <w:color w:val="auto"/>
              </w:rPr>
              <w:t>Salaries and employee benefits</w:t>
            </w:r>
          </w:p>
        </w:tc>
        <w:tc>
          <w:tcPr>
            <w:tcW w:w="3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5,334</w:t>
            </w:r>
          </w:p>
        </w:tc>
        <w:tc>
          <w:tcPr>
            <w:tcW w:w="380" w:type="dxa"/>
            <w:vAlign w:val="bottom"/>
          </w:tcPr>
          <w:p>
            <w:pPr>
              <w:spacing w:after="0"/>
              <w:rPr>
                <w:sz w:val="19"/>
                <w:szCs w:val="19"/>
                <w:color w:val="auto"/>
              </w:rPr>
            </w:pP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51,287</w:t>
            </w:r>
          </w:p>
        </w:tc>
        <w:tc>
          <w:tcPr>
            <w:tcW w:w="120" w:type="dxa"/>
            <w:vAlign w:val="bottom"/>
          </w:tcPr>
          <w:p>
            <w:pPr>
              <w:spacing w:after="0"/>
              <w:rPr>
                <w:sz w:val="19"/>
                <w:szCs w:val="19"/>
                <w:color w:val="auto"/>
              </w:rPr>
            </w:pPr>
          </w:p>
        </w:tc>
      </w:tr>
      <w:tr>
        <w:trPr>
          <w:trHeight w:val="224"/>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Equipment and net occupancy</w:t>
            </w:r>
          </w:p>
        </w:tc>
        <w:tc>
          <w:tcPr>
            <w:tcW w:w="3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1,278</w:t>
            </w:r>
          </w:p>
        </w:tc>
        <w:tc>
          <w:tcPr>
            <w:tcW w:w="3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9"/>
                <w:szCs w:val="19"/>
                <w:color w:val="auto"/>
              </w:rPr>
            </w:pPr>
          </w:p>
        </w:tc>
      </w:tr>
      <w:tr>
        <w:trPr>
          <w:trHeight w:val="223"/>
        </w:trPr>
        <w:tc>
          <w:tcPr>
            <w:tcW w:w="5760" w:type="dxa"/>
            <w:vAlign w:val="bottom"/>
          </w:tcPr>
          <w:p>
            <w:pPr>
              <w:spacing w:after="0"/>
              <w:rPr>
                <w:sz w:val="20"/>
                <w:szCs w:val="20"/>
                <w:color w:val="auto"/>
              </w:rPr>
            </w:pPr>
            <w:r>
              <w:rPr>
                <w:rFonts w:ascii="Arial" w:cs="Arial" w:eastAsia="Arial" w:hAnsi="Arial"/>
                <w:sz w:val="18"/>
                <w:szCs w:val="18"/>
                <w:color w:val="auto"/>
              </w:rPr>
              <w:t>Outside data processing and software</w:t>
            </w:r>
          </w:p>
        </w:tc>
        <w:tc>
          <w:tcPr>
            <w:tcW w:w="3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1,067</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785</w:t>
            </w:r>
          </w:p>
        </w:tc>
        <w:tc>
          <w:tcPr>
            <w:tcW w:w="120" w:type="dxa"/>
            <w:vAlign w:val="bottom"/>
          </w:tcPr>
          <w:p>
            <w:pPr>
              <w:spacing w:after="0"/>
              <w:rPr>
                <w:sz w:val="19"/>
                <w:szCs w:val="19"/>
                <w:color w:val="auto"/>
              </w:rPr>
            </w:pPr>
          </w:p>
        </w:tc>
      </w:tr>
      <w:tr>
        <w:trPr>
          <w:trHeight w:val="224"/>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Advertising and marketing</w:t>
            </w:r>
          </w:p>
        </w:tc>
        <w:tc>
          <w:tcPr>
            <w:tcW w:w="3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10,522</w:t>
            </w:r>
          </w:p>
        </w:tc>
        <w:tc>
          <w:tcPr>
            <w:tcW w:w="3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FF0FC"/>
          </w:tcPr>
          <w:p>
            <w:pPr>
              <w:spacing w:after="0"/>
              <w:rPr>
                <w:sz w:val="19"/>
                <w:szCs w:val="19"/>
                <w:color w:val="auto"/>
              </w:rPr>
            </w:pPr>
          </w:p>
        </w:tc>
      </w:tr>
      <w:tr>
        <w:trPr>
          <w:trHeight w:val="223"/>
        </w:trPr>
        <w:tc>
          <w:tcPr>
            <w:tcW w:w="5760" w:type="dxa"/>
            <w:vAlign w:val="bottom"/>
          </w:tcPr>
          <w:p>
            <w:pPr>
              <w:spacing w:after="0"/>
              <w:rPr>
                <w:sz w:val="20"/>
                <w:szCs w:val="20"/>
                <w:color w:val="auto"/>
              </w:rPr>
            </w:pPr>
            <w:r>
              <w:rPr>
                <w:rFonts w:ascii="Arial" w:cs="Arial" w:eastAsia="Arial" w:hAnsi="Arial"/>
                <w:sz w:val="18"/>
                <w:szCs w:val="18"/>
                <w:color w:val="auto"/>
              </w:rPr>
              <w:t>Printing, postage and supplies</w:t>
            </w:r>
          </w:p>
        </w:tc>
        <w:tc>
          <w:tcPr>
            <w:tcW w:w="3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1,482</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504</w:t>
            </w:r>
          </w:p>
        </w:tc>
        <w:tc>
          <w:tcPr>
            <w:tcW w:w="120" w:type="dxa"/>
            <w:vAlign w:val="bottom"/>
          </w:tcPr>
          <w:p>
            <w:pPr>
              <w:spacing w:after="0"/>
              <w:rPr>
                <w:sz w:val="19"/>
                <w:szCs w:val="19"/>
                <w:color w:val="auto"/>
              </w:rPr>
            </w:pPr>
          </w:p>
        </w:tc>
      </w:tr>
      <w:tr>
        <w:trPr>
          <w:trHeight w:val="224"/>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Other costs of operations</w:t>
            </w:r>
          </w:p>
        </w:tc>
        <w:tc>
          <w:tcPr>
            <w:tcW w:w="31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16,072</w:t>
            </w:r>
          </w:p>
        </w:tc>
        <w:tc>
          <w:tcPr>
            <w:tcW w:w="3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23,318</w:t>
            </w:r>
          </w:p>
        </w:tc>
        <w:tc>
          <w:tcPr>
            <w:tcW w:w="120" w:type="dxa"/>
            <w:vAlign w:val="bottom"/>
            <w:shd w:val="clear" w:color="auto" w:fill="CFF0FC"/>
          </w:tcPr>
          <w:p>
            <w:pPr>
              <w:spacing w:after="0"/>
              <w:rPr>
                <w:sz w:val="19"/>
                <w:szCs w:val="19"/>
                <w:color w:val="auto"/>
              </w:rPr>
            </w:pPr>
          </w:p>
        </w:tc>
      </w:tr>
      <w:tr>
        <w:trPr>
          <w:trHeight w:val="216"/>
        </w:trPr>
        <w:tc>
          <w:tcPr>
            <w:tcW w:w="5760" w:type="dxa"/>
            <w:vAlign w:val="bottom"/>
          </w:tcPr>
          <w:p>
            <w:pPr>
              <w:ind w:left="220"/>
              <w:spacing w:after="0"/>
              <w:rPr>
                <w:sz w:val="20"/>
                <w:szCs w:val="20"/>
                <w:color w:val="auto"/>
              </w:rPr>
            </w:pPr>
            <w:r>
              <w:rPr>
                <w:rFonts w:ascii="Arial" w:cs="Arial" w:eastAsia="Arial" w:hAnsi="Arial"/>
                <w:sz w:val="18"/>
                <w:szCs w:val="18"/>
                <w:color w:val="auto"/>
              </w:rPr>
              <w:t>Other expense</w:t>
            </w:r>
          </w:p>
        </w:tc>
        <w:tc>
          <w:tcPr>
            <w:tcW w:w="3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35,755</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75,976</w:t>
            </w:r>
          </w:p>
        </w:tc>
        <w:tc>
          <w:tcPr>
            <w:tcW w:w="120" w:type="dxa"/>
            <w:vAlign w:val="bottom"/>
          </w:tcPr>
          <w:p>
            <w:pPr>
              <w:spacing w:after="0"/>
              <w:rPr>
                <w:sz w:val="18"/>
                <w:szCs w:val="18"/>
                <w:color w:val="auto"/>
              </w:rPr>
            </w:pPr>
          </w:p>
        </w:tc>
      </w:tr>
      <w:tr>
        <w:trPr>
          <w:trHeight w:val="224"/>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Provision for credit losses</w:t>
            </w:r>
          </w:p>
        </w:tc>
        <w:tc>
          <w:tcPr>
            <w:tcW w:w="31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21,000</w:t>
            </w:r>
          </w:p>
        </w:tc>
        <w:tc>
          <w:tcPr>
            <w:tcW w:w="120" w:type="dxa"/>
            <w:vAlign w:val="bottom"/>
            <w:shd w:val="clear" w:color="auto" w:fill="CFF0FC"/>
          </w:tcPr>
          <w:p>
            <w:pPr>
              <w:spacing w:after="0"/>
              <w:rPr>
                <w:sz w:val="19"/>
                <w:szCs w:val="19"/>
                <w:color w:val="auto"/>
              </w:rPr>
            </w:pPr>
          </w:p>
        </w:tc>
      </w:tr>
      <w:tr>
        <w:trPr>
          <w:trHeight w:val="216"/>
        </w:trPr>
        <w:tc>
          <w:tcPr>
            <w:tcW w:w="5760" w:type="dxa"/>
            <w:vAlign w:val="bottom"/>
          </w:tcPr>
          <w:p>
            <w:pPr>
              <w:ind w:left="220"/>
              <w:spacing w:after="0"/>
              <w:rPr>
                <w:sz w:val="20"/>
                <w:szCs w:val="20"/>
                <w:color w:val="auto"/>
              </w:rPr>
            </w:pPr>
            <w:r>
              <w:rPr>
                <w:rFonts w:ascii="Arial" w:cs="Arial" w:eastAsia="Arial" w:hAnsi="Arial"/>
                <w:sz w:val="18"/>
                <w:szCs w:val="18"/>
                <w:color w:val="auto"/>
              </w:rPr>
              <w:t>Total</w:t>
            </w:r>
          </w:p>
        </w:tc>
        <w:tc>
          <w:tcPr>
            <w:tcW w:w="3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35,755</w:t>
            </w:r>
          </w:p>
        </w:tc>
        <w:tc>
          <w:tcPr>
            <w:tcW w:w="380" w:type="dxa"/>
            <w:vAlign w:val="bottom"/>
          </w:tcPr>
          <w:p>
            <w:pPr>
              <w:spacing w:after="0"/>
              <w:rPr>
                <w:sz w:val="18"/>
                <w:szCs w:val="18"/>
                <w:color w:val="auto"/>
              </w:rPr>
            </w:pP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96,976</w:t>
            </w:r>
          </w:p>
        </w:tc>
        <w:tc>
          <w:tcPr>
            <w:tcW w:w="120" w:type="dxa"/>
            <w:vAlign w:val="bottom"/>
          </w:tcPr>
          <w:p>
            <w:pPr>
              <w:spacing w:after="0"/>
              <w:rPr>
                <w:sz w:val="18"/>
                <w:szCs w:val="18"/>
                <w:color w:val="auto"/>
              </w:rPr>
            </w:pPr>
          </w:p>
        </w:tc>
      </w:tr>
      <w:tr>
        <w:trPr>
          <w:trHeight w:val="20"/>
        </w:trPr>
        <w:tc>
          <w:tcPr>
            <w:tcW w:w="57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4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Sale of trust accounts</w:t>
      </w:r>
    </w:p>
    <w:p>
      <w:pPr>
        <w:spacing w:after="0" w:line="25" w:lineRule="exact"/>
        <w:rPr>
          <w:sz w:val="20"/>
          <w:szCs w:val="20"/>
          <w:color w:val="auto"/>
        </w:rPr>
      </w:pPr>
    </w:p>
    <w:p>
      <w:pPr>
        <w:ind w:right="60"/>
        <w:spacing w:after="0" w:line="249" w:lineRule="auto"/>
        <w:rPr>
          <w:sz w:val="20"/>
          <w:szCs w:val="20"/>
          <w:color w:val="auto"/>
        </w:rPr>
      </w:pPr>
      <w:r>
        <w:rPr>
          <w:rFonts w:ascii="Arial" w:cs="Arial" w:eastAsia="Arial" w:hAnsi="Arial"/>
          <w:sz w:val="20"/>
          <w:szCs w:val="20"/>
          <w:color w:val="auto"/>
        </w:rPr>
        <w:t>In April 2015, the Company sold the trade processing business within the retirement services division of its Institutional Client Services business. That sale resulted in an after-tax gain of $23 million ($45 million pre-tax) that reflected the allocation of approximately $11 million of previously recorded goodwill to the divested business. Revenues of the sold business had been included in “trust income” and were $9 million during 2015. After considering related expenses, net income attributable to the business that was sold was not material to the consolidated results of operations of the Company in 2015.</w:t>
      </w:r>
    </w:p>
    <w:p>
      <w:pPr>
        <w:spacing w:after="0" w:line="362"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3.</w:t>
      </w:r>
      <w:r>
        <w:rPr>
          <w:sz w:val="20"/>
          <w:szCs w:val="20"/>
          <w:color w:val="auto"/>
        </w:rPr>
        <w:tab/>
      </w:r>
      <w:r>
        <w:rPr>
          <w:rFonts w:ascii="Arial" w:cs="Arial" w:eastAsia="Arial" w:hAnsi="Arial"/>
          <w:sz w:val="17"/>
          <w:szCs w:val="17"/>
          <w:b w:val="1"/>
          <w:bCs w:val="1"/>
          <w:color w:val="auto"/>
        </w:rPr>
        <w:t>Investment securities</w:t>
      </w:r>
    </w:p>
    <w:p>
      <w:pPr>
        <w:spacing w:after="0" w:line="29" w:lineRule="exact"/>
        <w:rPr>
          <w:sz w:val="20"/>
          <w:szCs w:val="20"/>
          <w:color w:val="auto"/>
        </w:rPr>
      </w:pPr>
    </w:p>
    <w:p>
      <w:pPr>
        <w:spacing w:after="0"/>
        <w:rPr>
          <w:sz w:val="20"/>
          <w:szCs w:val="20"/>
          <w:color w:val="auto"/>
        </w:rPr>
      </w:pPr>
      <w:r>
        <w:rPr>
          <w:rFonts w:ascii="Arial" w:cs="Arial" w:eastAsia="Arial" w:hAnsi="Arial"/>
          <w:sz w:val="20"/>
          <w:szCs w:val="20"/>
          <w:color w:val="auto"/>
        </w:rPr>
        <w:t>The amortized cost and estimated fair value of investment securities were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Amortized</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4"/>
                <w:szCs w:val="14"/>
                <w:color w:val="auto"/>
              </w:rPr>
            </w:pPr>
          </w:p>
        </w:tc>
        <w:tc>
          <w:tcPr>
            <w:tcW w:w="13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4"/>
                <w:szCs w:val="14"/>
                <w:color w:val="auto"/>
              </w:rPr>
            </w:pPr>
          </w:p>
        </w:tc>
        <w:tc>
          <w:tcPr>
            <w:tcW w:w="10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Estimated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44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500"/>
              <w:spacing w:after="0" w:line="145" w:lineRule="exact"/>
              <w:rPr>
                <w:sz w:val="20"/>
                <w:szCs w:val="20"/>
                <w:color w:val="auto"/>
              </w:rPr>
            </w:pPr>
            <w:r>
              <w:rPr>
                <w:rFonts w:ascii="Arial" w:cs="Arial" w:eastAsia="Arial" w:hAnsi="Arial"/>
                <w:sz w:val="14"/>
                <w:szCs w:val="14"/>
                <w:b w:val="1"/>
                <w:bCs w:val="1"/>
                <w:color w:val="auto"/>
                <w:w w:val="90"/>
              </w:rPr>
              <w:t>Unrealized</w:t>
            </w:r>
          </w:p>
        </w:tc>
        <w:tc>
          <w:tcPr>
            <w:tcW w:w="160" w:type="dxa"/>
            <w:vAlign w:val="bottom"/>
          </w:tcPr>
          <w:p>
            <w:pPr>
              <w:spacing w:after="0"/>
              <w:rPr>
                <w:sz w:val="12"/>
                <w:szCs w:val="12"/>
                <w:color w:val="auto"/>
              </w:rPr>
            </w:pPr>
          </w:p>
        </w:tc>
        <w:tc>
          <w:tcPr>
            <w:tcW w:w="1300" w:type="dxa"/>
            <w:vAlign w:val="bottom"/>
            <w:gridSpan w:val="2"/>
          </w:tcPr>
          <w:p>
            <w:pPr>
              <w:jc w:val="center"/>
              <w:ind w:right="500"/>
              <w:spacing w:after="0" w:line="145" w:lineRule="exact"/>
              <w:rPr>
                <w:sz w:val="20"/>
                <w:szCs w:val="20"/>
                <w:color w:val="auto"/>
              </w:rPr>
            </w:pPr>
            <w:r>
              <w:rPr>
                <w:rFonts w:ascii="Arial" w:cs="Arial" w:eastAsia="Arial" w:hAnsi="Arial"/>
                <w:sz w:val="14"/>
                <w:szCs w:val="14"/>
                <w:b w:val="1"/>
                <w:bCs w:val="1"/>
                <w:color w:val="auto"/>
                <w:w w:val="90"/>
              </w:rPr>
              <w:t>Unrealized</w:t>
            </w:r>
          </w:p>
        </w:tc>
        <w:tc>
          <w:tcPr>
            <w:tcW w:w="1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4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ind w:right="355"/>
              <w:spacing w:after="0"/>
              <w:rPr>
                <w:sz w:val="20"/>
                <w:szCs w:val="20"/>
                <w:color w:val="auto"/>
              </w:rPr>
            </w:pPr>
            <w:r>
              <w:rPr>
                <w:rFonts w:ascii="Arial" w:cs="Arial" w:eastAsia="Arial" w:hAnsi="Arial"/>
                <w:sz w:val="14"/>
                <w:szCs w:val="14"/>
                <w:b w:val="1"/>
                <w:bCs w:val="1"/>
                <w:color w:val="auto"/>
              </w:rPr>
              <w:t>Cost</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Gains</w:t>
            </w:r>
          </w:p>
        </w:tc>
        <w:tc>
          <w:tcPr>
            <w:tcW w:w="160" w:type="dxa"/>
            <w:vAlign w:val="bottom"/>
          </w:tcPr>
          <w:p>
            <w:pPr>
              <w:spacing w:after="0"/>
              <w:rPr>
                <w:sz w:val="14"/>
                <w:szCs w:val="14"/>
                <w:color w:val="auto"/>
              </w:rPr>
            </w:pPr>
          </w:p>
        </w:tc>
        <w:tc>
          <w:tcPr>
            <w:tcW w:w="13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2"/>
              </w:rPr>
              <w:t>Losses</w:t>
            </w:r>
          </w:p>
        </w:tc>
        <w:tc>
          <w:tcPr>
            <w:tcW w:w="18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44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760" w:type="dxa"/>
            <w:vAlign w:val="bottom"/>
            <w:tcBorders>
              <w:top w:val="single" w:sz="8" w:color="auto"/>
            </w:tcBorders>
            <w:gridSpan w:val="5"/>
          </w:tcPr>
          <w:p>
            <w:pPr>
              <w:ind w:left="700"/>
              <w:spacing w:after="0" w:line="151" w:lineRule="exact"/>
              <w:rPr>
                <w:sz w:val="20"/>
                <w:szCs w:val="20"/>
                <w:color w:val="auto"/>
              </w:rPr>
            </w:pPr>
            <w:r>
              <w:rPr>
                <w:rFonts w:ascii="Arial" w:cs="Arial" w:eastAsia="Arial" w:hAnsi="Arial"/>
                <w:sz w:val="14"/>
                <w:szCs w:val="14"/>
                <w:b w:val="1"/>
                <w:bCs w:val="1"/>
                <w:color w:val="auto"/>
              </w:rPr>
              <w:t>(In thousands)</w:t>
            </w:r>
          </w:p>
        </w:tc>
        <w:tc>
          <w:tcPr>
            <w:tcW w:w="1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December 31, 2017</w:t>
            </w:r>
          </w:p>
        </w:tc>
        <w:tc>
          <w:tcPr>
            <w:tcW w:w="1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4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U.S. Treasury and federal agencies</w:t>
            </w: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1,965,665</w:t>
            </w:r>
          </w:p>
        </w:tc>
        <w:tc>
          <w:tcPr>
            <w:tcW w:w="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18,178</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1,947,487</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4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2,555</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2,589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w:t>
            </w:r>
          </w:p>
        </w:tc>
        <w:tc>
          <w:tcPr>
            <w:tcW w:w="1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40" w:type="dxa"/>
            <w:vAlign w:val="bottom"/>
          </w:tcPr>
          <w:p>
            <w:pPr>
              <w:ind w:left="240"/>
              <w:spacing w:after="0"/>
              <w:rPr>
                <w:sz w:val="20"/>
                <w:szCs w:val="20"/>
                <w:color w:val="auto"/>
              </w:rPr>
            </w:pPr>
            <w:r>
              <w:rPr>
                <w:rFonts w:ascii="Arial" w:cs="Arial" w:eastAsia="Arial" w:hAnsi="Arial"/>
                <w:sz w:val="18"/>
                <w:szCs w:val="18"/>
                <w:color w:val="auto"/>
              </w:rPr>
              <w:t>Government issued or guaranteed</w:t>
            </w: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8,755,482</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59,497</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98,587</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8,716,392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Privately issued</w:t>
            </w:r>
          </w:p>
        </w:tc>
        <w:tc>
          <w:tcPr>
            <w:tcW w:w="1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40" w:type="dxa"/>
            <w:vAlign w:val="bottom"/>
          </w:tcPr>
          <w:p>
            <w:pPr>
              <w:spacing w:after="0"/>
              <w:rPr>
                <w:sz w:val="20"/>
                <w:szCs w:val="20"/>
                <w:color w:val="auto"/>
              </w:rPr>
            </w:pPr>
            <w:r>
              <w:rPr>
                <w:rFonts w:ascii="Arial" w:cs="Arial" w:eastAsia="Arial" w:hAnsi="Arial"/>
                <w:sz w:val="18"/>
                <w:szCs w:val="18"/>
                <w:color w:val="auto"/>
              </w:rPr>
              <w:t>Other debt securities</w:t>
            </w: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136,905</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2,402</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10,475</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128,832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Equity securities</w:t>
            </w:r>
          </w:p>
        </w:tc>
        <w:tc>
          <w:tcPr>
            <w:tcW w:w="13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78,161</w:t>
            </w:r>
          </w:p>
        </w:tc>
        <w:tc>
          <w:tcPr>
            <w:tcW w:w="3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23,219</w:t>
            </w:r>
          </w:p>
        </w:tc>
        <w:tc>
          <w:tcPr>
            <w:tcW w:w="3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424</w:t>
            </w:r>
          </w:p>
        </w:tc>
        <w:tc>
          <w:tcPr>
            <w:tcW w:w="3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100,956</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440" w:type="dxa"/>
            <w:vAlign w:val="bottom"/>
            <w:tcBorders>
              <w:bottom w:val="single" w:sz="8" w:color="CFF0FC"/>
            </w:tcBorders>
          </w:tcPr>
          <w:p>
            <w:pPr>
              <w:spacing w:after="0"/>
              <w:rPr>
                <w:sz w:val="18"/>
                <w:szCs w:val="18"/>
                <w:color w:val="auto"/>
              </w:rPr>
            </w:pPr>
          </w:p>
        </w:tc>
        <w:tc>
          <w:tcPr>
            <w:tcW w:w="134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10,938,796</w:t>
            </w:r>
          </w:p>
        </w:tc>
        <w:tc>
          <w:tcPr>
            <w:tcW w:w="3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85,154</w:t>
            </w:r>
          </w:p>
        </w:tc>
        <w:tc>
          <w:tcPr>
            <w:tcW w:w="3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127,666</w:t>
            </w:r>
          </w:p>
        </w:tc>
        <w:tc>
          <w:tcPr>
            <w:tcW w:w="3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10,896,284</w:t>
            </w:r>
          </w:p>
        </w:tc>
        <w:tc>
          <w:tcPr>
            <w:tcW w:w="12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Investment securities held to maturity:</w:t>
            </w: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4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24,562</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109</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24,622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w:t>
            </w:r>
          </w:p>
        </w:tc>
        <w:tc>
          <w:tcPr>
            <w:tcW w:w="1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40" w:type="dxa"/>
            <w:vAlign w:val="bottom"/>
          </w:tcPr>
          <w:p>
            <w:pPr>
              <w:ind w:left="240"/>
              <w:spacing w:after="0"/>
              <w:rPr>
                <w:sz w:val="20"/>
                <w:szCs w:val="20"/>
                <w:color w:val="auto"/>
              </w:rPr>
            </w:pPr>
            <w:r>
              <w:rPr>
                <w:rFonts w:ascii="Arial" w:cs="Arial" w:eastAsia="Arial" w:hAnsi="Arial"/>
                <w:sz w:val="18"/>
                <w:szCs w:val="18"/>
                <w:color w:val="auto"/>
              </w:rPr>
              <w:t>Government issued or guaranteed</w:t>
            </w: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3,187,953</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27,236</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13,746</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3,201,443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Privately issued</w:t>
            </w:r>
          </w:p>
        </w:tc>
        <w:tc>
          <w:tcPr>
            <w:tcW w:w="1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135,688</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2,574</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27,575</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110,687</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40" w:type="dxa"/>
            <w:vAlign w:val="bottom"/>
          </w:tcPr>
          <w:p>
            <w:pPr>
              <w:spacing w:after="0"/>
              <w:rPr>
                <w:sz w:val="20"/>
                <w:szCs w:val="20"/>
                <w:color w:val="auto"/>
              </w:rPr>
            </w:pPr>
            <w:r>
              <w:rPr>
                <w:rFonts w:ascii="Arial" w:cs="Arial" w:eastAsia="Arial" w:hAnsi="Arial"/>
                <w:sz w:val="18"/>
                <w:szCs w:val="18"/>
                <w:color w:val="auto"/>
              </w:rPr>
              <w:t>Other debt securities</w:t>
            </w: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5,010</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5,010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440" w:type="dxa"/>
            <w:vAlign w:val="bottom"/>
            <w:tcBorders>
              <w:top w:val="single" w:sz="8" w:color="CFF0FC"/>
            </w:tcBorders>
            <w:shd w:val="clear" w:color="auto" w:fill="CFF0FC"/>
          </w:tcPr>
          <w:p>
            <w:pPr>
              <w:spacing w:after="0"/>
              <w:rPr>
                <w:sz w:val="18"/>
                <w:szCs w:val="18"/>
                <w:color w:val="auto"/>
              </w:rPr>
            </w:pPr>
          </w:p>
        </w:tc>
        <w:tc>
          <w:tcPr>
            <w:tcW w:w="13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3,353,213</w:t>
            </w:r>
          </w:p>
        </w:tc>
        <w:tc>
          <w:tcPr>
            <w:tcW w:w="3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29,919</w:t>
            </w:r>
          </w:p>
        </w:tc>
        <w:tc>
          <w:tcPr>
            <w:tcW w:w="3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41,370</w:t>
            </w:r>
          </w:p>
        </w:tc>
        <w:tc>
          <w:tcPr>
            <w:tcW w:w="3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3,341,762</w:t>
            </w:r>
          </w:p>
        </w:tc>
        <w:tc>
          <w:tcPr>
            <w:tcW w:w="12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securities</w:t>
            </w:r>
          </w:p>
        </w:tc>
        <w:tc>
          <w:tcPr>
            <w:tcW w:w="134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415,028</w:t>
            </w:r>
          </w:p>
        </w:tc>
        <w:tc>
          <w:tcPr>
            <w:tcW w:w="3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415,028</w:t>
            </w:r>
          </w:p>
        </w:tc>
        <w:tc>
          <w:tcPr>
            <w:tcW w:w="12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14,707,037</w:t>
            </w:r>
          </w:p>
        </w:tc>
        <w:tc>
          <w:tcPr>
            <w:tcW w:w="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115,073</w:t>
            </w: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169,036</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14,653,074</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40" w:type="dxa"/>
            <w:vAlign w:val="bottom"/>
            <w:tcBorders>
              <w:top w:val="single" w:sz="8" w:color="CFF0FC"/>
            </w:tcBorders>
          </w:tcPr>
          <w:p>
            <w:pPr>
              <w:spacing w:after="0" w:line="20" w:lineRule="exact"/>
              <w:rPr>
                <w:sz w:val="1"/>
                <w:szCs w:val="1"/>
                <w:color w:val="auto"/>
              </w:rPr>
            </w:pPr>
          </w:p>
        </w:tc>
        <w:tc>
          <w:tcPr>
            <w:tcW w:w="13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0"/>
        </w:trPr>
        <w:tc>
          <w:tcPr>
            <w:tcW w:w="4440" w:type="dxa"/>
            <w:vAlign w:val="bottom"/>
          </w:tcPr>
          <w:p>
            <w:pPr>
              <w:spacing w:after="0"/>
              <w:rPr>
                <w:sz w:val="24"/>
                <w:szCs w:val="24"/>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122</w:t>
            </w: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44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546" w:right="219"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Amortized</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4"/>
                <w:szCs w:val="14"/>
                <w:color w:val="auto"/>
              </w:rPr>
            </w:pPr>
          </w:p>
        </w:tc>
        <w:tc>
          <w:tcPr>
            <w:tcW w:w="13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4"/>
                <w:szCs w:val="14"/>
                <w:color w:val="auto"/>
              </w:rPr>
            </w:pPr>
          </w:p>
        </w:tc>
        <w:tc>
          <w:tcPr>
            <w:tcW w:w="10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5"/>
        </w:trPr>
        <w:tc>
          <w:tcPr>
            <w:tcW w:w="45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500"/>
              <w:spacing w:after="0" w:line="145" w:lineRule="exact"/>
              <w:rPr>
                <w:sz w:val="20"/>
                <w:szCs w:val="20"/>
                <w:color w:val="auto"/>
              </w:rPr>
            </w:pPr>
            <w:r>
              <w:rPr>
                <w:rFonts w:ascii="Arial" w:cs="Arial" w:eastAsia="Arial" w:hAnsi="Arial"/>
                <w:sz w:val="14"/>
                <w:szCs w:val="14"/>
                <w:b w:val="1"/>
                <w:bCs w:val="1"/>
                <w:color w:val="auto"/>
                <w:w w:val="90"/>
              </w:rPr>
              <w:t>Unrealized</w:t>
            </w:r>
          </w:p>
        </w:tc>
        <w:tc>
          <w:tcPr>
            <w:tcW w:w="160" w:type="dxa"/>
            <w:vAlign w:val="bottom"/>
          </w:tcPr>
          <w:p>
            <w:pPr>
              <w:spacing w:after="0"/>
              <w:rPr>
                <w:sz w:val="12"/>
                <w:szCs w:val="12"/>
                <w:color w:val="auto"/>
              </w:rPr>
            </w:pPr>
          </w:p>
        </w:tc>
        <w:tc>
          <w:tcPr>
            <w:tcW w:w="1300" w:type="dxa"/>
            <w:vAlign w:val="bottom"/>
            <w:gridSpan w:val="2"/>
          </w:tcPr>
          <w:p>
            <w:pPr>
              <w:jc w:val="center"/>
              <w:ind w:right="500"/>
              <w:spacing w:after="0" w:line="145" w:lineRule="exact"/>
              <w:rPr>
                <w:sz w:val="20"/>
                <w:szCs w:val="20"/>
                <w:color w:val="auto"/>
              </w:rPr>
            </w:pPr>
            <w:r>
              <w:rPr>
                <w:rFonts w:ascii="Arial" w:cs="Arial" w:eastAsia="Arial" w:hAnsi="Arial"/>
                <w:sz w:val="14"/>
                <w:szCs w:val="14"/>
                <w:b w:val="1"/>
                <w:bCs w:val="1"/>
                <w:color w:val="auto"/>
                <w:w w:val="90"/>
              </w:rPr>
              <w:t>Unrealized</w:t>
            </w:r>
          </w:p>
        </w:tc>
        <w:tc>
          <w:tcPr>
            <w:tcW w:w="1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ind w:right="355"/>
              <w:spacing w:after="0"/>
              <w:rPr>
                <w:sz w:val="20"/>
                <w:szCs w:val="20"/>
                <w:color w:val="auto"/>
              </w:rPr>
            </w:pPr>
            <w:r>
              <w:rPr>
                <w:rFonts w:ascii="Arial" w:cs="Arial" w:eastAsia="Arial" w:hAnsi="Arial"/>
                <w:sz w:val="14"/>
                <w:szCs w:val="14"/>
                <w:b w:val="1"/>
                <w:bCs w:val="1"/>
                <w:color w:val="auto"/>
              </w:rPr>
              <w:t>Cost</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Gains</w:t>
            </w:r>
          </w:p>
        </w:tc>
        <w:tc>
          <w:tcPr>
            <w:tcW w:w="160" w:type="dxa"/>
            <w:vAlign w:val="bottom"/>
          </w:tcPr>
          <w:p>
            <w:pPr>
              <w:spacing w:after="0"/>
              <w:rPr>
                <w:sz w:val="14"/>
                <w:szCs w:val="14"/>
                <w:color w:val="auto"/>
              </w:rPr>
            </w:pPr>
          </w:p>
        </w:tc>
        <w:tc>
          <w:tcPr>
            <w:tcW w:w="13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2"/>
              </w:rPr>
              <w:t>Losses</w:t>
            </w:r>
          </w:p>
        </w:tc>
        <w:tc>
          <w:tcPr>
            <w:tcW w:w="18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51"/>
        </w:trPr>
        <w:tc>
          <w:tcPr>
            <w:tcW w:w="45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760" w:type="dxa"/>
            <w:vAlign w:val="bottom"/>
            <w:tcBorders>
              <w:top w:val="single" w:sz="8" w:color="auto"/>
            </w:tcBorders>
            <w:gridSpan w:val="5"/>
          </w:tcPr>
          <w:p>
            <w:pPr>
              <w:ind w:left="700"/>
              <w:spacing w:after="0" w:line="151" w:lineRule="exact"/>
              <w:rPr>
                <w:sz w:val="20"/>
                <w:szCs w:val="20"/>
                <w:color w:val="auto"/>
              </w:rPr>
            </w:pPr>
            <w:r>
              <w:rPr>
                <w:rFonts w:ascii="Arial" w:cs="Arial" w:eastAsia="Arial" w:hAnsi="Arial"/>
                <w:sz w:val="14"/>
                <w:szCs w:val="14"/>
                <w:b w:val="1"/>
                <w:bCs w:val="1"/>
                <w:color w:val="auto"/>
              </w:rPr>
              <w:t>(In thousands)</w:t>
            </w:r>
          </w:p>
        </w:tc>
        <w:tc>
          <w:tcPr>
            <w:tcW w:w="1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December 31, 2016</w:t>
            </w:r>
          </w:p>
        </w:tc>
        <w:tc>
          <w:tcPr>
            <w:tcW w:w="1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4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U.S. Treasury and federal agencies</w:t>
            </w:r>
          </w:p>
        </w:tc>
        <w:tc>
          <w:tcPr>
            <w:tcW w:w="14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1,912,110</w:t>
            </w:r>
          </w:p>
        </w:tc>
        <w:tc>
          <w:tcPr>
            <w:tcW w:w="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386</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9,952</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1,902,544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4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3,570</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77</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w:t>
            </w:r>
          </w:p>
        </w:tc>
        <w:tc>
          <w:tcPr>
            <w:tcW w:w="1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40" w:type="dxa"/>
            <w:vAlign w:val="bottom"/>
          </w:tcPr>
          <w:p>
            <w:pPr>
              <w:ind w:left="240"/>
              <w:spacing w:after="0"/>
              <w:rPr>
                <w:sz w:val="20"/>
                <w:szCs w:val="20"/>
                <w:color w:val="auto"/>
              </w:rPr>
            </w:pPr>
            <w:r>
              <w:rPr>
                <w:rFonts w:ascii="Arial" w:cs="Arial" w:eastAsia="Arial" w:hAnsi="Arial"/>
                <w:sz w:val="18"/>
                <w:szCs w:val="18"/>
                <w:color w:val="auto"/>
              </w:rPr>
              <w:t>Government issued or guaranteed</w:t>
            </w: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10,980,507</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88,343</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113,989</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10,954,861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Privately issued</w:t>
            </w:r>
          </w:p>
        </w:tc>
        <w:tc>
          <w:tcPr>
            <w:tcW w:w="1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40" w:type="dxa"/>
            <w:vAlign w:val="bottom"/>
          </w:tcPr>
          <w:p>
            <w:pPr>
              <w:spacing w:after="0"/>
              <w:rPr>
                <w:sz w:val="20"/>
                <w:szCs w:val="20"/>
                <w:color w:val="auto"/>
              </w:rPr>
            </w:pPr>
            <w:r>
              <w:rPr>
                <w:rFonts w:ascii="Arial" w:cs="Arial" w:eastAsia="Arial" w:hAnsi="Arial"/>
                <w:sz w:val="18"/>
                <w:szCs w:val="18"/>
                <w:color w:val="auto"/>
              </w:rPr>
              <w:t>Other debt securities</w:t>
            </w: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134,105</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1,407</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16,996</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118,516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Equity securities</w:t>
            </w:r>
          </w:p>
        </w:tc>
        <w:tc>
          <w:tcPr>
            <w:tcW w:w="1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307,964</w:t>
            </w:r>
          </w:p>
        </w:tc>
        <w:tc>
          <w:tcPr>
            <w:tcW w:w="3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45,073</w:t>
            </w:r>
          </w:p>
        </w:tc>
        <w:tc>
          <w:tcPr>
            <w:tcW w:w="3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571</w:t>
            </w:r>
          </w:p>
        </w:tc>
        <w:tc>
          <w:tcPr>
            <w:tcW w:w="3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352,466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540" w:type="dxa"/>
            <w:vAlign w:val="bottom"/>
            <w:tcBorders>
              <w:bottom w:val="single" w:sz="8" w:color="CFF0FC"/>
            </w:tcBorders>
          </w:tcPr>
          <w:p>
            <w:pPr>
              <w:spacing w:after="0"/>
              <w:rPr>
                <w:sz w:val="18"/>
                <w:szCs w:val="18"/>
                <w:color w:val="auto"/>
              </w:rPr>
            </w:pPr>
          </w:p>
        </w:tc>
        <w:tc>
          <w:tcPr>
            <w:tcW w:w="124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13,338,301</w:t>
            </w:r>
          </w:p>
        </w:tc>
        <w:tc>
          <w:tcPr>
            <w:tcW w:w="3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135,286</w:t>
            </w:r>
          </w:p>
        </w:tc>
        <w:tc>
          <w:tcPr>
            <w:tcW w:w="3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141,515</w:t>
            </w:r>
          </w:p>
        </w:tc>
        <w:tc>
          <w:tcPr>
            <w:tcW w:w="3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13,332,072</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Investment securities held to maturity:</w:t>
            </w:r>
          </w:p>
        </w:tc>
        <w:tc>
          <w:tcPr>
            <w:tcW w:w="1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4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60,858</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267</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224</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60,901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w:t>
            </w:r>
          </w:p>
        </w:tc>
        <w:tc>
          <w:tcPr>
            <w:tcW w:w="1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40" w:type="dxa"/>
            <w:vAlign w:val="bottom"/>
          </w:tcPr>
          <w:p>
            <w:pPr>
              <w:ind w:left="240"/>
              <w:spacing w:after="0"/>
              <w:rPr>
                <w:sz w:val="20"/>
                <w:szCs w:val="20"/>
                <w:color w:val="auto"/>
              </w:rPr>
            </w:pPr>
            <w:r>
              <w:rPr>
                <w:rFonts w:ascii="Arial" w:cs="Arial" w:eastAsia="Arial" w:hAnsi="Arial"/>
                <w:sz w:val="18"/>
                <w:szCs w:val="18"/>
                <w:color w:val="auto"/>
              </w:rPr>
              <w:t>Government issued or guaranteed</w:t>
            </w: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2,233,173</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37,498</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7,374</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2,263,297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Privately issued</w:t>
            </w:r>
          </w:p>
        </w:tc>
        <w:tc>
          <w:tcPr>
            <w:tcW w:w="1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157,704</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897</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37,120</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121,481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40" w:type="dxa"/>
            <w:vAlign w:val="bottom"/>
          </w:tcPr>
          <w:p>
            <w:pPr>
              <w:spacing w:after="0"/>
              <w:rPr>
                <w:sz w:val="20"/>
                <w:szCs w:val="20"/>
                <w:color w:val="auto"/>
              </w:rPr>
            </w:pPr>
            <w:r>
              <w:rPr>
                <w:rFonts w:ascii="Arial" w:cs="Arial" w:eastAsia="Arial" w:hAnsi="Arial"/>
                <w:sz w:val="18"/>
                <w:szCs w:val="18"/>
                <w:color w:val="auto"/>
              </w:rPr>
              <w:t>Other debt securities</w:t>
            </w: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5,543</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540" w:type="dxa"/>
            <w:vAlign w:val="bottom"/>
            <w:tcBorders>
              <w:top w:val="single" w:sz="8" w:color="CFF0FC"/>
            </w:tcBorders>
            <w:shd w:val="clear" w:color="auto" w:fill="CFF0FC"/>
          </w:tcPr>
          <w:p>
            <w:pPr>
              <w:spacing w:after="0"/>
              <w:rPr>
                <w:sz w:val="18"/>
                <w:szCs w:val="18"/>
                <w:color w:val="auto"/>
              </w:rPr>
            </w:pPr>
          </w:p>
        </w:tc>
        <w:tc>
          <w:tcPr>
            <w:tcW w:w="12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2,457,278</w:t>
            </w:r>
          </w:p>
        </w:tc>
        <w:tc>
          <w:tcPr>
            <w:tcW w:w="3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38,662</w:t>
            </w:r>
          </w:p>
        </w:tc>
        <w:tc>
          <w:tcPr>
            <w:tcW w:w="3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44,718</w:t>
            </w:r>
          </w:p>
        </w:tc>
        <w:tc>
          <w:tcPr>
            <w:tcW w:w="3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2,451,222</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securities</w:t>
            </w:r>
          </w:p>
        </w:tc>
        <w:tc>
          <w:tcPr>
            <w:tcW w:w="124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461,118</w:t>
            </w:r>
          </w:p>
        </w:tc>
        <w:tc>
          <w:tcPr>
            <w:tcW w:w="3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461,118</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14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16,256,697</w:t>
            </w:r>
          </w:p>
        </w:tc>
        <w:tc>
          <w:tcPr>
            <w:tcW w:w="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173,948</w:t>
            </w: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186,233</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16,244,412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tcBorders>
              <w:top w:val="single" w:sz="8" w:color="CFF0FC"/>
            </w:tcBorders>
          </w:tcPr>
          <w:p>
            <w:pPr>
              <w:spacing w:after="0" w:line="20" w:lineRule="exact"/>
              <w:rPr>
                <w:sz w:val="1"/>
                <w:szCs w:val="1"/>
                <w:color w:val="auto"/>
              </w:rPr>
            </w:pPr>
          </w:p>
        </w:tc>
        <w:tc>
          <w:tcPr>
            <w:tcW w:w="12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ind w:right="460" w:firstLine="598"/>
        <w:spacing w:after="0" w:line="256" w:lineRule="auto"/>
        <w:rPr>
          <w:sz w:val="20"/>
          <w:szCs w:val="20"/>
          <w:color w:val="auto"/>
        </w:rPr>
      </w:pPr>
      <w:r>
        <w:rPr>
          <w:rFonts w:ascii="Arial" w:cs="Arial" w:eastAsia="Arial" w:hAnsi="Arial"/>
          <w:sz w:val="20"/>
          <w:szCs w:val="20"/>
          <w:color w:val="auto"/>
        </w:rPr>
        <w:t>No investment in securities of a single non-U.S. Government, government agency or government guaranteed issuer exceeded ten percent of shareholders’ equity at December 31, 2017.</w:t>
      </w:r>
    </w:p>
    <w:p>
      <w:pPr>
        <w:ind w:right="20" w:firstLine="598"/>
        <w:spacing w:after="0" w:line="256" w:lineRule="auto"/>
        <w:rPr>
          <w:sz w:val="20"/>
          <w:szCs w:val="20"/>
          <w:color w:val="auto"/>
        </w:rPr>
      </w:pPr>
      <w:r>
        <w:rPr>
          <w:rFonts w:ascii="Arial" w:cs="Arial" w:eastAsia="Arial" w:hAnsi="Arial"/>
          <w:sz w:val="20"/>
          <w:szCs w:val="20"/>
          <w:color w:val="auto"/>
        </w:rPr>
        <w:t>As of December 31, 2017, the latest available investment ratings of all obligations of states and political subdivisions, privately issued mortgage-backed securities and other debt securities were: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440" w:type="dxa"/>
            <w:vAlign w:val="bottom"/>
          </w:tcPr>
          <w:p>
            <w:pPr>
              <w:spacing w:after="0"/>
              <w:rPr>
                <w:sz w:val="14"/>
                <w:szCs w:val="14"/>
                <w:color w:val="auto"/>
              </w:rPr>
            </w:pPr>
          </w:p>
        </w:tc>
        <w:tc>
          <w:tcPr>
            <w:tcW w:w="10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Amortized</w:t>
            </w:r>
          </w:p>
        </w:tc>
        <w:tc>
          <w:tcPr>
            <w:tcW w:w="7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2"/>
              </w:rPr>
              <w:t>Estimated</w:t>
            </w:r>
          </w:p>
        </w:tc>
        <w:tc>
          <w:tcPr>
            <w:tcW w:w="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100" w:type="dxa"/>
            <w:vAlign w:val="bottom"/>
            <w:tcBorders>
              <w:bottom w:val="single" w:sz="8" w:color="auto"/>
            </w:tcBorders>
            <w:gridSpan w:val="9"/>
          </w:tcPr>
          <w:p>
            <w:pPr>
              <w:jc w:val="center"/>
              <w:ind w:right="320"/>
              <w:spacing w:after="0"/>
              <w:rPr>
                <w:sz w:val="20"/>
                <w:szCs w:val="20"/>
                <w:color w:val="auto"/>
              </w:rPr>
            </w:pPr>
            <w:r>
              <w:rPr>
                <w:rFonts w:ascii="Arial" w:cs="Arial" w:eastAsia="Arial" w:hAnsi="Arial"/>
                <w:sz w:val="14"/>
                <w:szCs w:val="14"/>
                <w:b w:val="1"/>
                <w:bCs w:val="1"/>
                <w:color w:val="auto"/>
                <w:w w:val="92"/>
              </w:rPr>
              <w:t>Average Credit Rating of Fair Value Amount</w:t>
            </w: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4440" w:type="dxa"/>
            <w:vAlign w:val="bottom"/>
          </w:tcPr>
          <w:p>
            <w:pPr>
              <w:spacing w:after="0"/>
              <w:rPr>
                <w:sz w:val="11"/>
                <w:szCs w:val="11"/>
                <w:color w:val="auto"/>
              </w:rPr>
            </w:pPr>
          </w:p>
        </w:tc>
        <w:tc>
          <w:tcPr>
            <w:tcW w:w="1020" w:type="dxa"/>
            <w:vAlign w:val="bottom"/>
            <w:gridSpan w:val="3"/>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ind w:right="138"/>
              <w:spacing w:after="0" w:line="129" w:lineRule="exact"/>
              <w:rPr>
                <w:sz w:val="20"/>
                <w:szCs w:val="20"/>
                <w:color w:val="auto"/>
              </w:rPr>
            </w:pPr>
            <w:r>
              <w:rPr>
                <w:rFonts w:ascii="Arial" w:cs="Arial" w:eastAsia="Arial" w:hAnsi="Arial"/>
                <w:sz w:val="14"/>
                <w:szCs w:val="14"/>
                <w:b w:val="1"/>
                <w:bCs w:val="1"/>
                <w:color w:val="auto"/>
              </w:rPr>
              <w:t>A or</w:t>
            </w: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2"/>
              </w:rPr>
              <w:t>BBB</w:t>
            </w:r>
          </w:p>
        </w:tc>
        <w:tc>
          <w:tcPr>
            <w:tcW w:w="140" w:type="dxa"/>
            <w:vAlign w:val="bottom"/>
          </w:tcPr>
          <w:p>
            <w:pPr>
              <w:spacing w:after="0"/>
              <w:rPr>
                <w:sz w:val="11"/>
                <w:szCs w:val="11"/>
                <w:color w:val="auto"/>
              </w:rPr>
            </w:pPr>
          </w:p>
        </w:tc>
        <w:tc>
          <w:tcPr>
            <w:tcW w:w="88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88"/>
              </w:rPr>
              <w:t>BB</w:t>
            </w:r>
          </w:p>
        </w:tc>
        <w:tc>
          <w:tcPr>
            <w:tcW w:w="10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B or Less</w:t>
            </w:r>
          </w:p>
        </w:tc>
        <w:tc>
          <w:tcPr>
            <w:tcW w:w="120" w:type="dxa"/>
            <w:vAlign w:val="bottom"/>
          </w:tcPr>
          <w:p>
            <w:pPr>
              <w:spacing w:after="0"/>
              <w:rPr>
                <w:sz w:val="11"/>
                <w:szCs w:val="11"/>
                <w:color w:val="auto"/>
              </w:rPr>
            </w:pPr>
          </w:p>
        </w:tc>
        <w:tc>
          <w:tcPr>
            <w:tcW w:w="600" w:type="dxa"/>
            <w:vAlign w:val="bottom"/>
          </w:tcPr>
          <w:p>
            <w:pPr>
              <w:jc w:val="center"/>
              <w:ind w:right="58"/>
              <w:spacing w:after="0" w:line="129" w:lineRule="exact"/>
              <w:rPr>
                <w:sz w:val="20"/>
                <w:szCs w:val="20"/>
                <w:color w:val="auto"/>
              </w:rPr>
            </w:pPr>
            <w:r>
              <w:rPr>
                <w:rFonts w:ascii="Arial" w:cs="Arial" w:eastAsia="Arial" w:hAnsi="Arial"/>
                <w:sz w:val="14"/>
                <w:szCs w:val="14"/>
                <w:b w:val="1"/>
                <w:bCs w:val="1"/>
                <w:color w:val="auto"/>
                <w:w w:val="94"/>
              </w:rPr>
              <w:t>Not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ind w:left="100"/>
              <w:spacing w:after="0"/>
              <w:rPr>
                <w:sz w:val="20"/>
                <w:szCs w:val="20"/>
                <w:color w:val="auto"/>
              </w:rPr>
            </w:pPr>
            <w:r>
              <w:rPr>
                <w:rFonts w:ascii="Arial" w:cs="Arial" w:eastAsia="Arial" w:hAnsi="Arial"/>
                <w:sz w:val="14"/>
                <w:szCs w:val="14"/>
                <w:b w:val="1"/>
                <w:bCs w:val="1"/>
                <w:color w:val="auto"/>
              </w:rPr>
              <w:t>Cost</w:t>
            </w: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Fair Value</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78"/>
              <w:spacing w:after="0"/>
              <w:rPr>
                <w:sz w:val="20"/>
                <w:szCs w:val="20"/>
                <w:color w:val="auto"/>
              </w:rPr>
            </w:pPr>
            <w:r>
              <w:rPr>
                <w:rFonts w:ascii="Arial" w:cs="Arial" w:eastAsia="Arial" w:hAnsi="Arial"/>
                <w:sz w:val="14"/>
                <w:szCs w:val="14"/>
                <w:b w:val="1"/>
                <w:bCs w:val="1"/>
                <w:color w:val="auto"/>
                <w:w w:val="98"/>
              </w:rPr>
              <w:t>Better</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Rated</w:t>
            </w:r>
          </w:p>
        </w:tc>
        <w:tc>
          <w:tcPr>
            <w:tcW w:w="0" w:type="dxa"/>
            <w:vAlign w:val="bottom"/>
          </w:tcPr>
          <w:p>
            <w:pPr>
              <w:spacing w:after="0"/>
              <w:rPr>
                <w:sz w:val="1"/>
                <w:szCs w:val="1"/>
                <w:color w:val="auto"/>
              </w:rPr>
            </w:pPr>
          </w:p>
        </w:tc>
      </w:tr>
      <w:tr>
        <w:trPr>
          <w:trHeight w:val="176"/>
        </w:trPr>
        <w:tc>
          <w:tcPr>
            <w:tcW w:w="44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9"/>
              </w:rPr>
              <w:t>(In thousands)</w:t>
            </w:r>
          </w:p>
        </w:tc>
        <w:tc>
          <w:tcPr>
            <w:tcW w:w="14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4"/>
        </w:trPr>
        <w:tc>
          <w:tcPr>
            <w:tcW w:w="4440" w:type="dxa"/>
            <w:vAlign w:val="bottom"/>
          </w:tcPr>
          <w:p>
            <w:pPr>
              <w:spacing w:after="0"/>
              <w:rPr>
                <w:sz w:val="20"/>
                <w:szCs w:val="20"/>
                <w:color w:val="auto"/>
              </w:rPr>
            </w:pPr>
            <w:r>
              <w:rPr>
                <w:rFonts w:ascii="Arial" w:cs="Arial" w:eastAsia="Arial" w:hAnsi="Arial"/>
                <w:sz w:val="18"/>
                <w:szCs w:val="18"/>
                <w:color w:val="auto"/>
              </w:rPr>
              <w:t>Obligations of states and political</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440" w:type="dxa"/>
            <w:vAlign w:val="bottom"/>
          </w:tcPr>
          <w:p>
            <w:pPr>
              <w:ind w:left="140"/>
              <w:spacing w:after="0"/>
              <w:rPr>
                <w:sz w:val="20"/>
                <w:szCs w:val="20"/>
                <w:color w:val="auto"/>
              </w:rPr>
            </w:pPr>
            <w:r>
              <w:rPr>
                <w:rFonts w:ascii="Arial" w:cs="Arial" w:eastAsia="Arial" w:hAnsi="Arial"/>
                <w:sz w:val="18"/>
                <w:szCs w:val="18"/>
                <w:color w:val="auto"/>
              </w:rPr>
              <w:t>subdivisions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27,117</w:t>
            </w:r>
          </w:p>
        </w:tc>
        <w:tc>
          <w:tcPr>
            <w:tcW w:w="3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27,211</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15,874</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11,337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Privately issued mortgage-backed</w:t>
            </w: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securities</w:t>
            </w: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135,716</w:t>
            </w: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110,715</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23,459</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87,233</w:t>
            </w: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debt securities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141,915</w:t>
            </w:r>
          </w:p>
        </w:tc>
        <w:tc>
          <w:tcPr>
            <w:tcW w:w="3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133,842</w:t>
            </w:r>
          </w:p>
        </w:tc>
        <w:tc>
          <w:tcPr>
            <w:tcW w:w="3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6,980</w:t>
            </w:r>
          </w:p>
        </w:tc>
        <w:tc>
          <w:tcPr>
            <w:tcW w:w="3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61,054</w:t>
            </w:r>
          </w:p>
        </w:tc>
        <w:tc>
          <w:tcPr>
            <w:tcW w:w="3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32,684</w:t>
            </w:r>
          </w:p>
        </w:tc>
        <w:tc>
          <w:tcPr>
            <w:tcW w:w="3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33,124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304,748</w:t>
            </w:r>
          </w:p>
        </w:tc>
        <w:tc>
          <w:tcPr>
            <w:tcW w:w="3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271,768</w:t>
            </w:r>
          </w:p>
        </w:tc>
        <w:tc>
          <w:tcPr>
            <w:tcW w:w="4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46,313</w:t>
            </w:r>
          </w:p>
        </w:tc>
        <w:tc>
          <w:tcPr>
            <w:tcW w:w="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61,070</w:t>
            </w: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32,684</w:t>
            </w: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87,233</w:t>
            </w:r>
          </w:p>
        </w:tc>
        <w:tc>
          <w:tcPr>
            <w:tcW w:w="3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44,468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right="340" w:firstLine="598"/>
        <w:spacing w:after="0" w:line="275" w:lineRule="auto"/>
        <w:rPr>
          <w:sz w:val="20"/>
          <w:szCs w:val="20"/>
          <w:color w:val="auto"/>
        </w:rPr>
      </w:pPr>
      <w:r>
        <w:rPr>
          <w:rFonts w:ascii="Arial" w:cs="Arial" w:eastAsia="Arial" w:hAnsi="Arial"/>
          <w:sz w:val="20"/>
          <w:szCs w:val="20"/>
          <w:color w:val="auto"/>
        </w:rPr>
        <w:t>The amortized cost and estimated fair value of collateralized mortgage obligations included in mortgage-backed securities were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26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600" w:type="dxa"/>
            <w:vAlign w:val="bottom"/>
            <w:tcBorders>
              <w:bottom w:val="single" w:sz="8" w:color="auto"/>
            </w:tcBorders>
            <w:gridSpan w:val="2"/>
          </w:tcPr>
          <w:p>
            <w:pPr>
              <w:jc w:val="center"/>
              <w:ind w:left="630"/>
              <w:spacing w:after="0"/>
              <w:rPr>
                <w:sz w:val="20"/>
                <w:szCs w:val="20"/>
                <w:color w:val="auto"/>
              </w:rPr>
            </w:pPr>
            <w:r>
              <w:rPr>
                <w:rFonts w:ascii="Arial" w:cs="Arial" w:eastAsia="Arial" w:hAnsi="Arial"/>
                <w:sz w:val="14"/>
                <w:szCs w:val="14"/>
                <w:b w:val="1"/>
                <w:bCs w:val="1"/>
                <w:color w:val="auto"/>
                <w:w w:val="89"/>
              </w:rPr>
              <w:t>December 31</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1"/>
        </w:trPr>
        <w:tc>
          <w:tcPr>
            <w:tcW w:w="4260" w:type="dxa"/>
            <w:vAlign w:val="bottom"/>
          </w:tcPr>
          <w:p>
            <w:pPr>
              <w:spacing w:after="0"/>
              <w:rPr>
                <w:sz w:val="13"/>
                <w:szCs w:val="13"/>
                <w:color w:val="auto"/>
              </w:rPr>
            </w:pPr>
          </w:p>
        </w:tc>
        <w:tc>
          <w:tcPr>
            <w:tcW w:w="4760" w:type="dxa"/>
            <w:vAlign w:val="bottom"/>
          </w:tcPr>
          <w:p>
            <w:pPr>
              <w:spacing w:after="0"/>
              <w:rPr>
                <w:sz w:val="13"/>
                <w:szCs w:val="13"/>
                <w:color w:val="auto"/>
              </w:rPr>
            </w:pPr>
          </w:p>
        </w:tc>
        <w:tc>
          <w:tcPr>
            <w:tcW w:w="1140" w:type="dxa"/>
            <w:vAlign w:val="bottom"/>
            <w:tcBorders>
              <w:bottom w:val="single" w:sz="8" w:color="auto"/>
            </w:tcBorders>
          </w:tcPr>
          <w:p>
            <w:pPr>
              <w:jc w:val="right"/>
              <w:ind w:right="430"/>
              <w:spacing w:after="0" w:line="151" w:lineRule="exact"/>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ind w:left="40"/>
              <w:spacing w:after="0" w:line="151"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1"/>
        </w:trPr>
        <w:tc>
          <w:tcPr>
            <w:tcW w:w="4260" w:type="dxa"/>
            <w:vAlign w:val="bottom"/>
          </w:tcPr>
          <w:p>
            <w:pPr>
              <w:spacing w:after="0"/>
              <w:rPr>
                <w:sz w:val="13"/>
                <w:szCs w:val="13"/>
                <w:color w:val="auto"/>
              </w:rPr>
            </w:pPr>
          </w:p>
        </w:tc>
        <w:tc>
          <w:tcPr>
            <w:tcW w:w="4760" w:type="dxa"/>
            <w:vAlign w:val="bottom"/>
          </w:tcPr>
          <w:p>
            <w:pPr>
              <w:spacing w:after="0"/>
              <w:rPr>
                <w:sz w:val="13"/>
                <w:szCs w:val="13"/>
                <w:color w:val="auto"/>
              </w:rPr>
            </w:pPr>
          </w:p>
        </w:tc>
        <w:tc>
          <w:tcPr>
            <w:tcW w:w="1600" w:type="dxa"/>
            <w:vAlign w:val="bottom"/>
            <w:gridSpan w:val="2"/>
          </w:tcPr>
          <w:p>
            <w:pPr>
              <w:jc w:val="center"/>
              <w:ind w:left="610"/>
              <w:spacing w:after="0" w:line="151" w:lineRule="exact"/>
              <w:rPr>
                <w:sz w:val="20"/>
                <w:szCs w:val="20"/>
                <w:color w:val="auto"/>
              </w:rPr>
            </w:pPr>
            <w:r>
              <w:rPr>
                <w:rFonts w:ascii="Arial" w:cs="Arial" w:eastAsia="Arial" w:hAnsi="Arial"/>
                <w:sz w:val="14"/>
                <w:szCs w:val="14"/>
                <w:b w:val="1"/>
                <w:bCs w:val="1"/>
                <w:color w:val="auto"/>
                <w:w w:val="91"/>
              </w:rPr>
              <w:t>(In thousands)</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50"/>
        </w:trPr>
        <w:tc>
          <w:tcPr>
            <w:tcW w:w="4260" w:type="dxa"/>
            <w:vAlign w:val="bottom"/>
            <w:shd w:val="clear" w:color="auto" w:fill="CFF0FC"/>
          </w:tcPr>
          <w:p>
            <w:pPr>
              <w:spacing w:after="0"/>
              <w:rPr>
                <w:sz w:val="20"/>
                <w:szCs w:val="20"/>
                <w:color w:val="auto"/>
              </w:rPr>
            </w:pPr>
            <w:r>
              <w:rPr>
                <w:rFonts w:ascii="Arial" w:cs="Arial" w:eastAsia="Arial" w:hAnsi="Arial"/>
                <w:sz w:val="20"/>
                <w:szCs w:val="20"/>
                <w:color w:val="auto"/>
              </w:rPr>
              <w:t>Collateralized mortgage obligations:</w:t>
            </w:r>
          </w:p>
        </w:tc>
        <w:tc>
          <w:tcPr>
            <w:tcW w:w="476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4260" w:type="dxa"/>
            <w:vAlign w:val="bottom"/>
          </w:tcPr>
          <w:p>
            <w:pPr>
              <w:ind w:left="240"/>
              <w:spacing w:after="0"/>
              <w:rPr>
                <w:sz w:val="20"/>
                <w:szCs w:val="20"/>
                <w:color w:val="auto"/>
              </w:rPr>
            </w:pPr>
            <w:r>
              <w:rPr>
                <w:rFonts w:ascii="Arial" w:cs="Arial" w:eastAsia="Arial" w:hAnsi="Arial"/>
                <w:sz w:val="20"/>
                <w:szCs w:val="20"/>
                <w:color w:val="auto"/>
              </w:rPr>
              <w:t>Amortized cost</w:t>
            </w:r>
          </w:p>
        </w:tc>
        <w:tc>
          <w:tcPr>
            <w:tcW w:w="5900" w:type="dxa"/>
            <w:vAlign w:val="bottom"/>
            <w:gridSpan w:val="2"/>
          </w:tcPr>
          <w:p>
            <w:pPr>
              <w:jc w:val="right"/>
              <w:ind w:right="70"/>
              <w:spacing w:after="0"/>
              <w:rPr>
                <w:sz w:val="20"/>
                <w:szCs w:val="20"/>
                <w:color w:val="auto"/>
              </w:rPr>
            </w:pPr>
            <w:r>
              <w:rPr>
                <w:rFonts w:ascii="Arial" w:cs="Arial" w:eastAsia="Arial" w:hAnsi="Arial"/>
                <w:sz w:val="20"/>
                <w:szCs w:val="20"/>
                <w:color w:val="auto"/>
              </w:rPr>
              <w:t>$   138,527</w:t>
            </w:r>
          </w:p>
        </w:tc>
        <w:tc>
          <w:tcPr>
            <w:tcW w:w="460" w:type="dxa"/>
            <w:vAlign w:val="bottom"/>
          </w:tcPr>
          <w:p>
            <w:pPr>
              <w:jc w:val="right"/>
              <w:ind w:right="119"/>
              <w:spacing w:after="0"/>
              <w:rPr>
                <w:sz w:val="20"/>
                <w:szCs w:val="20"/>
                <w:color w:val="auto"/>
              </w:rPr>
            </w:pPr>
            <w:r>
              <w:rPr>
                <w:rFonts w:ascii="Arial" w:cs="Arial" w:eastAsia="Arial" w:hAnsi="Arial"/>
                <w:sz w:val="20"/>
                <w:szCs w:val="20"/>
                <w:color w:val="auto"/>
              </w:rPr>
              <w:t>$</w:t>
            </w:r>
          </w:p>
        </w:tc>
        <w:tc>
          <w:tcPr>
            <w:tcW w:w="700" w:type="dxa"/>
            <w:vAlign w:val="bottom"/>
          </w:tcPr>
          <w:p>
            <w:pPr>
              <w:ind w:left="40"/>
              <w:spacing w:after="0"/>
              <w:rPr>
                <w:sz w:val="20"/>
                <w:szCs w:val="20"/>
                <w:color w:val="auto"/>
              </w:rPr>
            </w:pPr>
            <w:r>
              <w:rPr>
                <w:rFonts w:ascii="Arial" w:cs="Arial" w:eastAsia="Arial" w:hAnsi="Arial"/>
                <w:sz w:val="20"/>
                <w:szCs w:val="20"/>
                <w:color w:val="auto"/>
                <w:w w:val="88"/>
              </w:rPr>
              <w:t>162,027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4260" w:type="dxa"/>
            <w:vAlign w:val="bottom"/>
            <w:shd w:val="clear" w:color="auto" w:fill="CFF0FC"/>
          </w:tcPr>
          <w:p>
            <w:pPr>
              <w:ind w:left="240"/>
              <w:spacing w:after="0"/>
              <w:rPr>
                <w:sz w:val="20"/>
                <w:szCs w:val="20"/>
                <w:color w:val="auto"/>
              </w:rPr>
            </w:pPr>
            <w:r>
              <w:rPr>
                <w:rFonts w:ascii="Arial" w:cs="Arial" w:eastAsia="Arial" w:hAnsi="Arial"/>
                <w:sz w:val="20"/>
                <w:szCs w:val="20"/>
                <w:color w:val="auto"/>
              </w:rPr>
              <w:t>Estimated fair value</w:t>
            </w:r>
          </w:p>
        </w:tc>
        <w:tc>
          <w:tcPr>
            <w:tcW w:w="5900" w:type="dxa"/>
            <w:vAlign w:val="bottom"/>
            <w:gridSpan w:val="2"/>
            <w:shd w:val="clear" w:color="auto" w:fill="CFF0FC"/>
          </w:tcPr>
          <w:p>
            <w:pPr>
              <w:jc w:val="right"/>
              <w:ind w:right="70"/>
              <w:spacing w:after="0"/>
              <w:rPr>
                <w:sz w:val="20"/>
                <w:szCs w:val="20"/>
                <w:color w:val="auto"/>
              </w:rPr>
            </w:pPr>
            <w:r>
              <w:rPr>
                <w:rFonts w:ascii="Arial" w:cs="Arial" w:eastAsia="Arial" w:hAnsi="Arial"/>
                <w:sz w:val="20"/>
                <w:szCs w:val="20"/>
                <w:color w:val="auto"/>
              </w:rPr>
              <w:t>113,516</w:t>
            </w:r>
          </w:p>
        </w:tc>
        <w:tc>
          <w:tcPr>
            <w:tcW w:w="460" w:type="dxa"/>
            <w:vAlign w:val="bottom"/>
            <w:shd w:val="clear" w:color="auto" w:fill="CFF0FC"/>
          </w:tcPr>
          <w:p>
            <w:pPr>
              <w:spacing w:after="0"/>
              <w:rPr>
                <w:sz w:val="21"/>
                <w:szCs w:val="21"/>
                <w:color w:val="auto"/>
              </w:rPr>
            </w:pPr>
          </w:p>
        </w:tc>
        <w:tc>
          <w:tcPr>
            <w:tcW w:w="700" w:type="dxa"/>
            <w:vAlign w:val="bottom"/>
            <w:shd w:val="clear" w:color="auto" w:fill="CFF0FC"/>
          </w:tcPr>
          <w:p>
            <w:pPr>
              <w:ind w:left="40"/>
              <w:spacing w:after="0"/>
              <w:rPr>
                <w:sz w:val="20"/>
                <w:szCs w:val="20"/>
                <w:color w:val="auto"/>
              </w:rPr>
            </w:pPr>
            <w:r>
              <w:rPr>
                <w:rFonts w:ascii="Arial" w:cs="Arial" w:eastAsia="Arial" w:hAnsi="Arial"/>
                <w:sz w:val="20"/>
                <w:szCs w:val="20"/>
                <w:color w:val="auto"/>
                <w:w w:val="88"/>
              </w:rPr>
              <w:t>125,848</w:t>
            </w: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630"/>
        </w:trPr>
        <w:tc>
          <w:tcPr>
            <w:tcW w:w="4260" w:type="dxa"/>
            <w:vAlign w:val="bottom"/>
          </w:tcPr>
          <w:p>
            <w:pPr>
              <w:spacing w:after="0"/>
              <w:rPr>
                <w:sz w:val="24"/>
                <w:szCs w:val="24"/>
                <w:color w:val="auto"/>
              </w:rPr>
            </w:pPr>
          </w:p>
        </w:tc>
        <w:tc>
          <w:tcPr>
            <w:tcW w:w="4760" w:type="dxa"/>
            <w:vAlign w:val="bottom"/>
          </w:tcPr>
          <w:p>
            <w:pPr>
              <w:jc w:val="right"/>
              <w:ind w:right="3084"/>
              <w:spacing w:after="0"/>
              <w:rPr>
                <w:sz w:val="20"/>
                <w:szCs w:val="20"/>
                <w:color w:val="auto"/>
              </w:rPr>
            </w:pPr>
            <w:r>
              <w:rPr>
                <w:rFonts w:ascii="Arial" w:cs="Arial" w:eastAsia="Arial" w:hAnsi="Arial"/>
                <w:sz w:val="18"/>
                <w:szCs w:val="18"/>
                <w:color w:val="auto"/>
              </w:rPr>
              <w:t>123</w:t>
            </w:r>
          </w:p>
        </w:tc>
        <w:tc>
          <w:tcPr>
            <w:tcW w:w="1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2"/>
        </w:trPr>
        <w:tc>
          <w:tcPr>
            <w:tcW w:w="4260" w:type="dxa"/>
            <w:vAlign w:val="bottom"/>
            <w:tcBorders>
              <w:bottom w:val="single" w:sz="8" w:color="9A9A9A"/>
            </w:tcBorders>
          </w:tcPr>
          <w:p>
            <w:pPr>
              <w:spacing w:after="0"/>
              <w:rPr>
                <w:sz w:val="9"/>
                <w:szCs w:val="9"/>
                <w:color w:val="auto"/>
              </w:rPr>
            </w:pPr>
          </w:p>
        </w:tc>
        <w:tc>
          <w:tcPr>
            <w:tcW w:w="476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324" w:right="219" w:bottom="1440" w:gutter="0" w:footer="0" w:header="0"/>
        </w:sectPr>
      </w:pPr>
    </w:p>
    <w:bookmarkStart w:id="123" w:name="page124"/>
    <w:bookmarkEnd w:id="123"/>
    <w:p>
      <w:pPr>
        <w:ind w:right="60" w:firstLine="598"/>
        <w:spacing w:after="0" w:line="250" w:lineRule="auto"/>
        <w:rPr>
          <w:sz w:val="20"/>
          <w:szCs w:val="20"/>
          <w:color w:val="auto"/>
        </w:rPr>
      </w:pPr>
      <w:r>
        <w:rPr>
          <w:rFonts w:ascii="Arial" w:cs="Arial" w:eastAsia="Arial" w:hAnsi="Arial"/>
          <w:sz w:val="20"/>
          <w:szCs w:val="20"/>
          <w:color w:val="auto"/>
        </w:rPr>
        <w:t>Gross realized gains on investment securities were $23,251,000 in 2017 and $30,545,000 in 2016. During 2017, the Company sold a portion of its Fannie Mae and Freddie Mac preferred stock holdings held in the available-for-sale investment securities portfolio for a gain of $18 million. During 2016, the Company sold its collateralized debt obligations held in the available-for-sale portfolio for a gain of $30 million. There were no significant gross realized losses from sales of investment securities in 2017 or 2016. There were no significant gross realized gains or losses from sales of investment securities in 2015.</w:t>
      </w:r>
    </w:p>
    <w:p>
      <w:pPr>
        <w:spacing w:after="0" w:line="3" w:lineRule="exact"/>
        <w:rPr>
          <w:sz w:val="20"/>
          <w:szCs w:val="20"/>
          <w:color w:val="auto"/>
        </w:rPr>
      </w:pPr>
    </w:p>
    <w:p>
      <w:pPr>
        <w:ind w:left="600"/>
        <w:spacing w:after="0"/>
        <w:rPr>
          <w:sz w:val="20"/>
          <w:szCs w:val="20"/>
          <w:color w:val="auto"/>
        </w:rPr>
      </w:pPr>
      <w:r>
        <w:rPr>
          <w:rFonts w:ascii="Arial" w:cs="Arial" w:eastAsia="Arial" w:hAnsi="Arial"/>
          <w:sz w:val="19"/>
          <w:szCs w:val="19"/>
          <w:color w:val="auto"/>
        </w:rPr>
        <w:t>At December 31, 2017, the amortized cost and estimated fair value of debt securities by contractual maturity were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gridSpan w:val="3"/>
          </w:tcPr>
          <w:p>
            <w:pPr>
              <w:jc w:val="center"/>
              <w:ind w:right="880"/>
              <w:spacing w:after="0"/>
              <w:rPr>
                <w:sz w:val="20"/>
                <w:szCs w:val="20"/>
                <w:color w:val="auto"/>
              </w:rPr>
            </w:pPr>
            <w:r>
              <w:rPr>
                <w:rFonts w:ascii="Arial" w:cs="Arial" w:eastAsia="Arial" w:hAnsi="Arial"/>
                <w:sz w:val="14"/>
                <w:szCs w:val="14"/>
                <w:b w:val="1"/>
                <w:bCs w:val="1"/>
                <w:color w:val="auto"/>
                <w:w w:val="90"/>
              </w:rPr>
              <w:t>Amortized</w:t>
            </w:r>
          </w:p>
        </w:tc>
        <w:tc>
          <w:tcPr>
            <w:tcW w:w="1060" w:type="dxa"/>
            <w:vAlign w:val="bottom"/>
            <w:gridSpan w:val="2"/>
          </w:tcPr>
          <w:p>
            <w:pPr>
              <w:ind w:left="40"/>
              <w:spacing w:after="0"/>
              <w:rPr>
                <w:sz w:val="20"/>
                <w:szCs w:val="20"/>
                <w:color w:val="auto"/>
              </w:rPr>
            </w:pPr>
            <w:r>
              <w:rPr>
                <w:rFonts w:ascii="Arial" w:cs="Arial" w:eastAsia="Arial" w:hAnsi="Arial"/>
                <w:sz w:val="14"/>
                <w:szCs w:val="14"/>
                <w:b w:val="1"/>
                <w:bCs w:val="1"/>
                <w:color w:val="auto"/>
              </w:rPr>
              <w:t>Estimated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38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gridSpan w:val="3"/>
          </w:tcPr>
          <w:p>
            <w:pPr>
              <w:jc w:val="center"/>
              <w:ind w:right="880"/>
              <w:spacing w:after="0"/>
              <w:rPr>
                <w:sz w:val="20"/>
                <w:szCs w:val="20"/>
                <w:color w:val="auto"/>
              </w:rPr>
            </w:pPr>
            <w:r>
              <w:rPr>
                <w:rFonts w:ascii="Arial" w:cs="Arial" w:eastAsia="Arial" w:hAnsi="Arial"/>
                <w:sz w:val="14"/>
                <w:szCs w:val="14"/>
                <w:b w:val="1"/>
                <w:bCs w:val="1"/>
                <w:color w:val="auto"/>
                <w:w w:val="83"/>
              </w:rPr>
              <w:t>Cost</w:t>
            </w: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438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700" w:type="dxa"/>
            <w:vAlign w:val="bottom"/>
            <w:tcBorders>
              <w:top w:val="single" w:sz="8" w:color="auto"/>
            </w:tcBorders>
            <w:gridSpan w:val="3"/>
          </w:tcPr>
          <w:p>
            <w:pPr>
              <w:ind w:left="800"/>
              <w:spacing w:after="0" w:line="151" w:lineRule="exact"/>
              <w:rPr>
                <w:sz w:val="20"/>
                <w:szCs w:val="20"/>
                <w:color w:val="auto"/>
              </w:rPr>
            </w:pPr>
            <w:r>
              <w:rPr>
                <w:rFonts w:ascii="Arial" w:cs="Arial" w:eastAsia="Arial" w:hAnsi="Arial"/>
                <w:sz w:val="14"/>
                <w:szCs w:val="14"/>
                <w:b w:val="1"/>
                <w:bCs w:val="1"/>
                <w:color w:val="auto"/>
                <w:w w:val="91"/>
              </w:rPr>
              <w:t>(In thousands)</w:t>
            </w:r>
          </w:p>
        </w:tc>
        <w:tc>
          <w:tcPr>
            <w:tcW w:w="9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Debt securities available for sale:</w:t>
            </w:r>
          </w:p>
        </w:tc>
        <w:tc>
          <w:tcPr>
            <w:tcW w:w="40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80" w:type="dxa"/>
            <w:vAlign w:val="bottom"/>
          </w:tcPr>
          <w:p>
            <w:pPr>
              <w:spacing w:after="0"/>
              <w:rPr>
                <w:sz w:val="20"/>
                <w:szCs w:val="20"/>
                <w:color w:val="auto"/>
              </w:rPr>
            </w:pPr>
            <w:r>
              <w:rPr>
                <w:rFonts w:ascii="Arial" w:cs="Arial" w:eastAsia="Arial" w:hAnsi="Arial"/>
                <w:sz w:val="18"/>
                <w:szCs w:val="18"/>
                <w:color w:val="auto"/>
              </w:rPr>
              <w:t>Due in one year or less</w:t>
            </w:r>
          </w:p>
        </w:tc>
        <w:tc>
          <w:tcPr>
            <w:tcW w:w="4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616,908</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613,866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Due after one year through five years</w:t>
            </w:r>
          </w:p>
        </w:tc>
        <w:tc>
          <w:tcPr>
            <w:tcW w:w="40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1,356,410</w:t>
            </w:r>
          </w:p>
        </w:tc>
        <w:tc>
          <w:tcPr>
            <w:tcW w:w="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1,341,344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80" w:type="dxa"/>
            <w:vAlign w:val="bottom"/>
          </w:tcPr>
          <w:p>
            <w:pPr>
              <w:spacing w:after="0"/>
              <w:rPr>
                <w:sz w:val="20"/>
                <w:szCs w:val="20"/>
                <w:color w:val="auto"/>
              </w:rPr>
            </w:pPr>
            <w:r>
              <w:rPr>
                <w:rFonts w:ascii="Arial" w:cs="Arial" w:eastAsia="Arial" w:hAnsi="Arial"/>
                <w:sz w:val="18"/>
                <w:szCs w:val="18"/>
                <w:color w:val="auto"/>
              </w:rPr>
              <w:t>Due after five years through ten years</w:t>
            </w:r>
          </w:p>
        </w:tc>
        <w:tc>
          <w:tcPr>
            <w:tcW w:w="4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72,642</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72,580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Due after ten years</w:t>
            </w:r>
          </w:p>
        </w:tc>
        <w:tc>
          <w:tcPr>
            <w:tcW w:w="40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59,165</w:t>
            </w:r>
          </w:p>
        </w:tc>
        <w:tc>
          <w:tcPr>
            <w:tcW w:w="4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51,118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3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2,105,125</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2,078,908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 available for sale</w:t>
            </w:r>
          </w:p>
        </w:tc>
        <w:tc>
          <w:tcPr>
            <w:tcW w:w="40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8,755,510</w:t>
            </w:r>
          </w:p>
        </w:tc>
        <w:tc>
          <w:tcPr>
            <w:tcW w:w="4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8,716,420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380" w:type="dxa"/>
            <w:vAlign w:val="bottom"/>
          </w:tcPr>
          <w:p>
            <w:pPr>
              <w:spacing w:after="0"/>
              <w:rPr>
                <w:sz w:val="22"/>
                <w:szCs w:val="22"/>
                <w:color w:val="auto"/>
              </w:rPr>
            </w:pPr>
          </w:p>
        </w:tc>
        <w:tc>
          <w:tcPr>
            <w:tcW w:w="4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10,860,635</w:t>
            </w:r>
          </w:p>
        </w:tc>
        <w:tc>
          <w:tcPr>
            <w:tcW w:w="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10,795,328</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4380" w:type="dxa"/>
            <w:vAlign w:val="bottom"/>
            <w:tcBorders>
              <w:top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Debt securities held to maturity:</w:t>
            </w:r>
          </w:p>
        </w:tc>
        <w:tc>
          <w:tcPr>
            <w:tcW w:w="40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42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380" w:type="dxa"/>
            <w:vAlign w:val="bottom"/>
          </w:tcPr>
          <w:p>
            <w:pPr>
              <w:spacing w:after="0"/>
              <w:rPr>
                <w:sz w:val="20"/>
                <w:szCs w:val="20"/>
                <w:color w:val="auto"/>
              </w:rPr>
            </w:pPr>
            <w:r>
              <w:rPr>
                <w:rFonts w:ascii="Arial" w:cs="Arial" w:eastAsia="Arial" w:hAnsi="Arial"/>
                <w:sz w:val="18"/>
                <w:szCs w:val="18"/>
                <w:color w:val="auto"/>
              </w:rPr>
              <w:t>Due in one year or less</w:t>
            </w:r>
          </w:p>
        </w:tc>
        <w:tc>
          <w:tcPr>
            <w:tcW w:w="4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14,622</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14,656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Due after one year through five years</w:t>
            </w:r>
          </w:p>
        </w:tc>
        <w:tc>
          <w:tcPr>
            <w:tcW w:w="40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9,844</w:t>
            </w:r>
          </w:p>
        </w:tc>
        <w:tc>
          <w:tcPr>
            <w:tcW w:w="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9,865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80" w:type="dxa"/>
            <w:vAlign w:val="bottom"/>
          </w:tcPr>
          <w:p>
            <w:pPr>
              <w:spacing w:after="0"/>
              <w:rPr>
                <w:sz w:val="20"/>
                <w:szCs w:val="20"/>
                <w:color w:val="auto"/>
              </w:rPr>
            </w:pPr>
            <w:r>
              <w:rPr>
                <w:rFonts w:ascii="Arial" w:cs="Arial" w:eastAsia="Arial" w:hAnsi="Arial"/>
                <w:sz w:val="18"/>
                <w:szCs w:val="18"/>
                <w:color w:val="auto"/>
              </w:rPr>
              <w:t>Due after five years through ten years</w:t>
            </w:r>
          </w:p>
        </w:tc>
        <w:tc>
          <w:tcPr>
            <w:tcW w:w="4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96</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Due after ten years</w:t>
            </w:r>
          </w:p>
        </w:tc>
        <w:tc>
          <w:tcPr>
            <w:tcW w:w="40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5,010</w:t>
            </w:r>
          </w:p>
        </w:tc>
        <w:tc>
          <w:tcPr>
            <w:tcW w:w="4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5,010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3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29,572</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29,632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 held to maturity</w:t>
            </w:r>
          </w:p>
        </w:tc>
        <w:tc>
          <w:tcPr>
            <w:tcW w:w="40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3,323,641</w:t>
            </w:r>
          </w:p>
        </w:tc>
        <w:tc>
          <w:tcPr>
            <w:tcW w:w="4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3,312,130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18"/>
                <w:szCs w:val="18"/>
                <w:color w:val="auto"/>
              </w:rPr>
            </w:pPr>
          </w:p>
        </w:tc>
        <w:tc>
          <w:tcPr>
            <w:tcW w:w="4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3,353,213</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3,341,762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4080" w:type="dxa"/>
            <w:vAlign w:val="bottom"/>
            <w:vMerge w:val="restart"/>
          </w:tcPr>
          <w:p>
            <w:pPr>
              <w:jc w:val="right"/>
              <w:ind w:right="2532"/>
              <w:spacing w:after="0"/>
              <w:rPr>
                <w:sz w:val="20"/>
                <w:szCs w:val="20"/>
                <w:color w:val="auto"/>
              </w:rPr>
            </w:pPr>
            <w:r>
              <w:rPr>
                <w:rFonts w:ascii="Arial" w:cs="Arial" w:eastAsia="Arial" w:hAnsi="Arial"/>
                <w:sz w:val="18"/>
                <w:szCs w:val="18"/>
                <w:color w:val="auto"/>
              </w:rPr>
              <w:t>124</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0"/>
        </w:trPr>
        <w:tc>
          <w:tcPr>
            <w:tcW w:w="4380" w:type="dxa"/>
            <w:vAlign w:val="bottom"/>
          </w:tcPr>
          <w:p>
            <w:pPr>
              <w:spacing w:after="0"/>
              <w:rPr>
                <w:sz w:val="24"/>
                <w:szCs w:val="24"/>
                <w:color w:val="auto"/>
              </w:rPr>
            </w:pPr>
          </w:p>
        </w:tc>
        <w:tc>
          <w:tcPr>
            <w:tcW w:w="40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380" w:type="dxa"/>
            <w:vAlign w:val="bottom"/>
            <w:tcBorders>
              <w:bottom w:val="single" w:sz="8" w:color="9A9A9A"/>
            </w:tcBorders>
          </w:tcPr>
          <w:p>
            <w:pPr>
              <w:spacing w:after="0"/>
              <w:rPr>
                <w:sz w:val="9"/>
                <w:szCs w:val="9"/>
                <w:color w:val="auto"/>
              </w:rPr>
            </w:pPr>
          </w:p>
        </w:tc>
        <w:tc>
          <w:tcPr>
            <w:tcW w:w="40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375" w:right="219" w:bottom="1440" w:gutter="0" w:footer="0" w:header="0"/>
        </w:sectPr>
      </w:pPr>
    </w:p>
    <w:bookmarkStart w:id="124" w:name="page125"/>
    <w:bookmarkEnd w:id="124"/>
    <w:p>
      <w:pPr>
        <w:ind w:right="40" w:firstLine="598"/>
        <w:spacing w:after="0" w:line="302" w:lineRule="auto"/>
        <w:rPr>
          <w:sz w:val="20"/>
          <w:szCs w:val="20"/>
          <w:color w:val="auto"/>
        </w:rPr>
      </w:pPr>
      <w:r>
        <w:rPr>
          <w:rFonts w:ascii="Arial" w:cs="Arial" w:eastAsia="Arial" w:hAnsi="Arial"/>
          <w:sz w:val="19"/>
          <w:szCs w:val="19"/>
          <w:color w:val="auto"/>
        </w:rPr>
        <w:t>A summary of investment securities that as of December 31, 2017 and 2016 had been in a continuous unrealized loss position for less than twelve months and those that had been in a continuous unrealized loss position for twelve months or longer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9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6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Less Than 12 Months</w:t>
            </w:r>
          </w:p>
        </w:tc>
        <w:tc>
          <w:tcPr>
            <w:tcW w:w="230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12 Months or More</w:t>
            </w:r>
          </w:p>
        </w:tc>
        <w:tc>
          <w:tcPr>
            <w:tcW w:w="0" w:type="dxa"/>
            <w:vAlign w:val="bottom"/>
          </w:tcPr>
          <w:p>
            <w:pPr>
              <w:spacing w:after="0"/>
              <w:rPr>
                <w:sz w:val="1"/>
                <w:szCs w:val="1"/>
                <w:color w:val="auto"/>
              </w:rPr>
            </w:pPr>
          </w:p>
        </w:tc>
      </w:tr>
      <w:tr>
        <w:trPr>
          <w:trHeight w:val="128"/>
        </w:trPr>
        <w:tc>
          <w:tcPr>
            <w:tcW w:w="49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jc w:val="center"/>
              <w:ind w:right="500"/>
              <w:spacing w:after="0" w:line="129" w:lineRule="exact"/>
              <w:rPr>
                <w:sz w:val="20"/>
                <w:szCs w:val="20"/>
                <w:color w:val="auto"/>
              </w:rPr>
            </w:pPr>
            <w:r>
              <w:rPr>
                <w:rFonts w:ascii="Arial" w:cs="Arial" w:eastAsia="Arial" w:hAnsi="Arial"/>
                <w:sz w:val="14"/>
                <w:szCs w:val="14"/>
                <w:b w:val="1"/>
                <w:bCs w:val="1"/>
                <w:color w:val="auto"/>
                <w:w w:val="93"/>
              </w:rPr>
              <w:t>Fair</w:t>
            </w:r>
          </w:p>
        </w:tc>
        <w:tc>
          <w:tcPr>
            <w:tcW w:w="920" w:type="dxa"/>
            <w:vAlign w:val="bottom"/>
            <w:tcBorders>
              <w:top w:val="single" w:sz="8" w:color="auto"/>
            </w:tcBorders>
          </w:tcPr>
          <w:p>
            <w:pPr>
              <w:jc w:val="right"/>
              <w:ind w:right="54"/>
              <w:spacing w:after="0" w:line="129" w:lineRule="exact"/>
              <w:rPr>
                <w:sz w:val="20"/>
                <w:szCs w:val="20"/>
                <w:color w:val="auto"/>
              </w:rPr>
            </w:pPr>
            <w:r>
              <w:rPr>
                <w:rFonts w:ascii="Arial" w:cs="Arial" w:eastAsia="Arial" w:hAnsi="Arial"/>
                <w:sz w:val="14"/>
                <w:szCs w:val="14"/>
                <w:b w:val="1"/>
                <w:bCs w:val="1"/>
                <w:color w:val="auto"/>
              </w:rPr>
              <w:t>Unrealized</w:t>
            </w:r>
          </w:p>
        </w:tc>
        <w:tc>
          <w:tcPr>
            <w:tcW w:w="340" w:type="dxa"/>
            <w:vAlign w:val="bottom"/>
          </w:tcPr>
          <w:p>
            <w:pPr>
              <w:spacing w:after="0"/>
              <w:rPr>
                <w:sz w:val="11"/>
                <w:szCs w:val="11"/>
                <w:color w:val="auto"/>
              </w:rPr>
            </w:pPr>
          </w:p>
        </w:tc>
        <w:tc>
          <w:tcPr>
            <w:tcW w:w="1260" w:type="dxa"/>
            <w:vAlign w:val="bottom"/>
            <w:tcBorders>
              <w:top w:val="single" w:sz="8" w:color="auto"/>
            </w:tcBorders>
            <w:gridSpan w:val="2"/>
          </w:tcPr>
          <w:p>
            <w:pPr>
              <w:jc w:val="center"/>
              <w:ind w:right="360"/>
              <w:spacing w:after="0" w:line="129" w:lineRule="exact"/>
              <w:rPr>
                <w:sz w:val="20"/>
                <w:szCs w:val="20"/>
                <w:color w:val="auto"/>
              </w:rPr>
            </w:pPr>
            <w:r>
              <w:rPr>
                <w:rFonts w:ascii="Arial" w:cs="Arial" w:eastAsia="Arial" w:hAnsi="Arial"/>
                <w:sz w:val="14"/>
                <w:szCs w:val="14"/>
                <w:b w:val="1"/>
                <w:bCs w:val="1"/>
                <w:color w:val="auto"/>
              </w:rPr>
              <w:t>Fair</w:t>
            </w:r>
          </w:p>
        </w:tc>
        <w:tc>
          <w:tcPr>
            <w:tcW w:w="940" w:type="dxa"/>
            <w:vAlign w:val="bottom"/>
            <w:tcBorders>
              <w:top w:val="single" w:sz="8" w:color="auto"/>
            </w:tcBorders>
          </w:tcPr>
          <w:p>
            <w:pPr>
              <w:jc w:val="right"/>
              <w:ind w:right="54"/>
              <w:spacing w:after="0" w:line="129" w:lineRule="exact"/>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9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5"/>
              </w:rPr>
              <w:t>Value</w:t>
            </w:r>
          </w:p>
        </w:tc>
        <w:tc>
          <w:tcPr>
            <w:tcW w:w="12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Losses</w:t>
            </w: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10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Losses</w:t>
            </w:r>
          </w:p>
        </w:tc>
        <w:tc>
          <w:tcPr>
            <w:tcW w:w="0" w:type="dxa"/>
            <w:vAlign w:val="bottom"/>
          </w:tcPr>
          <w:p>
            <w:pPr>
              <w:spacing w:after="0"/>
              <w:rPr>
                <w:sz w:val="1"/>
                <w:szCs w:val="1"/>
                <w:color w:val="auto"/>
              </w:rPr>
            </w:pPr>
          </w:p>
        </w:tc>
      </w:tr>
      <w:tr>
        <w:trPr>
          <w:trHeight w:val="151"/>
        </w:trPr>
        <w:tc>
          <w:tcPr>
            <w:tcW w:w="49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2520" w:type="dxa"/>
            <w:vAlign w:val="bottom"/>
            <w:tcBorders>
              <w:top w:val="single" w:sz="8" w:color="auto"/>
            </w:tcBorders>
            <w:gridSpan w:val="4"/>
          </w:tcPr>
          <w:p>
            <w:pPr>
              <w:ind w:left="660"/>
              <w:spacing w:after="0" w:line="151" w:lineRule="exact"/>
              <w:rPr>
                <w:sz w:val="20"/>
                <w:szCs w:val="20"/>
                <w:color w:val="auto"/>
              </w:rPr>
            </w:pPr>
            <w:r>
              <w:rPr>
                <w:rFonts w:ascii="Arial" w:cs="Arial" w:eastAsia="Arial" w:hAnsi="Arial"/>
                <w:sz w:val="14"/>
                <w:szCs w:val="14"/>
                <w:b w:val="1"/>
                <w:bCs w:val="1"/>
                <w:color w:val="auto"/>
              </w:rPr>
              <w:t>(In thousands)</w:t>
            </w: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December 31, 2017</w:t>
            </w:r>
          </w:p>
        </w:tc>
        <w:tc>
          <w:tcPr>
            <w:tcW w:w="1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1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U.S. Treasury and federal agencies</w:t>
            </w:r>
          </w:p>
        </w:tc>
        <w:tc>
          <w:tcPr>
            <w:tcW w:w="18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278,132</w:t>
            </w:r>
          </w:p>
        </w:tc>
        <w:tc>
          <w:tcPr>
            <w:tcW w:w="3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(1,761)</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1,669,355</w:t>
            </w:r>
          </w:p>
        </w:tc>
        <w:tc>
          <w:tcPr>
            <w:tcW w:w="3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(16,417)</w:t>
            </w:r>
          </w:p>
        </w:tc>
        <w:tc>
          <w:tcPr>
            <w:tcW w:w="0" w:type="dxa"/>
            <w:vAlign w:val="bottom"/>
          </w:tcPr>
          <w:p>
            <w:pPr>
              <w:spacing w:after="0"/>
              <w:rPr>
                <w:sz w:val="1"/>
                <w:szCs w:val="1"/>
                <w:color w:val="auto"/>
              </w:rPr>
            </w:pPr>
          </w:p>
        </w:tc>
      </w:tr>
      <w:tr>
        <w:trPr>
          <w:trHeight w:val="223"/>
        </w:trPr>
        <w:tc>
          <w:tcPr>
            <w:tcW w:w="494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1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474</w:t>
            </w:r>
          </w:p>
        </w:tc>
        <w:tc>
          <w:tcPr>
            <w:tcW w:w="34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4"/>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w:t>
            </w:r>
          </w:p>
        </w:tc>
        <w:tc>
          <w:tcPr>
            <w:tcW w:w="1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tcPr>
          <w:p>
            <w:pPr>
              <w:ind w:left="240"/>
              <w:spacing w:after="0"/>
              <w:rPr>
                <w:sz w:val="20"/>
                <w:szCs w:val="20"/>
                <w:color w:val="auto"/>
              </w:rPr>
            </w:pPr>
            <w:r>
              <w:rPr>
                <w:rFonts w:ascii="Arial" w:cs="Arial" w:eastAsia="Arial" w:hAnsi="Arial"/>
                <w:sz w:val="18"/>
                <w:szCs w:val="18"/>
                <w:color w:val="auto"/>
              </w:rPr>
              <w:t>Government issued or guaranteed</w:t>
            </w:r>
          </w:p>
        </w:tc>
        <w:tc>
          <w:tcPr>
            <w:tcW w:w="1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89"/>
              </w:rPr>
              <w:t>2,106,142</w:t>
            </w:r>
          </w:p>
        </w:tc>
        <w:tc>
          <w:tcPr>
            <w:tcW w:w="340" w:type="dxa"/>
            <w:vAlign w:val="bottom"/>
          </w:tcPr>
          <w:p>
            <w:pPr>
              <w:spacing w:after="0"/>
              <w:rPr>
                <w:sz w:val="19"/>
                <w:szCs w:val="19"/>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(13,695)</w:t>
            </w:r>
          </w:p>
        </w:tc>
        <w:tc>
          <w:tcPr>
            <w:tcW w:w="920" w:type="dxa"/>
            <w:vAlign w:val="bottom"/>
          </w:tcPr>
          <w:p>
            <w:pPr>
              <w:jc w:val="right"/>
              <w:spacing w:after="0"/>
              <w:rPr>
                <w:sz w:val="20"/>
                <w:szCs w:val="20"/>
                <w:color w:val="auto"/>
              </w:rPr>
            </w:pPr>
            <w:r>
              <w:rPr>
                <w:rFonts w:ascii="Arial" w:cs="Arial" w:eastAsia="Arial" w:hAnsi="Arial"/>
                <w:sz w:val="18"/>
                <w:szCs w:val="18"/>
                <w:color w:val="auto"/>
              </w:rPr>
              <w:t>3,138,841</w:t>
            </w:r>
          </w:p>
        </w:tc>
        <w:tc>
          <w:tcPr>
            <w:tcW w:w="34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(84,892)</w:t>
            </w:r>
          </w:p>
        </w:tc>
        <w:tc>
          <w:tcPr>
            <w:tcW w:w="0" w:type="dxa"/>
            <w:vAlign w:val="bottom"/>
          </w:tcPr>
          <w:p>
            <w:pPr>
              <w:spacing w:after="0"/>
              <w:rPr>
                <w:sz w:val="1"/>
                <w:szCs w:val="1"/>
                <w:color w:val="auto"/>
              </w:rPr>
            </w:pPr>
          </w:p>
        </w:tc>
      </w:tr>
      <w:tr>
        <w:trPr>
          <w:trHeight w:val="224"/>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Other debt securities</w:t>
            </w:r>
          </w:p>
        </w:tc>
        <w:tc>
          <w:tcPr>
            <w:tcW w:w="1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3,067</w:t>
            </w:r>
          </w:p>
        </w:tc>
        <w:tc>
          <w:tcPr>
            <w:tcW w:w="3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(26)</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61,159</w:t>
            </w:r>
          </w:p>
        </w:tc>
        <w:tc>
          <w:tcPr>
            <w:tcW w:w="3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(10,449)</w:t>
            </w:r>
          </w:p>
        </w:tc>
        <w:tc>
          <w:tcPr>
            <w:tcW w:w="0" w:type="dxa"/>
            <w:vAlign w:val="bottom"/>
          </w:tcPr>
          <w:p>
            <w:pPr>
              <w:spacing w:after="0"/>
              <w:rPr>
                <w:sz w:val="1"/>
                <w:szCs w:val="1"/>
                <w:color w:val="auto"/>
              </w:rPr>
            </w:pPr>
          </w:p>
        </w:tc>
      </w:tr>
      <w:tr>
        <w:trPr>
          <w:trHeight w:val="223"/>
        </w:trPr>
        <w:tc>
          <w:tcPr>
            <w:tcW w:w="4940" w:type="dxa"/>
            <w:vAlign w:val="bottom"/>
          </w:tcPr>
          <w:p>
            <w:pPr>
              <w:spacing w:after="0"/>
              <w:rPr>
                <w:sz w:val="20"/>
                <w:szCs w:val="20"/>
                <w:color w:val="auto"/>
              </w:rPr>
            </w:pPr>
            <w:r>
              <w:rPr>
                <w:rFonts w:ascii="Arial" w:cs="Arial" w:eastAsia="Arial" w:hAnsi="Arial"/>
                <w:sz w:val="18"/>
                <w:szCs w:val="18"/>
                <w:color w:val="auto"/>
              </w:rPr>
              <w:t>Equity securities</w:t>
            </w:r>
          </w:p>
        </w:tc>
        <w:tc>
          <w:tcPr>
            <w:tcW w:w="1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18,162</w:t>
            </w:r>
          </w:p>
        </w:tc>
        <w:tc>
          <w:tcPr>
            <w:tcW w:w="34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0"/>
        </w:trPr>
        <w:tc>
          <w:tcPr>
            <w:tcW w:w="4940" w:type="dxa"/>
            <w:vAlign w:val="bottom"/>
            <w:shd w:val="clear" w:color="auto" w:fill="CFF0FC"/>
          </w:tcPr>
          <w:p>
            <w:pPr>
              <w:spacing w:after="0" w:line="20" w:lineRule="exact"/>
              <w:rPr>
                <w:sz w:val="1"/>
                <w:szCs w:val="1"/>
                <w:color w:val="auto"/>
              </w:rPr>
            </w:pPr>
          </w:p>
        </w:tc>
        <w:tc>
          <w:tcPr>
            <w:tcW w:w="16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94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2,387,341</w:t>
            </w:r>
          </w:p>
        </w:tc>
        <w:tc>
          <w:tcPr>
            <w:tcW w:w="3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(15,482)</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4,887,991</w:t>
            </w:r>
          </w:p>
        </w:tc>
        <w:tc>
          <w:tcPr>
            <w:tcW w:w="3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(112,184)</w:t>
            </w:r>
          </w:p>
        </w:tc>
        <w:tc>
          <w:tcPr>
            <w:tcW w:w="0" w:type="dxa"/>
            <w:vAlign w:val="bottom"/>
          </w:tcPr>
          <w:p>
            <w:pPr>
              <w:spacing w:after="0"/>
              <w:rPr>
                <w:sz w:val="1"/>
                <w:szCs w:val="1"/>
                <w:color w:val="auto"/>
              </w:rPr>
            </w:pPr>
          </w:p>
        </w:tc>
      </w:tr>
      <w:tr>
        <w:trPr>
          <w:trHeight w:val="217"/>
        </w:trPr>
        <w:tc>
          <w:tcPr>
            <w:tcW w:w="49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Investment securities held to maturity:</w:t>
            </w:r>
          </w:p>
        </w:tc>
        <w:tc>
          <w:tcPr>
            <w:tcW w:w="1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1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2,954</w:t>
            </w:r>
          </w:p>
        </w:tc>
        <w:tc>
          <w:tcPr>
            <w:tcW w:w="340" w:type="dxa"/>
            <w:vAlign w:val="bottom"/>
          </w:tcPr>
          <w:p>
            <w:pPr>
              <w:spacing w:after="0"/>
              <w:rPr>
                <w:sz w:val="19"/>
                <w:szCs w:val="19"/>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(4)</w:t>
            </w:r>
          </w:p>
        </w:tc>
        <w:tc>
          <w:tcPr>
            <w:tcW w:w="920" w:type="dxa"/>
            <w:vAlign w:val="bottom"/>
          </w:tcPr>
          <w:p>
            <w:pPr>
              <w:jc w:val="right"/>
              <w:spacing w:after="0"/>
              <w:rPr>
                <w:sz w:val="20"/>
                <w:szCs w:val="20"/>
                <w:color w:val="auto"/>
              </w:rPr>
            </w:pPr>
            <w:r>
              <w:rPr>
                <w:rFonts w:ascii="Arial" w:cs="Arial" w:eastAsia="Arial" w:hAnsi="Arial"/>
                <w:sz w:val="18"/>
                <w:szCs w:val="18"/>
                <w:color w:val="auto"/>
              </w:rPr>
              <w:t>6,110</w:t>
            </w:r>
          </w:p>
        </w:tc>
        <w:tc>
          <w:tcPr>
            <w:tcW w:w="34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4"/>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w:t>
            </w:r>
          </w:p>
        </w:tc>
        <w:tc>
          <w:tcPr>
            <w:tcW w:w="1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tcPr>
          <w:p>
            <w:pPr>
              <w:ind w:left="240"/>
              <w:spacing w:after="0"/>
              <w:rPr>
                <w:sz w:val="20"/>
                <w:szCs w:val="20"/>
                <w:color w:val="auto"/>
              </w:rPr>
            </w:pPr>
            <w:r>
              <w:rPr>
                <w:rFonts w:ascii="Arial" w:cs="Arial" w:eastAsia="Arial" w:hAnsi="Arial"/>
                <w:sz w:val="18"/>
                <w:szCs w:val="18"/>
                <w:color w:val="auto"/>
              </w:rPr>
              <w:t>Government issued or guaranteed</w:t>
            </w:r>
          </w:p>
        </w:tc>
        <w:tc>
          <w:tcPr>
            <w:tcW w:w="1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89"/>
              </w:rPr>
              <w:t>1,331,759</w:t>
            </w:r>
          </w:p>
        </w:tc>
        <w:tc>
          <w:tcPr>
            <w:tcW w:w="340" w:type="dxa"/>
            <w:vAlign w:val="bottom"/>
          </w:tcPr>
          <w:p>
            <w:pPr>
              <w:spacing w:after="0"/>
              <w:rPr>
                <w:sz w:val="19"/>
                <w:szCs w:val="19"/>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(7,036)</w:t>
            </w:r>
          </w:p>
        </w:tc>
        <w:tc>
          <w:tcPr>
            <w:tcW w:w="920" w:type="dxa"/>
            <w:vAlign w:val="bottom"/>
          </w:tcPr>
          <w:p>
            <w:pPr>
              <w:jc w:val="right"/>
              <w:spacing w:after="0"/>
              <w:rPr>
                <w:sz w:val="20"/>
                <w:szCs w:val="20"/>
                <w:color w:val="auto"/>
              </w:rPr>
            </w:pPr>
            <w:r>
              <w:rPr>
                <w:rFonts w:ascii="Arial" w:cs="Arial" w:eastAsia="Arial" w:hAnsi="Arial"/>
                <w:sz w:val="18"/>
                <w:szCs w:val="18"/>
                <w:color w:val="auto"/>
              </w:rPr>
              <w:t>265,695</w:t>
            </w:r>
          </w:p>
        </w:tc>
        <w:tc>
          <w:tcPr>
            <w:tcW w:w="34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(6,710)</w:t>
            </w:r>
          </w:p>
        </w:tc>
        <w:tc>
          <w:tcPr>
            <w:tcW w:w="0" w:type="dxa"/>
            <w:vAlign w:val="bottom"/>
          </w:tcPr>
          <w:p>
            <w:pPr>
              <w:spacing w:after="0"/>
              <w:rPr>
                <w:sz w:val="1"/>
                <w:szCs w:val="1"/>
                <w:color w:val="auto"/>
              </w:rPr>
            </w:pPr>
          </w:p>
        </w:tc>
      </w:tr>
      <w:tr>
        <w:trPr>
          <w:trHeight w:val="223"/>
        </w:trPr>
        <w:tc>
          <w:tcPr>
            <w:tcW w:w="4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Privately issued</w:t>
            </w:r>
          </w:p>
        </w:tc>
        <w:tc>
          <w:tcPr>
            <w:tcW w:w="1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5,061</w:t>
            </w:r>
          </w:p>
        </w:tc>
        <w:tc>
          <w:tcPr>
            <w:tcW w:w="3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(1,216)</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55,255</w:t>
            </w:r>
          </w:p>
        </w:tc>
        <w:tc>
          <w:tcPr>
            <w:tcW w:w="3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(26,359)</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9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89"/>
              </w:rPr>
              <w:t>1,339,774</w:t>
            </w:r>
          </w:p>
        </w:tc>
        <w:tc>
          <w:tcPr>
            <w:tcW w:w="34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(8,256)</w:t>
            </w:r>
          </w:p>
        </w:tc>
        <w:tc>
          <w:tcPr>
            <w:tcW w:w="920" w:type="dxa"/>
            <w:vAlign w:val="bottom"/>
          </w:tcPr>
          <w:p>
            <w:pPr>
              <w:jc w:val="right"/>
              <w:spacing w:after="0"/>
              <w:rPr>
                <w:sz w:val="20"/>
                <w:szCs w:val="20"/>
                <w:color w:val="auto"/>
              </w:rPr>
            </w:pPr>
            <w:r>
              <w:rPr>
                <w:rFonts w:ascii="Arial" w:cs="Arial" w:eastAsia="Arial" w:hAnsi="Arial"/>
                <w:sz w:val="18"/>
                <w:szCs w:val="18"/>
                <w:color w:val="auto"/>
              </w:rPr>
              <w:t>327,060</w:t>
            </w:r>
          </w:p>
        </w:tc>
        <w:tc>
          <w:tcPr>
            <w:tcW w:w="3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(33,114)</w:t>
            </w:r>
          </w:p>
        </w:tc>
        <w:tc>
          <w:tcPr>
            <w:tcW w:w="0" w:type="dxa"/>
            <w:vAlign w:val="bottom"/>
          </w:tcPr>
          <w:p>
            <w:pPr>
              <w:spacing w:after="0"/>
              <w:rPr>
                <w:sz w:val="1"/>
                <w:szCs w:val="1"/>
                <w:color w:val="auto"/>
              </w:rPr>
            </w:pPr>
          </w:p>
        </w:tc>
      </w:tr>
      <w:tr>
        <w:trPr>
          <w:trHeight w:val="20"/>
        </w:trPr>
        <w:tc>
          <w:tcPr>
            <w:tcW w:w="49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w:t>
            </w:r>
          </w:p>
        </w:tc>
        <w:tc>
          <w:tcPr>
            <w:tcW w:w="16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940" w:type="dxa"/>
            <w:vAlign w:val="bottom"/>
            <w:vMerge w:val="continue"/>
            <w:shd w:val="clear" w:color="auto" w:fill="CFF0FC"/>
          </w:tcPr>
          <w:p>
            <w:pPr>
              <w:spacing w:after="0"/>
              <w:rPr>
                <w:sz w:val="18"/>
                <w:szCs w:val="18"/>
                <w:color w:val="auto"/>
              </w:rPr>
            </w:pPr>
          </w:p>
        </w:tc>
        <w:tc>
          <w:tcPr>
            <w:tcW w:w="18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3,727,115</w:t>
            </w:r>
          </w:p>
        </w:tc>
        <w:tc>
          <w:tcPr>
            <w:tcW w:w="3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(23,738)</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5,215,051</w:t>
            </w:r>
          </w:p>
        </w:tc>
        <w:tc>
          <w:tcPr>
            <w:tcW w:w="3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(145,298)</w:t>
            </w:r>
          </w:p>
        </w:tc>
        <w:tc>
          <w:tcPr>
            <w:tcW w:w="0" w:type="dxa"/>
            <w:vAlign w:val="bottom"/>
          </w:tcPr>
          <w:p>
            <w:pPr>
              <w:spacing w:after="0"/>
              <w:rPr>
                <w:sz w:val="1"/>
                <w:szCs w:val="1"/>
                <w:color w:val="auto"/>
              </w:rPr>
            </w:pPr>
          </w:p>
        </w:tc>
      </w:tr>
      <w:tr>
        <w:trPr>
          <w:trHeight w:val="20"/>
        </w:trPr>
        <w:tc>
          <w:tcPr>
            <w:tcW w:w="4940" w:type="dxa"/>
            <w:vAlign w:val="bottom"/>
            <w:tcBorders>
              <w:top w:val="single" w:sz="8" w:color="CFF0FC"/>
            </w:tcBorders>
          </w:tcPr>
          <w:p>
            <w:pPr>
              <w:spacing w:after="0" w:line="20" w:lineRule="exact"/>
              <w:rPr>
                <w:sz w:val="1"/>
                <w:szCs w:val="1"/>
                <w:color w:val="auto"/>
              </w:rPr>
            </w:pPr>
          </w:p>
        </w:tc>
        <w:tc>
          <w:tcPr>
            <w:tcW w:w="16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December 31, 2016</w:t>
            </w:r>
          </w:p>
        </w:tc>
        <w:tc>
          <w:tcPr>
            <w:tcW w:w="16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94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1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U.S. Treasury and federal agencies</w:t>
            </w:r>
          </w:p>
        </w:tc>
        <w:tc>
          <w:tcPr>
            <w:tcW w:w="18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1,710,241</w:t>
            </w:r>
          </w:p>
        </w:tc>
        <w:tc>
          <w:tcPr>
            <w:tcW w:w="34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(9,950)</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2,295</w:t>
            </w:r>
          </w:p>
        </w:tc>
        <w:tc>
          <w:tcPr>
            <w:tcW w:w="34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6"/>
        </w:trPr>
        <w:tc>
          <w:tcPr>
            <w:tcW w:w="494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1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593</w:t>
            </w:r>
          </w:p>
        </w:tc>
        <w:tc>
          <w:tcPr>
            <w:tcW w:w="34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7"/>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w:t>
            </w:r>
          </w:p>
        </w:tc>
        <w:tc>
          <w:tcPr>
            <w:tcW w:w="16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940" w:type="dxa"/>
            <w:vAlign w:val="bottom"/>
          </w:tcPr>
          <w:p>
            <w:pPr>
              <w:ind w:left="240"/>
              <w:spacing w:after="0"/>
              <w:rPr>
                <w:sz w:val="20"/>
                <w:szCs w:val="20"/>
                <w:color w:val="auto"/>
              </w:rPr>
            </w:pPr>
            <w:r>
              <w:rPr>
                <w:rFonts w:ascii="Arial" w:cs="Arial" w:eastAsia="Arial" w:hAnsi="Arial"/>
                <w:sz w:val="18"/>
                <w:szCs w:val="18"/>
                <w:color w:val="auto"/>
              </w:rPr>
              <w:t>Government issued or guaranteed</w:t>
            </w:r>
          </w:p>
        </w:tc>
        <w:tc>
          <w:tcPr>
            <w:tcW w:w="1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89"/>
              </w:rPr>
              <w:t>6,730,829</w:t>
            </w:r>
          </w:p>
        </w:tc>
        <w:tc>
          <w:tcPr>
            <w:tcW w:w="340" w:type="dxa"/>
            <w:vAlign w:val="bottom"/>
          </w:tcPr>
          <w:p>
            <w:pPr>
              <w:spacing w:after="0"/>
              <w:rPr>
                <w:sz w:val="20"/>
                <w:szCs w:val="20"/>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(113,374)</w:t>
            </w:r>
          </w:p>
        </w:tc>
        <w:tc>
          <w:tcPr>
            <w:tcW w:w="920" w:type="dxa"/>
            <w:vAlign w:val="bottom"/>
          </w:tcPr>
          <w:p>
            <w:pPr>
              <w:jc w:val="right"/>
              <w:spacing w:after="0"/>
              <w:rPr>
                <w:sz w:val="20"/>
                <w:szCs w:val="20"/>
                <w:color w:val="auto"/>
              </w:rPr>
            </w:pPr>
            <w:r>
              <w:rPr>
                <w:rFonts w:ascii="Arial" w:cs="Arial" w:eastAsia="Arial" w:hAnsi="Arial"/>
                <w:sz w:val="18"/>
                <w:szCs w:val="18"/>
                <w:color w:val="auto"/>
              </w:rPr>
              <w:t>81,003</w:t>
            </w:r>
          </w:p>
        </w:tc>
        <w:tc>
          <w:tcPr>
            <w:tcW w:w="34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37"/>
        </w:trPr>
        <w:tc>
          <w:tcPr>
            <w:tcW w:w="4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Privately issued</w:t>
            </w:r>
          </w:p>
        </w:tc>
        <w:tc>
          <w:tcPr>
            <w:tcW w:w="16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34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6"/>
        </w:trPr>
        <w:tc>
          <w:tcPr>
            <w:tcW w:w="4940" w:type="dxa"/>
            <w:vAlign w:val="bottom"/>
          </w:tcPr>
          <w:p>
            <w:pPr>
              <w:spacing w:after="0"/>
              <w:rPr>
                <w:sz w:val="20"/>
                <w:szCs w:val="20"/>
                <w:color w:val="auto"/>
              </w:rPr>
            </w:pPr>
            <w:r>
              <w:rPr>
                <w:rFonts w:ascii="Arial" w:cs="Arial" w:eastAsia="Arial" w:hAnsi="Arial"/>
                <w:sz w:val="18"/>
                <w:szCs w:val="18"/>
                <w:color w:val="auto"/>
              </w:rPr>
              <w:t>Other debt securities</w:t>
            </w:r>
          </w:p>
        </w:tc>
        <w:tc>
          <w:tcPr>
            <w:tcW w:w="1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w:t>
            </w:r>
          </w:p>
        </w:tc>
        <w:tc>
          <w:tcPr>
            <w:tcW w:w="340" w:type="dxa"/>
            <w:vAlign w:val="bottom"/>
          </w:tcPr>
          <w:p>
            <w:pPr>
              <w:spacing w:after="0"/>
              <w:rPr>
                <w:sz w:val="20"/>
                <w:szCs w:val="20"/>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920" w:type="dxa"/>
            <w:vAlign w:val="bottom"/>
          </w:tcPr>
          <w:p>
            <w:pPr>
              <w:jc w:val="right"/>
              <w:spacing w:after="0"/>
              <w:rPr>
                <w:sz w:val="20"/>
                <w:szCs w:val="20"/>
                <w:color w:val="auto"/>
              </w:rPr>
            </w:pPr>
            <w:r>
              <w:rPr>
                <w:rFonts w:ascii="Arial" w:cs="Arial" w:eastAsia="Arial" w:hAnsi="Arial"/>
                <w:sz w:val="18"/>
                <w:szCs w:val="18"/>
                <w:color w:val="auto"/>
              </w:rPr>
              <w:t>85,400</w:t>
            </w:r>
          </w:p>
        </w:tc>
        <w:tc>
          <w:tcPr>
            <w:tcW w:w="34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(16,995)</w:t>
            </w:r>
          </w:p>
        </w:tc>
        <w:tc>
          <w:tcPr>
            <w:tcW w:w="0" w:type="dxa"/>
            <w:vAlign w:val="bottom"/>
          </w:tcPr>
          <w:p>
            <w:pPr>
              <w:spacing w:after="0"/>
              <w:rPr>
                <w:sz w:val="1"/>
                <w:szCs w:val="1"/>
                <w:color w:val="auto"/>
              </w:rPr>
            </w:pPr>
          </w:p>
        </w:tc>
      </w:tr>
      <w:tr>
        <w:trPr>
          <w:trHeight w:val="237"/>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Equity securities</w:t>
            </w:r>
          </w:p>
        </w:tc>
        <w:tc>
          <w:tcPr>
            <w:tcW w:w="16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17,776</w:t>
            </w:r>
          </w:p>
        </w:tc>
        <w:tc>
          <w:tcPr>
            <w:tcW w:w="34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(422)</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w:t>
            </w:r>
          </w:p>
        </w:tc>
        <w:tc>
          <w:tcPr>
            <w:tcW w:w="34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9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89"/>
              </w:rPr>
              <w:t>8,458,946</w:t>
            </w:r>
          </w:p>
        </w:tc>
        <w:tc>
          <w:tcPr>
            <w:tcW w:w="340" w:type="dxa"/>
            <w:vAlign w:val="bottom"/>
          </w:tcPr>
          <w:p>
            <w:pPr>
              <w:spacing w:after="0"/>
              <w:rPr>
                <w:sz w:val="19"/>
                <w:szCs w:val="19"/>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(123,747)</w:t>
            </w:r>
          </w:p>
        </w:tc>
        <w:tc>
          <w:tcPr>
            <w:tcW w:w="920" w:type="dxa"/>
            <w:vAlign w:val="bottom"/>
          </w:tcPr>
          <w:p>
            <w:pPr>
              <w:jc w:val="right"/>
              <w:spacing w:after="0"/>
              <w:rPr>
                <w:sz w:val="20"/>
                <w:szCs w:val="20"/>
                <w:color w:val="auto"/>
              </w:rPr>
            </w:pPr>
            <w:r>
              <w:rPr>
                <w:rFonts w:ascii="Arial" w:cs="Arial" w:eastAsia="Arial" w:hAnsi="Arial"/>
                <w:sz w:val="18"/>
                <w:szCs w:val="18"/>
                <w:color w:val="auto"/>
              </w:rPr>
              <w:t>169,469</w:t>
            </w:r>
          </w:p>
        </w:tc>
        <w:tc>
          <w:tcPr>
            <w:tcW w:w="34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(17,768)</w:t>
            </w:r>
          </w:p>
        </w:tc>
        <w:tc>
          <w:tcPr>
            <w:tcW w:w="0" w:type="dxa"/>
            <w:vAlign w:val="bottom"/>
          </w:tcPr>
          <w:p>
            <w:pPr>
              <w:spacing w:after="0"/>
              <w:rPr>
                <w:sz w:val="1"/>
                <w:szCs w:val="1"/>
                <w:color w:val="auto"/>
              </w:rPr>
            </w:pPr>
          </w:p>
        </w:tc>
      </w:tr>
      <w:tr>
        <w:trPr>
          <w:trHeight w:val="230"/>
        </w:trPr>
        <w:tc>
          <w:tcPr>
            <w:tcW w:w="4940" w:type="dxa"/>
            <w:vAlign w:val="bottom"/>
            <w:tcBorders>
              <w:top w:val="single" w:sz="8" w:color="CFF0FC"/>
            </w:tcBorders>
            <w:shd w:val="clear" w:color="auto" w:fill="CFF0FC"/>
          </w:tcPr>
          <w:p>
            <w:pPr>
              <w:spacing w:after="0"/>
              <w:rPr>
                <w:sz w:val="19"/>
                <w:szCs w:val="19"/>
                <w:color w:val="auto"/>
              </w:rPr>
            </w:pPr>
          </w:p>
        </w:tc>
        <w:tc>
          <w:tcPr>
            <w:tcW w:w="16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940" w:type="dxa"/>
            <w:vAlign w:val="bottom"/>
          </w:tcPr>
          <w:p>
            <w:pPr>
              <w:spacing w:after="0"/>
              <w:rPr>
                <w:sz w:val="20"/>
                <w:szCs w:val="20"/>
                <w:color w:val="auto"/>
              </w:rPr>
            </w:pPr>
            <w:r>
              <w:rPr>
                <w:rFonts w:ascii="Arial" w:cs="Arial" w:eastAsia="Arial" w:hAnsi="Arial"/>
                <w:sz w:val="18"/>
                <w:szCs w:val="18"/>
                <w:color w:val="auto"/>
              </w:rPr>
              <w:t>Investment securities held to maturity:</w:t>
            </w:r>
          </w:p>
        </w:tc>
        <w:tc>
          <w:tcPr>
            <w:tcW w:w="1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Obligations of states and political subdivisions</w:t>
            </w:r>
          </w:p>
        </w:tc>
        <w:tc>
          <w:tcPr>
            <w:tcW w:w="16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17,988</w:t>
            </w:r>
          </w:p>
        </w:tc>
        <w:tc>
          <w:tcPr>
            <w:tcW w:w="34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(126)</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11,891</w:t>
            </w:r>
          </w:p>
        </w:tc>
        <w:tc>
          <w:tcPr>
            <w:tcW w:w="34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36"/>
        </w:trPr>
        <w:tc>
          <w:tcPr>
            <w:tcW w:w="494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1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Government issued or guaranteed</w:t>
            </w:r>
          </w:p>
        </w:tc>
        <w:tc>
          <w:tcPr>
            <w:tcW w:w="16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618,832</w:t>
            </w:r>
          </w:p>
        </w:tc>
        <w:tc>
          <w:tcPr>
            <w:tcW w:w="34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(6,842)</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17,481</w:t>
            </w:r>
          </w:p>
        </w:tc>
        <w:tc>
          <w:tcPr>
            <w:tcW w:w="34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36"/>
        </w:trPr>
        <w:tc>
          <w:tcPr>
            <w:tcW w:w="4940" w:type="dxa"/>
            <w:vAlign w:val="bottom"/>
          </w:tcPr>
          <w:p>
            <w:pPr>
              <w:ind w:left="240"/>
              <w:spacing w:after="0"/>
              <w:rPr>
                <w:sz w:val="20"/>
                <w:szCs w:val="20"/>
                <w:color w:val="auto"/>
              </w:rPr>
            </w:pPr>
            <w:r>
              <w:rPr>
                <w:rFonts w:ascii="Arial" w:cs="Arial" w:eastAsia="Arial" w:hAnsi="Arial"/>
                <w:sz w:val="18"/>
                <w:szCs w:val="18"/>
                <w:color w:val="auto"/>
              </w:rPr>
              <w:t>Privately issued</w:t>
            </w:r>
          </w:p>
        </w:tc>
        <w:tc>
          <w:tcPr>
            <w:tcW w:w="1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17,911</w:t>
            </w:r>
          </w:p>
        </w:tc>
        <w:tc>
          <w:tcPr>
            <w:tcW w:w="340" w:type="dxa"/>
            <w:vAlign w:val="bottom"/>
          </w:tcPr>
          <w:p>
            <w:pPr>
              <w:spacing w:after="0"/>
              <w:rPr>
                <w:sz w:val="20"/>
                <w:szCs w:val="20"/>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(1,222)</w:t>
            </w:r>
          </w:p>
        </w:tc>
        <w:tc>
          <w:tcPr>
            <w:tcW w:w="920" w:type="dxa"/>
            <w:vAlign w:val="bottom"/>
          </w:tcPr>
          <w:p>
            <w:pPr>
              <w:jc w:val="right"/>
              <w:spacing w:after="0"/>
              <w:rPr>
                <w:sz w:val="20"/>
                <w:szCs w:val="20"/>
                <w:color w:val="auto"/>
              </w:rPr>
            </w:pPr>
            <w:r>
              <w:rPr>
                <w:rFonts w:ascii="Arial" w:cs="Arial" w:eastAsia="Arial" w:hAnsi="Arial"/>
                <w:sz w:val="18"/>
                <w:szCs w:val="18"/>
                <w:color w:val="auto"/>
              </w:rPr>
              <w:t>57,016</w:t>
            </w:r>
          </w:p>
        </w:tc>
        <w:tc>
          <w:tcPr>
            <w:tcW w:w="34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(35,898)</w:t>
            </w:r>
          </w:p>
        </w:tc>
        <w:tc>
          <w:tcPr>
            <w:tcW w:w="0" w:type="dxa"/>
            <w:vAlign w:val="bottom"/>
          </w:tcPr>
          <w:p>
            <w:pPr>
              <w:spacing w:after="0"/>
              <w:rPr>
                <w:sz w:val="1"/>
                <w:szCs w:val="1"/>
                <w:color w:val="auto"/>
              </w:rPr>
            </w:pPr>
          </w:p>
        </w:tc>
      </w:tr>
      <w:tr>
        <w:trPr>
          <w:trHeight w:val="20"/>
        </w:trPr>
        <w:tc>
          <w:tcPr>
            <w:tcW w:w="4940" w:type="dxa"/>
            <w:vAlign w:val="bottom"/>
            <w:shd w:val="clear" w:color="auto" w:fill="CFF0FC"/>
          </w:tcPr>
          <w:p>
            <w:pPr>
              <w:spacing w:after="0" w:line="20" w:lineRule="exact"/>
              <w:rPr>
                <w:sz w:val="1"/>
                <w:szCs w:val="1"/>
                <w:color w:val="auto"/>
              </w:rPr>
            </w:pPr>
          </w:p>
        </w:tc>
        <w:tc>
          <w:tcPr>
            <w:tcW w:w="16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94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654,731</w:t>
            </w:r>
          </w:p>
        </w:tc>
        <w:tc>
          <w:tcPr>
            <w:tcW w:w="3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(8,190)</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86,388</w:t>
            </w:r>
          </w:p>
        </w:tc>
        <w:tc>
          <w:tcPr>
            <w:tcW w:w="3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(36,528)</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Total</w:t>
            </w:r>
          </w:p>
        </w:tc>
        <w:tc>
          <w:tcPr>
            <w:tcW w:w="1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89"/>
              </w:rPr>
              <w:t>9,113,677</w:t>
            </w:r>
          </w:p>
        </w:tc>
        <w:tc>
          <w:tcPr>
            <w:tcW w:w="340" w:type="dxa"/>
            <w:vAlign w:val="bottom"/>
          </w:tcPr>
          <w:p>
            <w:pPr>
              <w:spacing w:after="0"/>
              <w:rPr>
                <w:sz w:val="19"/>
                <w:szCs w:val="19"/>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(131,937)</w:t>
            </w:r>
          </w:p>
        </w:tc>
        <w:tc>
          <w:tcPr>
            <w:tcW w:w="920" w:type="dxa"/>
            <w:vAlign w:val="bottom"/>
          </w:tcPr>
          <w:p>
            <w:pPr>
              <w:jc w:val="right"/>
              <w:spacing w:after="0"/>
              <w:rPr>
                <w:sz w:val="20"/>
                <w:szCs w:val="20"/>
                <w:color w:val="auto"/>
              </w:rPr>
            </w:pPr>
            <w:r>
              <w:rPr>
                <w:rFonts w:ascii="Arial" w:cs="Arial" w:eastAsia="Arial" w:hAnsi="Arial"/>
                <w:sz w:val="18"/>
                <w:szCs w:val="18"/>
                <w:color w:val="auto"/>
              </w:rPr>
              <w:t>255,857</w:t>
            </w:r>
          </w:p>
        </w:tc>
        <w:tc>
          <w:tcPr>
            <w:tcW w:w="34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(54,296)</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ind w:right="60" w:firstLine="598"/>
        <w:spacing w:after="0" w:line="253" w:lineRule="auto"/>
        <w:rPr>
          <w:sz w:val="20"/>
          <w:szCs w:val="20"/>
          <w:color w:val="auto"/>
        </w:rPr>
      </w:pPr>
      <w:r>
        <w:rPr>
          <w:rFonts w:ascii="Arial" w:cs="Arial" w:eastAsia="Arial" w:hAnsi="Arial"/>
          <w:sz w:val="20"/>
          <w:szCs w:val="20"/>
          <w:color w:val="auto"/>
        </w:rPr>
        <w:t>The Company owned 1,163 individual investment securities with aggregate gross unrealized losses of $169 million at December 31, 2017. Based on a review of each of the securities in the investment securities portfolio at December 31, 2017, the Company concluded that it expected to recover the amortized cost basis of its investment. As of December 31, 2017, the Company does not intend to sell nor is it anticipated that it would be required to sell any of its impaired investment securities at a loss. At December 31, 2017, the Company has not identified events or changes in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75" w:right="239" w:bottom="1440" w:gutter="0" w:footer="0" w:header="0"/>
        </w:sectPr>
      </w:pPr>
    </w:p>
    <w:bookmarkStart w:id="125" w:name="page126"/>
    <w:bookmarkEnd w:id="125"/>
    <w:p>
      <w:pPr>
        <w:ind w:left="600" w:right="580" w:hanging="597"/>
        <w:spacing w:after="0" w:line="284" w:lineRule="auto"/>
        <w:rPr>
          <w:sz w:val="20"/>
          <w:szCs w:val="20"/>
          <w:color w:val="auto"/>
        </w:rPr>
      </w:pPr>
      <w:r>
        <w:rPr>
          <w:rFonts w:ascii="Arial" w:cs="Arial" w:eastAsia="Arial" w:hAnsi="Arial"/>
          <w:sz w:val="18"/>
          <w:szCs w:val="18"/>
          <w:color w:val="auto"/>
        </w:rPr>
        <w:t>circumstances which may have a significant adverse effect on the fair value of the $415 million of cost method investment securities. At December 31, 2017, investment securities with a carrying value of $2,401,871,000, including $1,942,287,000 of investment</w:t>
      </w:r>
    </w:p>
    <w:p>
      <w:pPr>
        <w:spacing w:after="0" w:line="1"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securities available for sale, were pledged to secure borrowings from various FHLBs, repurchase agreements, governmental deposits, interest rate swap agreements and available lines of credit as described in note 9.</w:t>
      </w:r>
    </w:p>
    <w:p>
      <w:pPr>
        <w:spacing w:after="0" w:line="2" w:lineRule="exact"/>
        <w:rPr>
          <w:sz w:val="20"/>
          <w:szCs w:val="20"/>
          <w:color w:val="auto"/>
        </w:rPr>
      </w:pPr>
    </w:p>
    <w:p>
      <w:pPr>
        <w:jc w:val="both"/>
        <w:ind w:right="140" w:firstLine="598"/>
        <w:spacing w:after="0" w:line="251" w:lineRule="auto"/>
        <w:rPr>
          <w:sz w:val="20"/>
          <w:szCs w:val="20"/>
          <w:color w:val="auto"/>
        </w:rPr>
      </w:pPr>
      <w:r>
        <w:rPr>
          <w:rFonts w:ascii="Arial" w:cs="Arial" w:eastAsia="Arial" w:hAnsi="Arial"/>
          <w:sz w:val="20"/>
          <w:szCs w:val="20"/>
          <w:color w:val="auto"/>
        </w:rPr>
        <w:t>Investment securities pledged by the Company to secure obligations whereby the secured party is permitted by contract or custom to sell or repledge such collateral totaled $487,151,000 at December 31, 2017. The pledged securities included securities of the U.S. Treasury and federal agencies and mortgage-backed securities.</w:t>
      </w:r>
    </w:p>
    <w:p>
      <w:pPr>
        <w:spacing w:after="0" w:line="360"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4.</w:t>
      </w:r>
      <w:r>
        <w:rPr>
          <w:sz w:val="20"/>
          <w:szCs w:val="20"/>
          <w:color w:val="auto"/>
        </w:rPr>
        <w:tab/>
      </w:r>
      <w:r>
        <w:rPr>
          <w:rFonts w:ascii="Arial" w:cs="Arial" w:eastAsia="Arial" w:hAnsi="Arial"/>
          <w:sz w:val="17"/>
          <w:szCs w:val="17"/>
          <w:b w:val="1"/>
          <w:bCs w:val="1"/>
          <w:color w:val="auto"/>
        </w:rPr>
        <w:t>Loans and leases</w:t>
      </w:r>
    </w:p>
    <w:p>
      <w:pPr>
        <w:spacing w:after="0" w:line="29" w:lineRule="exact"/>
        <w:rPr>
          <w:sz w:val="20"/>
          <w:szCs w:val="20"/>
          <w:color w:val="auto"/>
        </w:rPr>
      </w:pPr>
    </w:p>
    <w:p>
      <w:pPr>
        <w:spacing w:after="0"/>
        <w:rPr>
          <w:sz w:val="20"/>
          <w:szCs w:val="20"/>
          <w:color w:val="auto"/>
        </w:rPr>
      </w:pPr>
      <w:r>
        <w:rPr>
          <w:rFonts w:ascii="Arial" w:cs="Arial" w:eastAsia="Arial" w:hAnsi="Arial"/>
          <w:sz w:val="20"/>
          <w:szCs w:val="20"/>
          <w:color w:val="auto"/>
        </w:rPr>
        <w:t>Total loans and leases outstanding were comprised of the following:</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1"/>
        </w:trPr>
        <w:tc>
          <w:tcPr>
            <w:tcW w:w="82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46"/>
              <w:spacing w:after="0" w:line="151"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62"/>
              <w:spacing w:after="0" w:line="151"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r>
      <w:tr>
        <w:trPr>
          <w:trHeight w:val="151"/>
        </w:trPr>
        <w:tc>
          <w:tcPr>
            <w:tcW w:w="8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80" w:type="dxa"/>
            <w:vAlign w:val="bottom"/>
            <w:gridSpan w:val="3"/>
          </w:tcPr>
          <w:p>
            <w:pPr>
              <w:jc w:val="right"/>
              <w:spacing w:after="0" w:line="151" w:lineRule="exact"/>
              <w:rPr>
                <w:sz w:val="20"/>
                <w:szCs w:val="20"/>
                <w:color w:val="auto"/>
              </w:rPr>
            </w:pPr>
            <w:r>
              <w:rPr>
                <w:rFonts w:ascii="Arial" w:cs="Arial" w:eastAsia="Arial" w:hAnsi="Arial"/>
                <w:sz w:val="14"/>
                <w:szCs w:val="14"/>
                <w:b w:val="1"/>
                <w:bCs w:val="1"/>
                <w:color w:val="auto"/>
              </w:rPr>
              <w:t>(In thousands)</w:t>
            </w: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50"/>
        </w:trPr>
        <w:tc>
          <w:tcPr>
            <w:tcW w:w="8240" w:type="dxa"/>
            <w:vAlign w:val="bottom"/>
            <w:shd w:val="clear" w:color="auto" w:fill="CFF0FC"/>
          </w:tcPr>
          <w:p>
            <w:pPr>
              <w:spacing w:after="0"/>
              <w:rPr>
                <w:sz w:val="20"/>
                <w:szCs w:val="20"/>
                <w:color w:val="auto"/>
              </w:rPr>
            </w:pPr>
            <w:r>
              <w:rPr>
                <w:rFonts w:ascii="Arial" w:cs="Arial" w:eastAsia="Arial" w:hAnsi="Arial"/>
                <w:sz w:val="20"/>
                <w:szCs w:val="20"/>
                <w:color w:val="auto"/>
              </w:rPr>
              <w:t>Loans</w:t>
            </w: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50"/>
        </w:trPr>
        <w:tc>
          <w:tcPr>
            <w:tcW w:w="8240" w:type="dxa"/>
            <w:vAlign w:val="bottom"/>
          </w:tcPr>
          <w:p>
            <w:pPr>
              <w:spacing w:after="0"/>
              <w:rPr>
                <w:sz w:val="20"/>
                <w:szCs w:val="20"/>
                <w:color w:val="auto"/>
              </w:rPr>
            </w:pPr>
            <w:r>
              <w:rPr>
                <w:rFonts w:ascii="Arial" w:cs="Arial" w:eastAsia="Arial" w:hAnsi="Arial"/>
                <w:sz w:val="20"/>
                <w:szCs w:val="20"/>
                <w:color w:val="auto"/>
              </w:rPr>
              <w:t>Commercial, financial, etc.</w:t>
            </w:r>
          </w:p>
        </w:tc>
        <w:tc>
          <w:tcPr>
            <w:tcW w:w="280" w:type="dxa"/>
            <w:vAlign w:val="bottom"/>
          </w:tcPr>
          <w:p>
            <w:pPr>
              <w:jc w:val="right"/>
              <w:ind w:right="79"/>
              <w:spacing w:after="0"/>
              <w:rPr>
                <w:sz w:val="20"/>
                <w:szCs w:val="20"/>
                <w:color w:val="auto"/>
              </w:rPr>
            </w:pPr>
            <w:r>
              <w:rPr>
                <w:rFonts w:ascii="Arial" w:cs="Arial" w:eastAsia="Arial" w:hAnsi="Arial"/>
                <w:sz w:val="20"/>
                <w:szCs w:val="20"/>
                <w:color w:val="auto"/>
                <w:w w:val="71"/>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20,474,696</w:t>
            </w:r>
          </w:p>
        </w:tc>
        <w:tc>
          <w:tcPr>
            <w:tcW w:w="320" w:type="dxa"/>
            <w:vAlign w:val="bottom"/>
          </w:tcPr>
          <w:p>
            <w:pPr>
              <w:spacing w:after="0"/>
              <w:rPr>
                <w:sz w:val="21"/>
                <w:szCs w:val="21"/>
                <w:color w:val="auto"/>
              </w:rPr>
            </w:pPr>
          </w:p>
        </w:tc>
        <w:tc>
          <w:tcPr>
            <w:tcW w:w="380" w:type="dxa"/>
            <w:vAlign w:val="bottom"/>
          </w:tcPr>
          <w:p>
            <w:pPr>
              <w:jc w:val="right"/>
              <w:ind w:right="179"/>
              <w:spacing w:after="0"/>
              <w:rPr>
                <w:sz w:val="20"/>
                <w:szCs w:val="20"/>
                <w:color w:val="auto"/>
              </w:rPr>
            </w:pPr>
            <w:r>
              <w:rPr>
                <w:rFonts w:ascii="Arial" w:cs="Arial" w:eastAsia="Arial" w:hAnsi="Arial"/>
                <w:sz w:val="20"/>
                <w:szCs w:val="20"/>
                <w:color w:val="auto"/>
                <w:w w:val="71"/>
              </w:rPr>
              <w:t>$</w:t>
            </w:r>
          </w:p>
        </w:tc>
        <w:tc>
          <w:tcPr>
            <w:tcW w:w="1000" w:type="dxa"/>
            <w:vAlign w:val="bottom"/>
          </w:tcPr>
          <w:p>
            <w:pPr>
              <w:jc w:val="right"/>
              <w:spacing w:after="0"/>
              <w:rPr>
                <w:sz w:val="20"/>
                <w:szCs w:val="20"/>
                <w:color w:val="auto"/>
              </w:rPr>
            </w:pPr>
            <w:r>
              <w:rPr>
                <w:rFonts w:ascii="Arial" w:cs="Arial" w:eastAsia="Arial" w:hAnsi="Arial"/>
                <w:sz w:val="20"/>
                <w:szCs w:val="20"/>
                <w:color w:val="auto"/>
                <w:w w:val="97"/>
              </w:rPr>
              <w:t>21,351,119</w:t>
            </w:r>
          </w:p>
        </w:tc>
        <w:tc>
          <w:tcPr>
            <w:tcW w:w="120" w:type="dxa"/>
            <w:vAlign w:val="bottom"/>
          </w:tcPr>
          <w:p>
            <w:pPr>
              <w:spacing w:after="0"/>
              <w:rPr>
                <w:sz w:val="21"/>
                <w:szCs w:val="21"/>
                <w:color w:val="auto"/>
              </w:rPr>
            </w:pPr>
          </w:p>
        </w:tc>
      </w:tr>
      <w:tr>
        <w:trPr>
          <w:trHeight w:val="250"/>
        </w:trPr>
        <w:tc>
          <w:tcPr>
            <w:tcW w:w="8240" w:type="dxa"/>
            <w:vAlign w:val="bottom"/>
            <w:shd w:val="clear" w:color="auto" w:fill="CFF0FC"/>
          </w:tcPr>
          <w:p>
            <w:pPr>
              <w:spacing w:after="0"/>
              <w:rPr>
                <w:sz w:val="20"/>
                <w:szCs w:val="20"/>
                <w:color w:val="auto"/>
              </w:rPr>
            </w:pPr>
            <w:r>
              <w:rPr>
                <w:rFonts w:ascii="Arial" w:cs="Arial" w:eastAsia="Arial" w:hAnsi="Arial"/>
                <w:sz w:val="20"/>
                <w:szCs w:val="20"/>
                <w:color w:val="auto"/>
              </w:rPr>
              <w:t>Real estate:</w:t>
            </w: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50"/>
        </w:trPr>
        <w:tc>
          <w:tcPr>
            <w:tcW w:w="8240" w:type="dxa"/>
            <w:vAlign w:val="bottom"/>
          </w:tcPr>
          <w:p>
            <w:pPr>
              <w:ind w:left="240"/>
              <w:spacing w:after="0"/>
              <w:rPr>
                <w:sz w:val="20"/>
                <w:szCs w:val="20"/>
                <w:color w:val="auto"/>
              </w:rPr>
            </w:pPr>
            <w:r>
              <w:rPr>
                <w:rFonts w:ascii="Arial" w:cs="Arial" w:eastAsia="Arial" w:hAnsi="Arial"/>
                <w:sz w:val="20"/>
                <w:szCs w:val="20"/>
                <w:color w:val="auto"/>
              </w:rPr>
              <w:t>Residential</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19,619,259</w:t>
            </w:r>
          </w:p>
        </w:tc>
        <w:tc>
          <w:tcPr>
            <w:tcW w:w="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w w:val="97"/>
              </w:rPr>
              <w:t>22,584,141</w:t>
            </w:r>
          </w:p>
        </w:tc>
        <w:tc>
          <w:tcPr>
            <w:tcW w:w="120" w:type="dxa"/>
            <w:vAlign w:val="bottom"/>
          </w:tcPr>
          <w:p>
            <w:pPr>
              <w:spacing w:after="0"/>
              <w:rPr>
                <w:sz w:val="21"/>
                <w:szCs w:val="21"/>
                <w:color w:val="auto"/>
              </w:rPr>
            </w:pPr>
          </w:p>
        </w:tc>
      </w:tr>
      <w:tr>
        <w:trPr>
          <w:trHeight w:val="250"/>
        </w:trPr>
        <w:tc>
          <w:tcPr>
            <w:tcW w:w="82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Commercial</w:t>
            </w: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25,345,779</w:t>
            </w:r>
          </w:p>
        </w:tc>
        <w:tc>
          <w:tcPr>
            <w:tcW w:w="3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w w:val="97"/>
              </w:rPr>
              <w:t>25,550,057</w:t>
            </w:r>
          </w:p>
        </w:tc>
        <w:tc>
          <w:tcPr>
            <w:tcW w:w="120" w:type="dxa"/>
            <w:vAlign w:val="bottom"/>
            <w:shd w:val="clear" w:color="auto" w:fill="CFF0FC"/>
          </w:tcPr>
          <w:p>
            <w:pPr>
              <w:spacing w:after="0"/>
              <w:rPr>
                <w:sz w:val="21"/>
                <w:szCs w:val="21"/>
                <w:color w:val="auto"/>
              </w:rPr>
            </w:pPr>
          </w:p>
        </w:tc>
      </w:tr>
      <w:tr>
        <w:trPr>
          <w:trHeight w:val="250"/>
        </w:trPr>
        <w:tc>
          <w:tcPr>
            <w:tcW w:w="8240" w:type="dxa"/>
            <w:vAlign w:val="bottom"/>
          </w:tcPr>
          <w:p>
            <w:pPr>
              <w:ind w:left="240"/>
              <w:spacing w:after="0"/>
              <w:rPr>
                <w:sz w:val="20"/>
                <w:szCs w:val="20"/>
                <w:color w:val="auto"/>
              </w:rPr>
            </w:pPr>
            <w:r>
              <w:rPr>
                <w:rFonts w:ascii="Arial" w:cs="Arial" w:eastAsia="Arial" w:hAnsi="Arial"/>
                <w:sz w:val="20"/>
                <w:szCs w:val="20"/>
                <w:color w:val="auto"/>
              </w:rPr>
              <w:t>Construction</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8,125,925</w:t>
            </w:r>
          </w:p>
        </w:tc>
        <w:tc>
          <w:tcPr>
            <w:tcW w:w="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8,066,756</w:t>
            </w:r>
          </w:p>
        </w:tc>
        <w:tc>
          <w:tcPr>
            <w:tcW w:w="120" w:type="dxa"/>
            <w:vAlign w:val="bottom"/>
          </w:tcPr>
          <w:p>
            <w:pPr>
              <w:spacing w:after="0"/>
              <w:rPr>
                <w:sz w:val="21"/>
                <w:szCs w:val="21"/>
                <w:color w:val="auto"/>
              </w:rPr>
            </w:pPr>
          </w:p>
        </w:tc>
      </w:tr>
      <w:tr>
        <w:trPr>
          <w:trHeight w:val="250"/>
        </w:trPr>
        <w:tc>
          <w:tcPr>
            <w:tcW w:w="8240" w:type="dxa"/>
            <w:vAlign w:val="bottom"/>
            <w:shd w:val="clear" w:color="auto" w:fill="CFF0FC"/>
          </w:tcPr>
          <w:p>
            <w:pPr>
              <w:spacing w:after="0"/>
              <w:rPr>
                <w:sz w:val="20"/>
                <w:szCs w:val="20"/>
                <w:color w:val="auto"/>
              </w:rPr>
            </w:pPr>
            <w:r>
              <w:rPr>
                <w:rFonts w:ascii="Arial" w:cs="Arial" w:eastAsia="Arial" w:hAnsi="Arial"/>
                <w:sz w:val="20"/>
                <w:szCs w:val="20"/>
                <w:color w:val="auto"/>
              </w:rPr>
              <w:t>Consumer</w:t>
            </w:r>
          </w:p>
        </w:tc>
        <w:tc>
          <w:tcPr>
            <w:tcW w:w="28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13,251,665</w:t>
            </w:r>
          </w:p>
        </w:tc>
        <w:tc>
          <w:tcPr>
            <w:tcW w:w="320" w:type="dxa"/>
            <w:vAlign w:val="bottom"/>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97"/>
              </w:rPr>
              <w:t>12,130,094</w:t>
            </w:r>
          </w:p>
        </w:tc>
        <w:tc>
          <w:tcPr>
            <w:tcW w:w="120" w:type="dxa"/>
            <w:vAlign w:val="bottom"/>
            <w:shd w:val="clear" w:color="auto" w:fill="CFF0FC"/>
          </w:tcPr>
          <w:p>
            <w:pPr>
              <w:spacing w:after="0"/>
              <w:rPr>
                <w:sz w:val="21"/>
                <w:szCs w:val="21"/>
                <w:color w:val="auto"/>
              </w:rPr>
            </w:pPr>
          </w:p>
        </w:tc>
      </w:tr>
      <w:tr>
        <w:trPr>
          <w:trHeight w:val="243"/>
        </w:trPr>
        <w:tc>
          <w:tcPr>
            <w:tcW w:w="8240" w:type="dxa"/>
            <w:vAlign w:val="bottom"/>
          </w:tcPr>
          <w:p>
            <w:pPr>
              <w:ind w:left="240"/>
              <w:spacing w:after="0"/>
              <w:rPr>
                <w:sz w:val="20"/>
                <w:szCs w:val="20"/>
                <w:color w:val="auto"/>
              </w:rPr>
            </w:pPr>
            <w:r>
              <w:rPr>
                <w:rFonts w:ascii="Arial" w:cs="Arial" w:eastAsia="Arial" w:hAnsi="Arial"/>
                <w:sz w:val="20"/>
                <w:szCs w:val="20"/>
                <w:color w:val="auto"/>
              </w:rPr>
              <w:t>Total loans</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86,817,324</w:t>
            </w:r>
          </w:p>
        </w:tc>
        <w:tc>
          <w:tcPr>
            <w:tcW w:w="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w w:val="97"/>
              </w:rPr>
              <w:t>89,682,167</w:t>
            </w:r>
          </w:p>
        </w:tc>
        <w:tc>
          <w:tcPr>
            <w:tcW w:w="120" w:type="dxa"/>
            <w:vAlign w:val="bottom"/>
          </w:tcPr>
          <w:p>
            <w:pPr>
              <w:spacing w:after="0"/>
              <w:rPr>
                <w:sz w:val="21"/>
                <w:szCs w:val="21"/>
                <w:color w:val="auto"/>
              </w:rPr>
            </w:pPr>
          </w:p>
        </w:tc>
      </w:tr>
      <w:tr>
        <w:trPr>
          <w:trHeight w:val="250"/>
        </w:trPr>
        <w:tc>
          <w:tcPr>
            <w:tcW w:w="8240" w:type="dxa"/>
            <w:vAlign w:val="bottom"/>
            <w:shd w:val="clear" w:color="auto" w:fill="CFF0FC"/>
          </w:tcPr>
          <w:p>
            <w:pPr>
              <w:spacing w:after="0"/>
              <w:rPr>
                <w:sz w:val="20"/>
                <w:szCs w:val="20"/>
                <w:color w:val="auto"/>
              </w:rPr>
            </w:pPr>
            <w:r>
              <w:rPr>
                <w:rFonts w:ascii="Arial" w:cs="Arial" w:eastAsia="Arial" w:hAnsi="Arial"/>
                <w:sz w:val="20"/>
                <w:szCs w:val="20"/>
                <w:color w:val="auto"/>
              </w:rPr>
              <w:t>Leases</w:t>
            </w: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50"/>
        </w:trPr>
        <w:tc>
          <w:tcPr>
            <w:tcW w:w="8240" w:type="dxa"/>
            <w:vAlign w:val="bottom"/>
            <w:tcBorders>
              <w:bottom w:val="single" w:sz="8" w:color="CFF0FC"/>
            </w:tcBorders>
          </w:tcPr>
          <w:p>
            <w:pPr>
              <w:ind w:left="240"/>
              <w:spacing w:after="0"/>
              <w:rPr>
                <w:sz w:val="20"/>
                <w:szCs w:val="20"/>
                <w:color w:val="auto"/>
              </w:rPr>
            </w:pPr>
            <w:r>
              <w:rPr>
                <w:rFonts w:ascii="Arial" w:cs="Arial" w:eastAsia="Arial" w:hAnsi="Arial"/>
                <w:sz w:val="20"/>
                <w:szCs w:val="20"/>
                <w:color w:val="auto"/>
              </w:rPr>
              <w:t>Commercial</w:t>
            </w: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1,425,562</w:t>
            </w:r>
          </w:p>
        </w:tc>
        <w:tc>
          <w:tcPr>
            <w:tcW w:w="320" w:type="dxa"/>
            <w:vAlign w:val="bottom"/>
            <w:tcBorders>
              <w:bottom w:val="single" w:sz="8" w:color="CFF0FC"/>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1,419,510</w:t>
            </w:r>
          </w:p>
        </w:tc>
        <w:tc>
          <w:tcPr>
            <w:tcW w:w="120" w:type="dxa"/>
            <w:vAlign w:val="bottom"/>
            <w:tcBorders>
              <w:bottom w:val="single" w:sz="8" w:color="CFF0FC"/>
            </w:tcBorders>
          </w:tcPr>
          <w:p>
            <w:pPr>
              <w:spacing w:after="0"/>
              <w:rPr>
                <w:sz w:val="21"/>
                <w:szCs w:val="21"/>
                <w:color w:val="auto"/>
              </w:rPr>
            </w:pPr>
          </w:p>
        </w:tc>
      </w:tr>
      <w:tr>
        <w:trPr>
          <w:trHeight w:val="243"/>
        </w:trPr>
        <w:tc>
          <w:tcPr>
            <w:tcW w:w="8240" w:type="dxa"/>
            <w:vAlign w:val="bottom"/>
            <w:shd w:val="clear" w:color="auto" w:fill="CFF0FC"/>
          </w:tcPr>
          <w:p>
            <w:pPr>
              <w:spacing w:after="0"/>
              <w:rPr>
                <w:sz w:val="20"/>
                <w:szCs w:val="20"/>
                <w:color w:val="auto"/>
              </w:rPr>
            </w:pPr>
            <w:r>
              <w:rPr>
                <w:rFonts w:ascii="Arial" w:cs="Arial" w:eastAsia="Arial" w:hAnsi="Arial"/>
                <w:sz w:val="20"/>
                <w:szCs w:val="20"/>
                <w:color w:val="auto"/>
              </w:rPr>
              <w:t>Total loans and leases</w:t>
            </w: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88,242,886</w:t>
            </w:r>
          </w:p>
        </w:tc>
        <w:tc>
          <w:tcPr>
            <w:tcW w:w="3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w w:val="97"/>
              </w:rPr>
              <w:t>91,101,677</w:t>
            </w:r>
          </w:p>
        </w:tc>
        <w:tc>
          <w:tcPr>
            <w:tcW w:w="120" w:type="dxa"/>
            <w:vAlign w:val="bottom"/>
            <w:shd w:val="clear" w:color="auto" w:fill="CFF0FC"/>
          </w:tcPr>
          <w:p>
            <w:pPr>
              <w:spacing w:after="0"/>
              <w:rPr>
                <w:sz w:val="21"/>
                <w:szCs w:val="21"/>
                <w:color w:val="auto"/>
              </w:rPr>
            </w:pPr>
          </w:p>
        </w:tc>
      </w:tr>
      <w:tr>
        <w:trPr>
          <w:trHeight w:val="250"/>
        </w:trPr>
        <w:tc>
          <w:tcPr>
            <w:tcW w:w="8240" w:type="dxa"/>
            <w:vAlign w:val="bottom"/>
          </w:tcPr>
          <w:p>
            <w:pPr>
              <w:spacing w:after="0"/>
              <w:rPr>
                <w:sz w:val="20"/>
                <w:szCs w:val="20"/>
                <w:color w:val="auto"/>
              </w:rPr>
            </w:pPr>
            <w:r>
              <w:rPr>
                <w:rFonts w:ascii="Arial" w:cs="Arial" w:eastAsia="Arial" w:hAnsi="Arial"/>
                <w:sz w:val="20"/>
                <w:szCs w:val="20"/>
                <w:color w:val="auto"/>
              </w:rPr>
              <w:t>Less: unearned discount</w:t>
            </w:r>
          </w:p>
        </w:tc>
        <w:tc>
          <w:tcPr>
            <w:tcW w:w="280" w:type="dxa"/>
            <w:vAlign w:val="bottom"/>
          </w:tcPr>
          <w:p>
            <w:pPr>
              <w:spacing w:after="0"/>
              <w:rPr>
                <w:sz w:val="21"/>
                <w:szCs w:val="21"/>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20"/>
                <w:szCs w:val="20"/>
                <w:color w:val="auto"/>
              </w:rPr>
              <w:t>(253,903)</w:t>
            </w:r>
          </w:p>
        </w:tc>
        <w:tc>
          <w:tcPr>
            <w:tcW w:w="38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20"/>
                <w:szCs w:val="20"/>
                <w:color w:val="auto"/>
              </w:rPr>
              <w:t>(248,261)</w:t>
            </w:r>
          </w:p>
        </w:tc>
      </w:tr>
      <w:tr>
        <w:trPr>
          <w:trHeight w:val="243"/>
        </w:trPr>
        <w:tc>
          <w:tcPr>
            <w:tcW w:w="82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Total loans and leases, net of unearned discount</w:t>
            </w:r>
          </w:p>
        </w:tc>
        <w:tc>
          <w:tcPr>
            <w:tcW w:w="280" w:type="dxa"/>
            <w:vAlign w:val="bottom"/>
            <w:tcBorders>
              <w:top w:val="single" w:sz="8" w:color="auto"/>
              <w:bottom w:val="single" w:sz="8" w:color="auto"/>
            </w:tcBorders>
            <w:shd w:val="clear" w:color="auto" w:fill="CFF0FC"/>
          </w:tcPr>
          <w:p>
            <w:pPr>
              <w:jc w:val="right"/>
              <w:ind w:right="79"/>
              <w:spacing w:after="0"/>
              <w:rPr>
                <w:sz w:val="20"/>
                <w:szCs w:val="20"/>
                <w:color w:val="auto"/>
              </w:rPr>
            </w:pPr>
            <w:r>
              <w:rPr>
                <w:rFonts w:ascii="Arial" w:cs="Arial" w:eastAsia="Arial" w:hAnsi="Arial"/>
                <w:sz w:val="20"/>
                <w:szCs w:val="20"/>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87,988,983</w:t>
            </w:r>
          </w:p>
        </w:tc>
        <w:tc>
          <w:tcPr>
            <w:tcW w:w="320" w:type="dxa"/>
            <w:vAlign w:val="bottom"/>
            <w:tcBorders>
              <w:top w:val="single" w:sz="8" w:color="CFF0FC"/>
              <w:bottom w:val="single" w:sz="8" w:color="CFF0FC"/>
            </w:tcBorders>
            <w:shd w:val="clear" w:color="auto" w:fill="CFF0FC"/>
          </w:tcPr>
          <w:p>
            <w:pPr>
              <w:spacing w:after="0"/>
              <w:rPr>
                <w:sz w:val="21"/>
                <w:szCs w:val="21"/>
                <w:color w:val="auto"/>
              </w:rPr>
            </w:pPr>
          </w:p>
        </w:tc>
        <w:tc>
          <w:tcPr>
            <w:tcW w:w="380" w:type="dxa"/>
            <w:vAlign w:val="bottom"/>
            <w:tcBorders>
              <w:top w:val="single" w:sz="8" w:color="auto"/>
              <w:bottom w:val="single" w:sz="8" w:color="auto"/>
            </w:tcBorders>
            <w:shd w:val="clear" w:color="auto" w:fill="CFF0FC"/>
          </w:tcPr>
          <w:p>
            <w:pPr>
              <w:jc w:val="right"/>
              <w:ind w:right="179"/>
              <w:spacing w:after="0"/>
              <w:rPr>
                <w:sz w:val="20"/>
                <w:szCs w:val="20"/>
                <w:color w:val="auto"/>
              </w:rPr>
            </w:pPr>
            <w:r>
              <w:rPr>
                <w:rFonts w:ascii="Arial" w:cs="Arial" w:eastAsia="Arial" w:hAnsi="Arial"/>
                <w:sz w:val="20"/>
                <w:szCs w:val="20"/>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97"/>
              </w:rPr>
              <w:t>90,853,416</w:t>
            </w: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r>
      <w:tr>
        <w:trPr>
          <w:trHeight w:val="20"/>
        </w:trPr>
        <w:tc>
          <w:tcPr>
            <w:tcW w:w="8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3" w:lineRule="exact"/>
        <w:rPr>
          <w:sz w:val="20"/>
          <w:szCs w:val="20"/>
          <w:color w:val="auto"/>
        </w:rPr>
      </w:pPr>
    </w:p>
    <w:p>
      <w:pPr>
        <w:ind w:right="300" w:firstLine="598"/>
        <w:spacing w:after="0" w:line="253" w:lineRule="auto"/>
        <w:rPr>
          <w:sz w:val="20"/>
          <w:szCs w:val="20"/>
          <w:color w:val="auto"/>
        </w:rPr>
      </w:pPr>
      <w:r>
        <w:rPr>
          <w:rFonts w:ascii="Arial" w:cs="Arial" w:eastAsia="Arial" w:hAnsi="Arial"/>
          <w:sz w:val="20"/>
          <w:szCs w:val="20"/>
          <w:color w:val="auto"/>
        </w:rPr>
        <w:t>One-to-four family residential mortgage loans held for sale were $356 million at December 31, 2017 and $414 million at December 31, 2016. Commercial real estate loans held for sale were $22 million at December 31, 2017 and $643 million at December 31, 2016.</w:t>
      </w:r>
    </w:p>
    <w:p>
      <w:pPr>
        <w:ind w:right="160" w:firstLine="598"/>
        <w:spacing w:after="0" w:line="286" w:lineRule="auto"/>
        <w:rPr>
          <w:sz w:val="20"/>
          <w:szCs w:val="20"/>
          <w:color w:val="auto"/>
        </w:rPr>
      </w:pPr>
      <w:r>
        <w:rPr>
          <w:rFonts w:ascii="Arial" w:cs="Arial" w:eastAsia="Arial" w:hAnsi="Arial"/>
          <w:sz w:val="18"/>
          <w:szCs w:val="18"/>
          <w:color w:val="auto"/>
        </w:rPr>
        <w:t>As of December 31, 2017, approximately $3.3 billion of commercial real estate loan balances serviced for others had been sold with recourse in conjunction with the Company’s participation in the Fannie Mae Delegated Underwriting and Servicing (“DUS”) program. At December 31, 2017, the Company estimated that the recourse obligations described above were not material to the Company’s consolidated financial position. There have been no material losses incurred as a result of those credit recourse arrangements.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76" w:right="239" w:bottom="1440" w:gutter="0" w:footer="0" w:header="0"/>
        </w:sectPr>
      </w:pPr>
    </w:p>
    <w:bookmarkStart w:id="126" w:name="page127"/>
    <w:bookmarkEnd w:id="126"/>
    <w:p>
      <w:pPr>
        <w:ind w:right="60" w:firstLine="598"/>
        <w:spacing w:after="0" w:line="279" w:lineRule="auto"/>
        <w:rPr>
          <w:sz w:val="20"/>
          <w:szCs w:val="20"/>
          <w:color w:val="auto"/>
        </w:rPr>
      </w:pPr>
      <w:r>
        <w:rPr>
          <w:rFonts w:ascii="Arial" w:cs="Arial" w:eastAsia="Arial" w:hAnsi="Arial"/>
          <w:sz w:val="18"/>
          <w:szCs w:val="18"/>
          <w:color w:val="auto"/>
        </w:rPr>
        <w:t>In addition to recourse obligations, as described in note 21, the Company is contractually obligated to repurchase previously sold residential real estate loans that do not ultimately meet investor sale criteria related to underwriting procedures or loan documentation. When required to do so, the Company may reimburse loan purchasers for losses incurred or may repurchase certain loans. Charges incurred for such obligation, which are recorded as a reduction of mortgage banking revenues, were not material in 2017, 2016 or 2015.</w:t>
      </w:r>
    </w:p>
    <w:p>
      <w:pPr>
        <w:spacing w:after="0" w:line="2" w:lineRule="exact"/>
        <w:rPr>
          <w:sz w:val="20"/>
          <w:szCs w:val="20"/>
          <w:color w:val="auto"/>
        </w:rPr>
      </w:pPr>
    </w:p>
    <w:p>
      <w:pPr>
        <w:ind w:left="600"/>
        <w:spacing w:after="0"/>
        <w:rPr>
          <w:sz w:val="20"/>
          <w:szCs w:val="20"/>
          <w:color w:val="auto"/>
        </w:rPr>
      </w:pPr>
      <w:r>
        <w:rPr>
          <w:rFonts w:ascii="Arial" w:cs="Arial" w:eastAsia="Arial" w:hAnsi="Arial"/>
          <w:sz w:val="20"/>
          <w:szCs w:val="20"/>
          <w:color w:val="auto"/>
        </w:rPr>
        <w:t>A summary of current, past due and nonaccrual loans as of December 31, 2017 and 2016 follows:</w:t>
      </w:r>
    </w:p>
    <w:tbl>
      <w:tblPr>
        <w:tblLayout w:type="fixed"/>
        <w:tblInd w:w="0" w:type="dxa"/>
        <w:tblCellMar>
          <w:top w:w="0" w:type="dxa"/>
          <w:left w:w="0" w:type="dxa"/>
          <w:bottom w:w="0" w:type="dxa"/>
          <w:right w:w="0" w:type="dxa"/>
        </w:tblCellMar>
      </w:tblPr>
      <w:tr>
        <w:trPr>
          <w:trHeight w:val="137"/>
        </w:trPr>
        <w:tc>
          <w:tcPr>
            <w:tcW w:w="4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gridSpan w:val="2"/>
          </w:tcPr>
          <w:p>
            <w:pPr>
              <w:jc w:val="center"/>
              <w:ind w:right="280"/>
              <w:spacing w:after="0" w:line="137" w:lineRule="exact"/>
              <w:rPr>
                <w:sz w:val="20"/>
                <w:szCs w:val="20"/>
                <w:color w:val="auto"/>
              </w:rPr>
            </w:pPr>
            <w:r>
              <w:rPr>
                <w:rFonts w:ascii="Arial" w:cs="Arial" w:eastAsia="Arial" w:hAnsi="Arial"/>
                <w:sz w:val="14"/>
                <w:szCs w:val="14"/>
                <w:b w:val="1"/>
                <w:bCs w:val="1"/>
                <w:color w:val="auto"/>
                <w:w w:val="92"/>
              </w:rPr>
              <w:t>Accruing</w:t>
            </w: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4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Accruing</w:t>
            </w:r>
          </w:p>
        </w:tc>
        <w:tc>
          <w:tcPr>
            <w:tcW w:w="280" w:type="dxa"/>
            <w:vAlign w:val="bottom"/>
          </w:tcPr>
          <w:p>
            <w:pPr>
              <w:spacing w:after="0"/>
              <w:rPr>
                <w:sz w:val="12"/>
                <w:szCs w:val="12"/>
                <w:color w:val="auto"/>
              </w:rPr>
            </w:pPr>
          </w:p>
        </w:tc>
        <w:tc>
          <w:tcPr>
            <w:tcW w:w="100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87"/>
              </w:rPr>
              <w:t>Loans</w:t>
            </w: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280" w:type="dxa"/>
            <w:vAlign w:val="bottom"/>
            <w:gridSpan w:val="3"/>
          </w:tcPr>
          <w:p>
            <w:pPr>
              <w:jc w:val="center"/>
              <w:spacing w:after="0" w:line="145" w:lineRule="exact"/>
              <w:rPr>
                <w:sz w:val="20"/>
                <w:szCs w:val="20"/>
                <w:color w:val="auto"/>
              </w:rPr>
            </w:pPr>
            <w:r>
              <w:rPr>
                <w:rFonts w:ascii="Arial" w:cs="Arial" w:eastAsia="Arial" w:hAnsi="Arial"/>
                <w:sz w:val="14"/>
                <w:szCs w:val="14"/>
                <w:b w:val="1"/>
                <w:bCs w:val="1"/>
                <w:color w:val="auto"/>
                <w:w w:val="93"/>
              </w:rPr>
              <w:t>Acquired at</w:t>
            </w: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8"/>
              </w:rPr>
              <w:t>Loans Past</w:t>
            </w:r>
          </w:p>
        </w:tc>
        <w:tc>
          <w:tcPr>
            <w:tcW w:w="280" w:type="dxa"/>
            <w:vAlign w:val="bottom"/>
          </w:tcPr>
          <w:p>
            <w:pPr>
              <w:spacing w:after="0"/>
              <w:rPr>
                <w:sz w:val="12"/>
                <w:szCs w:val="12"/>
                <w:color w:val="auto"/>
              </w:rPr>
            </w:pPr>
          </w:p>
        </w:tc>
        <w:tc>
          <w:tcPr>
            <w:tcW w:w="100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89"/>
              </w:rPr>
              <w:t>a Discount</w:t>
            </w: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0"/>
              </w:rPr>
              <w:t>30-89 Days</w:t>
            </w:r>
          </w:p>
        </w:tc>
        <w:tc>
          <w:tcPr>
            <w:tcW w:w="7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1"/>
              </w:rPr>
              <w:t>Due 90</w:t>
            </w:r>
          </w:p>
        </w:tc>
        <w:tc>
          <w:tcPr>
            <w:tcW w:w="280" w:type="dxa"/>
            <w:vAlign w:val="bottom"/>
          </w:tcPr>
          <w:p>
            <w:pPr>
              <w:spacing w:after="0"/>
              <w:rPr>
                <w:sz w:val="12"/>
                <w:szCs w:val="12"/>
                <w:color w:val="auto"/>
              </w:rPr>
            </w:pPr>
          </w:p>
        </w:tc>
        <w:tc>
          <w:tcPr>
            <w:tcW w:w="100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86"/>
              </w:rPr>
              <w:t>Past Due</w:t>
            </w:r>
          </w:p>
        </w:tc>
        <w:tc>
          <w:tcPr>
            <w:tcW w:w="10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6"/>
              </w:rPr>
              <w:t>Purchased</w:t>
            </w: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200" w:type="dxa"/>
            <w:vAlign w:val="bottom"/>
          </w:tcPr>
          <w:p>
            <w:pPr>
              <w:spacing w:after="0"/>
              <w:rPr>
                <w:sz w:val="12"/>
                <w:szCs w:val="12"/>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Current</w:t>
            </w:r>
          </w:p>
        </w:tc>
        <w:tc>
          <w:tcPr>
            <w:tcW w:w="1080" w:type="dxa"/>
            <w:vAlign w:val="bottom"/>
            <w:gridSpan w:val="2"/>
            <w:vMerge w:val="continue"/>
          </w:tcPr>
          <w:p>
            <w:pPr>
              <w:spacing w:after="0"/>
              <w:rPr>
                <w:sz w:val="12"/>
                <w:szCs w:val="12"/>
                <w:color w:val="auto"/>
              </w:rPr>
            </w:pPr>
          </w:p>
        </w:tc>
        <w:tc>
          <w:tcPr>
            <w:tcW w:w="7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9"/>
              </w:rPr>
              <w:t>Days or</w:t>
            </w:r>
          </w:p>
        </w:tc>
        <w:tc>
          <w:tcPr>
            <w:tcW w:w="280" w:type="dxa"/>
            <w:vAlign w:val="bottom"/>
          </w:tcPr>
          <w:p>
            <w:pPr>
              <w:spacing w:after="0"/>
              <w:rPr>
                <w:sz w:val="12"/>
                <w:szCs w:val="12"/>
                <w:color w:val="auto"/>
              </w:rPr>
            </w:pPr>
          </w:p>
        </w:tc>
        <w:tc>
          <w:tcPr>
            <w:tcW w:w="100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85"/>
              </w:rPr>
              <w:t>90 days</w:t>
            </w:r>
          </w:p>
        </w:tc>
        <w:tc>
          <w:tcPr>
            <w:tcW w:w="1040" w:type="dxa"/>
            <w:vAlign w:val="bottom"/>
            <w:gridSpan w:val="2"/>
            <w:vMerge w:val="continue"/>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Nonaccrual</w:t>
            </w:r>
          </w:p>
        </w:tc>
        <w:tc>
          <w:tcPr>
            <w:tcW w:w="300" w:type="dxa"/>
            <w:vAlign w:val="bottom"/>
          </w:tcPr>
          <w:p>
            <w:pPr>
              <w:spacing w:after="0"/>
              <w:rPr>
                <w:sz w:val="12"/>
                <w:szCs w:val="12"/>
                <w:color w:val="auto"/>
              </w:rPr>
            </w:pPr>
          </w:p>
        </w:tc>
        <w:tc>
          <w:tcPr>
            <w:tcW w:w="9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7"/>
        </w:trPr>
        <w:tc>
          <w:tcPr>
            <w:tcW w:w="42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Past Due</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5"/>
              </w:rPr>
              <w:t>More (a)</w:t>
            </w:r>
          </w:p>
        </w:tc>
        <w:tc>
          <w:tcPr>
            <w:tcW w:w="280" w:type="dxa"/>
            <w:vAlign w:val="bottom"/>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or More (b)</w:t>
            </w: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Impaired (c)</w:t>
            </w:r>
          </w:p>
        </w:tc>
        <w:tc>
          <w:tcPr>
            <w:tcW w:w="7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420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(In thousands)</w:t>
            </w:r>
          </w:p>
        </w:tc>
        <w:tc>
          <w:tcPr>
            <w:tcW w:w="7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0" w:type="dxa"/>
            <w:vAlign w:val="bottom"/>
            <w:shd w:val="clear" w:color="auto" w:fill="CFF0FC"/>
          </w:tcPr>
          <w:p>
            <w:pPr>
              <w:spacing w:after="0"/>
              <w:rPr>
                <w:sz w:val="20"/>
                <w:szCs w:val="20"/>
                <w:color w:val="auto"/>
              </w:rPr>
            </w:pPr>
            <w:r>
              <w:rPr>
                <w:rFonts w:ascii="Arial" w:cs="Arial" w:eastAsia="Arial" w:hAnsi="Arial"/>
                <w:sz w:val="17"/>
                <w:szCs w:val="17"/>
                <w:color w:val="auto"/>
              </w:rPr>
              <w:t>December 31, 2017</w:t>
            </w: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200" w:type="dxa"/>
            <w:vAlign w:val="bottom"/>
          </w:tcPr>
          <w:p>
            <w:pPr>
              <w:spacing w:after="0" w:line="193" w:lineRule="exact"/>
              <w:rPr>
                <w:sz w:val="20"/>
                <w:szCs w:val="20"/>
                <w:color w:val="auto"/>
              </w:rPr>
            </w:pPr>
            <w:r>
              <w:rPr>
                <w:rFonts w:ascii="Arial" w:cs="Arial" w:eastAsia="Arial" w:hAnsi="Arial"/>
                <w:sz w:val="17"/>
                <w:szCs w:val="17"/>
                <w:color w:val="auto"/>
              </w:rPr>
              <w:t>Commercial, financial,</w:t>
            </w: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200" w:type="dxa"/>
            <w:vAlign w:val="bottom"/>
          </w:tcPr>
          <w:p>
            <w:pPr>
              <w:ind w:left="120"/>
              <w:spacing w:after="0"/>
              <w:rPr>
                <w:sz w:val="20"/>
                <w:szCs w:val="20"/>
                <w:color w:val="auto"/>
              </w:rPr>
            </w:pPr>
            <w:r>
              <w:rPr>
                <w:rFonts w:ascii="Arial" w:cs="Arial" w:eastAsia="Arial" w:hAnsi="Arial"/>
                <w:sz w:val="17"/>
                <w:szCs w:val="17"/>
                <w:color w:val="auto"/>
              </w:rPr>
              <w:t>leasing, etc.</w:t>
            </w:r>
          </w:p>
        </w:tc>
        <w:tc>
          <w:tcPr>
            <w:tcW w:w="880" w:type="dxa"/>
            <w:vAlign w:val="bottom"/>
          </w:tcPr>
          <w:p>
            <w:pPr>
              <w:jc w:val="right"/>
              <w:spacing w:after="0"/>
              <w:rPr>
                <w:sz w:val="20"/>
                <w:szCs w:val="20"/>
                <w:color w:val="auto"/>
              </w:rPr>
            </w:pPr>
            <w:r>
              <w:rPr>
                <w:rFonts w:ascii="Arial" w:cs="Arial" w:eastAsia="Arial" w:hAnsi="Arial"/>
                <w:sz w:val="17"/>
                <w:szCs w:val="17"/>
                <w:color w:val="auto"/>
                <w:w w:val="84"/>
              </w:rPr>
              <w:t>$ 21,332,234</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167,756</w:t>
            </w: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1,322</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327</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21</w:t>
            </w: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240,991</w:t>
            </w:r>
          </w:p>
        </w:tc>
        <w:tc>
          <w:tcPr>
            <w:tcW w:w="1160" w:type="dxa"/>
            <w:vAlign w:val="bottom"/>
            <w:gridSpan w:val="2"/>
          </w:tcPr>
          <w:p>
            <w:pPr>
              <w:jc w:val="right"/>
              <w:spacing w:after="0"/>
              <w:rPr>
                <w:sz w:val="20"/>
                <w:szCs w:val="20"/>
                <w:color w:val="auto"/>
              </w:rPr>
            </w:pPr>
            <w:r>
              <w:rPr>
                <w:rFonts w:ascii="Arial" w:cs="Arial" w:eastAsia="Arial" w:hAnsi="Arial"/>
                <w:sz w:val="17"/>
                <w:szCs w:val="17"/>
                <w:color w:val="auto"/>
              </w:rPr>
              <w:t>$ 21,742,651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200" w:type="dxa"/>
            <w:vAlign w:val="bottom"/>
            <w:shd w:val="clear" w:color="auto" w:fill="CFF0FC"/>
          </w:tcPr>
          <w:p>
            <w:pPr>
              <w:spacing w:after="0"/>
              <w:rPr>
                <w:sz w:val="20"/>
                <w:szCs w:val="20"/>
                <w:color w:val="auto"/>
              </w:rPr>
            </w:pPr>
            <w:r>
              <w:rPr>
                <w:rFonts w:ascii="Arial" w:cs="Arial" w:eastAsia="Arial" w:hAnsi="Arial"/>
                <w:sz w:val="17"/>
                <w:szCs w:val="17"/>
                <w:color w:val="auto"/>
              </w:rPr>
              <w:t>Real estate:</w:t>
            </w: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0" w:type="dxa"/>
            <w:vAlign w:val="bottom"/>
          </w:tcPr>
          <w:p>
            <w:pPr>
              <w:ind w:left="240"/>
              <w:spacing w:after="0"/>
              <w:rPr>
                <w:sz w:val="20"/>
                <w:szCs w:val="20"/>
                <w:color w:val="auto"/>
              </w:rPr>
            </w:pPr>
            <w:r>
              <w:rPr>
                <w:rFonts w:ascii="Arial" w:cs="Arial" w:eastAsia="Arial" w:hAnsi="Arial"/>
                <w:sz w:val="17"/>
                <w:szCs w:val="17"/>
                <w:color w:val="auto"/>
              </w:rPr>
              <w:t>Commercial</w:t>
            </w:r>
          </w:p>
        </w:tc>
        <w:tc>
          <w:tcPr>
            <w:tcW w:w="880" w:type="dxa"/>
            <w:vAlign w:val="bottom"/>
          </w:tcPr>
          <w:p>
            <w:pPr>
              <w:jc w:val="right"/>
              <w:spacing w:after="0"/>
              <w:rPr>
                <w:sz w:val="20"/>
                <w:szCs w:val="20"/>
                <w:color w:val="auto"/>
              </w:rPr>
            </w:pPr>
            <w:r>
              <w:rPr>
                <w:rFonts w:ascii="Arial" w:cs="Arial" w:eastAsia="Arial" w:hAnsi="Arial"/>
                <w:sz w:val="17"/>
                <w:szCs w:val="17"/>
                <w:color w:val="auto"/>
                <w:w w:val="98"/>
              </w:rPr>
              <w:t>24,910,381</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166,305</w:t>
            </w: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4,444</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6,016</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16,815</w:t>
            </w: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184,982</w:t>
            </w:r>
          </w:p>
        </w:tc>
        <w:tc>
          <w:tcPr>
            <w:tcW w:w="1160" w:type="dxa"/>
            <w:vAlign w:val="bottom"/>
            <w:gridSpan w:val="2"/>
          </w:tcPr>
          <w:p>
            <w:pPr>
              <w:jc w:val="right"/>
              <w:spacing w:after="0"/>
              <w:rPr>
                <w:sz w:val="20"/>
                <w:szCs w:val="20"/>
                <w:color w:val="auto"/>
              </w:rPr>
            </w:pPr>
            <w:r>
              <w:rPr>
                <w:rFonts w:ascii="Arial" w:cs="Arial" w:eastAsia="Arial" w:hAnsi="Arial"/>
                <w:sz w:val="17"/>
                <w:szCs w:val="17"/>
                <w:color w:val="auto"/>
              </w:rPr>
              <w:t>25,288,943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200" w:type="dxa"/>
            <w:vAlign w:val="bottom"/>
            <w:shd w:val="clear" w:color="auto" w:fill="CFF0FC"/>
          </w:tcPr>
          <w:p>
            <w:pPr>
              <w:ind w:left="240"/>
              <w:spacing w:after="0" w:line="193" w:lineRule="exact"/>
              <w:rPr>
                <w:sz w:val="20"/>
                <w:szCs w:val="20"/>
                <w:color w:val="auto"/>
              </w:rPr>
            </w:pPr>
            <w:r>
              <w:rPr>
                <w:rFonts w:ascii="Arial" w:cs="Arial" w:eastAsia="Arial" w:hAnsi="Arial"/>
                <w:sz w:val="17"/>
                <w:szCs w:val="17"/>
                <w:color w:val="auto"/>
              </w:rPr>
              <w:t>Residential builder and</w:t>
            </w:r>
          </w:p>
        </w:tc>
        <w:tc>
          <w:tcPr>
            <w:tcW w:w="8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200" w:type="dxa"/>
            <w:vAlign w:val="bottom"/>
            <w:shd w:val="clear" w:color="auto" w:fill="CFF0FC"/>
          </w:tcPr>
          <w:p>
            <w:pPr>
              <w:ind w:left="360"/>
              <w:spacing w:after="0"/>
              <w:rPr>
                <w:sz w:val="20"/>
                <w:szCs w:val="20"/>
                <w:color w:val="auto"/>
              </w:rPr>
            </w:pPr>
            <w:r>
              <w:rPr>
                <w:rFonts w:ascii="Arial" w:cs="Arial" w:eastAsia="Arial" w:hAnsi="Arial"/>
                <w:sz w:val="17"/>
                <w:szCs w:val="17"/>
                <w:color w:val="auto"/>
              </w:rPr>
              <w:t>developer</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1,618,973</w:t>
            </w:r>
          </w:p>
        </w:tc>
        <w:tc>
          <w:tcPr>
            <w:tcW w:w="2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5,159</w:t>
            </w: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300"/>
              <w:spacing w:after="0"/>
              <w:rPr>
                <w:sz w:val="20"/>
                <w:szCs w:val="20"/>
                <w:color w:val="auto"/>
              </w:rPr>
            </w:pPr>
            <w:r>
              <w:rPr>
                <w:rFonts w:ascii="Arial" w:cs="Arial" w:eastAsia="Arial" w:hAnsi="Arial"/>
                <w:sz w:val="17"/>
                <w:szCs w:val="17"/>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1,135</w:t>
            </w: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6,451</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1,631,718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0" w:type="dxa"/>
            <w:vAlign w:val="bottom"/>
          </w:tcPr>
          <w:p>
            <w:pPr>
              <w:ind w:left="240"/>
              <w:spacing w:after="0"/>
              <w:rPr>
                <w:sz w:val="20"/>
                <w:szCs w:val="20"/>
                <w:color w:val="auto"/>
              </w:rPr>
            </w:pPr>
            <w:r>
              <w:rPr>
                <w:rFonts w:ascii="Arial" w:cs="Arial" w:eastAsia="Arial" w:hAnsi="Arial"/>
                <w:sz w:val="17"/>
                <w:szCs w:val="17"/>
                <w:color w:val="auto"/>
              </w:rPr>
              <w:t>Other commercial construction</w:t>
            </w:r>
          </w:p>
        </w:tc>
        <w:tc>
          <w:tcPr>
            <w:tcW w:w="880" w:type="dxa"/>
            <w:vAlign w:val="bottom"/>
          </w:tcPr>
          <w:p>
            <w:pPr>
              <w:jc w:val="right"/>
              <w:spacing w:after="0"/>
              <w:rPr>
                <w:sz w:val="20"/>
                <w:szCs w:val="20"/>
                <w:color w:val="auto"/>
              </w:rPr>
            </w:pPr>
            <w:r>
              <w:rPr>
                <w:rFonts w:ascii="Arial" w:cs="Arial" w:eastAsia="Arial" w:hAnsi="Arial"/>
                <w:sz w:val="17"/>
                <w:szCs w:val="17"/>
                <w:color w:val="auto"/>
              </w:rPr>
              <w:t>6,407,451</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23,467</w:t>
            </w: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4,706</w:t>
            </w: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10,088</w:t>
            </w:r>
          </w:p>
        </w:tc>
        <w:tc>
          <w:tcPr>
            <w:tcW w:w="1160" w:type="dxa"/>
            <w:vAlign w:val="bottom"/>
            <w:gridSpan w:val="2"/>
          </w:tcPr>
          <w:p>
            <w:pPr>
              <w:jc w:val="right"/>
              <w:spacing w:after="0"/>
              <w:rPr>
                <w:sz w:val="20"/>
                <w:szCs w:val="20"/>
                <w:color w:val="auto"/>
              </w:rPr>
            </w:pPr>
            <w:r>
              <w:rPr>
                <w:rFonts w:ascii="Arial" w:cs="Arial" w:eastAsia="Arial" w:hAnsi="Arial"/>
                <w:sz w:val="17"/>
                <w:szCs w:val="17"/>
                <w:color w:val="auto"/>
              </w:rPr>
              <w:t>6,445,712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Residential</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8"/>
              </w:rPr>
              <w:t>15,376,759</w:t>
            </w:r>
          </w:p>
        </w:tc>
        <w:tc>
          <w:tcPr>
            <w:tcW w:w="2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474,372</w:t>
            </w: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233,437</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7,582</w:t>
            </w:r>
          </w:p>
        </w:tc>
        <w:tc>
          <w:tcPr>
            <w:tcW w:w="2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282,102</w:t>
            </w: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235,834</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16,610,086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200" w:type="dxa"/>
            <w:vAlign w:val="bottom"/>
          </w:tcPr>
          <w:p>
            <w:pPr>
              <w:ind w:left="240"/>
              <w:spacing w:after="0" w:line="193" w:lineRule="exact"/>
              <w:rPr>
                <w:sz w:val="20"/>
                <w:szCs w:val="20"/>
                <w:color w:val="auto"/>
              </w:rPr>
            </w:pPr>
            <w:r>
              <w:rPr>
                <w:rFonts w:ascii="Arial" w:cs="Arial" w:eastAsia="Arial" w:hAnsi="Arial"/>
                <w:sz w:val="17"/>
                <w:szCs w:val="17"/>
                <w:color w:val="auto"/>
              </w:rPr>
              <w:t>Residential — limited</w:t>
            </w: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200" w:type="dxa"/>
            <w:vAlign w:val="bottom"/>
          </w:tcPr>
          <w:p>
            <w:pPr>
              <w:ind w:left="360"/>
              <w:spacing w:after="0"/>
              <w:rPr>
                <w:sz w:val="20"/>
                <w:szCs w:val="20"/>
                <w:color w:val="auto"/>
              </w:rPr>
            </w:pPr>
            <w:r>
              <w:rPr>
                <w:rFonts w:ascii="Arial" w:cs="Arial" w:eastAsia="Arial" w:hAnsi="Arial"/>
                <w:sz w:val="17"/>
                <w:szCs w:val="17"/>
                <w:color w:val="auto"/>
              </w:rPr>
              <w:t>documentation</w:t>
            </w:r>
          </w:p>
        </w:tc>
        <w:tc>
          <w:tcPr>
            <w:tcW w:w="880" w:type="dxa"/>
            <w:vAlign w:val="bottom"/>
          </w:tcPr>
          <w:p>
            <w:pPr>
              <w:jc w:val="right"/>
              <w:spacing w:after="0"/>
              <w:rPr>
                <w:sz w:val="20"/>
                <w:szCs w:val="20"/>
                <w:color w:val="auto"/>
              </w:rPr>
            </w:pPr>
            <w:r>
              <w:rPr>
                <w:rFonts w:ascii="Arial" w:cs="Arial" w:eastAsia="Arial" w:hAnsi="Arial"/>
                <w:sz w:val="17"/>
                <w:szCs w:val="17"/>
                <w:color w:val="auto"/>
              </w:rPr>
              <w:t>2,718,019</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83,898</w:t>
            </w: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105,236</w:t>
            </w: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96,105</w:t>
            </w:r>
          </w:p>
        </w:tc>
        <w:tc>
          <w:tcPr>
            <w:tcW w:w="1160" w:type="dxa"/>
            <w:vAlign w:val="bottom"/>
            <w:gridSpan w:val="2"/>
          </w:tcPr>
          <w:p>
            <w:pPr>
              <w:jc w:val="right"/>
              <w:spacing w:after="0"/>
              <w:rPr>
                <w:sz w:val="20"/>
                <w:szCs w:val="20"/>
                <w:color w:val="auto"/>
              </w:rPr>
            </w:pPr>
            <w:r>
              <w:rPr>
                <w:rFonts w:ascii="Arial" w:cs="Arial" w:eastAsia="Arial" w:hAnsi="Arial"/>
                <w:sz w:val="17"/>
                <w:szCs w:val="17"/>
                <w:color w:val="auto"/>
              </w:rPr>
              <w:t>3,003,258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200" w:type="dxa"/>
            <w:vAlign w:val="bottom"/>
            <w:shd w:val="clear" w:color="auto" w:fill="CFF0FC"/>
          </w:tcPr>
          <w:p>
            <w:pPr>
              <w:spacing w:after="0"/>
              <w:rPr>
                <w:sz w:val="20"/>
                <w:szCs w:val="20"/>
                <w:color w:val="auto"/>
              </w:rPr>
            </w:pPr>
            <w:r>
              <w:rPr>
                <w:rFonts w:ascii="Arial" w:cs="Arial" w:eastAsia="Arial" w:hAnsi="Arial"/>
                <w:sz w:val="17"/>
                <w:szCs w:val="17"/>
                <w:color w:val="auto"/>
              </w:rPr>
              <w:t>Consumer:</w:t>
            </w: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0" w:type="dxa"/>
            <w:vAlign w:val="bottom"/>
          </w:tcPr>
          <w:p>
            <w:pPr>
              <w:ind w:left="240"/>
              <w:spacing w:after="0"/>
              <w:rPr>
                <w:sz w:val="20"/>
                <w:szCs w:val="20"/>
                <w:color w:val="auto"/>
              </w:rPr>
            </w:pPr>
            <w:r>
              <w:rPr>
                <w:rFonts w:ascii="Arial" w:cs="Arial" w:eastAsia="Arial" w:hAnsi="Arial"/>
                <w:sz w:val="17"/>
                <w:szCs w:val="17"/>
                <w:color w:val="auto"/>
              </w:rPr>
              <w:t>Home equity lines and loans</w:t>
            </w:r>
          </w:p>
        </w:tc>
        <w:tc>
          <w:tcPr>
            <w:tcW w:w="880" w:type="dxa"/>
            <w:vAlign w:val="bottom"/>
          </w:tcPr>
          <w:p>
            <w:pPr>
              <w:jc w:val="right"/>
              <w:spacing w:after="0"/>
              <w:rPr>
                <w:sz w:val="20"/>
                <w:szCs w:val="20"/>
                <w:color w:val="auto"/>
              </w:rPr>
            </w:pPr>
            <w:r>
              <w:rPr>
                <w:rFonts w:ascii="Arial" w:cs="Arial" w:eastAsia="Arial" w:hAnsi="Arial"/>
                <w:sz w:val="17"/>
                <w:szCs w:val="17"/>
                <w:color w:val="auto"/>
              </w:rPr>
              <w:t>5,171,345</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38,546</w:t>
            </w: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9,391</w:t>
            </w:r>
          </w:p>
        </w:tc>
        <w:tc>
          <w:tcPr>
            <w:tcW w:w="2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74,500</w:t>
            </w:r>
          </w:p>
        </w:tc>
        <w:tc>
          <w:tcPr>
            <w:tcW w:w="1160" w:type="dxa"/>
            <w:vAlign w:val="bottom"/>
            <w:gridSpan w:val="2"/>
          </w:tcPr>
          <w:p>
            <w:pPr>
              <w:jc w:val="right"/>
              <w:spacing w:after="0"/>
              <w:rPr>
                <w:sz w:val="20"/>
                <w:szCs w:val="20"/>
                <w:color w:val="auto"/>
              </w:rPr>
            </w:pPr>
            <w:r>
              <w:rPr>
                <w:rFonts w:ascii="Arial" w:cs="Arial" w:eastAsia="Arial" w:hAnsi="Arial"/>
                <w:sz w:val="17"/>
                <w:szCs w:val="17"/>
                <w:color w:val="auto"/>
              </w:rPr>
              <w:t>5,293,782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Automobile</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3,441,371</w:t>
            </w:r>
          </w:p>
        </w:tc>
        <w:tc>
          <w:tcPr>
            <w:tcW w:w="2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78,511</w:t>
            </w: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30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FF0FC"/>
          </w:tcPr>
          <w:p>
            <w:pPr>
              <w:jc w:val="right"/>
              <w:ind w:right="300"/>
              <w:spacing w:after="0"/>
              <w:rPr>
                <w:sz w:val="20"/>
                <w:szCs w:val="20"/>
                <w:color w:val="auto"/>
              </w:rPr>
            </w:pPr>
            <w:r>
              <w:rPr>
                <w:rFonts w:ascii="Arial" w:cs="Arial" w:eastAsia="Arial" w:hAnsi="Arial"/>
                <w:sz w:val="17"/>
                <w:szCs w:val="17"/>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23,781</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3,543,663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0" w:type="dxa"/>
            <w:vAlign w:val="bottom"/>
          </w:tcPr>
          <w:p>
            <w:pPr>
              <w:ind w:left="240"/>
              <w:spacing w:after="0"/>
              <w:rPr>
                <w:sz w:val="20"/>
                <w:szCs w:val="20"/>
                <w:color w:val="auto"/>
              </w:rPr>
            </w:pPr>
            <w:r>
              <w:rPr>
                <w:rFonts w:ascii="Arial" w:cs="Arial" w:eastAsia="Arial" w:hAnsi="Arial"/>
                <w:sz w:val="17"/>
                <w:szCs w:val="17"/>
                <w:color w:val="auto"/>
              </w:rPr>
              <w:t>Other</w:t>
            </w:r>
          </w:p>
        </w:tc>
        <w:tc>
          <w:tcPr>
            <w:tcW w:w="880" w:type="dxa"/>
            <w:vAlign w:val="bottom"/>
          </w:tcPr>
          <w:p>
            <w:pPr>
              <w:jc w:val="right"/>
              <w:spacing w:after="0"/>
              <w:rPr>
                <w:sz w:val="20"/>
                <w:szCs w:val="20"/>
                <w:color w:val="auto"/>
              </w:rPr>
            </w:pPr>
            <w:r>
              <w:rPr>
                <w:rFonts w:ascii="Arial" w:cs="Arial" w:eastAsia="Arial" w:hAnsi="Arial"/>
                <w:sz w:val="17"/>
                <w:szCs w:val="17"/>
                <w:color w:val="auto"/>
              </w:rPr>
              <w:t>4,349,071</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40,929</w:t>
            </w: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5,202</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24,102</w:t>
            </w:r>
          </w:p>
        </w:tc>
        <w:tc>
          <w:tcPr>
            <w:tcW w:w="2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9,866</w:t>
            </w:r>
          </w:p>
        </w:tc>
        <w:tc>
          <w:tcPr>
            <w:tcW w:w="1160" w:type="dxa"/>
            <w:vAlign w:val="bottom"/>
            <w:gridSpan w:val="2"/>
          </w:tcPr>
          <w:p>
            <w:pPr>
              <w:jc w:val="right"/>
              <w:spacing w:after="0"/>
              <w:rPr>
                <w:sz w:val="20"/>
                <w:szCs w:val="20"/>
                <w:color w:val="auto"/>
              </w:rPr>
            </w:pPr>
            <w:r>
              <w:rPr>
                <w:rFonts w:ascii="Arial" w:cs="Arial" w:eastAsia="Arial" w:hAnsi="Arial"/>
                <w:sz w:val="17"/>
                <w:szCs w:val="17"/>
                <w:color w:val="auto"/>
              </w:rPr>
              <w:t>4,429,170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2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Total</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$ 85,325,604</w:t>
            </w:r>
          </w:p>
        </w:tc>
        <w:tc>
          <w:tcPr>
            <w:tcW w:w="280" w:type="dxa"/>
            <w:vAlign w:val="bottom"/>
            <w:tcBorders>
              <w:top w:val="single" w:sz="8" w:color="CFF0FC"/>
              <w:bottom w:val="single" w:sz="8" w:color="CFF0FC"/>
            </w:tcBorders>
            <w:shd w:val="clear" w:color="auto" w:fill="CFF0FC"/>
          </w:tcPr>
          <w:p>
            <w:pPr>
              <w:spacing w:after="0"/>
              <w:rPr>
                <w:sz w:val="17"/>
                <w:szCs w:val="17"/>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1,078,943</w:t>
            </w:r>
          </w:p>
        </w:tc>
        <w:tc>
          <w:tcPr>
            <w:tcW w:w="280" w:type="dxa"/>
            <w:vAlign w:val="bottom"/>
            <w:tcBorders>
              <w:top w:val="single" w:sz="8" w:color="CFF0FC"/>
              <w:bottom w:val="single" w:sz="8" w:color="CFF0FC"/>
            </w:tcBorders>
            <w:shd w:val="clear" w:color="auto" w:fill="CFF0FC"/>
          </w:tcPr>
          <w:p>
            <w:pPr>
              <w:spacing w:after="0"/>
              <w:rPr>
                <w:sz w:val="17"/>
                <w:szCs w:val="17"/>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244,405</w:t>
            </w:r>
          </w:p>
        </w:tc>
        <w:tc>
          <w:tcPr>
            <w:tcW w:w="280" w:type="dxa"/>
            <w:vAlign w:val="bottom"/>
            <w:tcBorders>
              <w:top w:val="single" w:sz="8" w:color="CFF0FC"/>
              <w:bottom w:val="single" w:sz="8" w:color="CFF0FC"/>
            </w:tcBorders>
            <w:shd w:val="clear" w:color="auto" w:fill="CFF0FC"/>
          </w:tcPr>
          <w:p>
            <w:pPr>
              <w:spacing w:after="0"/>
              <w:rPr>
                <w:sz w:val="17"/>
                <w:szCs w:val="17"/>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47,418</w:t>
            </w:r>
          </w:p>
        </w:tc>
        <w:tc>
          <w:tcPr>
            <w:tcW w:w="280" w:type="dxa"/>
            <w:vAlign w:val="bottom"/>
            <w:tcBorders>
              <w:top w:val="single" w:sz="8" w:color="CFF0FC"/>
              <w:bottom w:val="single" w:sz="8" w:color="CFF0FC"/>
            </w:tcBorders>
            <w:shd w:val="clear" w:color="auto" w:fill="CFF0FC"/>
          </w:tcPr>
          <w:p>
            <w:pPr>
              <w:spacing w:after="0"/>
              <w:rPr>
                <w:sz w:val="17"/>
                <w:szCs w:val="17"/>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410,015</w:t>
            </w:r>
          </w:p>
        </w:tc>
        <w:tc>
          <w:tcPr>
            <w:tcW w:w="280" w:type="dxa"/>
            <w:vAlign w:val="bottom"/>
            <w:tcBorders>
              <w:top w:val="single" w:sz="8" w:color="CFF0FC"/>
              <w:bottom w:val="single" w:sz="8" w:color="CFF0FC"/>
            </w:tcBorders>
            <w:shd w:val="clear" w:color="auto" w:fill="CFF0FC"/>
          </w:tcPr>
          <w:p>
            <w:pPr>
              <w:spacing w:after="0"/>
              <w:rPr>
                <w:sz w:val="17"/>
                <w:szCs w:val="17"/>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882,598</w:t>
            </w:r>
          </w:p>
        </w:tc>
        <w:tc>
          <w:tcPr>
            <w:tcW w:w="300" w:type="dxa"/>
            <w:vAlign w:val="bottom"/>
            <w:tcBorders>
              <w:top w:val="single" w:sz="8" w:color="CFF0FC"/>
              <w:bottom w:val="single" w:sz="8" w:color="CFF0FC"/>
            </w:tcBorders>
            <w:shd w:val="clear" w:color="auto" w:fill="CFF0FC"/>
          </w:tcPr>
          <w:p>
            <w:pPr>
              <w:spacing w:after="0"/>
              <w:rPr>
                <w:sz w:val="17"/>
                <w:szCs w:val="17"/>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2"/>
              </w:rPr>
              <w:t>$ 87,988,983</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00" w:type="dxa"/>
            <w:vAlign w:val="bottom"/>
            <w:vMerge w:val="restart"/>
          </w:tcPr>
          <w:p>
            <w:pPr>
              <w:spacing w:after="0"/>
              <w:rPr>
                <w:sz w:val="20"/>
                <w:szCs w:val="20"/>
                <w:color w:val="auto"/>
              </w:rPr>
            </w:pPr>
            <w:r>
              <w:rPr>
                <w:rFonts w:ascii="Arial" w:cs="Arial" w:eastAsia="Arial" w:hAnsi="Arial"/>
                <w:sz w:val="17"/>
                <w:szCs w:val="17"/>
                <w:color w:val="auto"/>
              </w:rPr>
              <w:t>December 31, 2016</w:t>
            </w: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5"/>
        </w:trPr>
        <w:tc>
          <w:tcPr>
            <w:tcW w:w="420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4200" w:type="dxa"/>
            <w:vAlign w:val="bottom"/>
          </w:tcPr>
          <w:p>
            <w:pPr>
              <w:spacing w:after="0"/>
              <w:rPr>
                <w:sz w:val="20"/>
                <w:szCs w:val="20"/>
                <w:color w:val="auto"/>
              </w:rPr>
            </w:pPr>
            <w:r>
              <w:rPr>
                <w:rFonts w:ascii="Arial" w:cs="Arial" w:eastAsia="Arial" w:hAnsi="Arial"/>
                <w:sz w:val="17"/>
                <w:szCs w:val="17"/>
                <w:color w:val="auto"/>
              </w:rPr>
              <w:t>Commercial, financial,</w:t>
            </w: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200" w:type="dxa"/>
            <w:vAlign w:val="bottom"/>
          </w:tcPr>
          <w:p>
            <w:pPr>
              <w:ind w:left="120"/>
              <w:spacing w:after="0"/>
              <w:rPr>
                <w:sz w:val="20"/>
                <w:szCs w:val="20"/>
                <w:color w:val="auto"/>
              </w:rPr>
            </w:pPr>
            <w:r>
              <w:rPr>
                <w:rFonts w:ascii="Arial" w:cs="Arial" w:eastAsia="Arial" w:hAnsi="Arial"/>
                <w:sz w:val="17"/>
                <w:szCs w:val="17"/>
                <w:color w:val="auto"/>
              </w:rPr>
              <w:t>leasing, etc.</w:t>
            </w:r>
          </w:p>
        </w:tc>
        <w:tc>
          <w:tcPr>
            <w:tcW w:w="880" w:type="dxa"/>
            <w:vAlign w:val="bottom"/>
          </w:tcPr>
          <w:p>
            <w:pPr>
              <w:jc w:val="right"/>
              <w:spacing w:after="0"/>
              <w:rPr>
                <w:sz w:val="20"/>
                <w:szCs w:val="20"/>
                <w:color w:val="auto"/>
              </w:rPr>
            </w:pPr>
            <w:r>
              <w:rPr>
                <w:rFonts w:ascii="Arial" w:cs="Arial" w:eastAsia="Arial" w:hAnsi="Arial"/>
                <w:sz w:val="17"/>
                <w:szCs w:val="17"/>
                <w:color w:val="auto"/>
                <w:w w:val="84"/>
              </w:rPr>
              <w:t>$ 22,287,857</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53,503</w:t>
            </w: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6,195</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417</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641</w:t>
            </w: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261,434</w:t>
            </w:r>
          </w:p>
        </w:tc>
        <w:tc>
          <w:tcPr>
            <w:tcW w:w="1160" w:type="dxa"/>
            <w:vAlign w:val="bottom"/>
            <w:gridSpan w:val="2"/>
          </w:tcPr>
          <w:p>
            <w:pPr>
              <w:jc w:val="right"/>
              <w:spacing w:after="0"/>
              <w:rPr>
                <w:sz w:val="20"/>
                <w:szCs w:val="20"/>
                <w:color w:val="auto"/>
              </w:rPr>
            </w:pPr>
            <w:r>
              <w:rPr>
                <w:rFonts w:ascii="Arial" w:cs="Arial" w:eastAsia="Arial" w:hAnsi="Arial"/>
                <w:sz w:val="17"/>
                <w:szCs w:val="17"/>
                <w:color w:val="auto"/>
              </w:rPr>
              <w:t>$ 22,610,047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200" w:type="dxa"/>
            <w:vAlign w:val="bottom"/>
            <w:shd w:val="clear" w:color="auto" w:fill="CFF0FC"/>
          </w:tcPr>
          <w:p>
            <w:pPr>
              <w:spacing w:after="0"/>
              <w:rPr>
                <w:sz w:val="20"/>
                <w:szCs w:val="20"/>
                <w:color w:val="auto"/>
              </w:rPr>
            </w:pPr>
            <w:r>
              <w:rPr>
                <w:rFonts w:ascii="Arial" w:cs="Arial" w:eastAsia="Arial" w:hAnsi="Arial"/>
                <w:sz w:val="17"/>
                <w:szCs w:val="17"/>
                <w:color w:val="auto"/>
              </w:rPr>
              <w:t>Real estate:</w:t>
            </w: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0" w:type="dxa"/>
            <w:vAlign w:val="bottom"/>
          </w:tcPr>
          <w:p>
            <w:pPr>
              <w:ind w:left="240"/>
              <w:spacing w:after="0"/>
              <w:rPr>
                <w:sz w:val="20"/>
                <w:szCs w:val="20"/>
                <w:color w:val="auto"/>
              </w:rPr>
            </w:pPr>
            <w:r>
              <w:rPr>
                <w:rFonts w:ascii="Arial" w:cs="Arial" w:eastAsia="Arial" w:hAnsi="Arial"/>
                <w:sz w:val="17"/>
                <w:szCs w:val="17"/>
                <w:color w:val="auto"/>
              </w:rPr>
              <w:t>Commercial</w:t>
            </w:r>
          </w:p>
        </w:tc>
        <w:tc>
          <w:tcPr>
            <w:tcW w:w="880" w:type="dxa"/>
            <w:vAlign w:val="bottom"/>
          </w:tcPr>
          <w:p>
            <w:pPr>
              <w:jc w:val="right"/>
              <w:spacing w:after="0"/>
              <w:rPr>
                <w:sz w:val="20"/>
                <w:szCs w:val="20"/>
                <w:color w:val="auto"/>
              </w:rPr>
            </w:pPr>
            <w:r>
              <w:rPr>
                <w:rFonts w:ascii="Arial" w:cs="Arial" w:eastAsia="Arial" w:hAnsi="Arial"/>
                <w:sz w:val="17"/>
                <w:szCs w:val="17"/>
                <w:color w:val="auto"/>
                <w:w w:val="98"/>
              </w:rPr>
              <w:t>25,076,684</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183,531</w:t>
            </w: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7,054</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12,870</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31,404</w:t>
            </w: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176,201</w:t>
            </w:r>
          </w:p>
        </w:tc>
        <w:tc>
          <w:tcPr>
            <w:tcW w:w="1160" w:type="dxa"/>
            <w:vAlign w:val="bottom"/>
            <w:gridSpan w:val="2"/>
          </w:tcPr>
          <w:p>
            <w:pPr>
              <w:jc w:val="right"/>
              <w:spacing w:after="0"/>
              <w:rPr>
                <w:sz w:val="20"/>
                <w:szCs w:val="20"/>
                <w:color w:val="auto"/>
              </w:rPr>
            </w:pPr>
            <w:r>
              <w:rPr>
                <w:rFonts w:ascii="Arial" w:cs="Arial" w:eastAsia="Arial" w:hAnsi="Arial"/>
                <w:sz w:val="17"/>
                <w:szCs w:val="17"/>
                <w:color w:val="auto"/>
              </w:rPr>
              <w:t>25,487,744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200" w:type="dxa"/>
            <w:vAlign w:val="bottom"/>
            <w:shd w:val="clear" w:color="auto" w:fill="CFF0FC"/>
          </w:tcPr>
          <w:p>
            <w:pPr>
              <w:ind w:left="240"/>
              <w:spacing w:after="0" w:line="193" w:lineRule="exact"/>
              <w:rPr>
                <w:sz w:val="20"/>
                <w:szCs w:val="20"/>
                <w:color w:val="auto"/>
              </w:rPr>
            </w:pPr>
            <w:r>
              <w:rPr>
                <w:rFonts w:ascii="Arial" w:cs="Arial" w:eastAsia="Arial" w:hAnsi="Arial"/>
                <w:sz w:val="17"/>
                <w:szCs w:val="17"/>
                <w:color w:val="auto"/>
              </w:rPr>
              <w:t>Residential builder and</w:t>
            </w:r>
          </w:p>
        </w:tc>
        <w:tc>
          <w:tcPr>
            <w:tcW w:w="8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200" w:type="dxa"/>
            <w:vAlign w:val="bottom"/>
            <w:shd w:val="clear" w:color="auto" w:fill="CFF0FC"/>
          </w:tcPr>
          <w:p>
            <w:pPr>
              <w:ind w:left="360"/>
              <w:spacing w:after="0"/>
              <w:rPr>
                <w:sz w:val="20"/>
                <w:szCs w:val="20"/>
                <w:color w:val="auto"/>
              </w:rPr>
            </w:pPr>
            <w:r>
              <w:rPr>
                <w:rFonts w:ascii="Arial" w:cs="Arial" w:eastAsia="Arial" w:hAnsi="Arial"/>
                <w:sz w:val="17"/>
                <w:szCs w:val="17"/>
                <w:color w:val="auto"/>
              </w:rPr>
              <w:t>developer</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1,884,989</w:t>
            </w:r>
          </w:p>
        </w:tc>
        <w:tc>
          <w:tcPr>
            <w:tcW w:w="2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4,667</w:t>
            </w: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1,952</w:t>
            </w:r>
          </w:p>
        </w:tc>
        <w:tc>
          <w:tcPr>
            <w:tcW w:w="2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14,006</w:t>
            </w: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16,707</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1,922,326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0" w:type="dxa"/>
            <w:vAlign w:val="bottom"/>
          </w:tcPr>
          <w:p>
            <w:pPr>
              <w:ind w:left="240"/>
              <w:spacing w:after="0"/>
              <w:rPr>
                <w:sz w:val="20"/>
                <w:szCs w:val="20"/>
                <w:color w:val="auto"/>
              </w:rPr>
            </w:pPr>
            <w:r>
              <w:rPr>
                <w:rFonts w:ascii="Arial" w:cs="Arial" w:eastAsia="Arial" w:hAnsi="Arial"/>
                <w:sz w:val="17"/>
                <w:szCs w:val="17"/>
                <w:color w:val="auto"/>
              </w:rPr>
              <w:t>Other commercial construction</w:t>
            </w:r>
          </w:p>
        </w:tc>
        <w:tc>
          <w:tcPr>
            <w:tcW w:w="880" w:type="dxa"/>
            <w:vAlign w:val="bottom"/>
          </w:tcPr>
          <w:p>
            <w:pPr>
              <w:jc w:val="right"/>
              <w:spacing w:after="0"/>
              <w:rPr>
                <w:sz w:val="20"/>
                <w:szCs w:val="20"/>
                <w:color w:val="auto"/>
              </w:rPr>
            </w:pPr>
            <w:r>
              <w:rPr>
                <w:rFonts w:ascii="Arial" w:cs="Arial" w:eastAsia="Arial" w:hAnsi="Arial"/>
                <w:sz w:val="17"/>
                <w:szCs w:val="17"/>
                <w:color w:val="auto"/>
              </w:rPr>
              <w:t>5,985,118</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77,701</w:t>
            </w: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922</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198</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14,274</w:t>
            </w: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18,111</w:t>
            </w:r>
          </w:p>
        </w:tc>
        <w:tc>
          <w:tcPr>
            <w:tcW w:w="1160" w:type="dxa"/>
            <w:vAlign w:val="bottom"/>
            <w:gridSpan w:val="2"/>
          </w:tcPr>
          <w:p>
            <w:pPr>
              <w:jc w:val="right"/>
              <w:spacing w:after="0"/>
              <w:rPr>
                <w:sz w:val="20"/>
                <w:szCs w:val="20"/>
                <w:color w:val="auto"/>
              </w:rPr>
            </w:pPr>
            <w:r>
              <w:rPr>
                <w:rFonts w:ascii="Arial" w:cs="Arial" w:eastAsia="Arial" w:hAnsi="Arial"/>
                <w:sz w:val="17"/>
                <w:szCs w:val="17"/>
                <w:color w:val="auto"/>
              </w:rPr>
              <w:t>6,096,324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Residential</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8"/>
              </w:rPr>
              <w:t>17,631,377</w:t>
            </w:r>
          </w:p>
        </w:tc>
        <w:tc>
          <w:tcPr>
            <w:tcW w:w="2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485,468</w:t>
            </w: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281,298</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11,537</w:t>
            </w:r>
          </w:p>
        </w:tc>
        <w:tc>
          <w:tcPr>
            <w:tcW w:w="2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378,549</w:t>
            </w: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229,242</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19,017,471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200" w:type="dxa"/>
            <w:vAlign w:val="bottom"/>
          </w:tcPr>
          <w:p>
            <w:pPr>
              <w:ind w:left="240"/>
              <w:spacing w:after="0" w:line="193" w:lineRule="exact"/>
              <w:rPr>
                <w:sz w:val="20"/>
                <w:szCs w:val="20"/>
                <w:color w:val="auto"/>
              </w:rPr>
            </w:pPr>
            <w:r>
              <w:rPr>
                <w:rFonts w:ascii="Arial" w:cs="Arial" w:eastAsia="Arial" w:hAnsi="Arial"/>
                <w:sz w:val="17"/>
                <w:szCs w:val="17"/>
                <w:color w:val="auto"/>
              </w:rPr>
              <w:t>Residential — limited</w:t>
            </w: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200" w:type="dxa"/>
            <w:vAlign w:val="bottom"/>
          </w:tcPr>
          <w:p>
            <w:pPr>
              <w:ind w:left="360"/>
              <w:spacing w:after="0"/>
              <w:rPr>
                <w:sz w:val="20"/>
                <w:szCs w:val="20"/>
                <w:color w:val="auto"/>
              </w:rPr>
            </w:pPr>
            <w:r>
              <w:rPr>
                <w:rFonts w:ascii="Arial" w:cs="Arial" w:eastAsia="Arial" w:hAnsi="Arial"/>
                <w:sz w:val="17"/>
                <w:szCs w:val="17"/>
                <w:color w:val="auto"/>
              </w:rPr>
              <w:t>documentation</w:t>
            </w:r>
          </w:p>
        </w:tc>
        <w:tc>
          <w:tcPr>
            <w:tcW w:w="880" w:type="dxa"/>
            <w:vAlign w:val="bottom"/>
          </w:tcPr>
          <w:p>
            <w:pPr>
              <w:jc w:val="right"/>
              <w:spacing w:after="0"/>
              <w:rPr>
                <w:sz w:val="20"/>
                <w:szCs w:val="20"/>
                <w:color w:val="auto"/>
              </w:rPr>
            </w:pPr>
            <w:r>
              <w:rPr>
                <w:rFonts w:ascii="Arial" w:cs="Arial" w:eastAsia="Arial" w:hAnsi="Arial"/>
                <w:sz w:val="17"/>
                <w:szCs w:val="17"/>
                <w:color w:val="auto"/>
              </w:rPr>
              <w:t>3,239,344</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88,366</w:t>
            </w: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139,158</w:t>
            </w: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106,573</w:t>
            </w:r>
          </w:p>
        </w:tc>
        <w:tc>
          <w:tcPr>
            <w:tcW w:w="1160" w:type="dxa"/>
            <w:vAlign w:val="bottom"/>
            <w:gridSpan w:val="2"/>
          </w:tcPr>
          <w:p>
            <w:pPr>
              <w:jc w:val="right"/>
              <w:spacing w:after="0"/>
              <w:rPr>
                <w:sz w:val="20"/>
                <w:szCs w:val="20"/>
                <w:color w:val="auto"/>
              </w:rPr>
            </w:pPr>
            <w:r>
              <w:rPr>
                <w:rFonts w:ascii="Arial" w:cs="Arial" w:eastAsia="Arial" w:hAnsi="Arial"/>
                <w:sz w:val="17"/>
                <w:szCs w:val="17"/>
                <w:color w:val="auto"/>
              </w:rPr>
              <w:t>3,573,441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200" w:type="dxa"/>
            <w:vAlign w:val="bottom"/>
            <w:shd w:val="clear" w:color="auto" w:fill="CFF0FC"/>
          </w:tcPr>
          <w:p>
            <w:pPr>
              <w:spacing w:after="0"/>
              <w:rPr>
                <w:sz w:val="20"/>
                <w:szCs w:val="20"/>
                <w:color w:val="auto"/>
              </w:rPr>
            </w:pPr>
            <w:r>
              <w:rPr>
                <w:rFonts w:ascii="Arial" w:cs="Arial" w:eastAsia="Arial" w:hAnsi="Arial"/>
                <w:sz w:val="17"/>
                <w:szCs w:val="17"/>
                <w:color w:val="auto"/>
              </w:rPr>
              <w:t>Consumer:</w:t>
            </w: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0" w:type="dxa"/>
            <w:vAlign w:val="bottom"/>
          </w:tcPr>
          <w:p>
            <w:pPr>
              <w:ind w:left="240"/>
              <w:spacing w:after="0"/>
              <w:rPr>
                <w:sz w:val="20"/>
                <w:szCs w:val="20"/>
                <w:color w:val="auto"/>
              </w:rPr>
            </w:pPr>
            <w:r>
              <w:rPr>
                <w:rFonts w:ascii="Arial" w:cs="Arial" w:eastAsia="Arial" w:hAnsi="Arial"/>
                <w:sz w:val="17"/>
                <w:szCs w:val="17"/>
                <w:color w:val="auto"/>
              </w:rPr>
              <w:t>Home equity lines and loans</w:t>
            </w:r>
          </w:p>
        </w:tc>
        <w:tc>
          <w:tcPr>
            <w:tcW w:w="880" w:type="dxa"/>
            <w:vAlign w:val="bottom"/>
          </w:tcPr>
          <w:p>
            <w:pPr>
              <w:jc w:val="right"/>
              <w:spacing w:after="0"/>
              <w:rPr>
                <w:sz w:val="20"/>
                <w:szCs w:val="20"/>
                <w:color w:val="auto"/>
              </w:rPr>
            </w:pPr>
            <w:r>
              <w:rPr>
                <w:rFonts w:ascii="Arial" w:cs="Arial" w:eastAsia="Arial" w:hAnsi="Arial"/>
                <w:sz w:val="17"/>
                <w:szCs w:val="17"/>
                <w:color w:val="auto"/>
              </w:rPr>
              <w:t>5,502,091</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44,565</w:t>
            </w: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12,678</w:t>
            </w:r>
          </w:p>
        </w:tc>
        <w:tc>
          <w:tcPr>
            <w:tcW w:w="2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81,815</w:t>
            </w:r>
          </w:p>
        </w:tc>
        <w:tc>
          <w:tcPr>
            <w:tcW w:w="1160" w:type="dxa"/>
            <w:vAlign w:val="bottom"/>
            <w:gridSpan w:val="2"/>
          </w:tcPr>
          <w:p>
            <w:pPr>
              <w:jc w:val="right"/>
              <w:spacing w:after="0"/>
              <w:rPr>
                <w:sz w:val="20"/>
                <w:szCs w:val="20"/>
                <w:color w:val="auto"/>
              </w:rPr>
            </w:pPr>
            <w:r>
              <w:rPr>
                <w:rFonts w:ascii="Arial" w:cs="Arial" w:eastAsia="Arial" w:hAnsi="Arial"/>
                <w:sz w:val="17"/>
                <w:szCs w:val="17"/>
                <w:color w:val="auto"/>
              </w:rPr>
              <w:t>5,641,149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Automobile</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2,869,232</w:t>
            </w:r>
          </w:p>
        </w:tc>
        <w:tc>
          <w:tcPr>
            <w:tcW w:w="2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56,158</w:t>
            </w: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2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300"/>
              <w:spacing w:after="0"/>
              <w:rPr>
                <w:sz w:val="20"/>
                <w:szCs w:val="20"/>
                <w:color w:val="auto"/>
              </w:rPr>
            </w:pPr>
            <w:r>
              <w:rPr>
                <w:rFonts w:ascii="Arial" w:cs="Arial" w:eastAsia="Arial" w:hAnsi="Arial"/>
                <w:sz w:val="17"/>
                <w:szCs w:val="17"/>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18,674</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2,944,065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0" w:type="dxa"/>
            <w:vAlign w:val="bottom"/>
          </w:tcPr>
          <w:p>
            <w:pPr>
              <w:ind w:left="240"/>
              <w:spacing w:after="0"/>
              <w:rPr>
                <w:sz w:val="20"/>
                <w:szCs w:val="20"/>
                <w:color w:val="auto"/>
              </w:rPr>
            </w:pPr>
            <w:r>
              <w:rPr>
                <w:rFonts w:ascii="Arial" w:cs="Arial" w:eastAsia="Arial" w:hAnsi="Arial"/>
                <w:sz w:val="17"/>
                <w:szCs w:val="17"/>
                <w:color w:val="auto"/>
              </w:rPr>
              <w:t>Other</w:t>
            </w:r>
          </w:p>
        </w:tc>
        <w:tc>
          <w:tcPr>
            <w:tcW w:w="880" w:type="dxa"/>
            <w:vAlign w:val="bottom"/>
          </w:tcPr>
          <w:p>
            <w:pPr>
              <w:jc w:val="right"/>
              <w:spacing w:after="0"/>
              <w:rPr>
                <w:sz w:val="20"/>
                <w:szCs w:val="20"/>
                <w:color w:val="auto"/>
              </w:rPr>
            </w:pPr>
            <w:r>
              <w:rPr>
                <w:rFonts w:ascii="Arial" w:cs="Arial" w:eastAsia="Arial" w:hAnsi="Arial"/>
                <w:sz w:val="17"/>
                <w:szCs w:val="17"/>
                <w:color w:val="auto"/>
              </w:rPr>
              <w:t>3,491,629</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31,286</w:t>
            </w: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5,185</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21,491</w:t>
            </w:r>
          </w:p>
        </w:tc>
        <w:tc>
          <w:tcPr>
            <w:tcW w:w="2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11,258</w:t>
            </w:r>
          </w:p>
        </w:tc>
        <w:tc>
          <w:tcPr>
            <w:tcW w:w="1160" w:type="dxa"/>
            <w:vAlign w:val="bottom"/>
            <w:gridSpan w:val="2"/>
          </w:tcPr>
          <w:p>
            <w:pPr>
              <w:jc w:val="right"/>
              <w:spacing w:after="0"/>
              <w:rPr>
                <w:sz w:val="20"/>
                <w:szCs w:val="20"/>
                <w:color w:val="auto"/>
              </w:rPr>
            </w:pPr>
            <w:r>
              <w:rPr>
                <w:rFonts w:ascii="Arial" w:cs="Arial" w:eastAsia="Arial" w:hAnsi="Arial"/>
                <w:sz w:val="17"/>
                <w:szCs w:val="17"/>
                <w:color w:val="auto"/>
              </w:rPr>
              <w:t>3,560,849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2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Total</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$ 87,968,321</w:t>
            </w:r>
          </w:p>
        </w:tc>
        <w:tc>
          <w:tcPr>
            <w:tcW w:w="280" w:type="dxa"/>
            <w:vAlign w:val="bottom"/>
            <w:tcBorders>
              <w:top w:val="single" w:sz="8" w:color="CFF0FC"/>
              <w:bottom w:val="single" w:sz="8" w:color="CFF0FC"/>
            </w:tcBorders>
            <w:shd w:val="clear" w:color="auto" w:fill="CFF0FC"/>
          </w:tcPr>
          <w:p>
            <w:pPr>
              <w:spacing w:after="0"/>
              <w:rPr>
                <w:sz w:val="17"/>
                <w:szCs w:val="17"/>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1,025,245</w:t>
            </w:r>
          </w:p>
        </w:tc>
        <w:tc>
          <w:tcPr>
            <w:tcW w:w="280" w:type="dxa"/>
            <w:vAlign w:val="bottom"/>
            <w:tcBorders>
              <w:top w:val="single" w:sz="8" w:color="CFF0FC"/>
              <w:bottom w:val="single" w:sz="8" w:color="CFF0FC"/>
            </w:tcBorders>
            <w:shd w:val="clear" w:color="auto" w:fill="CFF0FC"/>
          </w:tcPr>
          <w:p>
            <w:pPr>
              <w:spacing w:after="0"/>
              <w:rPr>
                <w:sz w:val="17"/>
                <w:szCs w:val="17"/>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300,659</w:t>
            </w:r>
          </w:p>
        </w:tc>
        <w:tc>
          <w:tcPr>
            <w:tcW w:w="280" w:type="dxa"/>
            <w:vAlign w:val="bottom"/>
            <w:tcBorders>
              <w:top w:val="single" w:sz="8" w:color="CFF0FC"/>
              <w:bottom w:val="single" w:sz="8" w:color="CFF0FC"/>
            </w:tcBorders>
            <w:shd w:val="clear" w:color="auto" w:fill="CFF0FC"/>
          </w:tcPr>
          <w:p>
            <w:pPr>
              <w:spacing w:after="0"/>
              <w:rPr>
                <w:sz w:val="17"/>
                <w:szCs w:val="17"/>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61,144</w:t>
            </w:r>
          </w:p>
        </w:tc>
        <w:tc>
          <w:tcPr>
            <w:tcW w:w="280" w:type="dxa"/>
            <w:vAlign w:val="bottom"/>
            <w:tcBorders>
              <w:top w:val="single" w:sz="8" w:color="CFF0FC"/>
              <w:bottom w:val="single" w:sz="8" w:color="CFF0FC"/>
            </w:tcBorders>
            <w:shd w:val="clear" w:color="auto" w:fill="CFF0FC"/>
          </w:tcPr>
          <w:p>
            <w:pPr>
              <w:spacing w:after="0"/>
              <w:rPr>
                <w:sz w:val="17"/>
                <w:szCs w:val="17"/>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578,032</w:t>
            </w:r>
          </w:p>
        </w:tc>
        <w:tc>
          <w:tcPr>
            <w:tcW w:w="280" w:type="dxa"/>
            <w:vAlign w:val="bottom"/>
            <w:tcBorders>
              <w:top w:val="single" w:sz="8" w:color="CFF0FC"/>
              <w:bottom w:val="single" w:sz="8" w:color="CFF0FC"/>
            </w:tcBorders>
            <w:shd w:val="clear" w:color="auto" w:fill="CFF0FC"/>
          </w:tcPr>
          <w:p>
            <w:pPr>
              <w:spacing w:after="0"/>
              <w:rPr>
                <w:sz w:val="17"/>
                <w:szCs w:val="17"/>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920,015</w:t>
            </w:r>
          </w:p>
        </w:tc>
        <w:tc>
          <w:tcPr>
            <w:tcW w:w="300" w:type="dxa"/>
            <w:vAlign w:val="bottom"/>
            <w:tcBorders>
              <w:top w:val="single" w:sz="8" w:color="CFF0FC"/>
              <w:bottom w:val="single" w:sz="8" w:color="CFF0FC"/>
            </w:tcBorders>
            <w:shd w:val="clear" w:color="auto" w:fill="CFF0FC"/>
          </w:tcPr>
          <w:p>
            <w:pPr>
              <w:spacing w:after="0"/>
              <w:rPr>
                <w:sz w:val="17"/>
                <w:szCs w:val="17"/>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2"/>
              </w:rPr>
              <w:t>$ 90,853,416</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136017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152" w:lineRule="exact"/>
        <w:rPr>
          <w:sz w:val="20"/>
          <w:szCs w:val="20"/>
          <w:color w:val="auto"/>
        </w:rPr>
      </w:pPr>
    </w:p>
    <w:p>
      <w:pPr>
        <w:ind w:left="600" w:hanging="595"/>
        <w:spacing w:after="0"/>
        <w:tabs>
          <w:tab w:leader="none" w:pos="600" w:val="left"/>
        </w:tabs>
        <w:numPr>
          <w:ilvl w:val="0"/>
          <w:numId w:val="44"/>
        </w:numPr>
        <w:rPr>
          <w:rFonts w:ascii="Arial" w:cs="Arial" w:eastAsia="Arial" w:hAnsi="Arial"/>
          <w:sz w:val="18"/>
          <w:szCs w:val="18"/>
          <w:i w:val="1"/>
          <w:iCs w:val="1"/>
          <w:color w:val="auto"/>
        </w:rPr>
      </w:pPr>
      <w:r>
        <w:rPr>
          <w:rFonts w:ascii="Arial" w:cs="Arial" w:eastAsia="Arial" w:hAnsi="Arial"/>
          <w:sz w:val="18"/>
          <w:szCs w:val="18"/>
          <w:i w:val="1"/>
          <w:iCs w:val="1"/>
          <w:color w:val="auto"/>
        </w:rPr>
        <w:t>Excludes loans acquired at a discount.</w:t>
      </w:r>
    </w:p>
    <w:p>
      <w:pPr>
        <w:spacing w:after="0" w:line="16" w:lineRule="exact"/>
        <w:rPr>
          <w:rFonts w:ascii="Arial" w:cs="Arial" w:eastAsia="Arial" w:hAnsi="Arial"/>
          <w:sz w:val="18"/>
          <w:szCs w:val="18"/>
          <w:i w:val="1"/>
          <w:iCs w:val="1"/>
          <w:color w:val="auto"/>
        </w:rPr>
      </w:pPr>
    </w:p>
    <w:p>
      <w:pPr>
        <w:ind w:left="600" w:right="500" w:hanging="595"/>
        <w:spacing w:after="0" w:line="250" w:lineRule="auto"/>
        <w:tabs>
          <w:tab w:leader="none" w:pos="600" w:val="left"/>
        </w:tabs>
        <w:numPr>
          <w:ilvl w:val="0"/>
          <w:numId w:val="44"/>
        </w:numPr>
        <w:rPr>
          <w:rFonts w:ascii="Arial" w:cs="Arial" w:eastAsia="Arial" w:hAnsi="Arial"/>
          <w:sz w:val="18"/>
          <w:szCs w:val="18"/>
          <w:i w:val="1"/>
          <w:iCs w:val="1"/>
          <w:color w:val="auto"/>
        </w:rPr>
      </w:pPr>
      <w:r>
        <w:rPr>
          <w:rFonts w:ascii="Arial" w:cs="Arial" w:eastAsia="Arial" w:hAnsi="Arial"/>
          <w:sz w:val="18"/>
          <w:szCs w:val="18"/>
          <w:i w:val="1"/>
          <w:iCs w:val="1"/>
          <w:color w:val="auto"/>
        </w:rPr>
        <w:t>Loans acquired at a discount that were recorded at fair value at acquisition date. This category does not include purchased impaired loans that are presented separately.</w:t>
      </w:r>
    </w:p>
    <w:p>
      <w:pPr>
        <w:spacing w:after="0" w:line="1" w:lineRule="exact"/>
        <w:rPr>
          <w:rFonts w:ascii="Arial" w:cs="Arial" w:eastAsia="Arial" w:hAnsi="Arial"/>
          <w:sz w:val="18"/>
          <w:szCs w:val="18"/>
          <w:i w:val="1"/>
          <w:iCs w:val="1"/>
          <w:color w:val="auto"/>
        </w:rPr>
      </w:pPr>
    </w:p>
    <w:p>
      <w:pPr>
        <w:ind w:left="600" w:hanging="595"/>
        <w:spacing w:after="0"/>
        <w:tabs>
          <w:tab w:leader="none" w:pos="600" w:val="left"/>
        </w:tabs>
        <w:numPr>
          <w:ilvl w:val="0"/>
          <w:numId w:val="44"/>
        </w:numPr>
        <w:rPr>
          <w:rFonts w:ascii="Arial" w:cs="Arial" w:eastAsia="Arial" w:hAnsi="Arial"/>
          <w:sz w:val="18"/>
          <w:szCs w:val="18"/>
          <w:i w:val="1"/>
          <w:iCs w:val="1"/>
          <w:color w:val="auto"/>
        </w:rPr>
      </w:pPr>
      <w:r>
        <w:rPr>
          <w:rFonts w:ascii="Arial" w:cs="Arial" w:eastAsia="Arial" w:hAnsi="Arial"/>
          <w:sz w:val="18"/>
          <w:szCs w:val="18"/>
          <w:i w:val="1"/>
          <w:iCs w:val="1"/>
          <w:color w:val="auto"/>
        </w:rPr>
        <w:t>Accruing loans acquired at a discount that were impaired at acquisition date and recorded at fair value.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27" w:name="page128"/>
    <w:bookmarkEnd w:id="127"/>
    <w:p>
      <w:pPr>
        <w:ind w:right="400" w:firstLine="598"/>
        <w:spacing w:after="0" w:line="266" w:lineRule="auto"/>
        <w:rPr>
          <w:sz w:val="20"/>
          <w:szCs w:val="20"/>
          <w:color w:val="auto"/>
        </w:rPr>
      </w:pPr>
      <w:r>
        <w:rPr>
          <w:rFonts w:ascii="Arial" w:cs="Arial" w:eastAsia="Arial" w:hAnsi="Arial"/>
          <w:sz w:val="19"/>
          <w:szCs w:val="19"/>
          <w:color w:val="auto"/>
        </w:rPr>
        <w:t>If nonaccrual and renegotiated loans had been accruing interest at their originally contracted terms, interest income on such loans would have amounted to $63,872,000 in 2017, $68,371,000 in 2016 and $56,784,000 in 2015. The actual amounts included in interest income during 2017, 2016 and 2015 on such loans were $31,425,000, $33,941,000 and $30,735,000, respectively.</w:t>
      </w:r>
    </w:p>
    <w:p>
      <w:pPr>
        <w:spacing w:after="0" w:line="1" w:lineRule="exact"/>
        <w:rPr>
          <w:sz w:val="20"/>
          <w:szCs w:val="20"/>
          <w:color w:val="auto"/>
        </w:rPr>
      </w:pPr>
    </w:p>
    <w:p>
      <w:pPr>
        <w:ind w:right="520" w:firstLine="598"/>
        <w:spacing w:after="0" w:line="256" w:lineRule="auto"/>
        <w:rPr>
          <w:sz w:val="20"/>
          <w:szCs w:val="20"/>
          <w:color w:val="auto"/>
        </w:rPr>
      </w:pPr>
      <w:r>
        <w:rPr>
          <w:rFonts w:ascii="Arial" w:cs="Arial" w:eastAsia="Arial" w:hAnsi="Arial"/>
          <w:sz w:val="20"/>
          <w:szCs w:val="20"/>
          <w:color w:val="auto"/>
        </w:rPr>
        <w:t>The outstanding principal balance and the carrying amount of loans acquired at a discount that were recorded at fair value at the acquisition date and included in the consolidated balance sheet were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6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right"/>
              <w:ind w:right="83"/>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1"/>
        </w:trPr>
        <w:tc>
          <w:tcPr>
            <w:tcW w:w="560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78"/>
              <w:spacing w:after="0" w:line="151" w:lineRule="exact"/>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95"/>
              <w:spacing w:after="0" w:line="151"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r>
      <w:tr>
        <w:trPr>
          <w:trHeight w:val="176"/>
        </w:trPr>
        <w:tc>
          <w:tcPr>
            <w:tcW w:w="560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00" w:type="dxa"/>
            <w:vAlign w:val="bottom"/>
            <w:gridSpan w:val="3"/>
          </w:tcPr>
          <w:p>
            <w:pPr>
              <w:jc w:val="right"/>
              <w:ind w:right="43"/>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421"/>
        </w:trPr>
        <w:tc>
          <w:tcPr>
            <w:tcW w:w="5600" w:type="dxa"/>
            <w:vAlign w:val="bottom"/>
          </w:tcPr>
          <w:p>
            <w:pPr>
              <w:spacing w:after="0"/>
              <w:rPr>
                <w:sz w:val="20"/>
                <w:szCs w:val="20"/>
                <w:color w:val="auto"/>
              </w:rPr>
            </w:pPr>
            <w:r>
              <w:rPr>
                <w:rFonts w:ascii="Arial" w:cs="Arial" w:eastAsia="Arial" w:hAnsi="Arial"/>
                <w:sz w:val="18"/>
                <w:szCs w:val="18"/>
                <w:color w:val="auto"/>
              </w:rPr>
              <w:t>Outstanding principal balance</w:t>
            </w:r>
          </w:p>
        </w:tc>
        <w:tc>
          <w:tcPr>
            <w:tcW w:w="3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1,394,188</w:t>
            </w:r>
          </w:p>
        </w:tc>
        <w:tc>
          <w:tcPr>
            <w:tcW w:w="420" w:type="dxa"/>
            <w:vAlign w:val="bottom"/>
          </w:tcPr>
          <w:p>
            <w:pPr>
              <w:spacing w:after="0"/>
              <w:rPr>
                <w:sz w:val="24"/>
                <w:szCs w:val="24"/>
                <w:color w:val="auto"/>
              </w:rPr>
            </w:pP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2,311,699</w:t>
            </w:r>
          </w:p>
        </w:tc>
        <w:tc>
          <w:tcPr>
            <w:tcW w:w="100" w:type="dxa"/>
            <w:vAlign w:val="bottom"/>
          </w:tcPr>
          <w:p>
            <w:pPr>
              <w:spacing w:after="0"/>
              <w:rPr>
                <w:sz w:val="24"/>
                <w:szCs w:val="24"/>
                <w:color w:val="auto"/>
              </w:rPr>
            </w:pPr>
          </w:p>
        </w:tc>
      </w:tr>
      <w:tr>
        <w:trPr>
          <w:trHeight w:val="224"/>
        </w:trPr>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Carrying amount:</w:t>
            </w:r>
          </w:p>
        </w:tc>
        <w:tc>
          <w:tcPr>
            <w:tcW w:w="28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3"/>
        </w:trPr>
        <w:tc>
          <w:tcPr>
            <w:tcW w:w="5600" w:type="dxa"/>
            <w:vAlign w:val="bottom"/>
          </w:tcPr>
          <w:p>
            <w:pPr>
              <w:ind w:left="240"/>
              <w:spacing w:after="0"/>
              <w:rPr>
                <w:sz w:val="20"/>
                <w:szCs w:val="20"/>
                <w:color w:val="auto"/>
              </w:rPr>
            </w:pPr>
            <w:r>
              <w:rPr>
                <w:rFonts w:ascii="Arial" w:cs="Arial" w:eastAsia="Arial" w:hAnsi="Arial"/>
                <w:sz w:val="18"/>
                <w:szCs w:val="18"/>
                <w:color w:val="auto"/>
              </w:rPr>
              <w:t>Commercial, financial, leasing, etc.</w:t>
            </w:r>
          </w:p>
        </w:tc>
        <w:tc>
          <w:tcPr>
            <w:tcW w:w="2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31,105</w:t>
            </w: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59,928</w:t>
            </w:r>
          </w:p>
        </w:tc>
        <w:tc>
          <w:tcPr>
            <w:tcW w:w="100" w:type="dxa"/>
            <w:vAlign w:val="bottom"/>
          </w:tcPr>
          <w:p>
            <w:pPr>
              <w:spacing w:after="0"/>
              <w:rPr>
                <w:sz w:val="19"/>
                <w:szCs w:val="19"/>
                <w:color w:val="auto"/>
              </w:rPr>
            </w:pPr>
          </w:p>
        </w:tc>
      </w:tr>
      <w:tr>
        <w:trPr>
          <w:trHeight w:val="224"/>
        </w:trPr>
        <w:tc>
          <w:tcPr>
            <w:tcW w:w="5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Commercial real estate</w:t>
            </w:r>
          </w:p>
        </w:tc>
        <w:tc>
          <w:tcPr>
            <w:tcW w:w="28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228,054</w:t>
            </w:r>
          </w:p>
        </w:tc>
        <w:tc>
          <w:tcPr>
            <w:tcW w:w="4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456,820</w:t>
            </w:r>
          </w:p>
        </w:tc>
        <w:tc>
          <w:tcPr>
            <w:tcW w:w="100" w:type="dxa"/>
            <w:vAlign w:val="bottom"/>
            <w:shd w:val="clear" w:color="auto" w:fill="CFF0FC"/>
          </w:tcPr>
          <w:p>
            <w:pPr>
              <w:spacing w:after="0"/>
              <w:rPr>
                <w:sz w:val="19"/>
                <w:szCs w:val="19"/>
                <w:color w:val="auto"/>
              </w:rPr>
            </w:pPr>
          </w:p>
        </w:tc>
      </w:tr>
      <w:tr>
        <w:trPr>
          <w:trHeight w:val="223"/>
        </w:trPr>
        <w:tc>
          <w:tcPr>
            <w:tcW w:w="5600" w:type="dxa"/>
            <w:vAlign w:val="bottom"/>
          </w:tcPr>
          <w:p>
            <w:pPr>
              <w:ind w:left="240"/>
              <w:spacing w:after="0"/>
              <w:rPr>
                <w:sz w:val="20"/>
                <w:szCs w:val="20"/>
                <w:color w:val="auto"/>
              </w:rPr>
            </w:pPr>
            <w:r>
              <w:rPr>
                <w:rFonts w:ascii="Arial" w:cs="Arial" w:eastAsia="Arial" w:hAnsi="Arial"/>
                <w:sz w:val="18"/>
                <w:szCs w:val="18"/>
                <w:color w:val="auto"/>
              </w:rPr>
              <w:t>Residential real estate</w:t>
            </w:r>
          </w:p>
        </w:tc>
        <w:tc>
          <w:tcPr>
            <w:tcW w:w="2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620,827</w:t>
            </w: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799,802</w:t>
            </w:r>
          </w:p>
        </w:tc>
        <w:tc>
          <w:tcPr>
            <w:tcW w:w="100" w:type="dxa"/>
            <w:vAlign w:val="bottom"/>
          </w:tcPr>
          <w:p>
            <w:pPr>
              <w:spacing w:after="0"/>
              <w:rPr>
                <w:sz w:val="19"/>
                <w:szCs w:val="19"/>
                <w:color w:val="auto"/>
              </w:rPr>
            </w:pPr>
          </w:p>
        </w:tc>
      </w:tr>
      <w:tr>
        <w:trPr>
          <w:trHeight w:val="223"/>
        </w:trPr>
        <w:tc>
          <w:tcPr>
            <w:tcW w:w="5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Consumer</w:t>
            </w:r>
          </w:p>
        </w:tc>
        <w:tc>
          <w:tcPr>
            <w:tcW w:w="28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123,413</w:t>
            </w:r>
          </w:p>
        </w:tc>
        <w:tc>
          <w:tcPr>
            <w:tcW w:w="4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487,721</w:t>
            </w:r>
          </w:p>
        </w:tc>
        <w:tc>
          <w:tcPr>
            <w:tcW w:w="100" w:type="dxa"/>
            <w:vAlign w:val="bottom"/>
            <w:shd w:val="clear" w:color="auto" w:fill="CFF0FC"/>
          </w:tcPr>
          <w:p>
            <w:pPr>
              <w:spacing w:after="0"/>
              <w:rPr>
                <w:sz w:val="19"/>
                <w:szCs w:val="19"/>
                <w:color w:val="auto"/>
              </w:rPr>
            </w:pPr>
          </w:p>
        </w:tc>
      </w:tr>
      <w:tr>
        <w:trPr>
          <w:trHeight w:val="217"/>
        </w:trPr>
        <w:tc>
          <w:tcPr>
            <w:tcW w:w="5600" w:type="dxa"/>
            <w:vAlign w:val="bottom"/>
          </w:tcPr>
          <w:p>
            <w:pPr>
              <w:spacing w:after="0"/>
              <w:rPr>
                <w:sz w:val="18"/>
                <w:szCs w:val="18"/>
                <w:color w:val="auto"/>
              </w:rPr>
            </w:pPr>
          </w:p>
        </w:tc>
        <w:tc>
          <w:tcPr>
            <w:tcW w:w="3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1,003,399</w:t>
            </w:r>
          </w:p>
        </w:tc>
        <w:tc>
          <w:tcPr>
            <w:tcW w:w="420" w:type="dxa"/>
            <w:vAlign w:val="bottom"/>
          </w:tcPr>
          <w:p>
            <w:pPr>
              <w:spacing w:after="0"/>
              <w:rPr>
                <w:sz w:val="18"/>
                <w:szCs w:val="18"/>
                <w:color w:val="auto"/>
              </w:rPr>
            </w:pP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1,804,271</w:t>
            </w:r>
          </w:p>
        </w:tc>
        <w:tc>
          <w:tcPr>
            <w:tcW w:w="100" w:type="dxa"/>
            <w:vAlign w:val="bottom"/>
          </w:tcPr>
          <w:p>
            <w:pPr>
              <w:spacing w:after="0"/>
              <w:rPr>
                <w:sz w:val="18"/>
                <w:szCs w:val="18"/>
                <w:color w:val="auto"/>
              </w:rPr>
            </w:pPr>
          </w:p>
        </w:tc>
      </w:tr>
      <w:tr>
        <w:trPr>
          <w:trHeight w:val="20"/>
        </w:trPr>
        <w:tc>
          <w:tcPr>
            <w:tcW w:w="56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6" w:lineRule="exact"/>
        <w:rPr>
          <w:sz w:val="20"/>
          <w:szCs w:val="20"/>
          <w:color w:val="auto"/>
        </w:rPr>
      </w:pPr>
    </w:p>
    <w:p>
      <w:pPr>
        <w:jc w:val="both"/>
        <w:ind w:right="120" w:firstLine="598"/>
        <w:spacing w:after="0" w:line="261" w:lineRule="auto"/>
        <w:rPr>
          <w:sz w:val="20"/>
          <w:szCs w:val="20"/>
          <w:color w:val="auto"/>
        </w:rPr>
      </w:pPr>
      <w:r>
        <w:rPr>
          <w:rFonts w:ascii="Arial" w:cs="Arial" w:eastAsia="Arial" w:hAnsi="Arial"/>
          <w:sz w:val="20"/>
          <w:szCs w:val="20"/>
          <w:color w:val="auto"/>
        </w:rPr>
        <w:t>Purchased impaired loans included in the table above totaled $410 million at December 31, 2017 and $578 million at December 31, 2016, representing less than 1% of the Company’s assets as of each date. A summary of changes in the accretable yield for loans acquired at a discount for the years ended December 31, 2017, 2016 and 2015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740" w:type="dxa"/>
            <w:vAlign w:val="bottom"/>
            <w:gridSpan w:val="3"/>
          </w:tcPr>
          <w:p>
            <w:pPr>
              <w:spacing w:after="0"/>
              <w:rPr>
                <w:sz w:val="20"/>
                <w:szCs w:val="20"/>
                <w:color w:val="auto"/>
              </w:rPr>
            </w:pPr>
            <w:r>
              <w:rPr>
                <w:rFonts w:ascii="Arial" w:cs="Arial" w:eastAsia="Arial" w:hAnsi="Arial"/>
                <w:sz w:val="14"/>
                <w:szCs w:val="14"/>
                <w:b w:val="1"/>
                <w:bCs w:val="1"/>
                <w:color w:val="auto"/>
              </w:rPr>
              <w:t>For the Year Ended December 31,</w:t>
            </w:r>
          </w:p>
        </w:tc>
        <w:tc>
          <w:tcPr>
            <w:tcW w:w="120" w:type="dxa"/>
            <w:vAlign w:val="bottom"/>
          </w:tcPr>
          <w:p>
            <w:pPr>
              <w:spacing w:after="0"/>
              <w:rPr>
                <w:sz w:val="14"/>
                <w:szCs w:val="14"/>
                <w:color w:val="auto"/>
              </w:rPr>
            </w:pPr>
          </w:p>
        </w:tc>
        <w:tc>
          <w:tcPr>
            <w:tcW w:w="1180" w:type="dxa"/>
            <w:vAlign w:val="bottom"/>
            <w:gridSpan w:val="3"/>
          </w:tcPr>
          <w:p>
            <w:pPr>
              <w:jc w:val="right"/>
              <w:ind w:right="19"/>
              <w:spacing w:after="0"/>
              <w:rPr>
                <w:sz w:val="20"/>
                <w:szCs w:val="20"/>
                <w:color w:val="auto"/>
              </w:rPr>
            </w:pPr>
            <w:r>
              <w:rPr>
                <w:rFonts w:ascii="Arial" w:cs="Arial" w:eastAsia="Arial" w:hAnsi="Arial"/>
                <w:sz w:val="14"/>
                <w:szCs w:val="14"/>
                <w:b w:val="1"/>
                <w:bCs w:val="1"/>
                <w:color w:val="auto"/>
              </w:rPr>
              <w:t>2017</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3"/>
          </w:tcPr>
          <w:p>
            <w:pPr>
              <w:jc w:val="right"/>
              <w:ind w:right="19"/>
              <w:spacing w:after="0"/>
              <w:rPr>
                <w:sz w:val="20"/>
                <w:szCs w:val="20"/>
                <w:color w:val="auto"/>
              </w:rPr>
            </w:pPr>
            <w:r>
              <w:rPr>
                <w:rFonts w:ascii="Arial" w:cs="Arial" w:eastAsia="Arial" w:hAnsi="Arial"/>
                <w:sz w:val="14"/>
                <w:szCs w:val="14"/>
                <w:b w:val="1"/>
                <w:bCs w:val="1"/>
                <w:color w:val="auto"/>
              </w:rPr>
              <w:t>2016</w:t>
            </w: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2015</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8"/>
        </w:trPr>
        <w:tc>
          <w:tcPr>
            <w:tcW w:w="20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86"/>
              </w:rPr>
              <w:t>Purchased</w:t>
            </w: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07"/>
              <w:spacing w:after="0" w:line="149" w:lineRule="exact"/>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86"/>
              </w:rPr>
              <w:t>Purchased</w:t>
            </w: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187"/>
              <w:spacing w:after="0" w:line="149" w:lineRule="exact"/>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86"/>
              </w:rPr>
              <w:t>Purchased</w:t>
            </w: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187"/>
              <w:spacing w:after="0" w:line="149"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2"/>
                <w:szCs w:val="12"/>
                <w:color w:val="auto"/>
              </w:rPr>
            </w:pPr>
          </w:p>
        </w:tc>
      </w:tr>
      <w:tr>
        <w:trPr>
          <w:trHeight w:val="167"/>
        </w:trPr>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Impaired</w:t>
            </w:r>
          </w:p>
        </w:tc>
        <w:tc>
          <w:tcPr>
            <w:tcW w:w="140" w:type="dxa"/>
            <w:vAlign w:val="bottom"/>
          </w:tcPr>
          <w:p>
            <w:pPr>
              <w:spacing w:after="0"/>
              <w:rPr>
                <w:sz w:val="14"/>
                <w:szCs w:val="14"/>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5"/>
              </w:rPr>
              <w:t>Acquired</w:t>
            </w:r>
          </w:p>
        </w:tc>
        <w:tc>
          <w:tcPr>
            <w:tcW w:w="120" w:type="dxa"/>
            <w:vAlign w:val="bottom"/>
          </w:tcPr>
          <w:p>
            <w:pPr>
              <w:spacing w:after="0"/>
              <w:rPr>
                <w:sz w:val="14"/>
                <w:szCs w:val="1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9"/>
              </w:rPr>
              <w:t>Impaired</w:t>
            </w:r>
          </w:p>
        </w:tc>
        <w:tc>
          <w:tcPr>
            <w:tcW w:w="140" w:type="dxa"/>
            <w:vAlign w:val="bottom"/>
          </w:tcPr>
          <w:p>
            <w:pPr>
              <w:spacing w:after="0"/>
              <w:rPr>
                <w:sz w:val="14"/>
                <w:szCs w:val="14"/>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2"/>
              </w:rPr>
              <w:t>Acquired</w:t>
            </w:r>
          </w:p>
        </w:tc>
        <w:tc>
          <w:tcPr>
            <w:tcW w:w="120" w:type="dxa"/>
            <w:vAlign w:val="bottom"/>
          </w:tcPr>
          <w:p>
            <w:pPr>
              <w:spacing w:after="0"/>
              <w:rPr>
                <w:sz w:val="14"/>
                <w:szCs w:val="1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9"/>
              </w:rPr>
              <w:t>Impaired</w:t>
            </w:r>
          </w:p>
        </w:tc>
        <w:tc>
          <w:tcPr>
            <w:tcW w:w="120" w:type="dxa"/>
            <w:vAlign w:val="bottom"/>
          </w:tcPr>
          <w:p>
            <w:pPr>
              <w:spacing w:after="0"/>
              <w:rPr>
                <w:sz w:val="14"/>
                <w:szCs w:val="14"/>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5"/>
              </w:rPr>
              <w:t>Acquired</w:t>
            </w:r>
          </w:p>
        </w:tc>
      </w:tr>
      <w:tr>
        <w:trPr>
          <w:trHeight w:val="176"/>
        </w:trPr>
        <w:tc>
          <w:tcPr>
            <w:tcW w:w="2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120" w:type="dxa"/>
            <w:vAlign w:val="bottom"/>
            <w:tcBorders>
              <w:top w:val="single" w:sz="8" w:color="auto"/>
            </w:tcBorders>
            <w:gridSpan w:val="5"/>
          </w:tcPr>
          <w:p>
            <w:pPr>
              <w:jc w:val="right"/>
              <w:ind w:right="8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33"/>
        </w:trPr>
        <w:tc>
          <w:tcPr>
            <w:tcW w:w="2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50"/>
        </w:trPr>
        <w:tc>
          <w:tcPr>
            <w:tcW w:w="4740" w:type="dxa"/>
            <w:vAlign w:val="bottom"/>
            <w:gridSpan w:val="3"/>
            <w:shd w:val="clear" w:color="auto" w:fill="CFF0FC"/>
          </w:tcPr>
          <w:p>
            <w:pPr>
              <w:spacing w:after="0"/>
              <w:rPr>
                <w:sz w:val="20"/>
                <w:szCs w:val="20"/>
                <w:color w:val="auto"/>
              </w:rPr>
            </w:pPr>
            <w:r>
              <w:rPr>
                <w:rFonts w:ascii="Arial" w:cs="Arial" w:eastAsia="Arial" w:hAnsi="Arial"/>
                <w:sz w:val="20"/>
                <w:szCs w:val="20"/>
                <w:color w:val="auto"/>
              </w:rPr>
              <w:t>Balance at beginning of period</w:t>
            </w:r>
          </w:p>
        </w:tc>
        <w:tc>
          <w:tcPr>
            <w:tcW w:w="1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154,233</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201,153</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184,618</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296,434</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76,518</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397,379</w:t>
            </w:r>
          </w:p>
        </w:tc>
        <w:tc>
          <w:tcPr>
            <w:tcW w:w="100" w:type="dxa"/>
            <w:vAlign w:val="bottom"/>
            <w:shd w:val="clear" w:color="auto" w:fill="CFF0FC"/>
          </w:tcPr>
          <w:p>
            <w:pPr>
              <w:spacing w:after="0"/>
              <w:rPr>
                <w:sz w:val="21"/>
                <w:szCs w:val="21"/>
                <w:color w:val="auto"/>
              </w:rPr>
            </w:pPr>
          </w:p>
        </w:tc>
      </w:tr>
      <w:tr>
        <w:trPr>
          <w:trHeight w:val="250"/>
        </w:trPr>
        <w:tc>
          <w:tcPr>
            <w:tcW w:w="4740" w:type="dxa"/>
            <w:vAlign w:val="bottom"/>
            <w:gridSpan w:val="3"/>
          </w:tcPr>
          <w:p>
            <w:pPr>
              <w:spacing w:after="0"/>
              <w:rPr>
                <w:sz w:val="20"/>
                <w:szCs w:val="20"/>
                <w:color w:val="auto"/>
              </w:rPr>
            </w:pPr>
            <w:r>
              <w:rPr>
                <w:rFonts w:ascii="Arial" w:cs="Arial" w:eastAsia="Arial" w:hAnsi="Arial"/>
                <w:sz w:val="20"/>
                <w:szCs w:val="20"/>
                <w:color w:val="auto"/>
              </w:rPr>
              <w:t>Additions</w:t>
            </w:r>
          </w:p>
        </w:tc>
        <w:tc>
          <w:tcPr>
            <w:tcW w:w="120" w:type="dxa"/>
            <w:vAlign w:val="bottom"/>
          </w:tcPr>
          <w:p>
            <w:pPr>
              <w:spacing w:after="0"/>
              <w:rPr>
                <w:sz w:val="21"/>
                <w:szCs w:val="2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117,251</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r>
      <w:tr>
        <w:trPr>
          <w:trHeight w:val="250"/>
        </w:trPr>
        <w:tc>
          <w:tcPr>
            <w:tcW w:w="4740" w:type="dxa"/>
            <w:vAlign w:val="bottom"/>
            <w:gridSpan w:val="3"/>
            <w:shd w:val="clear" w:color="auto" w:fill="CFF0FC"/>
          </w:tcPr>
          <w:p>
            <w:pPr>
              <w:spacing w:after="0"/>
              <w:rPr>
                <w:sz w:val="20"/>
                <w:szCs w:val="20"/>
                <w:color w:val="auto"/>
              </w:rPr>
            </w:pPr>
            <w:r>
              <w:rPr>
                <w:rFonts w:ascii="Arial" w:cs="Arial" w:eastAsia="Arial" w:hAnsi="Arial"/>
                <w:sz w:val="20"/>
                <w:szCs w:val="20"/>
                <w:color w:val="auto"/>
              </w:rPr>
              <w:t>Interest income</w:t>
            </w:r>
          </w:p>
        </w:tc>
        <w:tc>
          <w:tcPr>
            <w:tcW w:w="1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20"/>
                <w:szCs w:val="20"/>
                <w:color w:val="auto"/>
              </w:rPr>
              <w:t>(47,452)</w:t>
            </w:r>
          </w:p>
        </w:tc>
        <w:tc>
          <w:tcPr>
            <w:tcW w:w="14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20"/>
                <w:szCs w:val="20"/>
                <w:color w:val="auto"/>
              </w:rPr>
              <w:t>(82,605)</w:t>
            </w:r>
          </w:p>
        </w:tc>
        <w:tc>
          <w:tcPr>
            <w:tcW w:w="12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20"/>
                <w:szCs w:val="20"/>
                <w:color w:val="auto"/>
              </w:rPr>
              <w:t>(52,769)</w:t>
            </w:r>
          </w:p>
        </w:tc>
        <w:tc>
          <w:tcPr>
            <w:tcW w:w="14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20"/>
                <w:szCs w:val="20"/>
                <w:color w:val="auto"/>
                <w:w w:val="95"/>
              </w:rPr>
              <w:t>(123,044)</w:t>
            </w:r>
          </w:p>
        </w:tc>
        <w:tc>
          <w:tcPr>
            <w:tcW w:w="12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20"/>
                <w:szCs w:val="20"/>
                <w:color w:val="auto"/>
              </w:rPr>
              <w:t>(28,551)</w:t>
            </w:r>
          </w:p>
        </w:tc>
        <w:tc>
          <w:tcPr>
            <w:tcW w:w="12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w w:val="95"/>
              </w:rPr>
              <w:t>(158,260)</w:t>
            </w:r>
          </w:p>
        </w:tc>
      </w:tr>
      <w:tr>
        <w:trPr>
          <w:trHeight w:val="236"/>
        </w:trPr>
        <w:tc>
          <w:tcPr>
            <w:tcW w:w="4740" w:type="dxa"/>
            <w:vAlign w:val="bottom"/>
            <w:gridSpan w:val="3"/>
          </w:tcPr>
          <w:p>
            <w:pPr>
              <w:spacing w:after="0"/>
              <w:rPr>
                <w:sz w:val="20"/>
                <w:szCs w:val="20"/>
                <w:color w:val="auto"/>
              </w:rPr>
            </w:pPr>
            <w:r>
              <w:rPr>
                <w:rFonts w:ascii="Arial" w:cs="Arial" w:eastAsia="Arial" w:hAnsi="Arial"/>
                <w:sz w:val="20"/>
                <w:szCs w:val="20"/>
                <w:color w:val="auto"/>
              </w:rPr>
              <w:t>Reclassifications from</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4740" w:type="dxa"/>
            <w:vAlign w:val="bottom"/>
            <w:gridSpan w:val="3"/>
          </w:tcPr>
          <w:p>
            <w:pPr>
              <w:ind w:left="160"/>
              <w:spacing w:after="0"/>
              <w:rPr>
                <w:sz w:val="20"/>
                <w:szCs w:val="20"/>
                <w:color w:val="auto"/>
              </w:rPr>
            </w:pPr>
            <w:r>
              <w:rPr>
                <w:rFonts w:ascii="Arial" w:cs="Arial" w:eastAsia="Arial" w:hAnsi="Arial"/>
                <w:sz w:val="20"/>
                <w:szCs w:val="20"/>
                <w:color w:val="auto"/>
              </w:rPr>
              <w:t>nonaccretable balance</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51,137</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16,437</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22,384</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22,677</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19,400</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49,930</w:t>
            </w:r>
          </w:p>
        </w:tc>
        <w:tc>
          <w:tcPr>
            <w:tcW w:w="100" w:type="dxa"/>
            <w:vAlign w:val="bottom"/>
          </w:tcPr>
          <w:p>
            <w:pPr>
              <w:spacing w:after="0"/>
              <w:rPr>
                <w:sz w:val="21"/>
                <w:szCs w:val="21"/>
                <w:color w:val="auto"/>
              </w:rPr>
            </w:pPr>
          </w:p>
        </w:tc>
      </w:tr>
      <w:tr>
        <w:trPr>
          <w:trHeight w:val="250"/>
        </w:trPr>
        <w:tc>
          <w:tcPr>
            <w:tcW w:w="4740" w:type="dxa"/>
            <w:vAlign w:val="bottom"/>
            <w:gridSpan w:val="3"/>
            <w:shd w:val="clear" w:color="auto" w:fill="CFF0FC"/>
          </w:tcPr>
          <w:p>
            <w:pPr>
              <w:spacing w:after="0"/>
              <w:rPr>
                <w:sz w:val="20"/>
                <w:szCs w:val="20"/>
                <w:color w:val="auto"/>
              </w:rPr>
            </w:pPr>
            <w:r>
              <w:rPr>
                <w:rFonts w:ascii="Arial" w:cs="Arial" w:eastAsia="Arial" w:hAnsi="Arial"/>
                <w:sz w:val="20"/>
                <w:szCs w:val="20"/>
                <w:color w:val="auto"/>
              </w:rPr>
              <w:t>Other(a)</w:t>
            </w:r>
          </w:p>
        </w:tc>
        <w:tc>
          <w:tcPr>
            <w:tcW w:w="1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20"/>
                <w:szCs w:val="20"/>
                <w:color w:val="auto"/>
              </w:rPr>
              <w:t>—</w:t>
            </w:r>
          </w:p>
        </w:tc>
        <w:tc>
          <w:tcPr>
            <w:tcW w:w="14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20"/>
                <w:szCs w:val="20"/>
                <w:color w:val="auto"/>
              </w:rPr>
              <w:t>(1,823)</w:t>
            </w:r>
          </w:p>
        </w:tc>
        <w:tc>
          <w:tcPr>
            <w:tcW w:w="12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20"/>
                <w:szCs w:val="20"/>
                <w:color w:val="auto"/>
              </w:rPr>
              <w:t>—</w:t>
            </w:r>
          </w:p>
        </w:tc>
        <w:tc>
          <w:tcPr>
            <w:tcW w:w="14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5,086</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20"/>
                <w:szCs w:val="20"/>
                <w:color w:val="auto"/>
              </w:rPr>
              <w:t>—</w:t>
            </w: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7,385</w:t>
            </w:r>
          </w:p>
        </w:tc>
        <w:tc>
          <w:tcPr>
            <w:tcW w:w="100" w:type="dxa"/>
            <w:vAlign w:val="bottom"/>
            <w:shd w:val="clear" w:color="auto" w:fill="CFF0FC"/>
          </w:tcPr>
          <w:p>
            <w:pPr>
              <w:spacing w:after="0"/>
              <w:rPr>
                <w:sz w:val="21"/>
                <w:szCs w:val="21"/>
                <w:color w:val="auto"/>
              </w:rPr>
            </w:pPr>
          </w:p>
        </w:tc>
      </w:tr>
      <w:tr>
        <w:trPr>
          <w:trHeight w:val="243"/>
        </w:trPr>
        <w:tc>
          <w:tcPr>
            <w:tcW w:w="4740" w:type="dxa"/>
            <w:vAlign w:val="bottom"/>
            <w:gridSpan w:val="3"/>
          </w:tcPr>
          <w:p>
            <w:pPr>
              <w:spacing w:after="0"/>
              <w:rPr>
                <w:sz w:val="20"/>
                <w:szCs w:val="20"/>
                <w:color w:val="auto"/>
              </w:rPr>
            </w:pPr>
            <w:r>
              <w:rPr>
                <w:rFonts w:ascii="Arial" w:cs="Arial" w:eastAsia="Arial" w:hAnsi="Arial"/>
                <w:sz w:val="20"/>
                <w:szCs w:val="20"/>
                <w:color w:val="auto"/>
              </w:rPr>
              <w:t>Balance at end of period</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157,918</w:t>
            </w:r>
          </w:p>
        </w:tc>
        <w:tc>
          <w:tcPr>
            <w:tcW w:w="24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133,162</w:t>
            </w:r>
          </w:p>
        </w:tc>
        <w:tc>
          <w:tcPr>
            <w:tcW w:w="2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154,233</w:t>
            </w:r>
          </w:p>
        </w:tc>
        <w:tc>
          <w:tcPr>
            <w:tcW w:w="2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201,153</w:t>
            </w:r>
          </w:p>
        </w:tc>
        <w:tc>
          <w:tcPr>
            <w:tcW w:w="2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184,618</w:t>
            </w:r>
          </w:p>
        </w:tc>
        <w:tc>
          <w:tcPr>
            <w:tcW w:w="2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296,434</w:t>
            </w:r>
          </w:p>
        </w:tc>
        <w:tc>
          <w:tcPr>
            <w:tcW w:w="100" w:type="dxa"/>
            <w:vAlign w:val="bottom"/>
          </w:tcPr>
          <w:p>
            <w:pPr>
              <w:spacing w:after="0"/>
              <w:rPr>
                <w:sz w:val="21"/>
                <w:szCs w:val="21"/>
                <w:color w:val="auto"/>
              </w:rPr>
            </w:pPr>
          </w:p>
        </w:tc>
      </w:tr>
      <w:tr>
        <w:trPr>
          <w:trHeight w:val="20"/>
        </w:trPr>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1"/>
        </w:trPr>
        <w:tc>
          <w:tcPr>
            <w:tcW w:w="20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r>
    </w:tbl>
    <w:p>
      <w:pPr>
        <w:spacing w:after="0" w:line="26" w:lineRule="exact"/>
        <w:rPr>
          <w:sz w:val="20"/>
          <w:szCs w:val="20"/>
          <w:color w:val="auto"/>
        </w:rPr>
      </w:pPr>
    </w:p>
    <w:p>
      <w:pPr>
        <w:ind w:left="600" w:hanging="595"/>
        <w:spacing w:after="0"/>
        <w:tabs>
          <w:tab w:leader="none" w:pos="600" w:val="left"/>
        </w:tabs>
        <w:numPr>
          <w:ilvl w:val="0"/>
          <w:numId w:val="45"/>
        </w:numPr>
        <w:rPr>
          <w:rFonts w:ascii="Arial" w:cs="Arial" w:eastAsia="Arial" w:hAnsi="Arial"/>
          <w:sz w:val="20"/>
          <w:szCs w:val="20"/>
          <w:i w:val="1"/>
          <w:iCs w:val="1"/>
          <w:color w:val="auto"/>
        </w:rPr>
      </w:pPr>
      <w:r>
        <w:rPr>
          <w:rFonts w:ascii="Arial" w:cs="Arial" w:eastAsia="Arial" w:hAnsi="Arial"/>
          <w:sz w:val="20"/>
          <w:szCs w:val="20"/>
          <w:i w:val="1"/>
          <w:iCs w:val="1"/>
          <w:color w:val="auto"/>
        </w:rPr>
        <w:t>Other changes in expected cash flows including changes in interest rates and prepayment assumptions.</w:t>
      </w:r>
    </w:p>
    <w:p>
      <w:pPr>
        <w:spacing w:after="0" w:line="243" w:lineRule="exact"/>
        <w:rPr>
          <w:sz w:val="20"/>
          <w:szCs w:val="20"/>
          <w:color w:val="auto"/>
        </w:rPr>
      </w:pPr>
    </w:p>
    <w:p>
      <w:pPr>
        <w:ind w:right="240" w:firstLine="598"/>
        <w:spacing w:after="0" w:line="274" w:lineRule="auto"/>
        <w:rPr>
          <w:sz w:val="20"/>
          <w:szCs w:val="20"/>
          <w:color w:val="auto"/>
        </w:rPr>
      </w:pPr>
      <w:r>
        <w:rPr>
          <w:rFonts w:ascii="Arial" w:cs="Arial" w:eastAsia="Arial" w:hAnsi="Arial"/>
          <w:sz w:val="19"/>
          <w:szCs w:val="19"/>
          <w:color w:val="auto"/>
        </w:rPr>
        <w:t>During the normal course of business, the Company modifies loans to maximize recovery efforts. If the borrower is experiencing financial difficulty and a concession is granted, the Company considers such modifications as troubled debt restructurings and classifies those loans as either nonaccrual loans or renegotiated loans. The types of concessions that the Company grants typically include principal deferrals and interest rate concessions, but may also include other types of concessions.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46" w:right="239" w:bottom="1440" w:gutter="0" w:footer="0" w:header="0"/>
        </w:sectPr>
      </w:pPr>
    </w:p>
    <w:bookmarkStart w:id="128" w:name="page129"/>
    <w:bookmarkEnd w:id="128"/>
    <w:p>
      <w:pPr>
        <w:ind w:right="40" w:firstLine="598"/>
        <w:spacing w:after="0" w:line="275" w:lineRule="auto"/>
        <w:rPr>
          <w:sz w:val="20"/>
          <w:szCs w:val="20"/>
          <w:color w:val="auto"/>
        </w:rPr>
      </w:pPr>
      <w:r>
        <w:rPr>
          <w:rFonts w:ascii="Arial" w:cs="Arial" w:eastAsia="Arial" w:hAnsi="Arial"/>
          <w:sz w:val="20"/>
          <w:szCs w:val="20"/>
          <w:color w:val="auto"/>
        </w:rPr>
        <w:t>The tables that follow summarize the Company’s loan modification activities that were considered troubled debt restructurings for the years ended December 31, 2017, 2016 and 2015:</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80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vMerge w:val="restart"/>
          </w:tcPr>
          <w:p>
            <w:pPr>
              <w:jc w:val="center"/>
              <w:ind w:right="35"/>
              <w:spacing w:after="0"/>
              <w:rPr>
                <w:sz w:val="20"/>
                <w:szCs w:val="20"/>
                <w:color w:val="auto"/>
              </w:rPr>
            </w:pPr>
            <w:r>
              <w:rPr>
                <w:rFonts w:ascii="Arial" w:cs="Arial" w:eastAsia="Arial" w:hAnsi="Arial"/>
                <w:sz w:val="14"/>
                <w:szCs w:val="14"/>
                <w:b w:val="1"/>
                <w:bCs w:val="1"/>
                <w:color w:val="auto"/>
                <w:w w:val="95"/>
              </w:rPr>
              <w:t>Pre-</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rPr>
              <w:t>Post-modification (a)</w:t>
            </w: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180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Combination</w:t>
            </w: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80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35"/>
              <w:spacing w:after="0" w:line="145" w:lineRule="exact"/>
              <w:rPr>
                <w:sz w:val="20"/>
                <w:szCs w:val="20"/>
                <w:color w:val="auto"/>
              </w:rPr>
            </w:pPr>
            <w:r>
              <w:rPr>
                <w:rFonts w:ascii="Arial" w:cs="Arial" w:eastAsia="Arial" w:hAnsi="Arial"/>
                <w:sz w:val="14"/>
                <w:szCs w:val="14"/>
                <w:b w:val="1"/>
                <w:bCs w:val="1"/>
                <w:color w:val="auto"/>
                <w:w w:val="88"/>
              </w:rPr>
              <w:t>modification</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w w:val="97"/>
              </w:rPr>
              <w:t>Principal</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80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2"/>
                <w:szCs w:val="12"/>
                <w:color w:val="auto"/>
              </w:rPr>
            </w:pPr>
          </w:p>
        </w:tc>
        <w:tc>
          <w:tcPr>
            <w:tcW w:w="940" w:type="dxa"/>
            <w:vAlign w:val="bottom"/>
          </w:tcPr>
          <w:p>
            <w:pPr>
              <w:jc w:val="center"/>
              <w:ind w:right="35"/>
              <w:spacing w:after="0" w:line="145" w:lineRule="exact"/>
              <w:rPr>
                <w:sz w:val="20"/>
                <w:szCs w:val="20"/>
                <w:color w:val="auto"/>
              </w:rPr>
            </w:pPr>
            <w:r>
              <w:rPr>
                <w:rFonts w:ascii="Arial" w:cs="Arial" w:eastAsia="Arial" w:hAnsi="Arial"/>
                <w:sz w:val="14"/>
                <w:szCs w:val="14"/>
                <w:b w:val="1"/>
                <w:bCs w:val="1"/>
                <w:color w:val="auto"/>
                <w:w w:val="90"/>
              </w:rPr>
              <w:t>recorded</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2"/>
                <w:szCs w:val="12"/>
                <w:color w:val="auto"/>
              </w:rPr>
            </w:pPr>
          </w:p>
        </w:tc>
        <w:tc>
          <w:tcPr>
            <w:tcW w:w="110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w w:val="90"/>
              </w:rPr>
              <w:t>of</w:t>
            </w:r>
          </w:p>
        </w:tc>
        <w:tc>
          <w:tcPr>
            <w:tcW w:w="200" w:type="dxa"/>
            <w:vAlign w:val="bottom"/>
          </w:tcPr>
          <w:p>
            <w:pPr>
              <w:spacing w:after="0"/>
              <w:rPr>
                <w:sz w:val="12"/>
                <w:szCs w:val="12"/>
                <w:color w:val="auto"/>
              </w:rPr>
            </w:pPr>
          </w:p>
        </w:tc>
        <w:tc>
          <w:tcPr>
            <w:tcW w:w="80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800" w:type="dxa"/>
            <w:vAlign w:val="bottom"/>
            <w:vMerge w:val="restart"/>
          </w:tcPr>
          <w:p>
            <w:pPr>
              <w:spacing w:after="0"/>
              <w:rPr>
                <w:sz w:val="20"/>
                <w:szCs w:val="20"/>
                <w:color w:val="auto"/>
              </w:rPr>
            </w:pPr>
            <w:r>
              <w:rPr>
                <w:rFonts w:ascii="Arial" w:cs="Arial" w:eastAsia="Arial" w:hAnsi="Arial"/>
                <w:sz w:val="14"/>
                <w:szCs w:val="14"/>
                <w:color w:val="auto"/>
                <w:w w:val="88"/>
              </w:rPr>
              <w:t>Year Ended December 31, 2017</w:t>
            </w:r>
          </w:p>
        </w:tc>
        <w:tc>
          <w:tcPr>
            <w:tcW w:w="3440" w:type="dxa"/>
            <w:vAlign w:val="bottom"/>
            <w:vMerge w:val="restart"/>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35"/>
              <w:spacing w:after="0"/>
              <w:rPr>
                <w:sz w:val="20"/>
                <w:szCs w:val="20"/>
                <w:color w:val="auto"/>
              </w:rPr>
            </w:pPr>
            <w:r>
              <w:rPr>
                <w:rFonts w:ascii="Arial" w:cs="Arial" w:eastAsia="Arial" w:hAnsi="Arial"/>
                <w:sz w:val="14"/>
                <w:szCs w:val="14"/>
                <w:b w:val="1"/>
                <w:bCs w:val="1"/>
                <w:color w:val="auto"/>
                <w:w w:val="89"/>
              </w:rPr>
              <w:t>investment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135"/>
              <w:spacing w:after="0"/>
              <w:rPr>
                <w:sz w:val="20"/>
                <w:szCs w:val="20"/>
                <w:color w:val="auto"/>
              </w:rPr>
            </w:pPr>
            <w:r>
              <w:rPr>
                <w:rFonts w:ascii="Arial" w:cs="Arial" w:eastAsia="Arial" w:hAnsi="Arial"/>
                <w:sz w:val="14"/>
                <w:szCs w:val="14"/>
                <w:b w:val="1"/>
                <w:bCs w:val="1"/>
                <w:color w:val="auto"/>
              </w:rPr>
              <w:t>Deferral</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w w:val="95"/>
              </w:rPr>
              <w:t>Concession Types</w:t>
            </w:r>
          </w:p>
        </w:tc>
        <w:tc>
          <w:tcPr>
            <w:tcW w:w="2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800" w:type="dxa"/>
            <w:vAlign w:val="bottom"/>
            <w:tcBorders>
              <w:bottom w:val="single" w:sz="8" w:color="auto"/>
            </w:tcBorders>
            <w:vMerge w:val="continue"/>
          </w:tcPr>
          <w:p>
            <w:pPr>
              <w:spacing w:after="0"/>
              <w:rPr>
                <w:sz w:val="11"/>
                <w:szCs w:val="11"/>
                <w:color w:val="auto"/>
              </w:rPr>
            </w:pPr>
          </w:p>
        </w:tc>
        <w:tc>
          <w:tcPr>
            <w:tcW w:w="3440" w:type="dxa"/>
            <w:vAlign w:val="bottom"/>
            <w:vMerge w:val="continue"/>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800" w:type="dxa"/>
            <w:vAlign w:val="bottom"/>
            <w:tcBorders>
              <w:top w:val="single" w:sz="8" w:color="auto"/>
            </w:tcBorders>
            <w:gridSpan w:val="5"/>
          </w:tcPr>
          <w:p>
            <w:pPr>
              <w:ind w:left="220"/>
              <w:spacing w:after="0" w:line="138" w:lineRule="exact"/>
              <w:rPr>
                <w:sz w:val="20"/>
                <w:szCs w:val="20"/>
                <w:color w:val="auto"/>
              </w:rPr>
            </w:pPr>
            <w:r>
              <w:rPr>
                <w:rFonts w:ascii="Arial" w:cs="Arial" w:eastAsia="Arial" w:hAnsi="Arial"/>
                <w:sz w:val="14"/>
                <w:szCs w:val="14"/>
                <w:b w:val="1"/>
                <w:bCs w:val="1"/>
                <w:color w:val="auto"/>
              </w:rPr>
              <w:t>(Dollars in thousands)</w:t>
            </w:r>
          </w:p>
        </w:tc>
        <w:tc>
          <w:tcPr>
            <w:tcW w:w="1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40"/>
        </w:trPr>
        <w:tc>
          <w:tcPr>
            <w:tcW w:w="5240" w:type="dxa"/>
            <w:vAlign w:val="bottom"/>
            <w:gridSpan w:val="2"/>
          </w:tcPr>
          <w:p>
            <w:pPr>
              <w:spacing w:after="0"/>
              <w:rPr>
                <w:sz w:val="20"/>
                <w:szCs w:val="20"/>
                <w:color w:val="auto"/>
              </w:rPr>
            </w:pPr>
            <w:r>
              <w:rPr>
                <w:rFonts w:ascii="Arial" w:cs="Arial" w:eastAsia="Arial" w:hAnsi="Arial"/>
                <w:sz w:val="18"/>
                <w:szCs w:val="18"/>
                <w:color w:val="auto"/>
              </w:rPr>
              <w:t>Commercial, financial, leasing, etc.</w:t>
            </w:r>
          </w:p>
        </w:tc>
        <w:tc>
          <w:tcPr>
            <w:tcW w:w="700" w:type="dxa"/>
            <w:vAlign w:val="bottom"/>
          </w:tcPr>
          <w:p>
            <w:pPr>
              <w:jc w:val="right"/>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111,036</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25,051</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6,459</w:t>
            </w:r>
          </w:p>
        </w:tc>
        <w:tc>
          <w:tcPr>
            <w:tcW w:w="12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57,153</w:t>
            </w:r>
          </w:p>
        </w:tc>
        <w:tc>
          <w:tcPr>
            <w:tcW w:w="120" w:type="dxa"/>
            <w:vAlign w:val="bottom"/>
          </w:tcPr>
          <w:p>
            <w:pPr>
              <w:spacing w:after="0"/>
              <w:rPr>
                <w:sz w:val="24"/>
                <w:szCs w:val="24"/>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88,663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Real estate:</w:t>
            </w: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tcBorders>
              <w:right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gridSpan w:val="2"/>
          </w:tcPr>
          <w:p>
            <w:pPr>
              <w:ind w:left="240"/>
              <w:spacing w:after="0"/>
              <w:rPr>
                <w:sz w:val="20"/>
                <w:szCs w:val="20"/>
                <w:color w:val="auto"/>
              </w:rPr>
            </w:pPr>
            <w:r>
              <w:rPr>
                <w:rFonts w:ascii="Arial" w:cs="Arial" w:eastAsia="Arial" w:hAnsi="Arial"/>
                <w:sz w:val="18"/>
                <w:szCs w:val="18"/>
                <w:color w:val="auto"/>
              </w:rPr>
              <w:t>Commercial</w:t>
            </w:r>
          </w:p>
        </w:tc>
        <w:tc>
          <w:tcPr>
            <w:tcW w:w="700" w:type="dxa"/>
            <w:vAlign w:val="bottom"/>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44,924</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17,039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868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22,975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40,882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2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Residential builder and developer</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12,291</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10,879</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10,879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gridSpan w:val="2"/>
          </w:tcPr>
          <w:p>
            <w:pPr>
              <w:ind w:left="240"/>
              <w:spacing w:after="0"/>
              <w:rPr>
                <w:sz w:val="20"/>
                <w:szCs w:val="20"/>
                <w:color w:val="auto"/>
              </w:rPr>
            </w:pPr>
            <w:r>
              <w:rPr>
                <w:rFonts w:ascii="Arial" w:cs="Arial" w:eastAsia="Arial" w:hAnsi="Arial"/>
                <w:sz w:val="18"/>
                <w:szCs w:val="18"/>
                <w:color w:val="auto"/>
              </w:rPr>
              <w:t>Other commercial construction</w:t>
            </w: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168</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2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Residential</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31,827</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16,633</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17,974</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34,607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gridSpan w:val="2"/>
          </w:tcPr>
          <w:p>
            <w:pPr>
              <w:ind w:left="240"/>
              <w:spacing w:after="0"/>
              <w:rPr>
                <w:sz w:val="20"/>
                <w:szCs w:val="20"/>
                <w:color w:val="auto"/>
              </w:rPr>
            </w:pPr>
            <w:r>
              <w:rPr>
                <w:rFonts w:ascii="Arial" w:cs="Arial" w:eastAsia="Arial" w:hAnsi="Arial"/>
                <w:sz w:val="18"/>
                <w:szCs w:val="18"/>
                <w:color w:val="auto"/>
              </w:rPr>
              <w:t>Residential — limited documentation</w:t>
            </w:r>
          </w:p>
        </w:tc>
        <w:tc>
          <w:tcPr>
            <w:tcW w:w="70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4,230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911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3,661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Consumer:</w:t>
            </w: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tcBorders>
              <w:right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gridSpan w:val="2"/>
          </w:tcPr>
          <w:p>
            <w:pPr>
              <w:ind w:left="240"/>
              <w:spacing w:after="0"/>
              <w:rPr>
                <w:sz w:val="20"/>
                <w:szCs w:val="20"/>
                <w:color w:val="auto"/>
              </w:rPr>
            </w:pPr>
            <w:r>
              <w:rPr>
                <w:rFonts w:ascii="Arial" w:cs="Arial" w:eastAsia="Arial" w:hAnsi="Arial"/>
                <w:sz w:val="18"/>
                <w:szCs w:val="18"/>
                <w:color w:val="auto"/>
              </w:rPr>
              <w:t>Home equity lines and loans</w:t>
            </w:r>
          </w:p>
        </w:tc>
        <w:tc>
          <w:tcPr>
            <w:tcW w:w="700" w:type="dxa"/>
            <w:vAlign w:val="bottom"/>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10,049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1,137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491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8,585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10,213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2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Automobile</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1,378</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1,203</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Borders>
              <w:bottom w:val="single" w:sz="8" w:color="CFF0FC"/>
            </w:tcBorders>
            <w:gridSpan w:val="2"/>
          </w:tcPr>
          <w:p>
            <w:pPr>
              <w:ind w:left="240"/>
              <w:spacing w:after="0"/>
              <w:rPr>
                <w:sz w:val="20"/>
                <w:szCs w:val="20"/>
                <w:color w:val="auto"/>
              </w:rPr>
            </w:pPr>
            <w:r>
              <w:rPr>
                <w:rFonts w:ascii="Arial" w:cs="Arial" w:eastAsia="Arial" w:hAnsi="Arial"/>
                <w:sz w:val="18"/>
                <w:szCs w:val="18"/>
                <w:color w:val="auto"/>
              </w:rPr>
              <w:t>Other</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1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654</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216,063</w:t>
            </w:r>
          </w:p>
        </w:tc>
        <w:tc>
          <w:tcPr>
            <w:tcW w:w="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62,302</w:t>
            </w:r>
          </w:p>
        </w:tc>
        <w:tc>
          <w:tcPr>
            <w:tcW w:w="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7,818</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121,402</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191,522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0" w:type="dxa"/>
            <w:vAlign w:val="bottom"/>
            <w:tcBorders>
              <w:top w:val="single" w:sz="8" w:color="CFF0FC"/>
            </w:tcBorders>
          </w:tcPr>
          <w:p>
            <w:pPr>
              <w:spacing w:after="0" w:line="20" w:lineRule="exact"/>
              <w:rPr>
                <w:sz w:val="1"/>
                <w:szCs w:val="1"/>
                <w:color w:val="auto"/>
              </w:rPr>
            </w:pPr>
          </w:p>
        </w:tc>
        <w:tc>
          <w:tcPr>
            <w:tcW w:w="344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80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40" w:type="dxa"/>
            <w:vAlign w:val="bottom"/>
            <w:gridSpan w:val="2"/>
            <w:shd w:val="clear" w:color="auto" w:fill="CFF0FC"/>
          </w:tcPr>
          <w:p>
            <w:pPr>
              <w:spacing w:after="0" w:line="145" w:lineRule="exact"/>
              <w:rPr>
                <w:sz w:val="20"/>
                <w:szCs w:val="20"/>
                <w:color w:val="auto"/>
              </w:rPr>
            </w:pPr>
            <w:r>
              <w:rPr>
                <w:rFonts w:ascii="Arial" w:cs="Arial" w:eastAsia="Arial" w:hAnsi="Arial"/>
                <w:sz w:val="14"/>
                <w:szCs w:val="14"/>
                <w:color w:val="auto"/>
              </w:rPr>
              <w:t>Year Ended December 31, 2016</w:t>
            </w: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tcBorders>
              <w:right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800" w:type="dxa"/>
            <w:vAlign w:val="bottom"/>
            <w:tcBorders>
              <w:top w:val="single" w:sz="8" w:color="auto"/>
            </w:tcBorders>
          </w:tcPr>
          <w:p>
            <w:pPr>
              <w:spacing w:after="0"/>
              <w:rPr>
                <w:sz w:val="19"/>
                <w:szCs w:val="19"/>
                <w:color w:val="auto"/>
              </w:rPr>
            </w:pPr>
          </w:p>
        </w:tc>
        <w:tc>
          <w:tcPr>
            <w:tcW w:w="3440" w:type="dxa"/>
            <w:vAlign w:val="bottom"/>
            <w:tcBorders>
              <w:top w:val="single" w:sz="8" w:color="CFF0FC"/>
            </w:tcBorders>
          </w:tcPr>
          <w:p>
            <w:pPr>
              <w:spacing w:after="0"/>
              <w:rPr>
                <w:sz w:val="19"/>
                <w:szCs w:val="19"/>
                <w:color w:val="auto"/>
              </w:rPr>
            </w:pPr>
          </w:p>
        </w:tc>
        <w:tc>
          <w:tcPr>
            <w:tcW w:w="700" w:type="dxa"/>
            <w:vAlign w:val="bottom"/>
            <w:tcBorders>
              <w:top w:val="single" w:sz="8" w:color="CFF0FC"/>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940" w:type="dxa"/>
            <w:vAlign w:val="bottom"/>
            <w:tcBorders>
              <w:top w:val="single" w:sz="8" w:color="CFF0FC"/>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800" w:type="dxa"/>
            <w:vAlign w:val="bottom"/>
            <w:tcBorders>
              <w:top w:val="single" w:sz="8" w:color="CFF0FC"/>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620" w:type="dxa"/>
            <w:vAlign w:val="bottom"/>
            <w:tcBorders>
              <w:top w:val="single" w:sz="8" w:color="CFF0FC"/>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980" w:type="dxa"/>
            <w:vAlign w:val="bottom"/>
            <w:tcBorders>
              <w:top w:val="single" w:sz="8" w:color="CFF0FC"/>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200" w:type="dxa"/>
            <w:vAlign w:val="bottom"/>
            <w:tcBorders>
              <w:top w:val="single" w:sz="8" w:color="CFF0FC"/>
            </w:tcBorders>
          </w:tcPr>
          <w:p>
            <w:pPr>
              <w:spacing w:after="0"/>
              <w:rPr>
                <w:sz w:val="19"/>
                <w:szCs w:val="19"/>
                <w:color w:val="auto"/>
              </w:rPr>
            </w:pPr>
          </w:p>
        </w:tc>
        <w:tc>
          <w:tcPr>
            <w:tcW w:w="800" w:type="dxa"/>
            <w:vAlign w:val="bottom"/>
            <w:tcBorders>
              <w:top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Commercial, financial, leasing, etc.</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154,093</w:t>
            </w:r>
          </w:p>
        </w:tc>
        <w:tc>
          <w:tcPr>
            <w:tcW w:w="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102,446</w:t>
            </w:r>
          </w:p>
        </w:tc>
        <w:tc>
          <w:tcPr>
            <w:tcW w:w="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41,673</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144,119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gridSpan w:val="2"/>
          </w:tcPr>
          <w:p>
            <w:pPr>
              <w:spacing w:after="0"/>
              <w:rPr>
                <w:sz w:val="20"/>
                <w:szCs w:val="20"/>
                <w:color w:val="auto"/>
              </w:rPr>
            </w:pPr>
            <w:r>
              <w:rPr>
                <w:rFonts w:ascii="Arial" w:cs="Arial" w:eastAsia="Arial" w:hAnsi="Arial"/>
                <w:sz w:val="18"/>
                <w:szCs w:val="18"/>
                <w:color w:val="auto"/>
              </w:rPr>
              <w:t>Real estate:</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2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Commercial</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44,870</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23,558</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4,576</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15,603</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43,737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gridSpan w:val="2"/>
          </w:tcPr>
          <w:p>
            <w:pPr>
              <w:ind w:left="240"/>
              <w:spacing w:after="0"/>
              <w:rPr>
                <w:sz w:val="20"/>
                <w:szCs w:val="20"/>
                <w:color w:val="auto"/>
              </w:rPr>
            </w:pPr>
            <w:r>
              <w:rPr>
                <w:rFonts w:ascii="Arial" w:cs="Arial" w:eastAsia="Arial" w:hAnsi="Arial"/>
                <w:sz w:val="18"/>
                <w:szCs w:val="18"/>
                <w:color w:val="auto"/>
              </w:rPr>
              <w:t>Residential builder and developer</w:t>
            </w:r>
          </w:p>
        </w:tc>
        <w:tc>
          <w:tcPr>
            <w:tcW w:w="7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39,660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22,958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15,123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38,081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2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Other commercial construction</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3,113</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2,782</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3,032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gridSpan w:val="2"/>
          </w:tcPr>
          <w:p>
            <w:pPr>
              <w:ind w:left="240"/>
              <w:spacing w:after="0"/>
              <w:rPr>
                <w:sz w:val="20"/>
                <w:szCs w:val="20"/>
                <w:color w:val="auto"/>
              </w:rPr>
            </w:pPr>
            <w:r>
              <w:rPr>
                <w:rFonts w:ascii="Arial" w:cs="Arial" w:eastAsia="Arial" w:hAnsi="Arial"/>
                <w:sz w:val="18"/>
                <w:szCs w:val="18"/>
                <w:color w:val="auto"/>
              </w:rPr>
              <w:t>Residential</w:t>
            </w:r>
          </w:p>
        </w:tc>
        <w:tc>
          <w:tcPr>
            <w:tcW w:w="700" w:type="dxa"/>
            <w:vAlign w:val="bottom"/>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20,057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11,771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9,367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21,138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2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Residential — limited documentation</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3,560</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1,047</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2,917</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3,964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2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Home equity lines and loans</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11,870</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761</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11,110</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11,871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gridSpan w:val="2"/>
          </w:tcPr>
          <w:p>
            <w:pPr>
              <w:ind w:left="240"/>
              <w:spacing w:after="0"/>
              <w:rPr>
                <w:sz w:val="20"/>
                <w:szCs w:val="20"/>
                <w:color w:val="auto"/>
              </w:rPr>
            </w:pPr>
            <w:r>
              <w:rPr>
                <w:rFonts w:ascii="Arial" w:cs="Arial" w:eastAsia="Arial" w:hAnsi="Arial"/>
                <w:sz w:val="18"/>
                <w:szCs w:val="18"/>
                <w:color w:val="auto"/>
              </w:rPr>
              <w:t>Automobile</w:t>
            </w:r>
          </w:p>
        </w:tc>
        <w:tc>
          <w:tcPr>
            <w:tcW w:w="700" w:type="dxa"/>
            <w:vAlign w:val="bottom"/>
          </w:tcPr>
          <w:p>
            <w:pPr>
              <w:jc w:val="right"/>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1,264</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1,124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2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1,209</w:t>
            </w:r>
          </w:p>
        </w:tc>
        <w:tc>
          <w:tcPr>
            <w:tcW w:w="1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968</w:t>
            </w: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w:t>
            </w: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40" w:type="dxa"/>
            <w:vAlign w:val="bottom"/>
            <w:gridSpan w:val="2"/>
          </w:tcPr>
          <w:p>
            <w:pPr>
              <w:spacing w:after="0"/>
              <w:rPr>
                <w:sz w:val="20"/>
                <w:szCs w:val="20"/>
                <w:color w:val="auto"/>
              </w:rPr>
            </w:pPr>
            <w:r>
              <w:rPr>
                <w:rFonts w:ascii="Arial" w:cs="Arial" w:eastAsia="Arial" w:hAnsi="Arial"/>
                <w:sz w:val="18"/>
                <w:szCs w:val="18"/>
                <w:color w:val="auto"/>
              </w:rPr>
              <w:t>Total</w:t>
            </w:r>
          </w:p>
        </w:tc>
        <w:tc>
          <w:tcPr>
            <w:tcW w:w="700" w:type="dxa"/>
            <w:vAlign w:val="bottom"/>
          </w:tcPr>
          <w:p>
            <w:pPr>
              <w:jc w:val="right"/>
              <w:spacing w:after="0"/>
              <w:rPr>
                <w:sz w:val="20"/>
                <w:szCs w:val="20"/>
                <w:color w:val="auto"/>
              </w:rPr>
            </w:pPr>
            <w:r>
              <w:rPr>
                <w:rFonts w:ascii="Arial" w:cs="Arial" w:eastAsia="Arial" w:hAnsi="Arial"/>
                <w:sz w:val="18"/>
                <w:szCs w:val="18"/>
                <w:color w:val="auto"/>
              </w:rPr>
              <w:t>739</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279,696</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164,883</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4,676</w:t>
            </w:r>
          </w:p>
        </w:tc>
        <w:tc>
          <w:tcPr>
            <w:tcW w:w="1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98,856</w:t>
            </w:r>
          </w:p>
        </w:tc>
        <w:tc>
          <w:tcPr>
            <w:tcW w:w="120" w:type="dxa"/>
            <w:vAlign w:val="bottom"/>
          </w:tcPr>
          <w:p>
            <w:pPr>
              <w:spacing w:after="0"/>
              <w:rPr>
                <w:sz w:val="18"/>
                <w:szCs w:val="18"/>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268,415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18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1800" w:type="dxa"/>
            <w:vAlign w:val="bottom"/>
            <w:tcBorders>
              <w:bottom w:val="single" w:sz="8" w:color="9A9A9A"/>
            </w:tcBorders>
          </w:tcPr>
          <w:p>
            <w:pPr>
              <w:spacing w:after="0"/>
              <w:rPr>
                <w:sz w:val="9"/>
                <w:szCs w:val="9"/>
                <w:color w:val="auto"/>
              </w:rPr>
            </w:pPr>
          </w:p>
        </w:tc>
        <w:tc>
          <w:tcPr>
            <w:tcW w:w="344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336" w:right="219" w:bottom="1440" w:gutter="0" w:footer="0" w:header="0"/>
        </w:sectPr>
      </w:pPr>
    </w:p>
    <w:bookmarkStart w:id="129" w:name="page130"/>
    <w:bookmarkEnd w:id="129"/>
    <w:tbl>
      <w:tblPr>
        <w:tblLayout w:type="fixed"/>
        <w:tblInd w:w="0" w:type="dxa"/>
        <w:tblCellMar>
          <w:top w:w="0" w:type="dxa"/>
          <w:left w:w="0" w:type="dxa"/>
          <w:bottom w:w="0" w:type="dxa"/>
          <w:right w:w="0" w:type="dxa"/>
        </w:tblCellMar>
      </w:tblPr>
      <w:tr>
        <w:trPr>
          <w:trHeight w:val="167"/>
        </w:trPr>
        <w:tc>
          <w:tcPr>
            <w:tcW w:w="180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7"/>
              </w:rPr>
              <w:t>Pre-</w:t>
            </w: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Post-modification (a)</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180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gridSpan w:val="3"/>
          </w:tcPr>
          <w:p>
            <w:pPr>
              <w:jc w:val="center"/>
              <w:ind w:right="280"/>
              <w:spacing w:after="0" w:line="129" w:lineRule="exact"/>
              <w:rPr>
                <w:sz w:val="20"/>
                <w:szCs w:val="20"/>
                <w:color w:val="auto"/>
              </w:rPr>
            </w:pPr>
            <w:r>
              <w:rPr>
                <w:rFonts w:ascii="Arial" w:cs="Arial" w:eastAsia="Arial" w:hAnsi="Arial"/>
                <w:sz w:val="14"/>
                <w:szCs w:val="14"/>
                <w:b w:val="1"/>
                <w:bCs w:val="1"/>
                <w:color w:val="auto"/>
                <w:w w:val="91"/>
              </w:rPr>
              <w:t>Combination</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80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gridSpan w:val="3"/>
          </w:tcPr>
          <w:p>
            <w:pPr>
              <w:jc w:val="center"/>
              <w:ind w:right="260"/>
              <w:spacing w:after="0" w:line="145" w:lineRule="exact"/>
              <w:rPr>
                <w:sz w:val="20"/>
                <w:szCs w:val="20"/>
                <w:color w:val="auto"/>
              </w:rPr>
            </w:pPr>
            <w:r>
              <w:rPr>
                <w:rFonts w:ascii="Arial" w:cs="Arial" w:eastAsia="Arial" w:hAnsi="Arial"/>
                <w:sz w:val="14"/>
                <w:szCs w:val="14"/>
                <w:b w:val="1"/>
                <w:bCs w:val="1"/>
                <w:color w:val="auto"/>
                <w:w w:val="91"/>
              </w:rPr>
              <w:t>modification</w:t>
            </w:r>
          </w:p>
        </w:tc>
        <w:tc>
          <w:tcPr>
            <w:tcW w:w="100" w:type="dxa"/>
            <w:vAlign w:val="bottom"/>
          </w:tcPr>
          <w:p>
            <w:pPr>
              <w:spacing w:after="0"/>
              <w:rPr>
                <w:sz w:val="12"/>
                <w:szCs w:val="12"/>
                <w:color w:val="auto"/>
              </w:rPr>
            </w:pPr>
          </w:p>
        </w:tc>
        <w:tc>
          <w:tcPr>
            <w:tcW w:w="72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w w:val="94"/>
              </w:rPr>
              <w:t>Principal</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400"/>
              <w:spacing w:after="0" w:line="145" w:lineRule="exact"/>
              <w:rPr>
                <w:sz w:val="20"/>
                <w:szCs w:val="20"/>
                <w:color w:val="auto"/>
              </w:rPr>
            </w:pPr>
            <w:r>
              <w:rPr>
                <w:rFonts w:ascii="Arial" w:cs="Arial" w:eastAsia="Arial" w:hAnsi="Arial"/>
                <w:sz w:val="14"/>
                <w:szCs w:val="14"/>
                <w:b w:val="1"/>
                <w:bCs w:val="1"/>
                <w:color w:val="auto"/>
                <w:w w:val="90"/>
              </w:rPr>
              <w:t>of</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80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2"/>
                <w:szCs w:val="12"/>
                <w:color w:val="auto"/>
              </w:rPr>
            </w:pPr>
          </w:p>
        </w:tc>
        <w:tc>
          <w:tcPr>
            <w:tcW w:w="960" w:type="dxa"/>
            <w:vAlign w:val="bottom"/>
            <w:gridSpan w:val="2"/>
          </w:tcPr>
          <w:p>
            <w:pPr>
              <w:jc w:val="center"/>
              <w:ind w:right="360"/>
              <w:spacing w:after="0" w:line="145" w:lineRule="exact"/>
              <w:rPr>
                <w:sz w:val="20"/>
                <w:szCs w:val="20"/>
                <w:color w:val="auto"/>
              </w:rPr>
            </w:pPr>
            <w:r>
              <w:rPr>
                <w:rFonts w:ascii="Arial" w:cs="Arial" w:eastAsia="Arial" w:hAnsi="Arial"/>
                <w:sz w:val="14"/>
                <w:szCs w:val="14"/>
                <w:b w:val="1"/>
                <w:bCs w:val="1"/>
                <w:color w:val="auto"/>
                <w:w w:val="86"/>
              </w:rPr>
              <w:t>recorded</w:t>
            </w:r>
          </w:p>
        </w:tc>
        <w:tc>
          <w:tcPr>
            <w:tcW w:w="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vMerge w:val="restart"/>
          </w:tcPr>
          <w:p>
            <w:pPr>
              <w:jc w:val="right"/>
              <w:ind w:right="155"/>
              <w:spacing w:after="0"/>
              <w:rPr>
                <w:sz w:val="20"/>
                <w:szCs w:val="20"/>
                <w:color w:val="auto"/>
              </w:rPr>
            </w:pPr>
            <w:r>
              <w:rPr>
                <w:rFonts w:ascii="Arial" w:cs="Arial" w:eastAsia="Arial" w:hAnsi="Arial"/>
                <w:sz w:val="14"/>
                <w:szCs w:val="14"/>
                <w:b w:val="1"/>
                <w:bCs w:val="1"/>
                <w:color w:val="auto"/>
              </w:rPr>
              <w:t>Other</w:t>
            </w:r>
          </w:p>
        </w:tc>
        <w:tc>
          <w:tcPr>
            <w:tcW w:w="260" w:type="dxa"/>
            <w:vAlign w:val="bottom"/>
          </w:tcPr>
          <w:p>
            <w:pPr>
              <w:spacing w:after="0"/>
              <w:rPr>
                <w:sz w:val="12"/>
                <w:szCs w:val="12"/>
                <w:color w:val="auto"/>
              </w:rPr>
            </w:pPr>
          </w:p>
        </w:tc>
        <w:tc>
          <w:tcPr>
            <w:tcW w:w="1060" w:type="dxa"/>
            <w:vAlign w:val="bottom"/>
            <w:gridSpan w:val="3"/>
          </w:tcPr>
          <w:p>
            <w:pPr>
              <w:jc w:val="center"/>
              <w:ind w:right="280"/>
              <w:spacing w:after="0" w:line="145" w:lineRule="exact"/>
              <w:rPr>
                <w:sz w:val="20"/>
                <w:szCs w:val="20"/>
                <w:color w:val="auto"/>
              </w:rPr>
            </w:pPr>
            <w:r>
              <w:rPr>
                <w:rFonts w:ascii="Arial" w:cs="Arial" w:eastAsia="Arial" w:hAnsi="Arial"/>
                <w:sz w:val="14"/>
                <w:szCs w:val="14"/>
                <w:b w:val="1"/>
                <w:bCs w:val="1"/>
                <w:color w:val="auto"/>
                <w:w w:val="83"/>
              </w:rPr>
              <w:t>Concession</w:t>
            </w:r>
          </w:p>
        </w:tc>
        <w:tc>
          <w:tcPr>
            <w:tcW w:w="100" w:type="dxa"/>
            <w:vAlign w:val="bottom"/>
          </w:tcPr>
          <w:p>
            <w:pPr>
              <w:spacing w:after="0"/>
              <w:rPr>
                <w:sz w:val="12"/>
                <w:szCs w:val="12"/>
                <w:color w:val="auto"/>
              </w:rPr>
            </w:pPr>
          </w:p>
        </w:tc>
        <w:tc>
          <w:tcPr>
            <w:tcW w:w="7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7"/>
        </w:trPr>
        <w:tc>
          <w:tcPr>
            <w:tcW w:w="1800" w:type="dxa"/>
            <w:vAlign w:val="bottom"/>
            <w:vMerge w:val="restart"/>
          </w:tcPr>
          <w:p>
            <w:pPr>
              <w:spacing w:after="0"/>
              <w:rPr>
                <w:sz w:val="20"/>
                <w:szCs w:val="20"/>
                <w:color w:val="auto"/>
              </w:rPr>
            </w:pPr>
            <w:r>
              <w:rPr>
                <w:rFonts w:ascii="Arial" w:cs="Arial" w:eastAsia="Arial" w:hAnsi="Arial"/>
                <w:sz w:val="14"/>
                <w:szCs w:val="14"/>
                <w:color w:val="auto"/>
                <w:w w:val="88"/>
              </w:rPr>
              <w:t>Year Ended December 31, 2015</w:t>
            </w:r>
          </w:p>
        </w:tc>
        <w:tc>
          <w:tcPr>
            <w:tcW w:w="3780" w:type="dxa"/>
            <w:vAlign w:val="bottom"/>
            <w:vMerge w:val="restart"/>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6"/>
              </w:rPr>
              <w:t>investment</w:t>
            </w:r>
          </w:p>
        </w:tc>
        <w:tc>
          <w:tcPr>
            <w:tcW w:w="100" w:type="dxa"/>
            <w:vAlign w:val="bottom"/>
          </w:tcPr>
          <w:p>
            <w:pPr>
              <w:spacing w:after="0"/>
              <w:rPr>
                <w:sz w:val="14"/>
                <w:szCs w:val="14"/>
                <w:color w:val="auto"/>
              </w:rPr>
            </w:pPr>
          </w:p>
        </w:tc>
        <w:tc>
          <w:tcPr>
            <w:tcW w:w="720" w:type="dxa"/>
            <w:vAlign w:val="bottom"/>
          </w:tcPr>
          <w:p>
            <w:pPr>
              <w:jc w:val="right"/>
              <w:ind w:right="76"/>
              <w:spacing w:after="0"/>
              <w:rPr>
                <w:sz w:val="20"/>
                <w:szCs w:val="20"/>
                <w:color w:val="auto"/>
              </w:rPr>
            </w:pPr>
            <w:r>
              <w:rPr>
                <w:rFonts w:ascii="Arial" w:cs="Arial" w:eastAsia="Arial" w:hAnsi="Arial"/>
                <w:sz w:val="14"/>
                <w:szCs w:val="14"/>
                <w:b w:val="1"/>
                <w:bCs w:val="1"/>
                <w:color w:val="auto"/>
              </w:rPr>
              <w:t>Deferral</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3"/>
              </w:rPr>
              <w:t>Types</w:t>
            </w:r>
          </w:p>
        </w:tc>
        <w:tc>
          <w:tcPr>
            <w:tcW w:w="1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800" w:type="dxa"/>
            <w:vAlign w:val="bottom"/>
            <w:tcBorders>
              <w:bottom w:val="single" w:sz="8" w:color="auto"/>
            </w:tcBorders>
            <w:vMerge w:val="continue"/>
          </w:tcPr>
          <w:p>
            <w:pPr>
              <w:spacing w:after="0"/>
              <w:rPr>
                <w:sz w:val="11"/>
                <w:szCs w:val="11"/>
                <w:color w:val="auto"/>
              </w:rPr>
            </w:pPr>
          </w:p>
        </w:tc>
        <w:tc>
          <w:tcPr>
            <w:tcW w:w="3780" w:type="dxa"/>
            <w:vAlign w:val="bottom"/>
            <w:vMerge w:val="continue"/>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780" w:type="dxa"/>
            <w:vAlign w:val="bottom"/>
            <w:tcBorders>
              <w:top w:val="single" w:sz="8" w:color="auto"/>
            </w:tcBorders>
            <w:gridSpan w:val="4"/>
          </w:tcPr>
          <w:p>
            <w:pPr>
              <w:jc w:val="right"/>
              <w:ind w:right="95"/>
              <w:spacing w:after="0" w:line="138" w:lineRule="exact"/>
              <w:rPr>
                <w:sz w:val="20"/>
                <w:szCs w:val="20"/>
                <w:color w:val="auto"/>
              </w:rPr>
            </w:pPr>
            <w:r>
              <w:rPr>
                <w:rFonts w:ascii="Arial" w:cs="Arial" w:eastAsia="Arial" w:hAnsi="Arial"/>
                <w:sz w:val="14"/>
                <w:szCs w:val="14"/>
                <w:b w:val="1"/>
                <w:bCs w:val="1"/>
                <w:color w:val="auto"/>
              </w:rPr>
              <w:t>(Dollars in thousands)</w:t>
            </w:r>
          </w:p>
        </w:tc>
        <w:tc>
          <w:tcPr>
            <w:tcW w:w="2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40"/>
        </w:trPr>
        <w:tc>
          <w:tcPr>
            <w:tcW w:w="5580" w:type="dxa"/>
            <w:vAlign w:val="bottom"/>
            <w:gridSpan w:val="2"/>
          </w:tcPr>
          <w:p>
            <w:pPr>
              <w:spacing w:after="0"/>
              <w:rPr>
                <w:sz w:val="20"/>
                <w:szCs w:val="20"/>
                <w:color w:val="auto"/>
              </w:rPr>
            </w:pPr>
            <w:r>
              <w:rPr>
                <w:rFonts w:ascii="Arial" w:cs="Arial" w:eastAsia="Arial" w:hAnsi="Arial"/>
                <w:sz w:val="18"/>
                <w:szCs w:val="18"/>
                <w:color w:val="auto"/>
              </w:rPr>
              <w:t>Commercial, financial, leasing, etc.</w:t>
            </w:r>
          </w:p>
        </w:tc>
        <w:tc>
          <w:tcPr>
            <w:tcW w:w="500" w:type="dxa"/>
            <w:vAlign w:val="bottom"/>
          </w:tcPr>
          <w:p>
            <w:pPr>
              <w:jc w:val="right"/>
              <w:spacing w:after="0"/>
              <w:rPr>
                <w:sz w:val="20"/>
                <w:szCs w:val="20"/>
                <w:color w:val="auto"/>
              </w:rPr>
            </w:pPr>
            <w:r>
              <w:rPr>
                <w:rFonts w:ascii="Arial" w:cs="Arial" w:eastAsia="Arial" w:hAnsi="Arial"/>
                <w:sz w:val="18"/>
                <w:szCs w:val="18"/>
                <w:color w:val="auto"/>
              </w:rPr>
              <w:t>127</w:t>
            </w:r>
          </w:p>
        </w:tc>
        <w:tc>
          <w:tcPr>
            <w:tcW w:w="2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101,129</w:t>
            </w:r>
          </w:p>
        </w:tc>
        <w:tc>
          <w:tcPr>
            <w:tcW w:w="2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50,807</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12,926</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31,439</w:t>
            </w:r>
          </w:p>
        </w:tc>
        <w:tc>
          <w:tcPr>
            <w:tcW w:w="2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95,172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Real estate:</w:t>
            </w:r>
          </w:p>
        </w:tc>
        <w:tc>
          <w:tcPr>
            <w:tcW w:w="5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80" w:type="dxa"/>
            <w:vAlign w:val="bottom"/>
            <w:gridSpan w:val="2"/>
          </w:tcPr>
          <w:p>
            <w:pPr>
              <w:ind w:left="240"/>
              <w:spacing w:after="0"/>
              <w:rPr>
                <w:sz w:val="20"/>
                <w:szCs w:val="20"/>
                <w:color w:val="auto"/>
              </w:rPr>
            </w:pPr>
            <w:r>
              <w:rPr>
                <w:rFonts w:ascii="Arial" w:cs="Arial" w:eastAsia="Arial" w:hAnsi="Arial"/>
                <w:sz w:val="18"/>
                <w:szCs w:val="18"/>
                <w:color w:val="auto"/>
              </w:rPr>
              <w:t>Commercial</w:t>
            </w:r>
          </w:p>
        </w:tc>
        <w:tc>
          <w:tcPr>
            <w:tcW w:w="500" w:type="dxa"/>
            <w:vAlign w:val="bottom"/>
          </w:tcPr>
          <w:p>
            <w:pPr>
              <w:jc w:val="right"/>
              <w:spacing w:after="0"/>
              <w:rPr>
                <w:sz w:val="20"/>
                <w:szCs w:val="20"/>
                <w:color w:val="auto"/>
              </w:rPr>
            </w:pPr>
            <w:r>
              <w:rPr>
                <w:rFonts w:ascii="Arial" w:cs="Arial" w:eastAsia="Arial" w:hAnsi="Arial"/>
                <w:sz w:val="18"/>
                <w:szCs w:val="18"/>
                <w:color w:val="auto"/>
              </w:rPr>
              <w:t>58</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56,893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48,388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4,087</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3,242</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55,717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5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Residential builder and developer</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10,650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10,598</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10,598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80" w:type="dxa"/>
            <w:vAlign w:val="bottom"/>
            <w:gridSpan w:val="2"/>
          </w:tcPr>
          <w:p>
            <w:pPr>
              <w:ind w:left="240"/>
              <w:spacing w:after="0"/>
              <w:rPr>
                <w:sz w:val="20"/>
                <w:szCs w:val="20"/>
                <w:color w:val="auto"/>
              </w:rPr>
            </w:pPr>
            <w:r>
              <w:rPr>
                <w:rFonts w:ascii="Arial" w:cs="Arial" w:eastAsia="Arial" w:hAnsi="Arial"/>
                <w:sz w:val="18"/>
                <w:szCs w:val="18"/>
                <w:color w:val="auto"/>
              </w:rPr>
              <w:t>Other commercial construction</w:t>
            </w:r>
          </w:p>
        </w:tc>
        <w:tc>
          <w:tcPr>
            <w:tcW w:w="500" w:type="dxa"/>
            <w:vAlign w:val="bottom"/>
          </w:tcPr>
          <w:p>
            <w:pPr>
              <w:jc w:val="right"/>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10,743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10,375</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10,835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5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Residential</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10,485</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6,528</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4,277</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11,072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80" w:type="dxa"/>
            <w:vAlign w:val="bottom"/>
            <w:gridSpan w:val="2"/>
          </w:tcPr>
          <w:p>
            <w:pPr>
              <w:ind w:left="240"/>
              <w:spacing w:after="0"/>
              <w:rPr>
                <w:sz w:val="20"/>
                <w:szCs w:val="20"/>
                <w:color w:val="auto"/>
              </w:rPr>
            </w:pPr>
            <w:r>
              <w:rPr>
                <w:rFonts w:ascii="Arial" w:cs="Arial" w:eastAsia="Arial" w:hAnsi="Arial"/>
                <w:sz w:val="18"/>
                <w:szCs w:val="18"/>
                <w:color w:val="auto"/>
              </w:rPr>
              <w:t>Residential — limited documentation</w:t>
            </w:r>
          </w:p>
        </w:tc>
        <w:tc>
          <w:tcPr>
            <w:tcW w:w="500" w:type="dxa"/>
            <w:vAlign w:val="bottom"/>
          </w:tcPr>
          <w:p>
            <w:pPr>
              <w:jc w:val="right"/>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1,962</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437</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1,635</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Consumer:</w:t>
            </w:r>
          </w:p>
        </w:tc>
        <w:tc>
          <w:tcPr>
            <w:tcW w:w="5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80" w:type="dxa"/>
            <w:vAlign w:val="bottom"/>
            <w:gridSpan w:val="2"/>
          </w:tcPr>
          <w:p>
            <w:pPr>
              <w:ind w:left="240"/>
              <w:spacing w:after="0"/>
              <w:rPr>
                <w:sz w:val="20"/>
                <w:szCs w:val="20"/>
                <w:color w:val="auto"/>
              </w:rPr>
            </w:pPr>
            <w:r>
              <w:rPr>
                <w:rFonts w:ascii="Arial" w:cs="Arial" w:eastAsia="Arial" w:hAnsi="Arial"/>
                <w:sz w:val="18"/>
                <w:szCs w:val="18"/>
                <w:color w:val="auto"/>
              </w:rPr>
              <w:t>Home equity lines and loans</w:t>
            </w:r>
          </w:p>
        </w:tc>
        <w:tc>
          <w:tcPr>
            <w:tcW w:w="500" w:type="dxa"/>
            <w:vAlign w:val="bottom"/>
          </w:tcPr>
          <w:p>
            <w:pPr>
              <w:jc w:val="right"/>
              <w:spacing w:after="0"/>
              <w:rPr>
                <w:sz w:val="20"/>
                <w:szCs w:val="20"/>
                <w:color w:val="auto"/>
              </w:rPr>
            </w:pPr>
            <w:r>
              <w:rPr>
                <w:rFonts w:ascii="Arial" w:cs="Arial" w:eastAsia="Arial" w:hAnsi="Arial"/>
                <w:sz w:val="18"/>
                <w:szCs w:val="18"/>
                <w:color w:val="auto"/>
              </w:rPr>
              <w:t>71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7,378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2,175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5,204</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7,379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5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Automobile</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3,053</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1,818</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948</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80" w:type="dxa"/>
            <w:vAlign w:val="bottom"/>
            <w:tcBorders>
              <w:bottom w:val="single" w:sz="8" w:color="CFF0FC"/>
            </w:tcBorders>
            <w:gridSpan w:val="2"/>
          </w:tcPr>
          <w:p>
            <w:pPr>
              <w:ind w:left="240"/>
              <w:spacing w:after="0"/>
              <w:rPr>
                <w:sz w:val="20"/>
                <w:szCs w:val="20"/>
                <w:color w:val="auto"/>
              </w:rPr>
            </w:pPr>
            <w:r>
              <w:rPr>
                <w:rFonts w:ascii="Arial" w:cs="Arial" w:eastAsia="Arial" w:hAnsi="Arial"/>
                <w:sz w:val="18"/>
                <w:szCs w:val="18"/>
                <w:color w:val="auto"/>
              </w:rPr>
              <w:t>Other</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2,507</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1,995</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2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817</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204,800</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123,206</w:t>
            </w:r>
          </w:p>
        </w:tc>
        <w:tc>
          <w:tcPr>
            <w:tcW w:w="4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17,683</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57,516</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198,405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0" w:type="dxa"/>
            <w:vAlign w:val="bottom"/>
            <w:tcBorders>
              <w:top w:val="single" w:sz="8" w:color="CFF0FC"/>
            </w:tcBorders>
          </w:tcPr>
          <w:p>
            <w:pPr>
              <w:spacing w:after="0" w:line="20" w:lineRule="exact"/>
              <w:rPr>
                <w:sz w:val="1"/>
                <w:szCs w:val="1"/>
                <w:color w:val="auto"/>
              </w:rPr>
            </w:pPr>
          </w:p>
        </w:tc>
        <w:tc>
          <w:tcPr>
            <w:tcW w:w="378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136017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152" w:lineRule="exact"/>
        <w:rPr>
          <w:sz w:val="20"/>
          <w:szCs w:val="20"/>
          <w:color w:val="auto"/>
        </w:rPr>
      </w:pPr>
    </w:p>
    <w:p>
      <w:pPr>
        <w:ind w:left="600" w:right="20" w:hanging="595"/>
        <w:spacing w:after="0" w:line="261" w:lineRule="auto"/>
        <w:tabs>
          <w:tab w:leader="none" w:pos="600" w:val="left"/>
        </w:tabs>
        <w:numPr>
          <w:ilvl w:val="0"/>
          <w:numId w:val="46"/>
        </w:numPr>
        <w:rPr>
          <w:rFonts w:ascii="Arial" w:cs="Arial" w:eastAsia="Arial" w:hAnsi="Arial"/>
          <w:sz w:val="18"/>
          <w:szCs w:val="18"/>
          <w:i w:val="1"/>
          <w:iCs w:val="1"/>
          <w:color w:val="auto"/>
        </w:rPr>
      </w:pPr>
      <w:r>
        <w:rPr>
          <w:rFonts w:ascii="Arial" w:cs="Arial" w:eastAsia="Arial" w:hAnsi="Arial"/>
          <w:sz w:val="18"/>
          <w:szCs w:val="18"/>
          <w:i w:val="1"/>
          <w:iCs w:val="1"/>
          <w:color w:val="auto"/>
        </w:rPr>
        <w:t>Financial effects impacting the recorded investment included principal payments or advances, charge-offs and capitalized escrow arrearages. The present value of interest rate concessions, discounted at the effective rate of the original loan, was not material.</w:t>
      </w:r>
    </w:p>
    <w:p>
      <w:pPr>
        <w:spacing w:after="0" w:line="192" w:lineRule="exact"/>
        <w:rPr>
          <w:sz w:val="20"/>
          <w:szCs w:val="20"/>
          <w:color w:val="auto"/>
        </w:rPr>
      </w:pPr>
    </w:p>
    <w:p>
      <w:pPr>
        <w:ind w:right="220" w:firstLine="598"/>
        <w:spacing w:after="0" w:line="277" w:lineRule="auto"/>
        <w:rPr>
          <w:sz w:val="20"/>
          <w:szCs w:val="20"/>
          <w:color w:val="auto"/>
        </w:rPr>
      </w:pPr>
      <w:r>
        <w:rPr>
          <w:rFonts w:ascii="Arial" w:cs="Arial" w:eastAsia="Arial" w:hAnsi="Arial"/>
          <w:sz w:val="18"/>
          <w:szCs w:val="18"/>
          <w:color w:val="auto"/>
        </w:rPr>
        <w:t>Troubled debt restructurings are considered to be impaired loans and for purposes of establishing the allowance for credit losses are evaluated for impairment giving consideration to the impact of the modified loan terms on the present value of the loan’s expected cash flows. Impairment of troubled debt restructurings that have subsequently defaulted may also be measured based on the loan’s observable market price or the fair value of collateral if the loan is collateral-dependent. Charge-offs may also be recognized on troubled debt restructurings that have subsequently defaulted. Loans that were modified as troubled debt restructurings during the twelve months ended December 31, 2017, 2016 and 2015 and for which there was a subsequent payment default during the respective year were not material.</w:t>
      </w:r>
    </w:p>
    <w:p>
      <w:pPr>
        <w:spacing w:after="0" w:line="4" w:lineRule="exact"/>
        <w:rPr>
          <w:sz w:val="20"/>
          <w:szCs w:val="20"/>
          <w:color w:val="auto"/>
        </w:rPr>
      </w:pPr>
    </w:p>
    <w:p>
      <w:pPr>
        <w:ind w:right="120" w:firstLine="598"/>
        <w:spacing w:after="0" w:line="246" w:lineRule="auto"/>
        <w:rPr>
          <w:sz w:val="20"/>
          <w:szCs w:val="20"/>
          <w:color w:val="auto"/>
        </w:rPr>
      </w:pPr>
      <w:r>
        <w:rPr>
          <w:rFonts w:ascii="Arial" w:cs="Arial" w:eastAsia="Arial" w:hAnsi="Arial"/>
          <w:sz w:val="20"/>
          <w:szCs w:val="20"/>
          <w:color w:val="auto"/>
        </w:rPr>
        <w:t>Borrowings by directors and certain officers of M&amp;T and its banking subsidiaries, and by associates of such persons, exclusive of loans aggregating less than $60,000, amounted to $93,103,000 and $63,543,000 at December 31, 2017 and 2016, respectively. During 2017, new borrowings by such persons amounted to $88,077,000 (including any borrowings of new directors or officers that were outstanding at the time of their election) and repayments and other reductions (including reductions resulting from individuals ceasing to be directors or officers) were $58,517,000.</w:t>
      </w:r>
    </w:p>
    <w:p>
      <w:pPr>
        <w:spacing w:after="0" w:line="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At December 31, 2017, approximately $11.9 billion of commercial loans and leases, $12.7 billion of commercial real estate loans,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$15.3 billion of one-to-four family residential real estate loans, $2.3 billion of home equity loans and lines of credit and $5.2 billion of other</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consumer loans were pledged to secure outstanding borrowings from the FHLB of New York and available lines of credit as described in</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note 9.</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853" w:right="239" w:bottom="1440" w:gutter="0" w:footer="0" w:header="0"/>
        </w:sectPr>
      </w:pPr>
    </w:p>
    <w:bookmarkStart w:id="130" w:name="page131"/>
    <w:bookmarkEnd w:id="130"/>
    <w:p>
      <w:pPr>
        <w:ind w:right="60" w:firstLine="598"/>
        <w:spacing w:after="0" w:line="261" w:lineRule="auto"/>
        <w:rPr>
          <w:sz w:val="20"/>
          <w:szCs w:val="20"/>
          <w:color w:val="auto"/>
        </w:rPr>
      </w:pPr>
      <w:r>
        <w:rPr>
          <w:rFonts w:ascii="Arial" w:cs="Arial" w:eastAsia="Arial" w:hAnsi="Arial"/>
          <w:sz w:val="20"/>
          <w:szCs w:val="20"/>
          <w:color w:val="auto"/>
        </w:rPr>
        <w:t>The Company’s loan and lease portfolio includes commercial lease financing receivables consisting of direct financing and leveraged leases for machinery and equipment, railroad equipment, commercial trucks and trailers, and aircraft. A summary of lease financing receivables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December 31</w:t>
            </w:r>
          </w:p>
        </w:tc>
      </w:tr>
      <w:tr>
        <w:trPr>
          <w:trHeight w:val="151"/>
        </w:trPr>
        <w:tc>
          <w:tcPr>
            <w:tcW w:w="916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46"/>
              <w:spacing w:after="0" w:line="151"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42"/>
              <w:spacing w:after="0" w:line="151"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r>
      <w:tr>
        <w:trPr>
          <w:trHeight w:val="151"/>
        </w:trPr>
        <w:tc>
          <w:tcPr>
            <w:tcW w:w="9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20" w:type="dxa"/>
            <w:vAlign w:val="bottom"/>
            <w:gridSpan w:val="5"/>
          </w:tcPr>
          <w:p>
            <w:pPr>
              <w:jc w:val="right"/>
              <w:ind w:right="542"/>
              <w:spacing w:after="0" w:line="151"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3"/>
                <w:szCs w:val="13"/>
                <w:color w:val="auto"/>
              </w:rPr>
            </w:pPr>
          </w:p>
        </w:tc>
      </w:tr>
      <w:tr>
        <w:trPr>
          <w:trHeight w:val="250"/>
        </w:trPr>
        <w:tc>
          <w:tcPr>
            <w:tcW w:w="9160" w:type="dxa"/>
            <w:vAlign w:val="bottom"/>
            <w:shd w:val="clear" w:color="auto" w:fill="CFF0FC"/>
          </w:tcPr>
          <w:p>
            <w:pPr>
              <w:spacing w:after="0"/>
              <w:rPr>
                <w:sz w:val="20"/>
                <w:szCs w:val="20"/>
                <w:color w:val="auto"/>
              </w:rPr>
            </w:pPr>
            <w:r>
              <w:rPr>
                <w:rFonts w:ascii="Arial" w:cs="Arial" w:eastAsia="Arial" w:hAnsi="Arial"/>
                <w:sz w:val="20"/>
                <w:szCs w:val="20"/>
                <w:color w:val="auto"/>
              </w:rPr>
              <w:t>Commercial leases:</w:t>
            </w: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50"/>
        </w:trPr>
        <w:tc>
          <w:tcPr>
            <w:tcW w:w="9160" w:type="dxa"/>
            <w:vAlign w:val="bottom"/>
          </w:tcPr>
          <w:p>
            <w:pPr>
              <w:ind w:left="240"/>
              <w:spacing w:after="0"/>
              <w:rPr>
                <w:sz w:val="20"/>
                <w:szCs w:val="20"/>
                <w:color w:val="auto"/>
              </w:rPr>
            </w:pPr>
            <w:r>
              <w:rPr>
                <w:rFonts w:ascii="Arial" w:cs="Arial" w:eastAsia="Arial" w:hAnsi="Arial"/>
                <w:sz w:val="20"/>
                <w:szCs w:val="20"/>
                <w:color w:val="auto"/>
              </w:rPr>
              <w:t>Direct financings:</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50"/>
        </w:trPr>
        <w:tc>
          <w:tcPr>
            <w:tcW w:w="9160" w:type="dxa"/>
            <w:vAlign w:val="bottom"/>
            <w:shd w:val="clear" w:color="auto" w:fill="CFF0FC"/>
          </w:tcPr>
          <w:p>
            <w:pPr>
              <w:ind w:left="480"/>
              <w:spacing w:after="0"/>
              <w:rPr>
                <w:sz w:val="20"/>
                <w:szCs w:val="20"/>
                <w:color w:val="auto"/>
              </w:rPr>
            </w:pPr>
            <w:r>
              <w:rPr>
                <w:rFonts w:ascii="Arial" w:cs="Arial" w:eastAsia="Arial" w:hAnsi="Arial"/>
                <w:sz w:val="20"/>
                <w:szCs w:val="20"/>
                <w:color w:val="auto"/>
              </w:rPr>
              <w:t>Lease payments receivable</w:t>
            </w:r>
          </w:p>
        </w:tc>
        <w:tc>
          <w:tcPr>
            <w:tcW w:w="1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1,159,584</w:t>
            </w:r>
          </w:p>
        </w:tc>
        <w:tc>
          <w:tcPr>
            <w:tcW w:w="160" w:type="dxa"/>
            <w:vAlign w:val="bottom"/>
            <w:shd w:val="clear" w:color="auto" w:fill="CFF0FC"/>
          </w:tcPr>
          <w:p>
            <w:pPr>
              <w:spacing w:after="0"/>
              <w:rPr>
                <w:sz w:val="21"/>
                <w:szCs w:val="21"/>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1,136,815</w:t>
            </w:r>
          </w:p>
        </w:tc>
        <w:tc>
          <w:tcPr>
            <w:tcW w:w="120" w:type="dxa"/>
            <w:vAlign w:val="bottom"/>
            <w:shd w:val="clear" w:color="auto" w:fill="CFF0FC"/>
          </w:tcPr>
          <w:p>
            <w:pPr>
              <w:spacing w:after="0"/>
              <w:rPr>
                <w:sz w:val="21"/>
                <w:szCs w:val="21"/>
                <w:color w:val="auto"/>
              </w:rPr>
            </w:pPr>
          </w:p>
        </w:tc>
      </w:tr>
      <w:tr>
        <w:trPr>
          <w:trHeight w:val="250"/>
        </w:trPr>
        <w:tc>
          <w:tcPr>
            <w:tcW w:w="9160" w:type="dxa"/>
            <w:vAlign w:val="bottom"/>
          </w:tcPr>
          <w:p>
            <w:pPr>
              <w:ind w:left="480"/>
              <w:spacing w:after="0"/>
              <w:rPr>
                <w:sz w:val="20"/>
                <w:szCs w:val="20"/>
                <w:color w:val="auto"/>
              </w:rPr>
            </w:pPr>
            <w:r>
              <w:rPr>
                <w:rFonts w:ascii="Arial" w:cs="Arial" w:eastAsia="Arial" w:hAnsi="Arial"/>
                <w:sz w:val="20"/>
                <w:szCs w:val="20"/>
                <w:color w:val="auto"/>
              </w:rPr>
              <w:t>Estimated residual value of leased assets</w:t>
            </w: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89,666</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79,449</w:t>
            </w:r>
          </w:p>
        </w:tc>
        <w:tc>
          <w:tcPr>
            <w:tcW w:w="120" w:type="dxa"/>
            <w:vAlign w:val="bottom"/>
          </w:tcPr>
          <w:p>
            <w:pPr>
              <w:spacing w:after="0"/>
              <w:rPr>
                <w:sz w:val="21"/>
                <w:szCs w:val="21"/>
                <w:color w:val="auto"/>
              </w:rPr>
            </w:pPr>
          </w:p>
        </w:tc>
      </w:tr>
      <w:tr>
        <w:trPr>
          <w:trHeight w:val="250"/>
        </w:trPr>
        <w:tc>
          <w:tcPr>
            <w:tcW w:w="9160" w:type="dxa"/>
            <w:vAlign w:val="bottom"/>
            <w:shd w:val="clear" w:color="auto" w:fill="CFF0FC"/>
          </w:tcPr>
          <w:p>
            <w:pPr>
              <w:ind w:left="480"/>
              <w:spacing w:after="0"/>
              <w:rPr>
                <w:sz w:val="20"/>
                <w:szCs w:val="20"/>
                <w:color w:val="auto"/>
              </w:rPr>
            </w:pPr>
            <w:r>
              <w:rPr>
                <w:rFonts w:ascii="Arial" w:cs="Arial" w:eastAsia="Arial" w:hAnsi="Arial"/>
                <w:sz w:val="20"/>
                <w:szCs w:val="20"/>
                <w:color w:val="auto"/>
              </w:rPr>
              <w:t>Unearned income</w:t>
            </w:r>
          </w:p>
        </w:tc>
        <w:tc>
          <w:tcPr>
            <w:tcW w:w="12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20"/>
                <w:szCs w:val="20"/>
                <w:color w:val="auto"/>
              </w:rPr>
              <w:t>(110,261)</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(107,535)</w:t>
            </w:r>
          </w:p>
        </w:tc>
      </w:tr>
      <w:tr>
        <w:trPr>
          <w:trHeight w:val="243"/>
        </w:trPr>
        <w:tc>
          <w:tcPr>
            <w:tcW w:w="9160" w:type="dxa"/>
            <w:vAlign w:val="bottom"/>
          </w:tcPr>
          <w:p>
            <w:pPr>
              <w:ind w:left="720"/>
              <w:spacing w:after="0"/>
              <w:rPr>
                <w:sz w:val="20"/>
                <w:szCs w:val="20"/>
                <w:color w:val="auto"/>
              </w:rPr>
            </w:pPr>
            <w:r>
              <w:rPr>
                <w:rFonts w:ascii="Arial" w:cs="Arial" w:eastAsia="Arial" w:hAnsi="Arial"/>
                <w:sz w:val="20"/>
                <w:szCs w:val="20"/>
                <w:color w:val="auto"/>
              </w:rPr>
              <w:t>Investment in direct financings</w:t>
            </w:r>
          </w:p>
        </w:tc>
        <w:tc>
          <w:tcPr>
            <w:tcW w:w="1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w w:val="89"/>
              </w:rPr>
              <w:t>1,138,989</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w w:val="89"/>
              </w:rPr>
              <w:t>1,108,729</w:t>
            </w:r>
          </w:p>
        </w:tc>
        <w:tc>
          <w:tcPr>
            <w:tcW w:w="120" w:type="dxa"/>
            <w:vAlign w:val="bottom"/>
          </w:tcPr>
          <w:p>
            <w:pPr>
              <w:spacing w:after="0"/>
              <w:rPr>
                <w:sz w:val="21"/>
                <w:szCs w:val="21"/>
                <w:color w:val="auto"/>
              </w:rPr>
            </w:pPr>
          </w:p>
        </w:tc>
      </w:tr>
      <w:tr>
        <w:trPr>
          <w:trHeight w:val="250"/>
        </w:trPr>
        <w:tc>
          <w:tcPr>
            <w:tcW w:w="9160" w:type="dxa"/>
            <w:vAlign w:val="bottom"/>
            <w:shd w:val="clear" w:color="auto" w:fill="CFF0FC"/>
          </w:tcPr>
          <w:p>
            <w:pPr>
              <w:ind w:left="240"/>
              <w:spacing w:after="0"/>
              <w:rPr>
                <w:sz w:val="20"/>
                <w:szCs w:val="20"/>
                <w:color w:val="auto"/>
              </w:rPr>
            </w:pPr>
            <w:r>
              <w:rPr>
                <w:rFonts w:ascii="Arial" w:cs="Arial" w:eastAsia="Arial" w:hAnsi="Arial"/>
                <w:sz w:val="20"/>
                <w:szCs w:val="20"/>
                <w:color w:val="auto"/>
              </w:rPr>
              <w:t>Leveraged leases:</w:t>
            </w: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50"/>
        </w:trPr>
        <w:tc>
          <w:tcPr>
            <w:tcW w:w="9160" w:type="dxa"/>
            <w:vAlign w:val="bottom"/>
          </w:tcPr>
          <w:p>
            <w:pPr>
              <w:ind w:left="480"/>
              <w:spacing w:after="0"/>
              <w:rPr>
                <w:sz w:val="20"/>
                <w:szCs w:val="20"/>
                <w:color w:val="auto"/>
              </w:rPr>
            </w:pPr>
            <w:r>
              <w:rPr>
                <w:rFonts w:ascii="Arial" w:cs="Arial" w:eastAsia="Arial" w:hAnsi="Arial"/>
                <w:sz w:val="20"/>
                <w:szCs w:val="20"/>
                <w:color w:val="auto"/>
              </w:rPr>
              <w:t>Lease payments receivable</w:t>
            </w: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87,821</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92,918</w:t>
            </w:r>
          </w:p>
        </w:tc>
        <w:tc>
          <w:tcPr>
            <w:tcW w:w="120" w:type="dxa"/>
            <w:vAlign w:val="bottom"/>
          </w:tcPr>
          <w:p>
            <w:pPr>
              <w:spacing w:after="0"/>
              <w:rPr>
                <w:sz w:val="21"/>
                <w:szCs w:val="21"/>
                <w:color w:val="auto"/>
              </w:rPr>
            </w:pPr>
          </w:p>
        </w:tc>
      </w:tr>
      <w:tr>
        <w:trPr>
          <w:trHeight w:val="250"/>
        </w:trPr>
        <w:tc>
          <w:tcPr>
            <w:tcW w:w="9160" w:type="dxa"/>
            <w:vAlign w:val="bottom"/>
            <w:shd w:val="clear" w:color="auto" w:fill="CFF0FC"/>
          </w:tcPr>
          <w:p>
            <w:pPr>
              <w:ind w:left="480"/>
              <w:spacing w:after="0"/>
              <w:rPr>
                <w:sz w:val="20"/>
                <w:szCs w:val="20"/>
                <w:color w:val="auto"/>
              </w:rPr>
            </w:pPr>
            <w:r>
              <w:rPr>
                <w:rFonts w:ascii="Arial" w:cs="Arial" w:eastAsia="Arial" w:hAnsi="Arial"/>
                <w:sz w:val="20"/>
                <w:szCs w:val="20"/>
                <w:color w:val="auto"/>
              </w:rPr>
              <w:t>Estimated residual value of leased assets</w:t>
            </w: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88,491</w:t>
            </w: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110,328</w:t>
            </w:r>
          </w:p>
        </w:tc>
        <w:tc>
          <w:tcPr>
            <w:tcW w:w="120" w:type="dxa"/>
            <w:vAlign w:val="bottom"/>
            <w:shd w:val="clear" w:color="auto" w:fill="CFF0FC"/>
          </w:tcPr>
          <w:p>
            <w:pPr>
              <w:spacing w:after="0"/>
              <w:rPr>
                <w:sz w:val="21"/>
                <w:szCs w:val="21"/>
                <w:color w:val="auto"/>
              </w:rPr>
            </w:pPr>
          </w:p>
        </w:tc>
      </w:tr>
      <w:tr>
        <w:trPr>
          <w:trHeight w:val="250"/>
        </w:trPr>
        <w:tc>
          <w:tcPr>
            <w:tcW w:w="9160" w:type="dxa"/>
            <w:vAlign w:val="bottom"/>
          </w:tcPr>
          <w:p>
            <w:pPr>
              <w:ind w:left="480"/>
              <w:spacing w:after="0"/>
              <w:rPr>
                <w:sz w:val="20"/>
                <w:szCs w:val="20"/>
                <w:color w:val="auto"/>
              </w:rPr>
            </w:pPr>
            <w:r>
              <w:rPr>
                <w:rFonts w:ascii="Arial" w:cs="Arial" w:eastAsia="Arial" w:hAnsi="Arial"/>
                <w:sz w:val="20"/>
                <w:szCs w:val="20"/>
                <w:color w:val="auto"/>
              </w:rPr>
              <w:t>Unearned income</w:t>
            </w:r>
          </w:p>
        </w:tc>
        <w:tc>
          <w:tcPr>
            <w:tcW w:w="12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20"/>
                <w:szCs w:val="20"/>
                <w:color w:val="auto"/>
              </w:rPr>
              <w:t>(35,792)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20"/>
                <w:szCs w:val="20"/>
                <w:color w:val="auto"/>
              </w:rPr>
              <w:t>(38,760)</w:t>
            </w:r>
          </w:p>
        </w:tc>
      </w:tr>
      <w:tr>
        <w:trPr>
          <w:trHeight w:val="243"/>
        </w:trPr>
        <w:tc>
          <w:tcPr>
            <w:tcW w:w="9160" w:type="dxa"/>
            <w:vAlign w:val="bottom"/>
            <w:tcBorders>
              <w:top w:val="single" w:sz="8" w:color="CFF0FC"/>
            </w:tcBorders>
            <w:shd w:val="clear" w:color="auto" w:fill="CFF0FC"/>
          </w:tcPr>
          <w:p>
            <w:pPr>
              <w:ind w:left="720"/>
              <w:spacing w:after="0"/>
              <w:rPr>
                <w:sz w:val="20"/>
                <w:szCs w:val="20"/>
                <w:color w:val="auto"/>
              </w:rPr>
            </w:pPr>
            <w:r>
              <w:rPr>
                <w:rFonts w:ascii="Arial" w:cs="Arial" w:eastAsia="Arial" w:hAnsi="Arial"/>
                <w:sz w:val="20"/>
                <w:szCs w:val="20"/>
                <w:color w:val="auto"/>
              </w:rPr>
              <w:t>Investment in leveraged leases</w:t>
            </w:r>
          </w:p>
        </w:tc>
        <w:tc>
          <w:tcPr>
            <w:tcW w:w="120" w:type="dxa"/>
            <w:vAlign w:val="bottom"/>
            <w:tcBorders>
              <w:top w:val="single" w:sz="8" w:color="auto"/>
              <w:bottom w:val="single" w:sz="8" w:color="auto"/>
            </w:tcBorders>
            <w:shd w:val="clear" w:color="auto" w:fill="CFF0FC"/>
          </w:tcPr>
          <w:p>
            <w:pPr>
              <w:spacing w:after="0"/>
              <w:rPr>
                <w:sz w:val="21"/>
                <w:szCs w:val="21"/>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140,520</w:t>
            </w:r>
          </w:p>
        </w:tc>
        <w:tc>
          <w:tcPr>
            <w:tcW w:w="160" w:type="dxa"/>
            <w:vAlign w:val="bottom"/>
            <w:tcBorders>
              <w:top w:val="single" w:sz="8" w:color="CFF0FC"/>
            </w:tcBorders>
            <w:shd w:val="clear" w:color="auto" w:fill="CFF0FC"/>
          </w:tcPr>
          <w:p>
            <w:pPr>
              <w:spacing w:after="0"/>
              <w:rPr>
                <w:sz w:val="21"/>
                <w:szCs w:val="21"/>
                <w:color w:val="auto"/>
              </w:rPr>
            </w:pPr>
          </w:p>
        </w:tc>
        <w:tc>
          <w:tcPr>
            <w:tcW w:w="100" w:type="dxa"/>
            <w:vAlign w:val="bottom"/>
            <w:tcBorders>
              <w:top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spacing w:after="0"/>
              <w:rPr>
                <w:sz w:val="21"/>
                <w:szCs w:val="21"/>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164,486</w:t>
            </w:r>
          </w:p>
        </w:tc>
        <w:tc>
          <w:tcPr>
            <w:tcW w:w="120" w:type="dxa"/>
            <w:vAlign w:val="bottom"/>
            <w:tcBorders>
              <w:top w:val="single" w:sz="8" w:color="CFF0FC"/>
            </w:tcBorders>
            <w:shd w:val="clear" w:color="auto" w:fill="CFF0FC"/>
          </w:tcPr>
          <w:p>
            <w:pPr>
              <w:spacing w:after="0"/>
              <w:rPr>
                <w:sz w:val="21"/>
                <w:szCs w:val="21"/>
                <w:color w:val="auto"/>
              </w:rPr>
            </w:pPr>
          </w:p>
        </w:tc>
      </w:tr>
      <w:tr>
        <w:trPr>
          <w:trHeight w:val="283"/>
        </w:trPr>
        <w:tc>
          <w:tcPr>
            <w:tcW w:w="916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Total investment in leases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1,279,509</w:t>
            </w:r>
          </w:p>
        </w:tc>
        <w:tc>
          <w:tcPr>
            <w:tcW w:w="16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1,273,215</w:t>
            </w:r>
          </w:p>
        </w:tc>
        <w:tc>
          <w:tcPr>
            <w:tcW w:w="120" w:type="dxa"/>
            <w:vAlign w:val="bottom"/>
            <w:tcBorders>
              <w:bottom w:val="single" w:sz="8" w:color="CFF0FC"/>
            </w:tcBorders>
          </w:tcPr>
          <w:p>
            <w:pPr>
              <w:spacing w:after="0"/>
              <w:rPr>
                <w:sz w:val="24"/>
                <w:szCs w:val="24"/>
                <w:color w:val="auto"/>
              </w:rPr>
            </w:pPr>
          </w:p>
        </w:tc>
      </w:tr>
      <w:tr>
        <w:trPr>
          <w:trHeight w:val="229"/>
        </w:trPr>
        <w:tc>
          <w:tcPr>
            <w:tcW w:w="9160" w:type="dxa"/>
            <w:vAlign w:val="bottom"/>
            <w:shd w:val="clear" w:color="auto" w:fill="CFF0FC"/>
          </w:tcPr>
          <w:p>
            <w:pPr>
              <w:spacing w:after="0"/>
              <w:rPr>
                <w:sz w:val="20"/>
                <w:szCs w:val="20"/>
                <w:color w:val="auto"/>
              </w:rPr>
            </w:pPr>
            <w:r>
              <w:rPr>
                <w:rFonts w:ascii="Arial" w:cs="Arial" w:eastAsia="Arial" w:hAnsi="Arial"/>
                <w:sz w:val="20"/>
                <w:szCs w:val="20"/>
                <w:color w:val="auto"/>
              </w:rPr>
              <w:t>Deferred taxes payable arising from leveraged leases</w:t>
            </w:r>
          </w:p>
        </w:tc>
        <w:tc>
          <w:tcPr>
            <w:tcW w:w="1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81,359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139,067</w:t>
            </w:r>
          </w:p>
        </w:tc>
        <w:tc>
          <w:tcPr>
            <w:tcW w:w="120" w:type="dxa"/>
            <w:vAlign w:val="bottom"/>
            <w:shd w:val="clear" w:color="auto" w:fill="CFF0FC"/>
          </w:tcPr>
          <w:p>
            <w:pPr>
              <w:spacing w:after="0"/>
              <w:rPr>
                <w:sz w:val="19"/>
                <w:szCs w:val="19"/>
                <w:color w:val="auto"/>
              </w:rPr>
            </w:pPr>
          </w:p>
        </w:tc>
      </w:tr>
    </w:tbl>
    <w:p>
      <w:pPr>
        <w:spacing w:after="0" w:line="236" w:lineRule="exact"/>
        <w:rPr>
          <w:sz w:val="20"/>
          <w:szCs w:val="20"/>
          <w:color w:val="auto"/>
        </w:rPr>
      </w:pPr>
    </w:p>
    <w:p>
      <w:pPr>
        <w:ind w:right="540" w:firstLine="598"/>
        <w:spacing w:after="0" w:line="269" w:lineRule="auto"/>
        <w:rPr>
          <w:sz w:val="20"/>
          <w:szCs w:val="20"/>
          <w:color w:val="auto"/>
        </w:rPr>
      </w:pPr>
      <w:r>
        <w:rPr>
          <w:rFonts w:ascii="Arial" w:cs="Arial" w:eastAsia="Arial" w:hAnsi="Arial"/>
          <w:sz w:val="19"/>
          <w:szCs w:val="19"/>
          <w:color w:val="auto"/>
        </w:rPr>
        <w:t>Included within the estimated residual value of leased assets at December 31, 2017 and 2016 were $37 million and $47 million, respectively, in residual value associated with direct financing leases that are guaranteed by the lessees or others.</w:t>
      </w:r>
    </w:p>
    <w:p>
      <w:pPr>
        <w:spacing w:after="0" w:line="1" w:lineRule="exact"/>
        <w:rPr>
          <w:sz w:val="20"/>
          <w:szCs w:val="20"/>
          <w:color w:val="auto"/>
        </w:rPr>
      </w:pPr>
    </w:p>
    <w:p>
      <w:pPr>
        <w:ind w:left="600"/>
        <w:spacing w:after="0"/>
        <w:rPr>
          <w:sz w:val="20"/>
          <w:szCs w:val="20"/>
          <w:color w:val="auto"/>
        </w:rPr>
      </w:pPr>
      <w:r>
        <w:rPr>
          <w:rFonts w:ascii="Arial" w:cs="Arial" w:eastAsia="Arial" w:hAnsi="Arial"/>
          <w:sz w:val="20"/>
          <w:szCs w:val="20"/>
          <w:color w:val="auto"/>
        </w:rPr>
        <w:t>At December 31, 2017, the minimum future lease payments to be received from lease financings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0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(In thousands)</w:t>
            </w:r>
          </w:p>
        </w:tc>
      </w:tr>
      <w:tr>
        <w:trPr>
          <w:trHeight w:val="250"/>
        </w:trPr>
        <w:tc>
          <w:tcPr>
            <w:tcW w:w="10020" w:type="dxa"/>
            <w:vAlign w:val="bottom"/>
            <w:shd w:val="clear" w:color="auto" w:fill="CFF0FC"/>
          </w:tcPr>
          <w:p>
            <w:pPr>
              <w:spacing w:after="0"/>
              <w:rPr>
                <w:sz w:val="20"/>
                <w:szCs w:val="20"/>
                <w:color w:val="auto"/>
              </w:rPr>
            </w:pPr>
            <w:r>
              <w:rPr>
                <w:rFonts w:ascii="Arial" w:cs="Arial" w:eastAsia="Arial" w:hAnsi="Arial"/>
                <w:sz w:val="20"/>
                <w:szCs w:val="20"/>
                <w:color w:val="auto"/>
              </w:rPr>
              <w:t>Year ending December 31:</w:t>
            </w: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50"/>
        </w:trPr>
        <w:tc>
          <w:tcPr>
            <w:tcW w:w="10020" w:type="dxa"/>
            <w:vAlign w:val="bottom"/>
          </w:tcPr>
          <w:p>
            <w:pPr>
              <w:ind w:left="240"/>
              <w:spacing w:after="0"/>
              <w:rPr>
                <w:sz w:val="20"/>
                <w:szCs w:val="20"/>
                <w:color w:val="auto"/>
              </w:rPr>
            </w:pPr>
            <w:r>
              <w:rPr>
                <w:rFonts w:ascii="Arial" w:cs="Arial" w:eastAsia="Arial" w:hAnsi="Arial"/>
                <w:sz w:val="20"/>
                <w:szCs w:val="20"/>
                <w:color w:val="auto"/>
              </w:rPr>
              <w:t>2018</w:t>
            </w:r>
          </w:p>
        </w:tc>
        <w:tc>
          <w:tcPr>
            <w:tcW w:w="160" w:type="dxa"/>
            <w:vAlign w:val="bottom"/>
            <w:gridSpan w:val="2"/>
          </w:tcPr>
          <w:p>
            <w:pPr>
              <w:jc w:val="right"/>
              <w:spacing w:after="0"/>
              <w:rPr>
                <w:sz w:val="20"/>
                <w:szCs w:val="20"/>
                <w:color w:val="auto"/>
              </w:rPr>
            </w:pPr>
            <w:r>
              <w:rPr>
                <w:rFonts w:ascii="Arial" w:cs="Arial" w:eastAsia="Arial" w:hAnsi="Arial"/>
                <w:sz w:val="20"/>
                <w:szCs w:val="20"/>
                <w:color w:val="auto"/>
                <w:w w:val="71"/>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310,207</w:t>
            </w:r>
          </w:p>
        </w:tc>
        <w:tc>
          <w:tcPr>
            <w:tcW w:w="100" w:type="dxa"/>
            <w:vAlign w:val="bottom"/>
          </w:tcPr>
          <w:p>
            <w:pPr>
              <w:spacing w:after="0"/>
              <w:rPr>
                <w:sz w:val="21"/>
                <w:szCs w:val="21"/>
                <w:color w:val="auto"/>
              </w:rPr>
            </w:pPr>
          </w:p>
        </w:tc>
      </w:tr>
      <w:tr>
        <w:trPr>
          <w:trHeight w:val="250"/>
        </w:trPr>
        <w:tc>
          <w:tcPr>
            <w:tcW w:w="100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2019</w:t>
            </w: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297,599</w:t>
            </w:r>
          </w:p>
        </w:tc>
        <w:tc>
          <w:tcPr>
            <w:tcW w:w="100" w:type="dxa"/>
            <w:vAlign w:val="bottom"/>
            <w:shd w:val="clear" w:color="auto" w:fill="CFF0FC"/>
          </w:tcPr>
          <w:p>
            <w:pPr>
              <w:spacing w:after="0"/>
              <w:rPr>
                <w:sz w:val="21"/>
                <w:szCs w:val="21"/>
                <w:color w:val="auto"/>
              </w:rPr>
            </w:pPr>
          </w:p>
        </w:tc>
      </w:tr>
      <w:tr>
        <w:trPr>
          <w:trHeight w:val="250"/>
        </w:trPr>
        <w:tc>
          <w:tcPr>
            <w:tcW w:w="10020" w:type="dxa"/>
            <w:vAlign w:val="bottom"/>
          </w:tcPr>
          <w:p>
            <w:pPr>
              <w:ind w:left="240"/>
              <w:spacing w:after="0"/>
              <w:rPr>
                <w:sz w:val="20"/>
                <w:szCs w:val="20"/>
                <w:color w:val="auto"/>
              </w:rPr>
            </w:pPr>
            <w:r>
              <w:rPr>
                <w:rFonts w:ascii="Arial" w:cs="Arial" w:eastAsia="Arial" w:hAnsi="Arial"/>
                <w:sz w:val="20"/>
                <w:szCs w:val="20"/>
                <w:color w:val="auto"/>
              </w:rPr>
              <w:t>2020</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208,613</w:t>
            </w:r>
          </w:p>
        </w:tc>
        <w:tc>
          <w:tcPr>
            <w:tcW w:w="100" w:type="dxa"/>
            <w:vAlign w:val="bottom"/>
          </w:tcPr>
          <w:p>
            <w:pPr>
              <w:spacing w:after="0"/>
              <w:rPr>
                <w:sz w:val="21"/>
                <w:szCs w:val="21"/>
                <w:color w:val="auto"/>
              </w:rPr>
            </w:pPr>
          </w:p>
        </w:tc>
      </w:tr>
      <w:tr>
        <w:trPr>
          <w:trHeight w:val="250"/>
        </w:trPr>
        <w:tc>
          <w:tcPr>
            <w:tcW w:w="100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2021</w:t>
            </w: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150,553</w:t>
            </w:r>
          </w:p>
        </w:tc>
        <w:tc>
          <w:tcPr>
            <w:tcW w:w="100" w:type="dxa"/>
            <w:vAlign w:val="bottom"/>
            <w:shd w:val="clear" w:color="auto" w:fill="CFF0FC"/>
          </w:tcPr>
          <w:p>
            <w:pPr>
              <w:spacing w:after="0"/>
              <w:rPr>
                <w:sz w:val="21"/>
                <w:szCs w:val="21"/>
                <w:color w:val="auto"/>
              </w:rPr>
            </w:pPr>
          </w:p>
        </w:tc>
      </w:tr>
      <w:tr>
        <w:trPr>
          <w:trHeight w:val="250"/>
        </w:trPr>
        <w:tc>
          <w:tcPr>
            <w:tcW w:w="10020" w:type="dxa"/>
            <w:vAlign w:val="bottom"/>
          </w:tcPr>
          <w:p>
            <w:pPr>
              <w:ind w:left="240"/>
              <w:spacing w:after="0"/>
              <w:rPr>
                <w:sz w:val="20"/>
                <w:szCs w:val="20"/>
                <w:color w:val="auto"/>
              </w:rPr>
            </w:pPr>
            <w:r>
              <w:rPr>
                <w:rFonts w:ascii="Arial" w:cs="Arial" w:eastAsia="Arial" w:hAnsi="Arial"/>
                <w:sz w:val="20"/>
                <w:szCs w:val="20"/>
                <w:color w:val="auto"/>
              </w:rPr>
              <w:t>2022</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96,871</w:t>
            </w:r>
          </w:p>
        </w:tc>
        <w:tc>
          <w:tcPr>
            <w:tcW w:w="100" w:type="dxa"/>
            <w:vAlign w:val="bottom"/>
          </w:tcPr>
          <w:p>
            <w:pPr>
              <w:spacing w:after="0"/>
              <w:rPr>
                <w:sz w:val="21"/>
                <w:szCs w:val="21"/>
                <w:color w:val="auto"/>
              </w:rPr>
            </w:pPr>
          </w:p>
        </w:tc>
      </w:tr>
      <w:tr>
        <w:trPr>
          <w:trHeight w:val="250"/>
        </w:trPr>
        <w:tc>
          <w:tcPr>
            <w:tcW w:w="100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Later years</w:t>
            </w:r>
          </w:p>
        </w:tc>
        <w:tc>
          <w:tcPr>
            <w:tcW w:w="20" w:type="dxa"/>
            <w:vAlign w:val="bottom"/>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183,562</w:t>
            </w:r>
          </w:p>
        </w:tc>
        <w:tc>
          <w:tcPr>
            <w:tcW w:w="100" w:type="dxa"/>
            <w:vAlign w:val="bottom"/>
            <w:shd w:val="clear" w:color="auto" w:fill="CFF0FC"/>
          </w:tcPr>
          <w:p>
            <w:pPr>
              <w:spacing w:after="0"/>
              <w:rPr>
                <w:sz w:val="21"/>
                <w:szCs w:val="21"/>
                <w:color w:val="auto"/>
              </w:rPr>
            </w:pPr>
          </w:p>
        </w:tc>
      </w:tr>
      <w:tr>
        <w:trPr>
          <w:trHeight w:val="243"/>
        </w:trPr>
        <w:tc>
          <w:tcPr>
            <w:tcW w:w="100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1,247,405</w:t>
            </w:r>
          </w:p>
        </w:tc>
        <w:tc>
          <w:tcPr>
            <w:tcW w:w="100" w:type="dxa"/>
            <w:vAlign w:val="bottom"/>
          </w:tcPr>
          <w:p>
            <w:pPr>
              <w:spacing w:after="0"/>
              <w:rPr>
                <w:sz w:val="21"/>
                <w:szCs w:val="21"/>
                <w:color w:val="auto"/>
              </w:rPr>
            </w:pPr>
          </w:p>
        </w:tc>
      </w:tr>
      <w:tr>
        <w:trPr>
          <w:trHeight w:val="20"/>
        </w:trPr>
        <w:tc>
          <w:tcPr>
            <w:tcW w:w="10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3" w:lineRule="exact"/>
        <w:rPr>
          <w:sz w:val="20"/>
          <w:szCs w:val="20"/>
          <w:color w:val="auto"/>
        </w:rPr>
      </w:pPr>
    </w:p>
    <w:p>
      <w:pPr>
        <w:ind w:right="120" w:firstLine="598"/>
        <w:spacing w:after="0" w:line="274" w:lineRule="auto"/>
        <w:rPr>
          <w:sz w:val="20"/>
          <w:szCs w:val="20"/>
          <w:color w:val="auto"/>
        </w:rPr>
      </w:pPr>
      <w:r>
        <w:rPr>
          <w:rFonts w:ascii="Arial" w:cs="Arial" w:eastAsia="Arial" w:hAnsi="Arial"/>
          <w:sz w:val="19"/>
          <w:szCs w:val="19"/>
          <w:color w:val="auto"/>
        </w:rPr>
        <w:t>The amount of foreclosed residential real estate property held by the Company was $108 million and $129 million at December 31, 2017 and 2016, respectively. There were $497 million and $506 million at December 31, 2017 and 2016, respectively, in loans secured by residential real estate that were in the process of foreclosure. Of all loans in the process of foreclosure at December 31, 2017, approximately 45% were classified as purchased impaired and 19% were government guaranteed.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31" w:name="page132"/>
    <w:bookmarkEnd w:id="131"/>
    <w:p>
      <w:pPr>
        <w:spacing w:after="0"/>
        <w:tabs>
          <w:tab w:leader="none" w:pos="320" w:val="left"/>
        </w:tabs>
        <w:rPr>
          <w:sz w:val="20"/>
          <w:szCs w:val="20"/>
          <w:color w:val="auto"/>
        </w:rPr>
      </w:pPr>
      <w:r>
        <w:rPr>
          <w:rFonts w:ascii="Arial" w:cs="Arial" w:eastAsia="Arial" w:hAnsi="Arial"/>
          <w:sz w:val="20"/>
          <w:szCs w:val="20"/>
          <w:b w:val="1"/>
          <w:bCs w:val="1"/>
          <w:color w:val="auto"/>
        </w:rPr>
        <w:t>5.</w:t>
      </w:r>
      <w:r>
        <w:rPr>
          <w:sz w:val="20"/>
          <w:szCs w:val="20"/>
          <w:color w:val="auto"/>
        </w:rPr>
        <w:tab/>
      </w:r>
      <w:r>
        <w:rPr>
          <w:rFonts w:ascii="Arial" w:cs="Arial" w:eastAsia="Arial" w:hAnsi="Arial"/>
          <w:sz w:val="17"/>
          <w:szCs w:val="17"/>
          <w:b w:val="1"/>
          <w:bCs w:val="1"/>
          <w:color w:val="auto"/>
        </w:rPr>
        <w:t>Allowance for credit losses</w:t>
      </w:r>
    </w:p>
    <w:p>
      <w:pPr>
        <w:spacing w:after="0" w:line="29" w:lineRule="exact"/>
        <w:rPr>
          <w:sz w:val="20"/>
          <w:szCs w:val="20"/>
          <w:color w:val="auto"/>
        </w:rPr>
      </w:pPr>
    </w:p>
    <w:p>
      <w:pPr>
        <w:spacing w:after="0"/>
        <w:rPr>
          <w:sz w:val="20"/>
          <w:szCs w:val="20"/>
          <w:color w:val="auto"/>
        </w:rPr>
      </w:pPr>
      <w:r>
        <w:rPr>
          <w:rFonts w:ascii="Arial" w:cs="Arial" w:eastAsia="Arial" w:hAnsi="Arial"/>
          <w:sz w:val="20"/>
          <w:szCs w:val="20"/>
          <w:color w:val="auto"/>
        </w:rPr>
        <w:t>Changes in the allowance for credit losses for the years ended December 31, 2017, 2016 and 2015 were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Commercial,</w:t>
            </w:r>
          </w:p>
        </w:tc>
        <w:tc>
          <w:tcPr>
            <w:tcW w:w="2120" w:type="dxa"/>
            <w:vAlign w:val="bottom"/>
            <w:gridSpan w:val="4"/>
            <w:vMerge w:val="restart"/>
          </w:tcPr>
          <w:p>
            <w:pPr>
              <w:jc w:val="right"/>
              <w:ind w:right="880"/>
              <w:spacing w:after="0"/>
              <w:rPr>
                <w:sz w:val="20"/>
                <w:szCs w:val="20"/>
                <w:color w:val="auto"/>
              </w:rPr>
            </w:pPr>
            <w:r>
              <w:rPr>
                <w:rFonts w:ascii="Arial" w:cs="Arial" w:eastAsia="Arial" w:hAnsi="Arial"/>
                <w:sz w:val="14"/>
                <w:szCs w:val="14"/>
                <w:b w:val="1"/>
                <w:bCs w:val="1"/>
                <w:color w:val="auto"/>
              </w:rPr>
              <w:t>Real Estate</w:t>
            </w: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8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080" w:type="dxa"/>
            <w:vAlign w:val="bottom"/>
            <w:gridSpan w:val="3"/>
          </w:tcPr>
          <w:p>
            <w:pPr>
              <w:ind w:left="80"/>
              <w:spacing w:after="0"/>
              <w:rPr>
                <w:sz w:val="20"/>
                <w:szCs w:val="20"/>
                <w:color w:val="auto"/>
              </w:rPr>
            </w:pPr>
            <w:r>
              <w:rPr>
                <w:rFonts w:ascii="Arial" w:cs="Arial" w:eastAsia="Arial" w:hAnsi="Arial"/>
                <w:sz w:val="14"/>
                <w:szCs w:val="14"/>
                <w:b w:val="1"/>
                <w:bCs w:val="1"/>
                <w:color w:val="auto"/>
              </w:rPr>
              <w:t>Financial,</w:t>
            </w:r>
          </w:p>
        </w:tc>
        <w:tc>
          <w:tcPr>
            <w:tcW w:w="2120" w:type="dxa"/>
            <w:vAlign w:val="bottom"/>
            <w:gridSpan w:val="4"/>
            <w:vMerge w:val="continue"/>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8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1080" w:type="dxa"/>
            <w:vAlign w:val="bottom"/>
            <w:gridSpan w:val="3"/>
          </w:tcPr>
          <w:p>
            <w:pPr>
              <w:spacing w:after="0" w:line="151" w:lineRule="exact"/>
              <w:rPr>
                <w:sz w:val="20"/>
                <w:szCs w:val="20"/>
                <w:color w:val="auto"/>
              </w:rPr>
            </w:pPr>
            <w:r>
              <w:rPr>
                <w:rFonts w:ascii="Arial" w:cs="Arial" w:eastAsia="Arial" w:hAnsi="Arial"/>
                <w:sz w:val="14"/>
                <w:szCs w:val="14"/>
                <w:b w:val="1"/>
                <w:bCs w:val="1"/>
                <w:color w:val="auto"/>
              </w:rPr>
              <w:t>Leasing, etc.</w:t>
            </w:r>
          </w:p>
        </w:tc>
        <w:tc>
          <w:tcPr>
            <w:tcW w:w="1040" w:type="dxa"/>
            <w:vAlign w:val="bottom"/>
            <w:tcBorders>
              <w:top w:val="single" w:sz="8" w:color="auto"/>
            </w:tcBorders>
            <w:gridSpan w:val="2"/>
          </w:tcPr>
          <w:p>
            <w:pPr>
              <w:jc w:val="right"/>
              <w:ind w:right="300"/>
              <w:spacing w:after="0" w:line="151" w:lineRule="exact"/>
              <w:rPr>
                <w:sz w:val="20"/>
                <w:szCs w:val="20"/>
                <w:color w:val="auto"/>
              </w:rPr>
            </w:pPr>
            <w:r>
              <w:rPr>
                <w:rFonts w:ascii="Arial" w:cs="Arial" w:eastAsia="Arial" w:hAnsi="Arial"/>
                <w:sz w:val="14"/>
                <w:szCs w:val="14"/>
                <w:b w:val="1"/>
                <w:bCs w:val="1"/>
                <w:color w:val="auto"/>
                <w:w w:val="89"/>
              </w:rPr>
              <w:t>Commercial</w:t>
            </w:r>
          </w:p>
        </w:tc>
        <w:tc>
          <w:tcPr>
            <w:tcW w:w="76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b w:val="1"/>
                <w:bCs w:val="1"/>
                <w:color w:val="auto"/>
                <w:w w:val="93"/>
              </w:rPr>
              <w:t>Residential</w:t>
            </w:r>
          </w:p>
        </w:tc>
        <w:tc>
          <w:tcPr>
            <w:tcW w:w="320" w:type="dxa"/>
            <w:vAlign w:val="bottom"/>
          </w:tcPr>
          <w:p>
            <w:pPr>
              <w:spacing w:after="0"/>
              <w:rPr>
                <w:sz w:val="13"/>
                <w:szCs w:val="13"/>
                <w:color w:val="auto"/>
              </w:rPr>
            </w:pPr>
          </w:p>
        </w:tc>
        <w:tc>
          <w:tcPr>
            <w:tcW w:w="1060" w:type="dxa"/>
            <w:vAlign w:val="bottom"/>
            <w:gridSpan w:val="2"/>
          </w:tcPr>
          <w:p>
            <w:pPr>
              <w:jc w:val="right"/>
              <w:ind w:right="380"/>
              <w:spacing w:after="0" w:line="151" w:lineRule="exact"/>
              <w:rPr>
                <w:sz w:val="20"/>
                <w:szCs w:val="20"/>
                <w:color w:val="auto"/>
              </w:rPr>
            </w:pPr>
            <w:r>
              <w:rPr>
                <w:rFonts w:ascii="Arial" w:cs="Arial" w:eastAsia="Arial" w:hAnsi="Arial"/>
                <w:sz w:val="14"/>
                <w:szCs w:val="14"/>
                <w:b w:val="1"/>
                <w:bCs w:val="1"/>
                <w:color w:val="auto"/>
                <w:w w:val="95"/>
              </w:rPr>
              <w:t>Consumer</w:t>
            </w:r>
          </w:p>
        </w:tc>
        <w:tc>
          <w:tcPr>
            <w:tcW w:w="1060" w:type="dxa"/>
            <w:vAlign w:val="bottom"/>
            <w:gridSpan w:val="2"/>
          </w:tcPr>
          <w:p>
            <w:pPr>
              <w:jc w:val="right"/>
              <w:ind w:right="340"/>
              <w:spacing w:after="0" w:line="151" w:lineRule="exact"/>
              <w:rPr>
                <w:sz w:val="20"/>
                <w:szCs w:val="20"/>
                <w:color w:val="auto"/>
              </w:rPr>
            </w:pPr>
            <w:r>
              <w:rPr>
                <w:rFonts w:ascii="Arial" w:cs="Arial" w:eastAsia="Arial" w:hAnsi="Arial"/>
                <w:sz w:val="14"/>
                <w:szCs w:val="14"/>
                <w:b w:val="1"/>
                <w:bCs w:val="1"/>
                <w:color w:val="auto"/>
                <w:w w:val="88"/>
              </w:rPr>
              <w:t>Unallocated</w:t>
            </w:r>
          </w:p>
        </w:tc>
        <w:tc>
          <w:tcPr>
            <w:tcW w:w="200" w:type="dxa"/>
            <w:vAlign w:val="bottom"/>
          </w:tcPr>
          <w:p>
            <w:pPr>
              <w:spacing w:after="0"/>
              <w:rPr>
                <w:sz w:val="13"/>
                <w:szCs w:val="13"/>
                <w:color w:val="auto"/>
              </w:rPr>
            </w:pPr>
          </w:p>
        </w:tc>
        <w:tc>
          <w:tcPr>
            <w:tcW w:w="940" w:type="dxa"/>
            <w:vAlign w:val="bottom"/>
            <w:gridSpan w:val="2"/>
          </w:tcPr>
          <w:p>
            <w:pPr>
              <w:jc w:val="right"/>
              <w:ind w:right="480"/>
              <w:spacing w:after="0" w:line="151"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28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2140" w:type="dxa"/>
            <w:vAlign w:val="bottom"/>
            <w:tcBorders>
              <w:top w:val="single" w:sz="8" w:color="auto"/>
            </w:tcBorders>
            <w:gridSpan w:val="4"/>
          </w:tcPr>
          <w:p>
            <w:pPr>
              <w:jc w:val="right"/>
              <w:ind w:right="660"/>
              <w:spacing w:after="0"/>
              <w:rPr>
                <w:sz w:val="20"/>
                <w:szCs w:val="20"/>
                <w:color w:val="auto"/>
              </w:rPr>
            </w:pPr>
            <w:r>
              <w:rPr>
                <w:rFonts w:ascii="Arial" w:cs="Arial" w:eastAsia="Arial" w:hAnsi="Arial"/>
                <w:sz w:val="14"/>
                <w:szCs w:val="14"/>
                <w:b w:val="1"/>
                <w:bCs w:val="1"/>
                <w:color w:val="auto"/>
              </w:rPr>
              <w:t>(In thousands)</w:t>
            </w:r>
          </w:p>
        </w:tc>
        <w:tc>
          <w:tcPr>
            <w:tcW w:w="76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2017</w:t>
            </w:r>
          </w:p>
        </w:tc>
        <w:tc>
          <w:tcPr>
            <w:tcW w:w="4680" w:type="dxa"/>
            <w:vAlign w:val="bottom"/>
          </w:tcPr>
          <w:p>
            <w:pPr>
              <w:spacing w:after="0"/>
              <w:rPr>
                <w:sz w:val="16"/>
                <w:szCs w:val="16"/>
                <w:color w:val="auto"/>
              </w:rPr>
            </w:pPr>
          </w:p>
        </w:tc>
        <w:tc>
          <w:tcPr>
            <w:tcW w:w="140" w:type="dxa"/>
            <w:vAlign w:val="bottom"/>
            <w:vMerge w:val="restart"/>
          </w:tcPr>
          <w:p>
            <w:pPr>
              <w:spacing w:after="0"/>
              <w:rPr>
                <w:sz w:val="20"/>
                <w:szCs w:val="20"/>
                <w:color w:val="auto"/>
              </w:rPr>
            </w:pPr>
            <w:r>
              <w:rPr>
                <w:rFonts w:ascii="Arial" w:cs="Arial" w:eastAsia="Arial" w:hAnsi="Arial"/>
                <w:sz w:val="18"/>
                <w:szCs w:val="18"/>
                <w:color w:val="auto"/>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w w:val="92"/>
              </w:rPr>
              <w:t>330,833</w:t>
            </w:r>
          </w:p>
        </w:tc>
        <w:tc>
          <w:tcPr>
            <w:tcW w:w="30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362,719</w:t>
            </w:r>
          </w:p>
        </w:tc>
        <w:tc>
          <w:tcPr>
            <w:tcW w:w="30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61,127</w:t>
            </w:r>
          </w:p>
        </w:tc>
        <w:tc>
          <w:tcPr>
            <w:tcW w:w="32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156,288</w:t>
            </w:r>
          </w:p>
        </w:tc>
        <w:tc>
          <w:tcPr>
            <w:tcW w:w="30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78,030</w:t>
            </w:r>
          </w:p>
        </w:tc>
        <w:tc>
          <w:tcPr>
            <w:tcW w:w="300" w:type="dxa"/>
            <w:vAlign w:val="bottom"/>
          </w:tcPr>
          <w:p>
            <w:pPr>
              <w:spacing w:after="0"/>
              <w:rPr>
                <w:sz w:val="16"/>
                <w:szCs w:val="16"/>
                <w:color w:val="auto"/>
              </w:rPr>
            </w:pPr>
          </w:p>
        </w:tc>
        <w:tc>
          <w:tcPr>
            <w:tcW w:w="200" w:type="dxa"/>
            <w:vAlign w:val="bottom"/>
            <w:vMerge w:val="restart"/>
          </w:tcPr>
          <w:p>
            <w:pPr>
              <w:jc w:val="right"/>
              <w:ind w:right="43"/>
              <w:spacing w:after="0"/>
              <w:rPr>
                <w:sz w:val="20"/>
                <w:szCs w:val="20"/>
                <w:color w:val="auto"/>
              </w:rPr>
            </w:pPr>
            <w:r>
              <w:rPr>
                <w:rFonts w:ascii="Arial" w:cs="Arial" w:eastAsia="Arial" w:hAnsi="Arial"/>
                <w:sz w:val="15"/>
                <w:szCs w:val="15"/>
                <w:color w:val="auto"/>
                <w:w w:val="71"/>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988,997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Beginning balance</w:t>
            </w:r>
          </w:p>
        </w:tc>
        <w:tc>
          <w:tcPr>
            <w:tcW w:w="140" w:type="dxa"/>
            <w:vAlign w:val="bottom"/>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Provision for credit losses</w:t>
            </w: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41,511</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6,715</w:t>
            </w: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16,094</w:t>
            </w: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103,410</w:t>
            </w: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60" w:type="dxa"/>
            <w:vAlign w:val="bottom"/>
            <w:gridSpan w:val="2"/>
          </w:tcPr>
          <w:p>
            <w:pPr>
              <w:spacing w:after="0"/>
              <w:rPr>
                <w:sz w:val="20"/>
                <w:szCs w:val="20"/>
                <w:color w:val="auto"/>
              </w:rPr>
            </w:pPr>
            <w:r>
              <w:rPr>
                <w:rFonts w:ascii="Arial" w:cs="Arial" w:eastAsia="Arial" w:hAnsi="Arial"/>
                <w:sz w:val="18"/>
                <w:szCs w:val="18"/>
                <w:color w:val="auto"/>
              </w:rPr>
              <w:t>Net charge-offs</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9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Charge-offs</w:t>
            </w: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(64,941)</w:t>
            </w: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(7,931)</w:t>
            </w: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(20,799)</w:t>
            </w: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(130,927)</w:t>
            </w:r>
          </w:p>
        </w:tc>
        <w:tc>
          <w:tcPr>
            <w:tcW w:w="10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(224,598)</w:t>
            </w:r>
          </w:p>
        </w:tc>
        <w:tc>
          <w:tcPr>
            <w:tcW w:w="0" w:type="dxa"/>
            <w:vAlign w:val="bottom"/>
          </w:tcPr>
          <w:p>
            <w:pPr>
              <w:spacing w:after="0"/>
              <w:rPr>
                <w:sz w:val="1"/>
                <w:szCs w:val="1"/>
                <w:color w:val="auto"/>
              </w:rPr>
            </w:pPr>
          </w:p>
        </w:tc>
      </w:tr>
      <w:tr>
        <w:trPr>
          <w:trHeight w:val="223"/>
        </w:trPr>
        <w:tc>
          <w:tcPr>
            <w:tcW w:w="4960" w:type="dxa"/>
            <w:vAlign w:val="bottom"/>
            <w:tcBorders>
              <w:bottom w:val="single" w:sz="8" w:color="CFF0FC"/>
            </w:tcBorders>
            <w:gridSpan w:val="2"/>
          </w:tcPr>
          <w:p>
            <w:pPr>
              <w:ind w:left="240"/>
              <w:spacing w:after="0"/>
              <w:rPr>
                <w:sz w:val="20"/>
                <w:szCs w:val="20"/>
                <w:color w:val="auto"/>
              </w:rPr>
            </w:pPr>
            <w:r>
              <w:rPr>
                <w:rFonts w:ascii="Arial" w:cs="Arial" w:eastAsia="Arial" w:hAnsi="Arial"/>
                <w:sz w:val="18"/>
                <w:szCs w:val="18"/>
                <w:color w:val="auto"/>
              </w:rPr>
              <w:t>Recoveries</w:t>
            </w: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21,196</w:t>
            </w:r>
          </w:p>
        </w:tc>
        <w:tc>
          <w:tcPr>
            <w:tcW w:w="30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12,582</w:t>
            </w:r>
          </w:p>
        </w:tc>
        <w:tc>
          <w:tcPr>
            <w:tcW w:w="30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8,983</w:t>
            </w:r>
          </w:p>
        </w:tc>
        <w:tc>
          <w:tcPr>
            <w:tcW w:w="32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42,038</w:t>
            </w:r>
          </w:p>
        </w:tc>
        <w:tc>
          <w:tcPr>
            <w:tcW w:w="30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84,799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(charge-offs) recoveries</w:t>
            </w:r>
          </w:p>
        </w:tc>
        <w:tc>
          <w:tcPr>
            <w:tcW w:w="1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(43,745)</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4,651</w:t>
            </w:r>
          </w:p>
        </w:tc>
        <w:tc>
          <w:tcPr>
            <w:tcW w:w="3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(11,816)</w:t>
            </w: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(88,889)</w:t>
            </w:r>
          </w:p>
        </w:tc>
        <w:tc>
          <w:tcPr>
            <w:tcW w:w="10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(139,799)</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Ending balance</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328,599</w:t>
            </w:r>
          </w:p>
        </w:tc>
        <w:tc>
          <w:tcPr>
            <w:tcW w:w="30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374,085</w:t>
            </w:r>
          </w:p>
        </w:tc>
        <w:tc>
          <w:tcPr>
            <w:tcW w:w="30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65,405</w:t>
            </w:r>
          </w:p>
        </w:tc>
        <w:tc>
          <w:tcPr>
            <w:tcW w:w="32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170,809</w:t>
            </w:r>
          </w:p>
        </w:tc>
        <w:tc>
          <w:tcPr>
            <w:tcW w:w="30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78,300</w:t>
            </w:r>
          </w:p>
        </w:tc>
        <w:tc>
          <w:tcPr>
            <w:tcW w:w="3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1,017,198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 w:type="dxa"/>
            <w:vAlign w:val="bottom"/>
            <w:vMerge w:val="restart"/>
          </w:tcPr>
          <w:p>
            <w:pPr>
              <w:spacing w:after="0"/>
              <w:rPr>
                <w:sz w:val="20"/>
                <w:szCs w:val="20"/>
                <w:color w:val="auto"/>
              </w:rPr>
            </w:pPr>
            <w:r>
              <w:rPr>
                <w:rFonts w:ascii="Arial" w:cs="Arial" w:eastAsia="Arial" w:hAnsi="Arial"/>
                <w:sz w:val="14"/>
                <w:szCs w:val="14"/>
                <w:b w:val="1"/>
                <w:bCs w:val="1"/>
                <w:color w:val="auto"/>
                <w:w w:val="83"/>
              </w:rPr>
              <w:t>2016</w:t>
            </w:r>
          </w:p>
        </w:tc>
        <w:tc>
          <w:tcPr>
            <w:tcW w:w="4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280" w:type="dxa"/>
            <w:vAlign w:val="bottom"/>
            <w:tcBorders>
              <w:bottom w:val="single" w:sz="8" w:color="auto"/>
            </w:tcBorders>
            <w:vMerge w:val="continue"/>
          </w:tcPr>
          <w:p>
            <w:pPr>
              <w:spacing w:after="0"/>
              <w:rPr>
                <w:sz w:val="24"/>
                <w:szCs w:val="24"/>
                <w:color w:val="auto"/>
              </w:rPr>
            </w:pPr>
          </w:p>
        </w:tc>
        <w:tc>
          <w:tcPr>
            <w:tcW w:w="4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300,404</w:t>
            </w:r>
          </w:p>
        </w:tc>
        <w:tc>
          <w:tcPr>
            <w:tcW w:w="3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326,831</w:t>
            </w:r>
          </w:p>
        </w:tc>
        <w:tc>
          <w:tcPr>
            <w:tcW w:w="3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72,238</w:t>
            </w:r>
          </w:p>
        </w:tc>
        <w:tc>
          <w:tcPr>
            <w:tcW w:w="3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178,320</w:t>
            </w:r>
          </w:p>
        </w:tc>
        <w:tc>
          <w:tcPr>
            <w:tcW w:w="3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78,199</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3"/>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955,992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60" w:type="dxa"/>
            <w:vAlign w:val="bottom"/>
            <w:gridSpan w:val="2"/>
          </w:tcPr>
          <w:p>
            <w:pPr>
              <w:spacing w:after="0"/>
              <w:rPr>
                <w:sz w:val="20"/>
                <w:szCs w:val="20"/>
                <w:color w:val="auto"/>
              </w:rPr>
            </w:pPr>
            <w:r>
              <w:rPr>
                <w:rFonts w:ascii="Arial" w:cs="Arial" w:eastAsia="Arial" w:hAnsi="Arial"/>
                <w:sz w:val="18"/>
                <w:szCs w:val="18"/>
                <w:color w:val="auto"/>
              </w:rPr>
              <w:t>Provision for credit losses</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59,506</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33,627</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6,902</w:t>
            </w: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90,134</w:t>
            </w:r>
          </w:p>
        </w:tc>
        <w:tc>
          <w:tcPr>
            <w:tcW w:w="30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(169)</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190,000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charge-offs</w:t>
            </w: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60" w:type="dxa"/>
            <w:vAlign w:val="bottom"/>
            <w:gridSpan w:val="2"/>
          </w:tcPr>
          <w:p>
            <w:pPr>
              <w:ind w:left="240"/>
              <w:spacing w:after="0"/>
              <w:rPr>
                <w:sz w:val="20"/>
                <w:szCs w:val="20"/>
                <w:color w:val="auto"/>
              </w:rPr>
            </w:pPr>
            <w:r>
              <w:rPr>
                <w:rFonts w:ascii="Arial" w:cs="Arial" w:eastAsia="Arial" w:hAnsi="Arial"/>
                <w:sz w:val="18"/>
                <w:szCs w:val="18"/>
                <w:color w:val="auto"/>
              </w:rPr>
              <w:t>Charge-offs</w:t>
            </w:r>
          </w:p>
        </w:tc>
        <w:tc>
          <w:tcPr>
            <w:tcW w:w="14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(59,244)</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(4,805)</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(26,133)</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(141,073)</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(231,255)</w:t>
            </w:r>
          </w:p>
        </w:tc>
        <w:tc>
          <w:tcPr>
            <w:tcW w:w="0" w:type="dxa"/>
            <w:vAlign w:val="bottom"/>
          </w:tcPr>
          <w:p>
            <w:pPr>
              <w:spacing w:after="0"/>
              <w:rPr>
                <w:sz w:val="1"/>
                <w:szCs w:val="1"/>
                <w:color w:val="auto"/>
              </w:rPr>
            </w:pPr>
          </w:p>
        </w:tc>
      </w:tr>
      <w:tr>
        <w:trPr>
          <w:trHeight w:val="224"/>
        </w:trPr>
        <w:tc>
          <w:tcPr>
            <w:tcW w:w="49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Recoveries</w:t>
            </w:r>
          </w:p>
        </w:tc>
        <w:tc>
          <w:tcPr>
            <w:tcW w:w="1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30,167</w:t>
            </w:r>
          </w:p>
        </w:tc>
        <w:tc>
          <w:tcPr>
            <w:tcW w:w="30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7,066</w:t>
            </w:r>
          </w:p>
        </w:tc>
        <w:tc>
          <w:tcPr>
            <w:tcW w:w="30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8,120</w:t>
            </w:r>
          </w:p>
        </w:tc>
        <w:tc>
          <w:tcPr>
            <w:tcW w:w="32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28,907</w:t>
            </w:r>
          </w:p>
        </w:tc>
        <w:tc>
          <w:tcPr>
            <w:tcW w:w="30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74,260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Net (charge-offs) recoveries</w:t>
            </w:r>
          </w:p>
        </w:tc>
        <w:tc>
          <w:tcPr>
            <w:tcW w:w="14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(29,077)</w:t>
            </w:r>
          </w:p>
        </w:tc>
        <w:tc>
          <w:tcPr>
            <w:tcW w:w="740" w:type="dxa"/>
            <w:vAlign w:val="bottom"/>
          </w:tcPr>
          <w:p>
            <w:pPr>
              <w:jc w:val="right"/>
              <w:spacing w:after="0"/>
              <w:rPr>
                <w:sz w:val="20"/>
                <w:szCs w:val="20"/>
                <w:color w:val="auto"/>
              </w:rPr>
            </w:pPr>
            <w:r>
              <w:rPr>
                <w:rFonts w:ascii="Arial" w:cs="Arial" w:eastAsia="Arial" w:hAnsi="Arial"/>
                <w:sz w:val="18"/>
                <w:szCs w:val="18"/>
                <w:color w:val="auto"/>
              </w:rPr>
              <w:t>2,261</w:t>
            </w:r>
          </w:p>
        </w:tc>
        <w:tc>
          <w:tcPr>
            <w:tcW w:w="3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(18,013)</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(112,166)</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(156,995)</w:t>
            </w:r>
          </w:p>
        </w:tc>
        <w:tc>
          <w:tcPr>
            <w:tcW w:w="0" w:type="dxa"/>
            <w:vAlign w:val="bottom"/>
          </w:tcPr>
          <w:p>
            <w:pPr>
              <w:spacing w:after="0"/>
              <w:rPr>
                <w:sz w:val="1"/>
                <w:szCs w:val="1"/>
                <w:color w:val="auto"/>
              </w:rPr>
            </w:pPr>
          </w:p>
        </w:tc>
      </w:tr>
      <w:tr>
        <w:trPr>
          <w:trHeight w:val="217"/>
        </w:trPr>
        <w:tc>
          <w:tcPr>
            <w:tcW w:w="49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330,833</w:t>
            </w:r>
          </w:p>
        </w:tc>
        <w:tc>
          <w:tcPr>
            <w:tcW w:w="300" w:type="dxa"/>
            <w:vAlign w:val="bottom"/>
            <w:tcBorders>
              <w:top w:val="single" w:sz="8" w:color="CFF0FC"/>
              <w:bottom w:val="single" w:sz="8" w:color="CFF0FC"/>
            </w:tcBorders>
            <w:shd w:val="clear" w:color="auto" w:fill="CFF0FC"/>
          </w:tcPr>
          <w:p>
            <w:pPr>
              <w:spacing w:after="0"/>
              <w:rPr>
                <w:sz w:val="18"/>
                <w:szCs w:val="18"/>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362,719</w:t>
            </w:r>
          </w:p>
        </w:tc>
        <w:tc>
          <w:tcPr>
            <w:tcW w:w="300" w:type="dxa"/>
            <w:vAlign w:val="bottom"/>
            <w:tcBorders>
              <w:top w:val="single" w:sz="8" w:color="CFF0FC"/>
              <w:bottom w:val="single" w:sz="8" w:color="CFF0FC"/>
            </w:tcBorders>
            <w:shd w:val="clear" w:color="auto" w:fill="CFF0FC"/>
          </w:tcPr>
          <w:p>
            <w:pPr>
              <w:spacing w:after="0"/>
              <w:rPr>
                <w:sz w:val="18"/>
                <w:szCs w:val="18"/>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61,127</w:t>
            </w:r>
          </w:p>
        </w:tc>
        <w:tc>
          <w:tcPr>
            <w:tcW w:w="320" w:type="dxa"/>
            <w:vAlign w:val="bottom"/>
            <w:tcBorders>
              <w:top w:val="single" w:sz="8" w:color="CFF0FC"/>
              <w:bottom w:val="single" w:sz="8" w:color="CFF0FC"/>
            </w:tcBorders>
            <w:shd w:val="clear" w:color="auto" w:fill="CFF0FC"/>
          </w:tcPr>
          <w:p>
            <w:pPr>
              <w:spacing w:after="0"/>
              <w:rPr>
                <w:sz w:val="18"/>
                <w:szCs w:val="18"/>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156,288</w:t>
            </w:r>
          </w:p>
        </w:tc>
        <w:tc>
          <w:tcPr>
            <w:tcW w:w="300" w:type="dxa"/>
            <w:vAlign w:val="bottom"/>
            <w:tcBorders>
              <w:top w:val="single" w:sz="8" w:color="CFF0FC"/>
              <w:bottom w:val="single" w:sz="8" w:color="CFF0FC"/>
            </w:tcBorders>
            <w:shd w:val="clear" w:color="auto" w:fill="CFF0FC"/>
          </w:tcPr>
          <w:p>
            <w:pPr>
              <w:spacing w:after="0"/>
              <w:rPr>
                <w:sz w:val="18"/>
                <w:szCs w:val="18"/>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78,030</w:t>
            </w:r>
          </w:p>
        </w:tc>
        <w:tc>
          <w:tcPr>
            <w:tcW w:w="30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43"/>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988,997</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 w:type="dxa"/>
            <w:vAlign w:val="bottom"/>
            <w:vMerge w:val="restart"/>
          </w:tcPr>
          <w:p>
            <w:pPr>
              <w:spacing w:after="0"/>
              <w:rPr>
                <w:sz w:val="20"/>
                <w:szCs w:val="20"/>
                <w:color w:val="auto"/>
              </w:rPr>
            </w:pPr>
            <w:r>
              <w:rPr>
                <w:rFonts w:ascii="Arial" w:cs="Arial" w:eastAsia="Arial" w:hAnsi="Arial"/>
                <w:sz w:val="14"/>
                <w:szCs w:val="14"/>
                <w:b w:val="1"/>
                <w:bCs w:val="1"/>
                <w:color w:val="auto"/>
                <w:w w:val="83"/>
              </w:rPr>
              <w:t>2015</w:t>
            </w:r>
          </w:p>
        </w:tc>
        <w:tc>
          <w:tcPr>
            <w:tcW w:w="4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280" w:type="dxa"/>
            <w:vAlign w:val="bottom"/>
            <w:tcBorders>
              <w:bottom w:val="single" w:sz="8" w:color="auto"/>
            </w:tcBorders>
            <w:vMerge w:val="continue"/>
          </w:tcPr>
          <w:p>
            <w:pPr>
              <w:spacing w:after="0"/>
              <w:rPr>
                <w:sz w:val="24"/>
                <w:szCs w:val="24"/>
                <w:color w:val="auto"/>
              </w:rPr>
            </w:pPr>
          </w:p>
        </w:tc>
        <w:tc>
          <w:tcPr>
            <w:tcW w:w="4680" w:type="dxa"/>
            <w:vAlign w:val="bottom"/>
          </w:tcPr>
          <w:p>
            <w:pPr>
              <w:spacing w:after="0"/>
              <w:rPr>
                <w:sz w:val="24"/>
                <w:szCs w:val="24"/>
                <w:color w:val="auto"/>
              </w:rPr>
            </w:pPr>
          </w:p>
        </w:tc>
        <w:tc>
          <w:tcPr>
            <w:tcW w:w="140" w:type="dxa"/>
            <w:vAlign w:val="bottom"/>
            <w:vMerge w:val="restart"/>
          </w:tcPr>
          <w:p>
            <w:pPr>
              <w:spacing w:after="0"/>
              <w:rPr>
                <w:sz w:val="20"/>
                <w:szCs w:val="20"/>
                <w:color w:val="auto"/>
              </w:rPr>
            </w:pPr>
            <w:r>
              <w:rPr>
                <w:rFonts w:ascii="Arial" w:cs="Arial" w:eastAsia="Arial" w:hAnsi="Arial"/>
                <w:sz w:val="18"/>
                <w:szCs w:val="18"/>
                <w:color w:val="auto"/>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w w:val="92"/>
              </w:rPr>
              <w:t>288,038</w:t>
            </w:r>
          </w:p>
        </w:tc>
        <w:tc>
          <w:tcPr>
            <w:tcW w:w="300" w:type="dxa"/>
            <w:vAlign w:val="bottom"/>
          </w:tcPr>
          <w:p>
            <w:pPr>
              <w:spacing w:after="0"/>
              <w:rPr>
                <w:sz w:val="24"/>
                <w:szCs w:val="24"/>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307,927</w:t>
            </w:r>
          </w:p>
        </w:tc>
        <w:tc>
          <w:tcPr>
            <w:tcW w:w="300" w:type="dxa"/>
            <w:vAlign w:val="bottom"/>
          </w:tcPr>
          <w:p>
            <w:pPr>
              <w:spacing w:after="0"/>
              <w:rPr>
                <w:sz w:val="24"/>
                <w:szCs w:val="24"/>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61,910</w:t>
            </w:r>
          </w:p>
        </w:tc>
        <w:tc>
          <w:tcPr>
            <w:tcW w:w="320" w:type="dxa"/>
            <w:vAlign w:val="bottom"/>
          </w:tcPr>
          <w:p>
            <w:pPr>
              <w:spacing w:after="0"/>
              <w:rPr>
                <w:sz w:val="24"/>
                <w:szCs w:val="24"/>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186,033</w:t>
            </w:r>
          </w:p>
        </w:tc>
        <w:tc>
          <w:tcPr>
            <w:tcW w:w="300" w:type="dxa"/>
            <w:vAlign w:val="bottom"/>
          </w:tcPr>
          <w:p>
            <w:pPr>
              <w:spacing w:after="0"/>
              <w:rPr>
                <w:sz w:val="24"/>
                <w:szCs w:val="24"/>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75,654</w:t>
            </w:r>
          </w:p>
        </w:tc>
        <w:tc>
          <w:tcPr>
            <w:tcW w:w="300" w:type="dxa"/>
            <w:vAlign w:val="bottom"/>
          </w:tcPr>
          <w:p>
            <w:pPr>
              <w:spacing w:after="0"/>
              <w:rPr>
                <w:sz w:val="24"/>
                <w:szCs w:val="24"/>
                <w:color w:val="auto"/>
              </w:rPr>
            </w:pPr>
          </w:p>
        </w:tc>
        <w:tc>
          <w:tcPr>
            <w:tcW w:w="200" w:type="dxa"/>
            <w:vAlign w:val="bottom"/>
            <w:vMerge w:val="restart"/>
          </w:tcPr>
          <w:p>
            <w:pPr>
              <w:jc w:val="right"/>
              <w:ind w:right="43"/>
              <w:spacing w:after="0"/>
              <w:rPr>
                <w:sz w:val="20"/>
                <w:szCs w:val="20"/>
                <w:color w:val="auto"/>
              </w:rPr>
            </w:pPr>
            <w:r>
              <w:rPr>
                <w:rFonts w:ascii="Arial" w:cs="Arial" w:eastAsia="Arial" w:hAnsi="Arial"/>
                <w:sz w:val="15"/>
                <w:szCs w:val="15"/>
                <w:color w:val="auto"/>
                <w:w w:val="71"/>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919,562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Beginning balance</w:t>
            </w:r>
          </w:p>
        </w:tc>
        <w:tc>
          <w:tcPr>
            <w:tcW w:w="140" w:type="dxa"/>
            <w:vAlign w:val="bottom"/>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Provision for credit losses</w:t>
            </w: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43,065</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25,768</w:t>
            </w: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19,133</w:t>
            </w: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79,489</w:t>
            </w: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2,545</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60" w:type="dxa"/>
            <w:vAlign w:val="bottom"/>
            <w:gridSpan w:val="2"/>
          </w:tcPr>
          <w:p>
            <w:pPr>
              <w:spacing w:after="0"/>
              <w:rPr>
                <w:sz w:val="20"/>
                <w:szCs w:val="20"/>
                <w:color w:val="auto"/>
              </w:rPr>
            </w:pPr>
            <w:r>
              <w:rPr>
                <w:rFonts w:ascii="Arial" w:cs="Arial" w:eastAsia="Arial" w:hAnsi="Arial"/>
                <w:sz w:val="18"/>
                <w:szCs w:val="18"/>
                <w:color w:val="auto"/>
              </w:rPr>
              <w:t>Net charge-offs</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9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Charge-offs</w:t>
            </w: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(60,983)</w:t>
            </w: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(16,487)</w:t>
            </w: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(13,116)</w:t>
            </w: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(107,787)</w:t>
            </w:r>
          </w:p>
        </w:tc>
        <w:tc>
          <w:tcPr>
            <w:tcW w:w="10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(198,373)</w:t>
            </w:r>
          </w:p>
        </w:tc>
        <w:tc>
          <w:tcPr>
            <w:tcW w:w="0" w:type="dxa"/>
            <w:vAlign w:val="bottom"/>
          </w:tcPr>
          <w:p>
            <w:pPr>
              <w:spacing w:after="0"/>
              <w:rPr>
                <w:sz w:val="1"/>
                <w:szCs w:val="1"/>
                <w:color w:val="auto"/>
              </w:rPr>
            </w:pPr>
          </w:p>
        </w:tc>
      </w:tr>
      <w:tr>
        <w:trPr>
          <w:trHeight w:val="223"/>
        </w:trPr>
        <w:tc>
          <w:tcPr>
            <w:tcW w:w="4960" w:type="dxa"/>
            <w:vAlign w:val="bottom"/>
            <w:tcBorders>
              <w:bottom w:val="single" w:sz="8" w:color="CFF0FC"/>
            </w:tcBorders>
            <w:gridSpan w:val="2"/>
          </w:tcPr>
          <w:p>
            <w:pPr>
              <w:ind w:left="240"/>
              <w:spacing w:after="0"/>
              <w:rPr>
                <w:sz w:val="20"/>
                <w:szCs w:val="20"/>
                <w:color w:val="auto"/>
              </w:rPr>
            </w:pPr>
            <w:r>
              <w:rPr>
                <w:rFonts w:ascii="Arial" w:cs="Arial" w:eastAsia="Arial" w:hAnsi="Arial"/>
                <w:sz w:val="18"/>
                <w:szCs w:val="18"/>
                <w:color w:val="auto"/>
              </w:rPr>
              <w:t>Recoveries</w:t>
            </w: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30,284</w:t>
            </w:r>
          </w:p>
        </w:tc>
        <w:tc>
          <w:tcPr>
            <w:tcW w:w="30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9,623</w:t>
            </w:r>
          </w:p>
        </w:tc>
        <w:tc>
          <w:tcPr>
            <w:tcW w:w="30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4,311</w:t>
            </w:r>
          </w:p>
        </w:tc>
        <w:tc>
          <w:tcPr>
            <w:tcW w:w="32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20,585</w:t>
            </w:r>
          </w:p>
        </w:tc>
        <w:tc>
          <w:tcPr>
            <w:tcW w:w="30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64,803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charge-offs</w:t>
            </w:r>
          </w:p>
        </w:tc>
        <w:tc>
          <w:tcPr>
            <w:tcW w:w="1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(30,699)</w:t>
            </w: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(6,864)</w:t>
            </w: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(8,805)</w:t>
            </w: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(87,202)</w:t>
            </w:r>
          </w:p>
        </w:tc>
        <w:tc>
          <w:tcPr>
            <w:tcW w:w="10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(133,570)</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Ending balance</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300,404</w:t>
            </w:r>
          </w:p>
        </w:tc>
        <w:tc>
          <w:tcPr>
            <w:tcW w:w="30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326,831</w:t>
            </w:r>
          </w:p>
        </w:tc>
        <w:tc>
          <w:tcPr>
            <w:tcW w:w="30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72,238</w:t>
            </w:r>
          </w:p>
        </w:tc>
        <w:tc>
          <w:tcPr>
            <w:tcW w:w="32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178,320</w:t>
            </w:r>
          </w:p>
        </w:tc>
        <w:tc>
          <w:tcPr>
            <w:tcW w:w="30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78,199</w:t>
            </w:r>
          </w:p>
        </w:tc>
        <w:tc>
          <w:tcPr>
            <w:tcW w:w="3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955,992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right="380" w:firstLine="598"/>
        <w:spacing w:after="0" w:line="256" w:lineRule="auto"/>
        <w:rPr>
          <w:sz w:val="20"/>
          <w:szCs w:val="20"/>
          <w:color w:val="auto"/>
        </w:rPr>
      </w:pPr>
      <w:r>
        <w:rPr>
          <w:rFonts w:ascii="Arial" w:cs="Arial" w:eastAsia="Arial" w:hAnsi="Arial"/>
          <w:sz w:val="20"/>
          <w:szCs w:val="20"/>
          <w:color w:val="auto"/>
        </w:rPr>
        <w:t>Despite the above allocation, the allowance for credit losses is general in nature and is available to absorb losses from any loan or lease type.</w:t>
      </w:r>
    </w:p>
    <w:p>
      <w:pPr>
        <w:ind w:right="20" w:firstLine="598"/>
        <w:spacing w:after="0" w:line="278" w:lineRule="auto"/>
        <w:rPr>
          <w:sz w:val="20"/>
          <w:szCs w:val="20"/>
          <w:color w:val="auto"/>
        </w:rPr>
      </w:pPr>
      <w:r>
        <w:rPr>
          <w:rFonts w:ascii="Arial" w:cs="Arial" w:eastAsia="Arial" w:hAnsi="Arial"/>
          <w:sz w:val="18"/>
          <w:szCs w:val="18"/>
          <w:color w:val="auto"/>
        </w:rPr>
        <w:t>In establishing the allowance for credit losses, the Company estimates losses attributable to specific troubled credits identified through both normal and targeted credit review processes and also estimates losses inherent in other loans and leases on a collective basis. For purposes of determining the level of the allowance for credit losses, the Company evaluates its loan and lease portfolio by loan type. The amounts of loss components in the Company’s loan and lease portfolios are determined through a loan-by-loan analysis of larger balance commercial loans and commercial real estate loans that are in nonaccrual status and by applying loss factors to groups of loan balances based on loan type and management’s classification of such loans under the Company’s loan grading system. Measurement of the specific loss components is typically based on expected future cash flows, collateral values and other factors that may impact the borrower’s ability to pay. In determining the allowance for credit losses, the Company utilizes a loan grading system which is applied to commercial and commercial real estate credits on an individual loan basis. Loan grades are assigned loss component factors that reflect the Company’s loss estimate for each group of loans and leases. Factors considered in assigning loan grades and loss component factors include borrower-</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132" w:name="page133"/>
    <w:bookmarkEnd w:id="132"/>
    <w:p>
      <w:pPr>
        <w:ind w:right="220"/>
        <w:spacing w:after="0" w:line="264" w:lineRule="auto"/>
        <w:rPr>
          <w:sz w:val="20"/>
          <w:szCs w:val="20"/>
          <w:color w:val="auto"/>
        </w:rPr>
      </w:pPr>
      <w:r>
        <w:rPr>
          <w:rFonts w:ascii="Arial" w:cs="Arial" w:eastAsia="Arial" w:hAnsi="Arial"/>
          <w:sz w:val="19"/>
          <w:szCs w:val="19"/>
          <w:color w:val="auto"/>
        </w:rPr>
        <w:t>specific information related to expected future cash flows and operating results, collateral values, geographic location, financial condition and performance, payment status, and other information; levels of and trends in portfolio charge-offs and recoveries; levels of and trends in portfolio delinquencies and impaired loans; changes in the risk profile of specific portfolios; trends in volume and terms of loans; effects of changes in credit concentrations; and observed trends and practices in the banking industry.</w:t>
      </w:r>
    </w:p>
    <w:p>
      <w:pPr>
        <w:spacing w:after="0" w:line="3" w:lineRule="exact"/>
        <w:rPr>
          <w:sz w:val="20"/>
          <w:szCs w:val="20"/>
          <w:color w:val="auto"/>
        </w:rPr>
      </w:pPr>
    </w:p>
    <w:p>
      <w:pPr>
        <w:ind w:right="260" w:firstLine="598"/>
        <w:spacing w:after="0" w:line="256" w:lineRule="auto"/>
        <w:rPr>
          <w:sz w:val="20"/>
          <w:szCs w:val="20"/>
          <w:color w:val="auto"/>
        </w:rPr>
      </w:pPr>
      <w:r>
        <w:rPr>
          <w:rFonts w:ascii="Arial" w:cs="Arial" w:eastAsia="Arial" w:hAnsi="Arial"/>
          <w:sz w:val="20"/>
          <w:szCs w:val="20"/>
          <w:color w:val="auto"/>
        </w:rPr>
        <w:t>The following tables provide information with respect to loans and leases that were considered impaired as of December 31, 2017 and 2016 and for the years ended December 31, 2017, 2016 and 2015.</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4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88"/>
              </w:rPr>
              <w:t>December 31, 2017</w:t>
            </w:r>
          </w:p>
        </w:tc>
        <w:tc>
          <w:tcPr>
            <w:tcW w:w="7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8"/>
              </w:rPr>
              <w:t>December 31, 2016</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5420" w:type="dxa"/>
            <w:vAlign w:val="bottom"/>
          </w:tcPr>
          <w:p>
            <w:pPr>
              <w:spacing w:after="0"/>
              <w:rPr>
                <w:sz w:val="11"/>
                <w:szCs w:val="11"/>
                <w:color w:val="auto"/>
              </w:rPr>
            </w:pPr>
          </w:p>
        </w:tc>
        <w:tc>
          <w:tcPr>
            <w:tcW w:w="74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w w:val="95"/>
              </w:rPr>
              <w:t>Recorded</w:t>
            </w:r>
          </w:p>
        </w:tc>
        <w:tc>
          <w:tcPr>
            <w:tcW w:w="280" w:type="dxa"/>
            <w:vAlign w:val="bottom"/>
          </w:tcPr>
          <w:p>
            <w:pPr>
              <w:spacing w:after="0"/>
              <w:rPr>
                <w:sz w:val="11"/>
                <w:szCs w:val="11"/>
                <w:color w:val="auto"/>
              </w:rPr>
            </w:pPr>
          </w:p>
        </w:tc>
        <w:tc>
          <w:tcPr>
            <w:tcW w:w="1020" w:type="dxa"/>
            <w:vAlign w:val="bottom"/>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92"/>
              </w:rPr>
              <w:t>Unpaid</w:t>
            </w:r>
          </w:p>
        </w:tc>
        <w:tc>
          <w:tcPr>
            <w:tcW w:w="10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0"/>
              </w:rPr>
              <w:t>Related</w:t>
            </w: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Recorded</w:t>
            </w:r>
          </w:p>
        </w:tc>
        <w:tc>
          <w:tcPr>
            <w:tcW w:w="300" w:type="dxa"/>
            <w:vAlign w:val="bottom"/>
          </w:tcPr>
          <w:p>
            <w:pPr>
              <w:spacing w:after="0"/>
              <w:rPr>
                <w:sz w:val="11"/>
                <w:szCs w:val="11"/>
                <w:color w:val="auto"/>
              </w:rPr>
            </w:pPr>
          </w:p>
        </w:tc>
        <w:tc>
          <w:tcPr>
            <w:tcW w:w="1040" w:type="dxa"/>
            <w:vAlign w:val="bottom"/>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92"/>
              </w:rPr>
              <w:t>Unpaid</w:t>
            </w:r>
          </w:p>
        </w:tc>
        <w:tc>
          <w:tcPr>
            <w:tcW w:w="8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Related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54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w w:val="94"/>
              </w:rPr>
              <w:t>Principal</w:t>
            </w:r>
          </w:p>
        </w:tc>
        <w:tc>
          <w:tcPr>
            <w:tcW w:w="104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gridSpan w:val="2"/>
          </w:tcPr>
          <w:p>
            <w:pPr>
              <w:jc w:val="center"/>
              <w:ind w:right="320"/>
              <w:spacing w:after="0" w:line="145" w:lineRule="exact"/>
              <w:rPr>
                <w:sz w:val="20"/>
                <w:szCs w:val="20"/>
                <w:color w:val="auto"/>
              </w:rPr>
            </w:pPr>
            <w:r>
              <w:rPr>
                <w:rFonts w:ascii="Arial" w:cs="Arial" w:eastAsia="Arial" w:hAnsi="Arial"/>
                <w:sz w:val="14"/>
                <w:szCs w:val="14"/>
                <w:b w:val="1"/>
                <w:bCs w:val="1"/>
                <w:color w:val="auto"/>
                <w:w w:val="94"/>
              </w:rPr>
              <w:t>Principal</w:t>
            </w:r>
          </w:p>
        </w:tc>
        <w:tc>
          <w:tcPr>
            <w:tcW w:w="8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54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w w:val="91"/>
              </w:rPr>
              <w:t>Investment</w:t>
            </w:r>
          </w:p>
        </w:tc>
        <w:tc>
          <w:tcPr>
            <w:tcW w:w="28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Balance</w:t>
            </w: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Allowance</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w w:val="89"/>
              </w:rPr>
              <w:t>Investment</w:t>
            </w:r>
          </w:p>
        </w:tc>
        <w:tc>
          <w:tcPr>
            <w:tcW w:w="30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Balance</w:t>
            </w: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Allowance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542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760" w:type="dxa"/>
            <w:vAlign w:val="bottom"/>
            <w:tcBorders>
              <w:top w:val="single" w:sz="8" w:color="auto"/>
            </w:tcBorders>
            <w:gridSpan w:val="3"/>
          </w:tcPr>
          <w:p>
            <w:pPr>
              <w:jc w:val="right"/>
              <w:ind w:right="334"/>
              <w:spacing w:after="0" w:line="151" w:lineRule="exact"/>
              <w:rPr>
                <w:sz w:val="20"/>
                <w:szCs w:val="20"/>
                <w:color w:val="auto"/>
              </w:rPr>
            </w:pPr>
            <w:r>
              <w:rPr>
                <w:rFonts w:ascii="Arial" w:cs="Arial" w:eastAsia="Arial" w:hAnsi="Arial"/>
                <w:sz w:val="14"/>
                <w:szCs w:val="14"/>
                <w:b w:val="1"/>
                <w:bCs w:val="1"/>
                <w:color w:val="auto"/>
              </w:rPr>
              <w:t>(In thousands)</w:t>
            </w:r>
          </w:p>
        </w:tc>
        <w:tc>
          <w:tcPr>
            <w:tcW w:w="3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With an allowance recorded:</w:t>
            </w: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tcPr>
          <w:p>
            <w:pPr>
              <w:ind w:left="240"/>
              <w:spacing w:after="0"/>
              <w:rPr>
                <w:sz w:val="20"/>
                <w:szCs w:val="20"/>
                <w:color w:val="auto"/>
              </w:rPr>
            </w:pPr>
            <w:r>
              <w:rPr>
                <w:rFonts w:ascii="Arial" w:cs="Arial" w:eastAsia="Arial" w:hAnsi="Arial"/>
                <w:sz w:val="18"/>
                <w:szCs w:val="18"/>
                <w:color w:val="auto"/>
              </w:rPr>
              <w:t>Commercial, financial, leasing, etc.</w:t>
            </w:r>
          </w:p>
        </w:tc>
        <w:tc>
          <w:tcPr>
            <w:tcW w:w="740" w:type="dxa"/>
            <w:vAlign w:val="bottom"/>
          </w:tcPr>
          <w:p>
            <w:pPr>
              <w:jc w:val="right"/>
              <w:spacing w:after="0"/>
              <w:rPr>
                <w:sz w:val="20"/>
                <w:szCs w:val="20"/>
                <w:color w:val="auto"/>
              </w:rPr>
            </w:pPr>
            <w:r>
              <w:rPr>
                <w:rFonts w:ascii="Arial" w:cs="Arial" w:eastAsia="Arial" w:hAnsi="Arial"/>
                <w:sz w:val="18"/>
                <w:szCs w:val="18"/>
                <w:color w:val="auto"/>
                <w:w w:val="87"/>
              </w:rPr>
              <w:t>$ 177,250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194,257</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45,488</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168,072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184,432</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48,480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Real estate:</w:t>
            </w: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tcPr>
          <w:p>
            <w:pPr>
              <w:ind w:left="480"/>
              <w:spacing w:after="0"/>
              <w:rPr>
                <w:sz w:val="20"/>
                <w:szCs w:val="20"/>
                <w:color w:val="auto"/>
              </w:rPr>
            </w:pPr>
            <w:r>
              <w:rPr>
                <w:rFonts w:ascii="Arial" w:cs="Arial" w:eastAsia="Arial" w:hAnsi="Arial"/>
                <w:sz w:val="18"/>
                <w:szCs w:val="18"/>
                <w:color w:val="auto"/>
              </w:rPr>
              <w:t>Commercial</w:t>
            </w:r>
          </w:p>
        </w:tc>
        <w:tc>
          <w:tcPr>
            <w:tcW w:w="740" w:type="dxa"/>
            <w:vAlign w:val="bottom"/>
          </w:tcPr>
          <w:p>
            <w:pPr>
              <w:jc w:val="right"/>
              <w:spacing w:after="0"/>
              <w:rPr>
                <w:sz w:val="20"/>
                <w:szCs w:val="20"/>
                <w:color w:val="auto"/>
              </w:rPr>
            </w:pPr>
            <w:r>
              <w:rPr>
                <w:rFonts w:ascii="Arial" w:cs="Arial" w:eastAsia="Arial" w:hAnsi="Arial"/>
                <w:sz w:val="18"/>
                <w:szCs w:val="18"/>
                <w:color w:val="auto"/>
              </w:rPr>
              <w:t>67,199</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75,084</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9,140</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71,862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86,666</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11,620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4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Residential builder and developer</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5,320</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5,641</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w:t>
            </w: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7,396</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8,361</w:t>
            </w: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tcPr>
          <w:p>
            <w:pPr>
              <w:ind w:left="480"/>
              <w:spacing w:after="0"/>
              <w:rPr>
                <w:sz w:val="20"/>
                <w:szCs w:val="20"/>
                <w:color w:val="auto"/>
              </w:rPr>
            </w:pPr>
            <w:r>
              <w:rPr>
                <w:rFonts w:ascii="Arial" w:cs="Arial" w:eastAsia="Arial" w:hAnsi="Arial"/>
                <w:sz w:val="18"/>
                <w:szCs w:val="18"/>
                <w:color w:val="auto"/>
              </w:rPr>
              <w:t>Other commercial construction</w:t>
            </w:r>
          </w:p>
        </w:tc>
        <w:tc>
          <w:tcPr>
            <w:tcW w:w="740" w:type="dxa"/>
            <w:vAlign w:val="bottom"/>
          </w:tcPr>
          <w:p>
            <w:pPr>
              <w:jc w:val="right"/>
              <w:spacing w:after="0"/>
              <w:rPr>
                <w:sz w:val="20"/>
                <w:szCs w:val="20"/>
                <w:color w:val="auto"/>
              </w:rPr>
            </w:pPr>
            <w:r>
              <w:rPr>
                <w:rFonts w:ascii="Arial" w:cs="Arial" w:eastAsia="Arial" w:hAnsi="Arial"/>
                <w:sz w:val="18"/>
                <w:szCs w:val="18"/>
                <w:color w:val="auto"/>
              </w:rPr>
              <w:t>4,817</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20,357</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647</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2,475</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2,731</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4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Residential</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101,724</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122,602</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w:t>
            </w: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86,680</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105,944</w:t>
            </w: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tcPr>
          <w:p>
            <w:pPr>
              <w:ind w:left="480"/>
              <w:spacing w:after="0"/>
              <w:rPr>
                <w:sz w:val="20"/>
                <w:szCs w:val="20"/>
                <w:color w:val="auto"/>
              </w:rPr>
            </w:pPr>
            <w:r>
              <w:rPr>
                <w:rFonts w:ascii="Arial" w:cs="Arial" w:eastAsia="Arial" w:hAnsi="Arial"/>
                <w:sz w:val="18"/>
                <w:szCs w:val="18"/>
                <w:color w:val="auto"/>
              </w:rPr>
              <w:t>Residential — limited documentation</w:t>
            </w:r>
          </w:p>
        </w:tc>
        <w:tc>
          <w:tcPr>
            <w:tcW w:w="740" w:type="dxa"/>
            <w:vAlign w:val="bottom"/>
          </w:tcPr>
          <w:p>
            <w:pPr>
              <w:jc w:val="right"/>
              <w:spacing w:after="0"/>
              <w:rPr>
                <w:sz w:val="20"/>
                <w:szCs w:val="20"/>
                <w:color w:val="auto"/>
              </w:rPr>
            </w:pPr>
            <w:r>
              <w:rPr>
                <w:rFonts w:ascii="Arial" w:cs="Arial" w:eastAsia="Arial" w:hAnsi="Arial"/>
                <w:sz w:val="18"/>
                <w:szCs w:val="18"/>
                <w:color w:val="auto"/>
              </w:rPr>
              <w:t>77,277</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92,439</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3,900</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82,547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97,718</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6,000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Consumer:</w:t>
            </w: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tcPr>
          <w:p>
            <w:pPr>
              <w:ind w:left="480"/>
              <w:spacing w:after="0"/>
              <w:rPr>
                <w:sz w:val="20"/>
                <w:szCs w:val="20"/>
                <w:color w:val="auto"/>
              </w:rPr>
            </w:pPr>
            <w:r>
              <w:rPr>
                <w:rFonts w:ascii="Arial" w:cs="Arial" w:eastAsia="Arial" w:hAnsi="Arial"/>
                <w:sz w:val="18"/>
                <w:szCs w:val="18"/>
                <w:color w:val="auto"/>
              </w:rPr>
              <w:t>Home equity lines and loans</w:t>
            </w:r>
          </w:p>
        </w:tc>
        <w:tc>
          <w:tcPr>
            <w:tcW w:w="740" w:type="dxa"/>
            <w:vAlign w:val="bottom"/>
          </w:tcPr>
          <w:p>
            <w:pPr>
              <w:jc w:val="right"/>
              <w:spacing w:after="0"/>
              <w:rPr>
                <w:sz w:val="20"/>
                <w:szCs w:val="20"/>
                <w:color w:val="auto"/>
              </w:rPr>
            </w:pPr>
            <w:r>
              <w:rPr>
                <w:rFonts w:ascii="Arial" w:cs="Arial" w:eastAsia="Arial" w:hAnsi="Arial"/>
                <w:sz w:val="18"/>
                <w:szCs w:val="18"/>
                <w:color w:val="auto"/>
              </w:rPr>
              <w:t>48,847</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53,914</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8,812</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44,693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48,965</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8,027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4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Automobile</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13,498</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15,737</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2,811</w:t>
            </w: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16,982</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18,272</w:t>
            </w: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Other</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3,220</w:t>
            </w:r>
          </w:p>
        </w:tc>
        <w:tc>
          <w:tcPr>
            <w:tcW w:w="28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5,872</w:t>
            </w:r>
          </w:p>
        </w:tc>
        <w:tc>
          <w:tcPr>
            <w:tcW w:w="28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w:t>
            </w:r>
          </w:p>
        </w:tc>
        <w:tc>
          <w:tcPr>
            <w:tcW w:w="30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3,791</w:t>
            </w:r>
          </w:p>
        </w:tc>
        <w:tc>
          <w:tcPr>
            <w:tcW w:w="30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5,296</w:t>
            </w:r>
          </w:p>
        </w:tc>
        <w:tc>
          <w:tcPr>
            <w:tcW w:w="30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4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499,152</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585,903</w:t>
            </w:r>
          </w:p>
        </w:tc>
        <w:tc>
          <w:tcPr>
            <w:tcW w:w="2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75,762</w:t>
            </w:r>
          </w:p>
        </w:tc>
        <w:tc>
          <w:tcPr>
            <w:tcW w:w="3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484,498</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558,385</w:t>
            </w:r>
          </w:p>
        </w:tc>
        <w:tc>
          <w:tcPr>
            <w:tcW w:w="3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83,054</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With no related allowance recorded:</w:t>
            </w:r>
          </w:p>
        </w:tc>
        <w:tc>
          <w:tcPr>
            <w:tcW w:w="7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Commercial, financial, leasing, etc.</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89,126</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115,327</w:t>
            </w:r>
          </w:p>
        </w:tc>
        <w:tc>
          <w:tcPr>
            <w:tcW w:w="2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100,805</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124,786</w:t>
            </w:r>
          </w:p>
        </w:tc>
        <w:tc>
          <w:tcPr>
            <w:tcW w:w="3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tcPr>
          <w:p>
            <w:pPr>
              <w:ind w:left="240"/>
              <w:spacing w:after="0"/>
              <w:rPr>
                <w:sz w:val="20"/>
                <w:szCs w:val="20"/>
                <w:color w:val="auto"/>
              </w:rPr>
            </w:pPr>
            <w:r>
              <w:rPr>
                <w:rFonts w:ascii="Arial" w:cs="Arial" w:eastAsia="Arial" w:hAnsi="Arial"/>
                <w:sz w:val="18"/>
                <w:szCs w:val="18"/>
                <w:color w:val="auto"/>
              </w:rPr>
              <w:t>Real estate:</w:t>
            </w: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4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Commercial</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138,356</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149,716</w:t>
            </w:r>
          </w:p>
        </w:tc>
        <w:tc>
          <w:tcPr>
            <w:tcW w:w="2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113,276</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121,846</w:t>
            </w:r>
          </w:p>
        </w:tc>
        <w:tc>
          <w:tcPr>
            <w:tcW w:w="3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tcPr>
          <w:p>
            <w:pPr>
              <w:ind w:left="480"/>
              <w:spacing w:after="0"/>
              <w:rPr>
                <w:sz w:val="20"/>
                <w:szCs w:val="20"/>
                <w:color w:val="auto"/>
              </w:rPr>
            </w:pPr>
            <w:r>
              <w:rPr>
                <w:rFonts w:ascii="Arial" w:cs="Arial" w:eastAsia="Arial" w:hAnsi="Arial"/>
                <w:sz w:val="18"/>
                <w:szCs w:val="18"/>
                <w:color w:val="auto"/>
              </w:rPr>
              <w:t>Residential builder and developer</w:t>
            </w:r>
          </w:p>
        </w:tc>
        <w:tc>
          <w:tcPr>
            <w:tcW w:w="740" w:type="dxa"/>
            <w:vAlign w:val="bottom"/>
          </w:tcPr>
          <w:p>
            <w:pPr>
              <w:jc w:val="right"/>
              <w:spacing w:after="0"/>
              <w:rPr>
                <w:sz w:val="20"/>
                <w:szCs w:val="20"/>
                <w:color w:val="auto"/>
              </w:rPr>
            </w:pPr>
            <w:r>
              <w:rPr>
                <w:rFonts w:ascii="Arial" w:cs="Arial" w:eastAsia="Arial" w:hAnsi="Arial"/>
                <w:sz w:val="18"/>
                <w:szCs w:val="18"/>
                <w:color w:val="auto"/>
              </w:rPr>
              <w:t>5,057</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5,296</w:t>
            </w:r>
          </w:p>
        </w:tc>
        <w:tc>
          <w:tcPr>
            <w:tcW w:w="280" w:type="dxa"/>
            <w:vAlign w:val="bottom"/>
          </w:tcPr>
          <w:p>
            <w:pPr>
              <w:spacing w:after="0"/>
              <w:rPr>
                <w:sz w:val="19"/>
                <w:szCs w:val="19"/>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14,368</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21,124</w:t>
            </w:r>
          </w:p>
        </w:tc>
        <w:tc>
          <w:tcPr>
            <w:tcW w:w="30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4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Other commercial construction</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5,456</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9,130</w:t>
            </w:r>
          </w:p>
        </w:tc>
        <w:tc>
          <w:tcPr>
            <w:tcW w:w="2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15,933</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35,281</w:t>
            </w:r>
          </w:p>
        </w:tc>
        <w:tc>
          <w:tcPr>
            <w:tcW w:w="3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tcPr>
          <w:p>
            <w:pPr>
              <w:ind w:left="480"/>
              <w:spacing w:after="0"/>
              <w:rPr>
                <w:sz w:val="20"/>
                <w:szCs w:val="20"/>
                <w:color w:val="auto"/>
              </w:rPr>
            </w:pPr>
            <w:r>
              <w:rPr>
                <w:rFonts w:ascii="Arial" w:cs="Arial" w:eastAsia="Arial" w:hAnsi="Arial"/>
                <w:sz w:val="18"/>
                <w:szCs w:val="18"/>
                <w:color w:val="auto"/>
              </w:rPr>
              <w:t>Residential</w:t>
            </w:r>
          </w:p>
        </w:tc>
        <w:tc>
          <w:tcPr>
            <w:tcW w:w="740" w:type="dxa"/>
            <w:vAlign w:val="bottom"/>
          </w:tcPr>
          <w:p>
            <w:pPr>
              <w:jc w:val="right"/>
              <w:spacing w:after="0"/>
              <w:rPr>
                <w:sz w:val="20"/>
                <w:szCs w:val="20"/>
                <w:color w:val="auto"/>
              </w:rPr>
            </w:pPr>
            <w:r>
              <w:rPr>
                <w:rFonts w:ascii="Arial" w:cs="Arial" w:eastAsia="Arial" w:hAnsi="Arial"/>
                <w:sz w:val="18"/>
                <w:szCs w:val="18"/>
                <w:color w:val="auto"/>
              </w:rPr>
              <w:t>13,574</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18,980</w:t>
            </w:r>
          </w:p>
        </w:tc>
        <w:tc>
          <w:tcPr>
            <w:tcW w:w="280" w:type="dxa"/>
            <w:vAlign w:val="bottom"/>
          </w:tcPr>
          <w:p>
            <w:pPr>
              <w:spacing w:after="0"/>
              <w:rPr>
                <w:sz w:val="19"/>
                <w:szCs w:val="19"/>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16,823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24,161</w:t>
            </w:r>
          </w:p>
        </w:tc>
        <w:tc>
          <w:tcPr>
            <w:tcW w:w="30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Residential — limited documentation</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9,588</w:t>
            </w:r>
          </w:p>
        </w:tc>
        <w:tc>
          <w:tcPr>
            <w:tcW w:w="28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16,138</w:t>
            </w:r>
          </w:p>
        </w:tc>
        <w:tc>
          <w:tcPr>
            <w:tcW w:w="28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15,429</w:t>
            </w:r>
          </w:p>
        </w:tc>
        <w:tc>
          <w:tcPr>
            <w:tcW w:w="30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24,590</w:t>
            </w:r>
          </w:p>
        </w:tc>
        <w:tc>
          <w:tcPr>
            <w:tcW w:w="30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261,157</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314,587</w:t>
            </w:r>
          </w:p>
        </w:tc>
        <w:tc>
          <w:tcPr>
            <w:tcW w:w="2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276,634</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351,788</w:t>
            </w:r>
          </w:p>
        </w:tc>
        <w:tc>
          <w:tcPr>
            <w:tcW w:w="3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74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20" w:type="dxa"/>
            <w:vAlign w:val="bottom"/>
          </w:tcPr>
          <w:p>
            <w:pPr>
              <w:ind w:left="240"/>
              <w:spacing w:after="0"/>
              <w:rPr>
                <w:sz w:val="20"/>
                <w:szCs w:val="20"/>
                <w:color w:val="auto"/>
              </w:rPr>
            </w:pPr>
            <w:r>
              <w:rPr>
                <w:rFonts w:ascii="Arial" w:cs="Arial" w:eastAsia="Arial" w:hAnsi="Arial"/>
                <w:sz w:val="18"/>
                <w:szCs w:val="18"/>
                <w:color w:val="auto"/>
              </w:rPr>
              <w:t>Commercial, financial, leasing, etc.</w:t>
            </w:r>
          </w:p>
        </w:tc>
        <w:tc>
          <w:tcPr>
            <w:tcW w:w="740" w:type="dxa"/>
            <w:vAlign w:val="bottom"/>
          </w:tcPr>
          <w:p>
            <w:pPr>
              <w:jc w:val="right"/>
              <w:spacing w:after="0"/>
              <w:rPr>
                <w:sz w:val="20"/>
                <w:szCs w:val="20"/>
                <w:color w:val="auto"/>
              </w:rPr>
            </w:pPr>
            <w:r>
              <w:rPr>
                <w:rFonts w:ascii="Arial" w:cs="Arial" w:eastAsia="Arial" w:hAnsi="Arial"/>
                <w:sz w:val="18"/>
                <w:szCs w:val="18"/>
                <w:color w:val="auto"/>
              </w:rPr>
              <w:t>266,376</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309,584</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45,488</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268,877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309,218</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48,480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Real estate:</w:t>
            </w: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tcPr>
          <w:p>
            <w:pPr>
              <w:ind w:left="480"/>
              <w:spacing w:after="0"/>
              <w:rPr>
                <w:sz w:val="20"/>
                <w:szCs w:val="20"/>
                <w:color w:val="auto"/>
              </w:rPr>
            </w:pPr>
            <w:r>
              <w:rPr>
                <w:rFonts w:ascii="Arial" w:cs="Arial" w:eastAsia="Arial" w:hAnsi="Arial"/>
                <w:sz w:val="18"/>
                <w:szCs w:val="18"/>
                <w:color w:val="auto"/>
              </w:rPr>
              <w:t>Commercial</w:t>
            </w:r>
          </w:p>
        </w:tc>
        <w:tc>
          <w:tcPr>
            <w:tcW w:w="740" w:type="dxa"/>
            <w:vAlign w:val="bottom"/>
          </w:tcPr>
          <w:p>
            <w:pPr>
              <w:jc w:val="right"/>
              <w:spacing w:after="0"/>
              <w:rPr>
                <w:sz w:val="20"/>
                <w:szCs w:val="20"/>
                <w:color w:val="auto"/>
              </w:rPr>
            </w:pPr>
            <w:r>
              <w:rPr>
                <w:rFonts w:ascii="Arial" w:cs="Arial" w:eastAsia="Arial" w:hAnsi="Arial"/>
                <w:sz w:val="18"/>
                <w:szCs w:val="18"/>
                <w:color w:val="auto"/>
              </w:rPr>
              <w:t>205,555</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224,800</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9,140</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185,138</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208,512</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11,620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4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Residential builder and developer</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10,377</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10,937</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w:t>
            </w: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21,764</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29,485</w:t>
            </w: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tcPr>
          <w:p>
            <w:pPr>
              <w:ind w:left="480"/>
              <w:spacing w:after="0"/>
              <w:rPr>
                <w:sz w:val="20"/>
                <w:szCs w:val="20"/>
                <w:color w:val="auto"/>
              </w:rPr>
            </w:pPr>
            <w:r>
              <w:rPr>
                <w:rFonts w:ascii="Arial" w:cs="Arial" w:eastAsia="Arial" w:hAnsi="Arial"/>
                <w:sz w:val="18"/>
                <w:szCs w:val="18"/>
                <w:color w:val="auto"/>
              </w:rPr>
              <w:t>Other commercial construction</w:t>
            </w:r>
          </w:p>
        </w:tc>
        <w:tc>
          <w:tcPr>
            <w:tcW w:w="740" w:type="dxa"/>
            <w:vAlign w:val="bottom"/>
          </w:tcPr>
          <w:p>
            <w:pPr>
              <w:jc w:val="right"/>
              <w:spacing w:after="0"/>
              <w:rPr>
                <w:sz w:val="20"/>
                <w:szCs w:val="20"/>
                <w:color w:val="auto"/>
              </w:rPr>
            </w:pPr>
            <w:r>
              <w:rPr>
                <w:rFonts w:ascii="Arial" w:cs="Arial" w:eastAsia="Arial" w:hAnsi="Arial"/>
                <w:sz w:val="18"/>
                <w:szCs w:val="18"/>
                <w:color w:val="auto"/>
              </w:rPr>
              <w:t>10,273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29,487</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647</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18,408</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38,012</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4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Residential</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115,298</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141,582</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w:t>
            </w: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103,503</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130,105</w:t>
            </w: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tcPr>
          <w:p>
            <w:pPr>
              <w:ind w:left="480"/>
              <w:spacing w:after="0"/>
              <w:rPr>
                <w:sz w:val="20"/>
                <w:szCs w:val="20"/>
                <w:color w:val="auto"/>
              </w:rPr>
            </w:pPr>
            <w:r>
              <w:rPr>
                <w:rFonts w:ascii="Arial" w:cs="Arial" w:eastAsia="Arial" w:hAnsi="Arial"/>
                <w:sz w:val="18"/>
                <w:szCs w:val="18"/>
                <w:color w:val="auto"/>
              </w:rPr>
              <w:t>Residential — limited documentation</w:t>
            </w:r>
          </w:p>
        </w:tc>
        <w:tc>
          <w:tcPr>
            <w:tcW w:w="740" w:type="dxa"/>
            <w:vAlign w:val="bottom"/>
          </w:tcPr>
          <w:p>
            <w:pPr>
              <w:jc w:val="right"/>
              <w:spacing w:after="0"/>
              <w:rPr>
                <w:sz w:val="20"/>
                <w:szCs w:val="20"/>
                <w:color w:val="auto"/>
              </w:rPr>
            </w:pPr>
            <w:r>
              <w:rPr>
                <w:rFonts w:ascii="Arial" w:cs="Arial" w:eastAsia="Arial" w:hAnsi="Arial"/>
                <w:sz w:val="18"/>
                <w:szCs w:val="18"/>
                <w:color w:val="auto"/>
              </w:rPr>
              <w:t>86,865</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108,577</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3,900</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97,976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122,308</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6,000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Consumer:</w:t>
            </w: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tcPr>
          <w:p>
            <w:pPr>
              <w:ind w:left="480"/>
              <w:spacing w:after="0"/>
              <w:rPr>
                <w:sz w:val="20"/>
                <w:szCs w:val="20"/>
                <w:color w:val="auto"/>
              </w:rPr>
            </w:pPr>
            <w:r>
              <w:rPr>
                <w:rFonts w:ascii="Arial" w:cs="Arial" w:eastAsia="Arial" w:hAnsi="Arial"/>
                <w:sz w:val="18"/>
                <w:szCs w:val="18"/>
                <w:color w:val="auto"/>
              </w:rPr>
              <w:t>Home equity lines and loans</w:t>
            </w:r>
          </w:p>
        </w:tc>
        <w:tc>
          <w:tcPr>
            <w:tcW w:w="740" w:type="dxa"/>
            <w:vAlign w:val="bottom"/>
          </w:tcPr>
          <w:p>
            <w:pPr>
              <w:jc w:val="right"/>
              <w:spacing w:after="0"/>
              <w:rPr>
                <w:sz w:val="20"/>
                <w:szCs w:val="20"/>
                <w:color w:val="auto"/>
              </w:rPr>
            </w:pPr>
            <w:r>
              <w:rPr>
                <w:rFonts w:ascii="Arial" w:cs="Arial" w:eastAsia="Arial" w:hAnsi="Arial"/>
                <w:sz w:val="18"/>
                <w:szCs w:val="18"/>
                <w:color w:val="auto"/>
              </w:rPr>
              <w:t>48,847</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53,914</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8,812</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44,693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48,965</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8,027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4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Automobile</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13,498</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15,737</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2,811</w:t>
            </w: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16,982</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18,272</w:t>
            </w: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Other</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3,220</w:t>
            </w:r>
          </w:p>
        </w:tc>
        <w:tc>
          <w:tcPr>
            <w:tcW w:w="28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5,872</w:t>
            </w:r>
          </w:p>
        </w:tc>
        <w:tc>
          <w:tcPr>
            <w:tcW w:w="28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w:t>
            </w:r>
          </w:p>
        </w:tc>
        <w:tc>
          <w:tcPr>
            <w:tcW w:w="30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3,791</w:t>
            </w:r>
          </w:p>
        </w:tc>
        <w:tc>
          <w:tcPr>
            <w:tcW w:w="30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5,296</w:t>
            </w:r>
          </w:p>
        </w:tc>
        <w:tc>
          <w:tcPr>
            <w:tcW w:w="30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$ 760,309</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900,490</w:t>
            </w:r>
          </w:p>
        </w:tc>
        <w:tc>
          <w:tcPr>
            <w:tcW w:w="2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75,762</w:t>
            </w:r>
          </w:p>
        </w:tc>
        <w:tc>
          <w:tcPr>
            <w:tcW w:w="3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761,132</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910,173</w:t>
            </w:r>
          </w:p>
        </w:tc>
        <w:tc>
          <w:tcPr>
            <w:tcW w:w="3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83,054</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2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5420" w:type="dxa"/>
            <w:vAlign w:val="bottom"/>
          </w:tcPr>
          <w:p>
            <w:pPr>
              <w:spacing w:after="0"/>
              <w:rPr>
                <w:sz w:val="24"/>
                <w:szCs w:val="24"/>
                <w:color w:val="auto"/>
              </w:rPr>
            </w:pPr>
          </w:p>
        </w:tc>
        <w:tc>
          <w:tcPr>
            <w:tcW w:w="740" w:type="dxa"/>
            <w:vAlign w:val="bottom"/>
          </w:tcPr>
          <w:p>
            <w:pPr>
              <w:jc w:val="right"/>
              <w:ind w:right="234"/>
              <w:spacing w:after="0"/>
              <w:rPr>
                <w:sz w:val="20"/>
                <w:szCs w:val="20"/>
                <w:color w:val="auto"/>
              </w:rPr>
            </w:pPr>
            <w:r>
              <w:rPr>
                <w:rFonts w:ascii="Arial" w:cs="Arial" w:eastAsia="Arial" w:hAnsi="Arial"/>
                <w:sz w:val="18"/>
                <w:szCs w:val="18"/>
                <w:color w:val="auto"/>
              </w:rPr>
              <w:t>133</w:t>
            </w: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542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336" w:right="219" w:bottom="1440" w:gutter="0" w:footer="0" w:header="0"/>
        </w:sectPr>
      </w:pPr>
    </w:p>
    <w:bookmarkStart w:id="133" w:name="page134"/>
    <w:bookmarkEnd w:id="133"/>
    <w:tbl>
      <w:tblPr>
        <w:tblLayout w:type="fixed"/>
        <w:tblInd w:w="0" w:type="dxa"/>
        <w:tblCellMar>
          <w:top w:w="0" w:type="dxa"/>
          <w:left w:w="0" w:type="dxa"/>
          <w:bottom w:w="0" w:type="dxa"/>
          <w:right w:w="0" w:type="dxa"/>
        </w:tblCellMar>
      </w:tblPr>
      <w:tr>
        <w:trPr>
          <w:trHeight w:val="167"/>
        </w:trPr>
        <w:tc>
          <w:tcPr>
            <w:tcW w:w="5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80" w:type="dxa"/>
            <w:vAlign w:val="bottom"/>
            <w:gridSpan w:val="7"/>
          </w:tcPr>
          <w:p>
            <w:pPr>
              <w:jc w:val="center"/>
              <w:ind w:right="380"/>
              <w:spacing w:after="0"/>
              <w:rPr>
                <w:sz w:val="20"/>
                <w:szCs w:val="20"/>
                <w:color w:val="auto"/>
              </w:rPr>
            </w:pPr>
            <w:r>
              <w:rPr>
                <w:rFonts w:ascii="Arial" w:cs="Arial" w:eastAsia="Arial" w:hAnsi="Arial"/>
                <w:sz w:val="14"/>
                <w:szCs w:val="14"/>
                <w:b w:val="1"/>
                <w:bCs w:val="1"/>
                <w:color w:val="auto"/>
                <w:w w:val="89"/>
              </w:rPr>
              <w:t>Year Ended December 31, 2017</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00" w:type="dxa"/>
            <w:vAlign w:val="bottom"/>
            <w:gridSpan w:val="11"/>
          </w:tcPr>
          <w:p>
            <w:pPr>
              <w:jc w:val="center"/>
              <w:ind w:right="240"/>
              <w:spacing w:after="0"/>
              <w:rPr>
                <w:sz w:val="20"/>
                <w:szCs w:val="20"/>
                <w:color w:val="auto"/>
              </w:rPr>
            </w:pPr>
            <w:r>
              <w:rPr>
                <w:rFonts w:ascii="Arial" w:cs="Arial" w:eastAsia="Arial" w:hAnsi="Arial"/>
                <w:sz w:val="14"/>
                <w:szCs w:val="14"/>
                <w:b w:val="1"/>
                <w:bCs w:val="1"/>
                <w:color w:val="auto"/>
                <w:w w:val="89"/>
              </w:rPr>
              <w:t>Year Ended December 31, 2016</w:t>
            </w:r>
          </w:p>
        </w:tc>
        <w:tc>
          <w:tcPr>
            <w:tcW w:w="0" w:type="dxa"/>
            <w:vAlign w:val="bottom"/>
          </w:tcPr>
          <w:p>
            <w:pPr>
              <w:spacing w:after="0"/>
              <w:rPr>
                <w:sz w:val="1"/>
                <w:szCs w:val="1"/>
                <w:color w:val="auto"/>
              </w:rPr>
            </w:pPr>
          </w:p>
        </w:tc>
      </w:tr>
      <w:tr>
        <w:trPr>
          <w:trHeight w:val="128"/>
        </w:trPr>
        <w:tc>
          <w:tcPr>
            <w:tcW w:w="5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840" w:type="dxa"/>
            <w:vAlign w:val="bottom"/>
            <w:tcBorders>
              <w:top w:val="single" w:sz="8" w:color="auto"/>
            </w:tcBorders>
            <w:gridSpan w:val="4"/>
          </w:tcPr>
          <w:p>
            <w:pPr>
              <w:jc w:val="center"/>
              <w:spacing w:after="0" w:line="129" w:lineRule="exact"/>
              <w:rPr>
                <w:sz w:val="20"/>
                <w:szCs w:val="20"/>
                <w:color w:val="auto"/>
              </w:rPr>
            </w:pPr>
            <w:r>
              <w:rPr>
                <w:rFonts w:ascii="Arial" w:cs="Arial" w:eastAsia="Arial" w:hAnsi="Arial"/>
                <w:sz w:val="14"/>
                <w:szCs w:val="14"/>
                <w:b w:val="1"/>
                <w:bCs w:val="1"/>
                <w:color w:val="auto"/>
                <w:w w:val="90"/>
              </w:rPr>
              <w:t>Interest Income</w:t>
            </w:r>
          </w:p>
        </w:tc>
        <w:tc>
          <w:tcPr>
            <w:tcW w:w="2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820" w:type="dxa"/>
            <w:vAlign w:val="bottom"/>
            <w:tcBorders>
              <w:top w:val="single" w:sz="8" w:color="auto"/>
            </w:tcBorders>
            <w:gridSpan w:val="6"/>
          </w:tcPr>
          <w:p>
            <w:pPr>
              <w:jc w:val="center"/>
              <w:spacing w:after="0" w:line="129" w:lineRule="exact"/>
              <w:rPr>
                <w:sz w:val="20"/>
                <w:szCs w:val="20"/>
                <w:color w:val="auto"/>
              </w:rPr>
            </w:pPr>
            <w:r>
              <w:rPr>
                <w:rFonts w:ascii="Arial" w:cs="Arial" w:eastAsia="Arial" w:hAnsi="Arial"/>
                <w:sz w:val="14"/>
                <w:szCs w:val="14"/>
                <w:b w:val="1"/>
                <w:bCs w:val="1"/>
                <w:color w:val="auto"/>
                <w:w w:val="90"/>
              </w:rPr>
              <w:t>Interest Income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5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86"/>
              </w:rPr>
              <w:t>Average</w:t>
            </w:r>
          </w:p>
        </w:tc>
        <w:tc>
          <w:tcPr>
            <w:tcW w:w="1280" w:type="dxa"/>
            <w:vAlign w:val="bottom"/>
            <w:tcBorders>
              <w:bottom w:val="single" w:sz="8" w:color="auto"/>
            </w:tcBorders>
            <w:gridSpan w:val="3"/>
          </w:tcPr>
          <w:p>
            <w:pPr>
              <w:jc w:val="center"/>
              <w:ind w:left="476"/>
              <w:spacing w:after="0"/>
              <w:rPr>
                <w:sz w:val="20"/>
                <w:szCs w:val="20"/>
                <w:color w:val="auto"/>
              </w:rPr>
            </w:pPr>
            <w:r>
              <w:rPr>
                <w:rFonts w:ascii="Arial" w:cs="Arial" w:eastAsia="Arial" w:hAnsi="Arial"/>
                <w:sz w:val="14"/>
                <w:szCs w:val="14"/>
                <w:b w:val="1"/>
                <w:bCs w:val="1"/>
                <w:color w:val="auto"/>
                <w:w w:val="86"/>
              </w:rPr>
              <w:t>Recognized</w:t>
            </w:r>
          </w:p>
        </w:tc>
        <w:tc>
          <w:tcPr>
            <w:tcW w:w="5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Average</w:t>
            </w:r>
          </w:p>
        </w:tc>
        <w:tc>
          <w:tcPr>
            <w:tcW w:w="2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5"/>
          </w:tcPr>
          <w:p>
            <w:pPr>
              <w:jc w:val="center"/>
              <w:ind w:left="447"/>
              <w:spacing w:after="0"/>
              <w:rPr>
                <w:sz w:val="20"/>
                <w:szCs w:val="20"/>
                <w:color w:val="auto"/>
              </w:rPr>
            </w:pPr>
            <w:r>
              <w:rPr>
                <w:rFonts w:ascii="Arial" w:cs="Arial" w:eastAsia="Arial" w:hAnsi="Arial"/>
                <w:sz w:val="14"/>
                <w:szCs w:val="14"/>
                <w:b w:val="1"/>
                <w:bCs w:val="1"/>
                <w:color w:val="auto"/>
                <w:w w:val="86"/>
              </w:rPr>
              <w:t>Recognized</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5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Cash</w:t>
            </w:r>
          </w:p>
        </w:tc>
        <w:tc>
          <w:tcPr>
            <w:tcW w:w="60" w:type="dxa"/>
            <w:vAlign w:val="bottom"/>
          </w:tcPr>
          <w:p>
            <w:pPr>
              <w:spacing w:after="0"/>
              <w:rPr>
                <w:sz w:val="11"/>
                <w:szCs w:val="11"/>
                <w:color w:val="auto"/>
              </w:rPr>
            </w:pPr>
          </w:p>
        </w:tc>
        <w:tc>
          <w:tcPr>
            <w:tcW w:w="760" w:type="dxa"/>
            <w:vAlign w:val="bottom"/>
            <w:gridSpan w:val="3"/>
            <w:vMerge w:val="continue"/>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Cash</w:t>
            </w:r>
          </w:p>
        </w:tc>
        <w:tc>
          <w:tcPr>
            <w:tcW w:w="0" w:type="dxa"/>
            <w:vAlign w:val="bottom"/>
          </w:tcPr>
          <w:p>
            <w:pPr>
              <w:spacing w:after="0"/>
              <w:rPr>
                <w:sz w:val="1"/>
                <w:szCs w:val="1"/>
                <w:color w:val="auto"/>
              </w:rPr>
            </w:pPr>
          </w:p>
        </w:tc>
      </w:tr>
      <w:tr>
        <w:trPr>
          <w:trHeight w:val="145"/>
        </w:trPr>
        <w:tc>
          <w:tcPr>
            <w:tcW w:w="5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380"/>
              <w:spacing w:after="0" w:line="145" w:lineRule="exact"/>
              <w:rPr>
                <w:sz w:val="20"/>
                <w:szCs w:val="20"/>
                <w:color w:val="auto"/>
              </w:rPr>
            </w:pPr>
            <w:r>
              <w:rPr>
                <w:rFonts w:ascii="Arial" w:cs="Arial" w:eastAsia="Arial" w:hAnsi="Arial"/>
                <w:sz w:val="14"/>
                <w:szCs w:val="14"/>
                <w:b w:val="1"/>
                <w:bCs w:val="1"/>
                <w:color w:val="auto"/>
                <w:w w:val="89"/>
              </w:rPr>
              <w:t>Recorded</w:t>
            </w:r>
          </w:p>
        </w:tc>
        <w:tc>
          <w:tcPr>
            <w:tcW w:w="1280" w:type="dxa"/>
            <w:vAlign w:val="bottom"/>
            <w:gridSpan w:val="3"/>
            <w:vMerge w:val="restart"/>
          </w:tcPr>
          <w:p>
            <w:pPr>
              <w:jc w:val="center"/>
              <w:ind w:right="520"/>
              <w:spacing w:after="0"/>
              <w:rPr>
                <w:sz w:val="20"/>
                <w:szCs w:val="20"/>
                <w:color w:val="auto"/>
              </w:rPr>
            </w:pPr>
            <w:r>
              <w:rPr>
                <w:rFonts w:ascii="Arial" w:cs="Arial" w:eastAsia="Arial" w:hAnsi="Arial"/>
                <w:sz w:val="14"/>
                <w:szCs w:val="14"/>
                <w:b w:val="1"/>
                <w:bCs w:val="1"/>
                <w:color w:val="auto"/>
                <w:w w:val="95"/>
              </w:rPr>
              <w:t>Total</w:t>
            </w:r>
          </w:p>
        </w:tc>
        <w:tc>
          <w:tcPr>
            <w:tcW w:w="8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3"/>
          </w:tcPr>
          <w:p>
            <w:pPr>
              <w:jc w:val="right"/>
              <w:ind w:right="140"/>
              <w:spacing w:after="0" w:line="145" w:lineRule="exact"/>
              <w:rPr>
                <w:sz w:val="20"/>
                <w:szCs w:val="20"/>
                <w:color w:val="auto"/>
              </w:rPr>
            </w:pPr>
            <w:r>
              <w:rPr>
                <w:rFonts w:ascii="Arial" w:cs="Arial" w:eastAsia="Arial" w:hAnsi="Arial"/>
                <w:sz w:val="14"/>
                <w:szCs w:val="14"/>
                <w:b w:val="1"/>
                <w:bCs w:val="1"/>
                <w:color w:val="auto"/>
                <w:w w:val="92"/>
              </w:rPr>
              <w:t>Recorded</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gridSpan w:val="5"/>
            <w:vMerge w:val="restart"/>
          </w:tcPr>
          <w:p>
            <w:pPr>
              <w:jc w:val="center"/>
              <w:ind w:right="580"/>
              <w:spacing w:after="0"/>
              <w:rPr>
                <w:sz w:val="20"/>
                <w:szCs w:val="20"/>
                <w:color w:val="auto"/>
              </w:rPr>
            </w:pPr>
            <w:r>
              <w:rPr>
                <w:rFonts w:ascii="Arial" w:cs="Arial" w:eastAsia="Arial" w:hAnsi="Arial"/>
                <w:sz w:val="14"/>
                <w:szCs w:val="14"/>
                <w:b w:val="1"/>
                <w:bCs w:val="1"/>
                <w:color w:val="auto"/>
                <w:w w:val="89"/>
              </w:rPr>
              <w:t>Total</w:t>
            </w: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5200" w:type="dxa"/>
            <w:vAlign w:val="bottom"/>
          </w:tcPr>
          <w:p>
            <w:pPr>
              <w:spacing w:after="0"/>
              <w:rPr>
                <w:sz w:val="14"/>
                <w:szCs w:val="14"/>
                <w:color w:val="auto"/>
              </w:rPr>
            </w:pPr>
          </w:p>
        </w:tc>
        <w:tc>
          <w:tcPr>
            <w:tcW w:w="10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1"/>
              </w:rPr>
              <w:t>Investment</w:t>
            </w:r>
          </w:p>
        </w:tc>
        <w:tc>
          <w:tcPr>
            <w:tcW w:w="1280" w:type="dxa"/>
            <w:vAlign w:val="bottom"/>
            <w:gridSpan w:val="3"/>
            <w:vMerge w:val="continue"/>
          </w:tcPr>
          <w:p>
            <w:pPr>
              <w:spacing w:after="0"/>
              <w:rPr>
                <w:sz w:val="14"/>
                <w:szCs w:val="14"/>
                <w:color w:val="auto"/>
              </w:rPr>
            </w:pP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Basis</w:t>
            </w:r>
          </w:p>
        </w:tc>
        <w:tc>
          <w:tcPr>
            <w:tcW w:w="820" w:type="dxa"/>
            <w:vAlign w:val="bottom"/>
            <w:gridSpan w:val="4"/>
          </w:tcPr>
          <w:p>
            <w:pPr>
              <w:ind w:left="60"/>
              <w:spacing w:after="0"/>
              <w:rPr>
                <w:sz w:val="20"/>
                <w:szCs w:val="20"/>
                <w:color w:val="auto"/>
              </w:rPr>
            </w:pPr>
            <w:r>
              <w:rPr>
                <w:rFonts w:ascii="Arial" w:cs="Arial" w:eastAsia="Arial" w:hAnsi="Arial"/>
                <w:sz w:val="14"/>
                <w:szCs w:val="14"/>
                <w:b w:val="1"/>
                <w:bCs w:val="1"/>
                <w:color w:val="auto"/>
              </w:rPr>
              <w:t>Investment</w:t>
            </w: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40" w:type="dxa"/>
            <w:vAlign w:val="bottom"/>
            <w:gridSpan w:val="5"/>
            <w:vMerge w:val="continue"/>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Basis</w:t>
            </w:r>
          </w:p>
        </w:tc>
        <w:tc>
          <w:tcPr>
            <w:tcW w:w="0" w:type="dxa"/>
            <w:vAlign w:val="bottom"/>
          </w:tcPr>
          <w:p>
            <w:pPr>
              <w:spacing w:after="0"/>
              <w:rPr>
                <w:sz w:val="1"/>
                <w:szCs w:val="1"/>
                <w:color w:val="auto"/>
              </w:rPr>
            </w:pPr>
          </w:p>
        </w:tc>
      </w:tr>
      <w:tr>
        <w:trPr>
          <w:trHeight w:val="176"/>
        </w:trPr>
        <w:tc>
          <w:tcPr>
            <w:tcW w:w="52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660" w:type="dxa"/>
            <w:vAlign w:val="bottom"/>
            <w:tcBorders>
              <w:top w:val="single" w:sz="8" w:color="auto"/>
            </w:tcBorders>
            <w:gridSpan w:val="6"/>
          </w:tcPr>
          <w:p>
            <w:pPr>
              <w:jc w:val="right"/>
              <w:ind w:right="50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1"/>
        </w:trPr>
        <w:tc>
          <w:tcPr>
            <w:tcW w:w="5200" w:type="dxa"/>
            <w:vAlign w:val="bottom"/>
          </w:tcPr>
          <w:p>
            <w:pPr>
              <w:spacing w:after="0"/>
              <w:rPr>
                <w:sz w:val="20"/>
                <w:szCs w:val="20"/>
                <w:color w:val="auto"/>
              </w:rPr>
            </w:pPr>
            <w:r>
              <w:rPr>
                <w:rFonts w:ascii="Arial" w:cs="Arial" w:eastAsia="Arial" w:hAnsi="Arial"/>
                <w:sz w:val="18"/>
                <w:szCs w:val="18"/>
                <w:color w:val="auto"/>
              </w:rPr>
              <w:t>Commercial, financial, leasing, etc.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240,157</w:t>
            </w:r>
          </w:p>
        </w:tc>
        <w:tc>
          <w:tcPr>
            <w:tcW w:w="2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3,894</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3,894</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277,647</w:t>
            </w:r>
          </w:p>
        </w:tc>
        <w:tc>
          <w:tcPr>
            <w:tcW w:w="40" w:type="dxa"/>
            <w:vAlign w:val="bottom"/>
          </w:tcPr>
          <w:p>
            <w:pPr>
              <w:spacing w:after="0"/>
              <w:rPr>
                <w:sz w:val="24"/>
                <w:szCs w:val="24"/>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8,342</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8,342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Real estate:</w:t>
            </w: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Pr>
          <w:p>
            <w:pPr>
              <w:ind w:left="240"/>
              <w:spacing w:after="0"/>
              <w:rPr>
                <w:sz w:val="20"/>
                <w:szCs w:val="20"/>
                <w:color w:val="auto"/>
              </w:rPr>
            </w:pPr>
            <w:r>
              <w:rPr>
                <w:rFonts w:ascii="Arial" w:cs="Arial" w:eastAsia="Arial" w:hAnsi="Arial"/>
                <w:sz w:val="18"/>
                <w:szCs w:val="18"/>
                <w:color w:val="auto"/>
              </w:rPr>
              <w:t>Commercial</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207,616</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4,497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4,497</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175,877</w:t>
            </w:r>
          </w:p>
        </w:tc>
        <w:tc>
          <w:tcPr>
            <w:tcW w:w="4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4,878</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Residential builder and developer</w:t>
            </w: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16,209</w:t>
            </w: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6,419</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6,419</w:t>
            </w: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29,237</w:t>
            </w:r>
          </w:p>
        </w:tc>
        <w:tc>
          <w:tcPr>
            <w:tcW w:w="4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2,300</w:t>
            </w:r>
          </w:p>
        </w:tc>
        <w:tc>
          <w:tcPr>
            <w:tcW w:w="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Pr>
          <w:p>
            <w:pPr>
              <w:ind w:left="240"/>
              <w:spacing w:after="0"/>
              <w:rPr>
                <w:sz w:val="20"/>
                <w:szCs w:val="20"/>
                <w:color w:val="auto"/>
              </w:rPr>
            </w:pPr>
            <w:r>
              <w:rPr>
                <w:rFonts w:ascii="Arial" w:cs="Arial" w:eastAsia="Arial" w:hAnsi="Arial"/>
                <w:sz w:val="18"/>
                <w:szCs w:val="18"/>
                <w:color w:val="auto"/>
              </w:rPr>
              <w:t>Other commercial construction</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15,142</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1,001</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19,697</w:t>
            </w:r>
          </w:p>
        </w:tc>
        <w:tc>
          <w:tcPr>
            <w:tcW w:w="4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644</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Residential</w:t>
            </w: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110,646</w:t>
            </w: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7,177</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3,406</w:t>
            </w: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98,394</w:t>
            </w:r>
          </w:p>
        </w:tc>
        <w:tc>
          <w:tcPr>
            <w:tcW w:w="4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6,227</w:t>
            </w:r>
          </w:p>
        </w:tc>
        <w:tc>
          <w:tcPr>
            <w:tcW w:w="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Pr>
          <w:p>
            <w:pPr>
              <w:ind w:left="240"/>
              <w:spacing w:after="0"/>
              <w:rPr>
                <w:sz w:val="20"/>
                <w:szCs w:val="20"/>
                <w:color w:val="auto"/>
              </w:rPr>
            </w:pPr>
            <w:r>
              <w:rPr>
                <w:rFonts w:ascii="Arial" w:cs="Arial" w:eastAsia="Arial" w:hAnsi="Arial"/>
                <w:sz w:val="18"/>
                <w:szCs w:val="18"/>
                <w:color w:val="auto"/>
              </w:rPr>
              <w:t>Residential — limited documentation</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93,097</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5,981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1,607</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103,060</w:t>
            </w:r>
          </w:p>
        </w:tc>
        <w:tc>
          <w:tcPr>
            <w:tcW w:w="4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5,999</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Consumer:</w:t>
            </w: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Pr>
          <w:p>
            <w:pPr>
              <w:ind w:left="240"/>
              <w:spacing w:after="0"/>
              <w:rPr>
                <w:sz w:val="20"/>
                <w:szCs w:val="20"/>
                <w:color w:val="auto"/>
              </w:rPr>
            </w:pPr>
            <w:r>
              <w:rPr>
                <w:rFonts w:ascii="Arial" w:cs="Arial" w:eastAsia="Arial" w:hAnsi="Arial"/>
                <w:sz w:val="18"/>
                <w:szCs w:val="18"/>
                <w:color w:val="auto"/>
              </w:rPr>
              <w:t>Home equity lines and loans</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47,323</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1,681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400</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36,493</w:t>
            </w:r>
          </w:p>
        </w:tc>
        <w:tc>
          <w:tcPr>
            <w:tcW w:w="4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1,325</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Automobile</w:t>
            </w: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15,045</w:t>
            </w: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1,025</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19,636</w:t>
            </w:r>
          </w:p>
        </w:tc>
        <w:tc>
          <w:tcPr>
            <w:tcW w:w="4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1,242</w:t>
            </w:r>
          </w:p>
        </w:tc>
        <w:tc>
          <w:tcPr>
            <w:tcW w:w="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3,363</w:t>
            </w:r>
          </w:p>
        </w:tc>
        <w:tc>
          <w:tcPr>
            <w:tcW w:w="28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8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9,218</w:t>
            </w:r>
          </w:p>
        </w:tc>
        <w:tc>
          <w:tcPr>
            <w:tcW w:w="4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440</w:t>
            </w:r>
          </w:p>
        </w:tc>
        <w:tc>
          <w:tcPr>
            <w:tcW w:w="4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748,598</w:t>
            </w:r>
          </w:p>
        </w:tc>
        <w:tc>
          <w:tcPr>
            <w:tcW w:w="28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31,983</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21,316</w:t>
            </w:r>
          </w:p>
        </w:tc>
        <w:tc>
          <w:tcPr>
            <w:tcW w:w="28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769,259</w:t>
            </w:r>
          </w:p>
        </w:tc>
        <w:tc>
          <w:tcPr>
            <w:tcW w:w="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31,397</w:t>
            </w:r>
          </w:p>
        </w:tc>
        <w:tc>
          <w:tcPr>
            <w:tcW w:w="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21,885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900" w:type="dxa"/>
            <w:vAlign w:val="bottom"/>
            <w:gridSpan w:val="11"/>
          </w:tcPr>
          <w:p>
            <w:pPr>
              <w:jc w:val="center"/>
              <w:ind w:right="200"/>
              <w:spacing w:after="0"/>
              <w:rPr>
                <w:sz w:val="20"/>
                <w:szCs w:val="20"/>
                <w:color w:val="auto"/>
              </w:rPr>
            </w:pPr>
            <w:r>
              <w:rPr>
                <w:rFonts w:ascii="Arial" w:cs="Arial" w:eastAsia="Arial" w:hAnsi="Arial"/>
                <w:sz w:val="14"/>
                <w:szCs w:val="14"/>
                <w:b w:val="1"/>
                <w:bCs w:val="1"/>
                <w:color w:val="auto"/>
                <w:w w:val="89"/>
              </w:rPr>
              <w:t>Year Ended December 31, 2015</w:t>
            </w:r>
          </w:p>
        </w:tc>
        <w:tc>
          <w:tcPr>
            <w:tcW w:w="0" w:type="dxa"/>
            <w:vAlign w:val="bottom"/>
          </w:tcPr>
          <w:p>
            <w:pPr>
              <w:spacing w:after="0"/>
              <w:rPr>
                <w:sz w:val="1"/>
                <w:szCs w:val="1"/>
                <w:color w:val="auto"/>
              </w:rPr>
            </w:pPr>
          </w:p>
        </w:tc>
      </w:tr>
      <w:tr>
        <w:trPr>
          <w:trHeight w:val="128"/>
        </w:trPr>
        <w:tc>
          <w:tcPr>
            <w:tcW w:w="5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820" w:type="dxa"/>
            <w:vAlign w:val="bottom"/>
            <w:tcBorders>
              <w:top w:val="single" w:sz="8" w:color="auto"/>
            </w:tcBorders>
            <w:gridSpan w:val="6"/>
          </w:tcPr>
          <w:p>
            <w:pPr>
              <w:jc w:val="center"/>
              <w:spacing w:after="0" w:line="129" w:lineRule="exact"/>
              <w:rPr>
                <w:sz w:val="20"/>
                <w:szCs w:val="20"/>
                <w:color w:val="auto"/>
              </w:rPr>
            </w:pPr>
            <w:r>
              <w:rPr>
                <w:rFonts w:ascii="Arial" w:cs="Arial" w:eastAsia="Arial" w:hAnsi="Arial"/>
                <w:sz w:val="14"/>
                <w:szCs w:val="14"/>
                <w:b w:val="1"/>
                <w:bCs w:val="1"/>
                <w:color w:val="auto"/>
                <w:w w:val="90"/>
              </w:rPr>
              <w:t>Interest Income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5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4"/>
              </w:rPr>
              <w:t>Average</w:t>
            </w: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40" w:type="dxa"/>
            <w:vAlign w:val="bottom"/>
            <w:tcBorders>
              <w:bottom w:val="single" w:sz="8" w:color="auto"/>
            </w:tcBorders>
            <w:gridSpan w:val="5"/>
          </w:tcPr>
          <w:p>
            <w:pPr>
              <w:jc w:val="center"/>
              <w:ind w:left="487"/>
              <w:spacing w:after="0"/>
              <w:rPr>
                <w:sz w:val="20"/>
                <w:szCs w:val="20"/>
                <w:color w:val="auto"/>
              </w:rPr>
            </w:pPr>
            <w:r>
              <w:rPr>
                <w:rFonts w:ascii="Arial" w:cs="Arial" w:eastAsia="Arial" w:hAnsi="Arial"/>
                <w:sz w:val="14"/>
                <w:szCs w:val="14"/>
                <w:b w:val="1"/>
                <w:bCs w:val="1"/>
                <w:color w:val="auto"/>
                <w:w w:val="86"/>
              </w:rPr>
              <w:t>Recognized</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5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Cash</w:t>
            </w:r>
          </w:p>
        </w:tc>
        <w:tc>
          <w:tcPr>
            <w:tcW w:w="0" w:type="dxa"/>
            <w:vAlign w:val="bottom"/>
          </w:tcPr>
          <w:p>
            <w:pPr>
              <w:spacing w:after="0"/>
              <w:rPr>
                <w:sz w:val="1"/>
                <w:szCs w:val="1"/>
                <w:color w:val="auto"/>
              </w:rPr>
            </w:pPr>
          </w:p>
        </w:tc>
      </w:tr>
      <w:tr>
        <w:trPr>
          <w:trHeight w:val="145"/>
        </w:trPr>
        <w:tc>
          <w:tcPr>
            <w:tcW w:w="5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spacing w:after="0" w:line="145" w:lineRule="exact"/>
              <w:rPr>
                <w:sz w:val="20"/>
                <w:szCs w:val="20"/>
                <w:color w:val="auto"/>
              </w:rPr>
            </w:pPr>
            <w:r>
              <w:rPr>
                <w:rFonts w:ascii="Arial" w:cs="Arial" w:eastAsia="Arial" w:hAnsi="Arial"/>
                <w:sz w:val="14"/>
                <w:szCs w:val="14"/>
                <w:b w:val="1"/>
                <w:bCs w:val="1"/>
                <w:color w:val="auto"/>
              </w:rPr>
              <w:t>Recorded</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gridSpan w:val="5"/>
            <w:vMerge w:val="restart"/>
          </w:tcPr>
          <w:p>
            <w:pPr>
              <w:jc w:val="center"/>
              <w:ind w:right="500"/>
              <w:spacing w:after="0"/>
              <w:rPr>
                <w:sz w:val="20"/>
                <w:szCs w:val="20"/>
                <w:color w:val="auto"/>
              </w:rPr>
            </w:pPr>
            <w:r>
              <w:rPr>
                <w:rFonts w:ascii="Arial" w:cs="Arial" w:eastAsia="Arial" w:hAnsi="Arial"/>
                <w:sz w:val="14"/>
                <w:szCs w:val="14"/>
                <w:b w:val="1"/>
                <w:bCs w:val="1"/>
                <w:color w:val="auto"/>
                <w:w w:val="89"/>
              </w:rPr>
              <w:t>Total</w:t>
            </w: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5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1"/>
              </w:rPr>
              <w:t>Investment</w:t>
            </w: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40" w:type="dxa"/>
            <w:vAlign w:val="bottom"/>
            <w:gridSpan w:val="5"/>
            <w:vMerge w:val="continue"/>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Basis</w:t>
            </w:r>
          </w:p>
        </w:tc>
        <w:tc>
          <w:tcPr>
            <w:tcW w:w="0" w:type="dxa"/>
            <w:vAlign w:val="bottom"/>
          </w:tcPr>
          <w:p>
            <w:pPr>
              <w:spacing w:after="0"/>
              <w:rPr>
                <w:sz w:val="1"/>
                <w:szCs w:val="1"/>
                <w:color w:val="auto"/>
              </w:rPr>
            </w:pPr>
          </w:p>
        </w:tc>
      </w:tr>
      <w:tr>
        <w:trPr>
          <w:trHeight w:val="176"/>
        </w:trPr>
        <w:tc>
          <w:tcPr>
            <w:tcW w:w="5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gridSpan w:val="7"/>
          </w:tcPr>
          <w:p>
            <w:pPr>
              <w:jc w:val="center"/>
              <w:ind w:right="200"/>
              <w:spacing w:after="0"/>
              <w:rPr>
                <w:sz w:val="20"/>
                <w:szCs w:val="20"/>
                <w:color w:val="auto"/>
              </w:rPr>
            </w:pPr>
            <w:r>
              <w:rPr>
                <w:rFonts w:ascii="Arial" w:cs="Arial" w:eastAsia="Arial" w:hAnsi="Arial"/>
                <w:sz w:val="14"/>
                <w:szCs w:val="14"/>
                <w:b w:val="1"/>
                <w:bCs w:val="1"/>
                <w:color w:val="auto"/>
                <w:w w:val="89"/>
              </w:rPr>
              <w:t>(In thousands)</w:t>
            </w:r>
          </w:p>
        </w:tc>
        <w:tc>
          <w:tcPr>
            <w:tcW w:w="5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1"/>
        </w:trPr>
        <w:tc>
          <w:tcPr>
            <w:tcW w:w="5200" w:type="dxa"/>
            <w:vAlign w:val="bottom"/>
          </w:tcPr>
          <w:p>
            <w:pPr>
              <w:spacing w:after="0"/>
              <w:rPr>
                <w:sz w:val="20"/>
                <w:szCs w:val="20"/>
                <w:color w:val="auto"/>
              </w:rPr>
            </w:pPr>
            <w:r>
              <w:rPr>
                <w:rFonts w:ascii="Arial" w:cs="Arial" w:eastAsia="Arial" w:hAnsi="Arial"/>
                <w:sz w:val="18"/>
                <w:szCs w:val="18"/>
                <w:color w:val="auto"/>
              </w:rPr>
              <w:t>Commercial, financial, leasing, etc.</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gridSpan w:val="2"/>
          </w:tcPr>
          <w:p>
            <w:pPr>
              <w:ind w:left="60"/>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236,201</w:t>
            </w:r>
          </w:p>
        </w:tc>
        <w:tc>
          <w:tcPr>
            <w:tcW w:w="1060" w:type="dxa"/>
            <w:vAlign w:val="bottom"/>
            <w:gridSpan w:val="4"/>
          </w:tcPr>
          <w:p>
            <w:pPr>
              <w:jc w:val="right"/>
              <w:ind w:right="20"/>
              <w:spacing w:after="0"/>
              <w:rPr>
                <w:sz w:val="20"/>
                <w:szCs w:val="20"/>
                <w:color w:val="auto"/>
              </w:rPr>
            </w:pPr>
            <w:r>
              <w:rPr>
                <w:rFonts w:ascii="Arial" w:cs="Arial" w:eastAsia="Arial" w:hAnsi="Arial"/>
                <w:sz w:val="18"/>
                <w:szCs w:val="18"/>
                <w:color w:val="auto"/>
              </w:rPr>
              <w:t>2,933</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2,933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Real estate:</w:t>
            </w: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Pr>
          <w:p>
            <w:pPr>
              <w:ind w:left="240"/>
              <w:spacing w:after="0"/>
              <w:rPr>
                <w:sz w:val="20"/>
                <w:szCs w:val="20"/>
                <w:color w:val="auto"/>
              </w:rPr>
            </w:pPr>
            <w:r>
              <w:rPr>
                <w:rFonts w:ascii="Arial" w:cs="Arial" w:eastAsia="Arial" w:hAnsi="Arial"/>
                <w:sz w:val="18"/>
                <w:szCs w:val="18"/>
                <w:color w:val="auto"/>
              </w:rPr>
              <w:t>Commercial</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166,628</w:t>
            </w:r>
          </w:p>
        </w:tc>
        <w:tc>
          <w:tcPr>
            <w:tcW w:w="1060" w:type="dxa"/>
            <w:vAlign w:val="bottom"/>
            <w:gridSpan w:val="4"/>
          </w:tcPr>
          <w:p>
            <w:pPr>
              <w:jc w:val="right"/>
              <w:ind w:right="20"/>
              <w:spacing w:after="0"/>
              <w:rPr>
                <w:sz w:val="20"/>
                <w:szCs w:val="20"/>
                <w:color w:val="auto"/>
              </w:rPr>
            </w:pPr>
            <w:r>
              <w:rPr>
                <w:rFonts w:ascii="Arial" w:cs="Arial" w:eastAsia="Arial" w:hAnsi="Arial"/>
                <w:sz w:val="18"/>
                <w:szCs w:val="18"/>
                <w:color w:val="auto"/>
              </w:rPr>
              <w:t>6,243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6,243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Residential builder and developer</w:t>
            </w: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59,457</w:t>
            </w:r>
          </w:p>
        </w:tc>
        <w:tc>
          <w:tcPr>
            <w:tcW w:w="106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335</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Pr>
          <w:p>
            <w:pPr>
              <w:ind w:left="240"/>
              <w:spacing w:after="0"/>
              <w:rPr>
                <w:sz w:val="20"/>
                <w:szCs w:val="20"/>
                <w:color w:val="auto"/>
              </w:rPr>
            </w:pPr>
            <w:r>
              <w:rPr>
                <w:rFonts w:ascii="Arial" w:cs="Arial" w:eastAsia="Arial" w:hAnsi="Arial"/>
                <w:sz w:val="18"/>
                <w:szCs w:val="18"/>
                <w:color w:val="auto"/>
              </w:rPr>
              <w:t>Other commercial construction</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20,276</w:t>
            </w:r>
          </w:p>
        </w:tc>
        <w:tc>
          <w:tcPr>
            <w:tcW w:w="1060" w:type="dxa"/>
            <w:vAlign w:val="bottom"/>
            <w:gridSpan w:val="4"/>
          </w:tcPr>
          <w:p>
            <w:pPr>
              <w:jc w:val="right"/>
              <w:ind w:right="20"/>
              <w:spacing w:after="0"/>
              <w:rPr>
                <w:sz w:val="20"/>
                <w:szCs w:val="20"/>
                <w:color w:val="auto"/>
              </w:rPr>
            </w:pPr>
            <w:r>
              <w:rPr>
                <w:rFonts w:ascii="Arial" w:cs="Arial" w:eastAsia="Arial" w:hAnsi="Arial"/>
                <w:sz w:val="18"/>
                <w:szCs w:val="18"/>
                <w:color w:val="auto"/>
              </w:rPr>
              <w:t>2,311</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Residential</w:t>
            </w: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8"/>
              </w:rPr>
              <w:t>101,483</w:t>
            </w:r>
          </w:p>
        </w:tc>
        <w:tc>
          <w:tcPr>
            <w:tcW w:w="106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6,188</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Pr>
          <w:p>
            <w:pPr>
              <w:ind w:left="240"/>
              <w:spacing w:after="0"/>
              <w:rPr>
                <w:sz w:val="20"/>
                <w:szCs w:val="20"/>
                <w:color w:val="auto"/>
              </w:rPr>
            </w:pPr>
            <w:r>
              <w:rPr>
                <w:rFonts w:ascii="Arial" w:cs="Arial" w:eastAsia="Arial" w:hAnsi="Arial"/>
                <w:sz w:val="18"/>
                <w:szCs w:val="18"/>
                <w:color w:val="auto"/>
              </w:rPr>
              <w:t>Residential — limited documentation</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118,449</w:t>
            </w:r>
          </w:p>
        </w:tc>
        <w:tc>
          <w:tcPr>
            <w:tcW w:w="1060" w:type="dxa"/>
            <w:vAlign w:val="bottom"/>
            <w:gridSpan w:val="4"/>
          </w:tcPr>
          <w:p>
            <w:pPr>
              <w:jc w:val="right"/>
              <w:ind w:right="20"/>
              <w:spacing w:after="0"/>
              <w:rPr>
                <w:sz w:val="20"/>
                <w:szCs w:val="20"/>
                <w:color w:val="auto"/>
              </w:rPr>
            </w:pPr>
            <w:r>
              <w:rPr>
                <w:rFonts w:ascii="Arial" w:cs="Arial" w:eastAsia="Arial" w:hAnsi="Arial"/>
                <w:sz w:val="18"/>
                <w:szCs w:val="18"/>
                <w:color w:val="auto"/>
              </w:rPr>
              <w:t>6,380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Consumer:</w:t>
            </w: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Pr>
          <w:p>
            <w:pPr>
              <w:ind w:left="240"/>
              <w:spacing w:after="0"/>
              <w:rPr>
                <w:sz w:val="20"/>
                <w:szCs w:val="20"/>
                <w:color w:val="auto"/>
              </w:rPr>
            </w:pPr>
            <w:r>
              <w:rPr>
                <w:rFonts w:ascii="Arial" w:cs="Arial" w:eastAsia="Arial" w:hAnsi="Arial"/>
                <w:sz w:val="18"/>
                <w:szCs w:val="18"/>
                <w:color w:val="auto"/>
              </w:rPr>
              <w:t>Home equity lines and loans</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21,523</w:t>
            </w:r>
          </w:p>
        </w:tc>
        <w:tc>
          <w:tcPr>
            <w:tcW w:w="1060" w:type="dxa"/>
            <w:vAlign w:val="bottom"/>
            <w:gridSpan w:val="4"/>
          </w:tcPr>
          <w:p>
            <w:pPr>
              <w:jc w:val="right"/>
              <w:ind w:right="20"/>
              <w:spacing w:after="0"/>
              <w:rPr>
                <w:sz w:val="20"/>
                <w:szCs w:val="20"/>
                <w:color w:val="auto"/>
              </w:rPr>
            </w:pPr>
            <w:r>
              <w:rPr>
                <w:rFonts w:ascii="Arial" w:cs="Arial" w:eastAsia="Arial" w:hAnsi="Arial"/>
                <w:sz w:val="18"/>
                <w:szCs w:val="18"/>
                <w:color w:val="auto"/>
              </w:rPr>
              <w:t>905</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Automobile</w:t>
            </w: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25,675</w:t>
            </w:r>
          </w:p>
        </w:tc>
        <w:tc>
          <w:tcPr>
            <w:tcW w:w="106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1,619</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CFF0FC"/>
            </w:tcBorders>
          </w:tcPr>
          <w:p>
            <w:pPr>
              <w:spacing w:after="0"/>
              <w:rPr>
                <w:sz w:val="19"/>
                <w:szCs w:val="19"/>
                <w:color w:val="auto"/>
              </w:rPr>
            </w:pPr>
          </w:p>
        </w:tc>
        <w:tc>
          <w:tcPr>
            <w:tcW w:w="68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78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56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18,809</w:t>
            </w:r>
          </w:p>
        </w:tc>
        <w:tc>
          <w:tcPr>
            <w:tcW w:w="300" w:type="dxa"/>
            <w:vAlign w:val="bottom"/>
            <w:tcBorders>
              <w:bottom w:val="single" w:sz="8" w:color="CFF0FC"/>
            </w:tcBorders>
            <w:gridSpan w:val="2"/>
          </w:tcPr>
          <w:p>
            <w:pPr>
              <w:spacing w:after="0"/>
              <w:rPr>
                <w:sz w:val="19"/>
                <w:szCs w:val="19"/>
                <w:color w:val="auto"/>
              </w:rPr>
            </w:pPr>
          </w:p>
        </w:tc>
        <w:tc>
          <w:tcPr>
            <w:tcW w:w="7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729</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gridSpan w:val="2"/>
            <w:shd w:val="clear" w:color="auto" w:fill="CFF0FC"/>
          </w:tcPr>
          <w:p>
            <w:pPr>
              <w:ind w:left="60"/>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8"/>
              </w:rPr>
              <w:t>768,501</w:t>
            </w:r>
          </w:p>
        </w:tc>
        <w:tc>
          <w:tcPr>
            <w:tcW w:w="106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27,643</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19,046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right="100" w:firstLine="598"/>
        <w:spacing w:after="0" w:line="266" w:lineRule="auto"/>
        <w:rPr>
          <w:sz w:val="20"/>
          <w:szCs w:val="20"/>
          <w:color w:val="auto"/>
        </w:rPr>
      </w:pPr>
      <w:r>
        <w:rPr>
          <w:rFonts w:ascii="Arial" w:cs="Arial" w:eastAsia="Arial" w:hAnsi="Arial"/>
          <w:sz w:val="19"/>
          <w:szCs w:val="19"/>
          <w:color w:val="auto"/>
        </w:rPr>
        <w:t>Commercial loans and commercial real estate loans with a lower expectation of default are assigned one of ten possible “pass” loan grades and are generally ascribed lower loss factors when determining the allowance for credit losses. Loans with an elevated level of credit risk are classified as “criticized” and are ascribed a higher loss factor when determining the allowance for credit losses. Criticized loans may be classified as “nonaccrual” if the Company no longer expects to collect all amounts according to the contractual terms of the loan agreement or the loan is delinquent 90 days or more. Furthermore, criticized nonaccrual commercial loans and commercial real estate loans are considered impaired and, as a result, specific loss allowances on such loans are established within the allowance for credit losses to the extent appropriate in each individual instance.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134" w:name="page135"/>
    <w:bookmarkEnd w:id="134"/>
    <w:p>
      <w:pPr>
        <w:ind w:right="240" w:firstLine="598"/>
        <w:spacing w:after="0" w:line="275" w:lineRule="auto"/>
        <w:rPr>
          <w:sz w:val="20"/>
          <w:szCs w:val="20"/>
          <w:color w:val="auto"/>
        </w:rPr>
      </w:pPr>
      <w:r>
        <w:rPr>
          <w:rFonts w:ascii="Arial" w:cs="Arial" w:eastAsia="Arial" w:hAnsi="Arial"/>
          <w:sz w:val="20"/>
          <w:szCs w:val="20"/>
          <w:color w:val="auto"/>
        </w:rPr>
        <w:t>The following table summarizes the loan grades applied to the various classes of the Company’s commercial loans and commercial real estate loans.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06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2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0"/>
              </w:rPr>
              <w:t>Commercial,</w:t>
            </w:r>
          </w:p>
        </w:tc>
        <w:tc>
          <w:tcPr>
            <w:tcW w:w="9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0"/>
              </w:rPr>
              <w:t>Real Estate</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406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60" w:type="dxa"/>
            <w:vAlign w:val="bottom"/>
            <w:gridSpan w:val="2"/>
          </w:tcPr>
          <w:p>
            <w:pPr>
              <w:jc w:val="center"/>
              <w:ind w:right="340"/>
              <w:spacing w:after="0" w:line="141" w:lineRule="exact"/>
              <w:rPr>
                <w:sz w:val="20"/>
                <w:szCs w:val="20"/>
                <w:color w:val="auto"/>
              </w:rPr>
            </w:pPr>
            <w:r>
              <w:rPr>
                <w:rFonts w:ascii="Arial" w:cs="Arial" w:eastAsia="Arial" w:hAnsi="Arial"/>
                <w:sz w:val="14"/>
                <w:szCs w:val="14"/>
                <w:b w:val="1"/>
                <w:bCs w:val="1"/>
                <w:color w:val="auto"/>
                <w:w w:val="90"/>
              </w:rPr>
              <w:t>Residential</w:t>
            </w:r>
          </w:p>
        </w:tc>
        <w:tc>
          <w:tcPr>
            <w:tcW w:w="94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06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124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2"/>
              </w:rPr>
              <w:t>Financial,</w:t>
            </w:r>
          </w:p>
        </w:tc>
        <w:tc>
          <w:tcPr>
            <w:tcW w:w="9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6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3"/>
              </w:rPr>
              <w:t>Builder and</w:t>
            </w:r>
          </w:p>
        </w:tc>
        <w:tc>
          <w:tcPr>
            <w:tcW w:w="104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2"/>
              </w:rPr>
              <w:t>Commercial</w:t>
            </w:r>
          </w:p>
        </w:tc>
        <w:tc>
          <w:tcPr>
            <w:tcW w:w="0" w:type="dxa"/>
            <w:vAlign w:val="bottom"/>
          </w:tcPr>
          <w:p>
            <w:pPr>
              <w:spacing w:after="0"/>
              <w:rPr>
                <w:sz w:val="1"/>
                <w:szCs w:val="1"/>
                <w:color w:val="auto"/>
              </w:rPr>
            </w:pPr>
          </w:p>
        </w:tc>
      </w:tr>
      <w:tr>
        <w:trPr>
          <w:trHeight w:val="167"/>
        </w:trPr>
        <w:tc>
          <w:tcPr>
            <w:tcW w:w="406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Leasing, etc.</w:t>
            </w: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rPr>
              <w:t>Commercial</w:t>
            </w: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Developer</w:t>
            </w: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Construction</w:t>
            </w:r>
          </w:p>
        </w:tc>
        <w:tc>
          <w:tcPr>
            <w:tcW w:w="0" w:type="dxa"/>
            <w:vAlign w:val="bottom"/>
          </w:tcPr>
          <w:p>
            <w:pPr>
              <w:spacing w:after="0"/>
              <w:rPr>
                <w:sz w:val="1"/>
                <w:szCs w:val="1"/>
                <w:color w:val="auto"/>
              </w:rPr>
            </w:pPr>
          </w:p>
        </w:tc>
      </w:tr>
      <w:tr>
        <w:trPr>
          <w:trHeight w:val="151"/>
        </w:trPr>
        <w:tc>
          <w:tcPr>
            <w:tcW w:w="406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2520" w:type="dxa"/>
            <w:vAlign w:val="bottom"/>
            <w:tcBorders>
              <w:top w:val="single" w:sz="8" w:color="auto"/>
            </w:tcBorders>
            <w:gridSpan w:val="4"/>
          </w:tcPr>
          <w:p>
            <w:pPr>
              <w:ind w:left="660"/>
              <w:spacing w:after="0" w:line="151" w:lineRule="exact"/>
              <w:rPr>
                <w:sz w:val="20"/>
                <w:szCs w:val="20"/>
                <w:color w:val="auto"/>
              </w:rPr>
            </w:pPr>
            <w:r>
              <w:rPr>
                <w:rFonts w:ascii="Arial" w:cs="Arial" w:eastAsia="Arial" w:hAnsi="Arial"/>
                <w:sz w:val="14"/>
                <w:szCs w:val="14"/>
                <w:b w:val="1"/>
                <w:bCs w:val="1"/>
                <w:color w:val="auto"/>
              </w:rPr>
              <w:t>(In thousands)</w:t>
            </w: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December 31, 2017</w:t>
            </w:r>
          </w:p>
        </w:tc>
        <w:tc>
          <w:tcPr>
            <w:tcW w:w="25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60" w:type="dxa"/>
            <w:vAlign w:val="bottom"/>
          </w:tcPr>
          <w:p>
            <w:pPr>
              <w:spacing w:after="0"/>
              <w:rPr>
                <w:sz w:val="20"/>
                <w:szCs w:val="20"/>
                <w:color w:val="auto"/>
              </w:rPr>
            </w:pPr>
            <w:r>
              <w:rPr>
                <w:rFonts w:ascii="Arial" w:cs="Arial" w:eastAsia="Arial" w:hAnsi="Arial"/>
                <w:sz w:val="18"/>
                <w:szCs w:val="18"/>
                <w:color w:val="auto"/>
              </w:rPr>
              <w:t>Pass</w:t>
            </w:r>
          </w:p>
        </w:tc>
        <w:tc>
          <w:tcPr>
            <w:tcW w:w="3460" w:type="dxa"/>
            <w:vAlign w:val="bottom"/>
            <w:gridSpan w:val="2"/>
          </w:tcPr>
          <w:p>
            <w:pPr>
              <w:jc w:val="right"/>
              <w:spacing w:after="0"/>
              <w:rPr>
                <w:sz w:val="20"/>
                <w:szCs w:val="20"/>
                <w:color w:val="auto"/>
              </w:rPr>
            </w:pPr>
            <w:r>
              <w:rPr>
                <w:rFonts w:ascii="Arial" w:cs="Arial" w:eastAsia="Arial" w:hAnsi="Arial"/>
                <w:sz w:val="18"/>
                <w:szCs w:val="18"/>
                <w:color w:val="auto"/>
              </w:rPr>
              <w:t>$20,490,486</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24,380,184</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1,485,148</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6,270,812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Criticized accrual</w:t>
            </w:r>
          </w:p>
        </w:tc>
        <w:tc>
          <w:tcPr>
            <w:tcW w:w="3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1,011,174</w:t>
            </w: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723,777</w:t>
            </w: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140,119</w:t>
            </w: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164,812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Criticized nonaccrual</w:t>
            </w:r>
          </w:p>
        </w:tc>
        <w:tc>
          <w:tcPr>
            <w:tcW w:w="256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240,991</w:t>
            </w:r>
          </w:p>
        </w:tc>
        <w:tc>
          <w:tcPr>
            <w:tcW w:w="34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184,982</w:t>
            </w:r>
          </w:p>
        </w:tc>
        <w:tc>
          <w:tcPr>
            <w:tcW w:w="34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6,451</w:t>
            </w:r>
          </w:p>
        </w:tc>
        <w:tc>
          <w:tcPr>
            <w:tcW w:w="34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10,088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3460" w:type="dxa"/>
            <w:vAlign w:val="bottom"/>
            <w:gridSpan w:val="2"/>
            <w:shd w:val="clear" w:color="auto" w:fill="CFF0FC"/>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21,742,651</w:t>
            </w:r>
          </w:p>
        </w:tc>
        <w:tc>
          <w:tcPr>
            <w:tcW w:w="3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25,288,943</w:t>
            </w:r>
          </w:p>
        </w:tc>
        <w:tc>
          <w:tcPr>
            <w:tcW w:w="3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1,631,718</w:t>
            </w:r>
          </w:p>
        </w:tc>
        <w:tc>
          <w:tcPr>
            <w:tcW w:w="3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6,445,712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December 31, 2016</w:t>
            </w:r>
          </w:p>
        </w:tc>
        <w:tc>
          <w:tcPr>
            <w:tcW w:w="256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60" w:type="dxa"/>
            <w:vAlign w:val="bottom"/>
            <w:vMerge w:val="continue"/>
          </w:tcPr>
          <w:p>
            <w:pPr>
              <w:spacing w:after="0"/>
              <w:rPr>
                <w:sz w:val="17"/>
                <w:szCs w:val="17"/>
                <w:color w:val="auto"/>
              </w:rPr>
            </w:pPr>
          </w:p>
        </w:tc>
        <w:tc>
          <w:tcPr>
            <w:tcW w:w="25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Pass</w:t>
            </w:r>
          </w:p>
        </w:tc>
        <w:tc>
          <w:tcPr>
            <w:tcW w:w="3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$21,398,581</w:t>
            </w: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24,570,269</w:t>
            </w: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1,789,071</w:t>
            </w: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5,912,351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60" w:type="dxa"/>
            <w:vAlign w:val="bottom"/>
          </w:tcPr>
          <w:p>
            <w:pPr>
              <w:spacing w:after="0"/>
              <w:rPr>
                <w:sz w:val="20"/>
                <w:szCs w:val="20"/>
                <w:color w:val="auto"/>
              </w:rPr>
            </w:pPr>
            <w:r>
              <w:rPr>
                <w:rFonts w:ascii="Arial" w:cs="Arial" w:eastAsia="Arial" w:hAnsi="Arial"/>
                <w:sz w:val="18"/>
                <w:szCs w:val="18"/>
                <w:color w:val="auto"/>
              </w:rPr>
              <w:t>Criticized accrual</w:t>
            </w:r>
          </w:p>
        </w:tc>
        <w:tc>
          <w:tcPr>
            <w:tcW w:w="3460" w:type="dxa"/>
            <w:vAlign w:val="bottom"/>
            <w:gridSpan w:val="2"/>
          </w:tcPr>
          <w:p>
            <w:pPr>
              <w:jc w:val="right"/>
              <w:spacing w:after="0"/>
              <w:rPr>
                <w:sz w:val="20"/>
                <w:szCs w:val="20"/>
                <w:color w:val="auto"/>
              </w:rPr>
            </w:pPr>
            <w:r>
              <w:rPr>
                <w:rFonts w:ascii="Arial" w:cs="Arial" w:eastAsia="Arial" w:hAnsi="Arial"/>
                <w:sz w:val="18"/>
                <w:szCs w:val="18"/>
                <w:color w:val="auto"/>
              </w:rPr>
              <w:t>950,032</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741,274</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116,548</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165,862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Criticized nonaccrual</w:t>
            </w:r>
          </w:p>
        </w:tc>
        <w:tc>
          <w:tcPr>
            <w:tcW w:w="2560" w:type="dxa"/>
            <w:vAlign w:val="bottom"/>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261,434</w:t>
            </w:r>
          </w:p>
        </w:tc>
        <w:tc>
          <w:tcPr>
            <w:tcW w:w="34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176,201</w:t>
            </w:r>
          </w:p>
        </w:tc>
        <w:tc>
          <w:tcPr>
            <w:tcW w:w="34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16,707</w:t>
            </w:r>
          </w:p>
        </w:tc>
        <w:tc>
          <w:tcPr>
            <w:tcW w:w="34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Total</w:t>
            </w:r>
          </w:p>
        </w:tc>
        <w:tc>
          <w:tcPr>
            <w:tcW w:w="34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22,610,047</w:t>
            </w: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25,487,744</w:t>
            </w: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1,922,326</w:t>
            </w: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6,096,324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right="140" w:firstLine="598"/>
        <w:spacing w:after="0" w:line="275" w:lineRule="auto"/>
        <w:rPr>
          <w:sz w:val="20"/>
          <w:szCs w:val="20"/>
          <w:color w:val="auto"/>
        </w:rPr>
      </w:pPr>
      <w:r>
        <w:rPr>
          <w:rFonts w:ascii="Arial" w:cs="Arial" w:eastAsia="Arial" w:hAnsi="Arial"/>
          <w:sz w:val="18"/>
          <w:szCs w:val="18"/>
          <w:color w:val="auto"/>
        </w:rPr>
        <w:t>In determining the allowance for credit losses, residential real estate loans and consumer loans are generally evaluated collectively after considering such factors as payment performance and recent loss experience and trends, which are mainly driven by current collateral values in the market place as well as the amount of loan defaults. Loss rates on such loans are determined by reference to recent charge-off history and are evaluated (and adjusted if deemed appropriate) through consideration of other factors including near-term forecasted loss estimates developed by the Company’s credit department. In arriving at such forecasts, the Company considers the current estimated fair value of its collateral based on geographical adjustments for home price depreciation/appreciation and overall borrower repayment performance. With regard to collateral values, the realizability of such values by the Company contemplates repayment of any first lien position prior to recovering amounts on a second lien position. However, residential real estate loans and outstanding balances of home equity loans and lines of credit that are more than 150 days past due are generally evaluated for collectibility on a loan-by-loan basis giving consideration to estimated collateral values. The carrying value of residential real estate loans and home equity loans and lines of credit for which a partial charge-off has been recognized aggregated $34 million and $25 million, respectively, at December 31, 2017 and $44 million and $32 million, respectively, at December 31, 2016. Residential real estate loans and home equity loans and lines of credit that were more than 150 days past due but did not require a partial charge-off because the net realizable value of the collateral exceeded the outstanding customer balance totaled $20 million and $32 million, respectively, at December 31, 2017 and $16 million and $39 million, respectively, at December 31, 2016.</w:t>
      </w:r>
    </w:p>
    <w:p>
      <w:pPr>
        <w:spacing w:after="0" w:line="8" w:lineRule="exact"/>
        <w:rPr>
          <w:sz w:val="20"/>
          <w:szCs w:val="20"/>
          <w:color w:val="auto"/>
        </w:rPr>
      </w:pPr>
    </w:p>
    <w:p>
      <w:pPr>
        <w:ind w:right="60" w:firstLine="598"/>
        <w:spacing w:after="0" w:line="248" w:lineRule="auto"/>
        <w:rPr>
          <w:sz w:val="20"/>
          <w:szCs w:val="20"/>
          <w:color w:val="auto"/>
        </w:rPr>
      </w:pPr>
      <w:r>
        <w:rPr>
          <w:rFonts w:ascii="Arial" w:cs="Arial" w:eastAsia="Arial" w:hAnsi="Arial"/>
          <w:sz w:val="20"/>
          <w:szCs w:val="20"/>
          <w:color w:val="auto"/>
        </w:rPr>
        <w:t>The Company also measures additional losses for purchased impaired loans when it is probable that the Company will be unable to collect all cash flows expected at acquisition plus additional cash flows expected to be collected arising from changes in estimates after acquisition. Given the inherent subjectivity and potential imprecision involved in determining the allocated portion of the allowance for credit losses, the Company also provides an inherent unallocated portion of the allowance. The unallocated portion of the allowance is intended to recognize probable losses that are not otherwise identifiable and includes management’s subjective determination of amounts necessary to provide for the possible use of imprecise estimates in determining the allocated portion of the allowance. Therefore, the level of the unallocated portion of the allowance is primarily reflective of the inherent imprecision in the various calculations used in determining the allocated portion of the allowance for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35" w:name="page136"/>
    <w:bookmarkEnd w:id="135"/>
    <w:p>
      <w:pPr>
        <w:ind w:right="240"/>
        <w:spacing w:after="0" w:line="251" w:lineRule="auto"/>
        <w:rPr>
          <w:sz w:val="20"/>
          <w:szCs w:val="20"/>
          <w:color w:val="auto"/>
        </w:rPr>
      </w:pPr>
      <w:r>
        <w:rPr>
          <w:rFonts w:ascii="Arial" w:cs="Arial" w:eastAsia="Arial" w:hAnsi="Arial"/>
          <w:sz w:val="20"/>
          <w:szCs w:val="20"/>
          <w:color w:val="auto"/>
        </w:rPr>
        <w:t>credit losses. Other factors that could also lead to changes in the unallocated portion include the effects of expansion into new markets for which the Company does not have the same degree of familiarity and experience regarding portfolio performance in changing market conditions, the introduction of new loan and lease product types, and other risks associated with the Company’s loan portfolio that may not be specifically identifiable.</w:t>
      </w:r>
    </w:p>
    <w:p>
      <w:pPr>
        <w:spacing w:after="0" w:line="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allocation of the allowance for credit losses summarized on the basis of the Company’s impairment methodology was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Commercial,</w:t>
            </w:r>
          </w:p>
        </w:tc>
        <w:tc>
          <w:tcPr>
            <w:tcW w:w="2280" w:type="dxa"/>
            <w:vAlign w:val="bottom"/>
            <w:gridSpan w:val="4"/>
            <w:vMerge w:val="restart"/>
          </w:tcPr>
          <w:p>
            <w:pPr>
              <w:ind w:left="640"/>
              <w:spacing w:after="0"/>
              <w:rPr>
                <w:sz w:val="20"/>
                <w:szCs w:val="20"/>
                <w:color w:val="auto"/>
              </w:rPr>
            </w:pPr>
            <w:r>
              <w:rPr>
                <w:rFonts w:ascii="Arial" w:cs="Arial" w:eastAsia="Arial" w:hAnsi="Arial"/>
                <w:sz w:val="14"/>
                <w:szCs w:val="14"/>
                <w:b w:val="1"/>
                <w:bCs w:val="1"/>
                <w:color w:val="auto"/>
              </w:rPr>
              <w:t>Real Estate</w:t>
            </w: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3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Financial,</w:t>
            </w:r>
          </w:p>
        </w:tc>
        <w:tc>
          <w:tcPr>
            <w:tcW w:w="2280" w:type="dxa"/>
            <w:vAlign w:val="bottom"/>
            <w:gridSpan w:val="4"/>
            <w:vMerge w:val="continue"/>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43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120" w:type="dxa"/>
            <w:vAlign w:val="bottom"/>
            <w:gridSpan w:val="3"/>
          </w:tcPr>
          <w:p>
            <w:pPr>
              <w:ind w:left="20"/>
              <w:spacing w:after="0" w:line="151" w:lineRule="exact"/>
              <w:rPr>
                <w:sz w:val="20"/>
                <w:szCs w:val="20"/>
                <w:color w:val="auto"/>
              </w:rPr>
            </w:pPr>
            <w:r>
              <w:rPr>
                <w:rFonts w:ascii="Arial" w:cs="Arial" w:eastAsia="Arial" w:hAnsi="Arial"/>
                <w:sz w:val="14"/>
                <w:szCs w:val="14"/>
                <w:b w:val="1"/>
                <w:bCs w:val="1"/>
                <w:color w:val="auto"/>
              </w:rPr>
              <w:t>Leasing, etc.</w:t>
            </w:r>
          </w:p>
        </w:tc>
        <w:tc>
          <w:tcPr>
            <w:tcW w:w="84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b w:val="1"/>
                <w:bCs w:val="1"/>
                <w:color w:val="auto"/>
                <w:w w:val="94"/>
              </w:rPr>
              <w:t>Commercial</w:t>
            </w:r>
          </w:p>
        </w:tc>
        <w:tc>
          <w:tcPr>
            <w:tcW w:w="3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b w:val="1"/>
                <w:bCs w:val="1"/>
                <w:color w:val="auto"/>
                <w:w w:val="93"/>
              </w:rPr>
              <w:t>Residential</w:t>
            </w:r>
          </w:p>
        </w:tc>
        <w:tc>
          <w:tcPr>
            <w:tcW w:w="320" w:type="dxa"/>
            <w:vAlign w:val="bottom"/>
          </w:tcPr>
          <w:p>
            <w:pPr>
              <w:spacing w:after="0"/>
              <w:rPr>
                <w:sz w:val="13"/>
                <w:szCs w:val="13"/>
                <w:color w:val="auto"/>
              </w:rPr>
            </w:pPr>
          </w:p>
        </w:tc>
        <w:tc>
          <w:tcPr>
            <w:tcW w:w="1140" w:type="dxa"/>
            <w:vAlign w:val="bottom"/>
            <w:gridSpan w:val="2"/>
          </w:tcPr>
          <w:p>
            <w:pPr>
              <w:ind w:left="100"/>
              <w:spacing w:after="0" w:line="151" w:lineRule="exact"/>
              <w:rPr>
                <w:sz w:val="20"/>
                <w:szCs w:val="20"/>
                <w:color w:val="auto"/>
              </w:rPr>
            </w:pPr>
            <w:r>
              <w:rPr>
                <w:rFonts w:ascii="Arial" w:cs="Arial" w:eastAsia="Arial" w:hAnsi="Arial"/>
                <w:sz w:val="14"/>
                <w:szCs w:val="14"/>
                <w:b w:val="1"/>
                <w:bCs w:val="1"/>
                <w:color w:val="auto"/>
              </w:rPr>
              <w:t>Consumer</w:t>
            </w:r>
          </w:p>
        </w:tc>
        <w:tc>
          <w:tcPr>
            <w:tcW w:w="100" w:type="dxa"/>
            <w:vAlign w:val="bottom"/>
          </w:tcPr>
          <w:p>
            <w:pPr>
              <w:spacing w:after="0"/>
              <w:rPr>
                <w:sz w:val="13"/>
                <w:szCs w:val="13"/>
                <w:color w:val="auto"/>
              </w:rPr>
            </w:pPr>
          </w:p>
        </w:tc>
        <w:tc>
          <w:tcPr>
            <w:tcW w:w="860" w:type="dxa"/>
            <w:vAlign w:val="bottom"/>
            <w:gridSpan w:val="2"/>
          </w:tcPr>
          <w:p>
            <w:pPr>
              <w:ind w:left="160"/>
              <w:spacing w:after="0" w:line="151"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1"/>
        </w:trPr>
        <w:tc>
          <w:tcPr>
            <w:tcW w:w="43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gridSpan w:val="3"/>
          </w:tcPr>
          <w:p>
            <w:pPr>
              <w:ind w:left="300"/>
              <w:spacing w:after="0" w:line="151" w:lineRule="exact"/>
              <w:rPr>
                <w:sz w:val="20"/>
                <w:szCs w:val="20"/>
                <w:color w:val="auto"/>
              </w:rPr>
            </w:pPr>
            <w:r>
              <w:rPr>
                <w:rFonts w:ascii="Arial" w:cs="Arial" w:eastAsia="Arial" w:hAnsi="Arial"/>
                <w:sz w:val="14"/>
                <w:szCs w:val="14"/>
                <w:b w:val="1"/>
                <w:bCs w:val="1"/>
                <w:color w:val="auto"/>
              </w:rPr>
              <w:t>(In thousands)</w:t>
            </w:r>
          </w:p>
        </w:tc>
        <w:tc>
          <w:tcPr>
            <w:tcW w:w="82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December 31, 2017</w:t>
            </w:r>
          </w:p>
        </w:tc>
        <w:tc>
          <w:tcPr>
            <w:tcW w:w="16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tcPr>
          <w:p>
            <w:pPr>
              <w:spacing w:after="0"/>
              <w:rPr>
                <w:sz w:val="20"/>
                <w:szCs w:val="20"/>
                <w:color w:val="auto"/>
              </w:rPr>
            </w:pPr>
            <w:r>
              <w:rPr>
                <w:rFonts w:ascii="Arial" w:cs="Arial" w:eastAsia="Arial" w:hAnsi="Arial"/>
                <w:sz w:val="18"/>
                <w:szCs w:val="18"/>
                <w:color w:val="auto"/>
              </w:rPr>
              <w:t>Individually evaluated for impairment</w:t>
            </w:r>
          </w:p>
        </w:tc>
        <w:tc>
          <w:tcPr>
            <w:tcW w:w="1700" w:type="dxa"/>
            <w:vAlign w:val="bottom"/>
            <w:gridSpan w:val="2"/>
          </w:tcPr>
          <w:p>
            <w:pPr>
              <w:ind w:left="162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45,488</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10,095</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7,900</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12,279</w:t>
            </w:r>
          </w:p>
        </w:tc>
        <w:tc>
          <w:tcPr>
            <w:tcW w:w="3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75,762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Collectively evaluated for impairment</w:t>
            </w:r>
          </w:p>
        </w:tc>
        <w:tc>
          <w:tcPr>
            <w:tcW w:w="16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283,111</w:t>
            </w: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363,990</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47,645</w:t>
            </w: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158,530</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853,276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Purchased impaired</w:t>
            </w:r>
          </w:p>
        </w:tc>
        <w:tc>
          <w:tcPr>
            <w:tcW w:w="16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9,860</w:t>
            </w:r>
          </w:p>
        </w:tc>
        <w:tc>
          <w:tcPr>
            <w:tcW w:w="32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Allocated</w:t>
            </w:r>
          </w:p>
        </w:tc>
        <w:tc>
          <w:tcPr>
            <w:tcW w:w="1700" w:type="dxa"/>
            <w:vAlign w:val="bottom"/>
            <w:gridSpan w:val="2"/>
            <w:shd w:val="clear" w:color="auto" w:fill="CFF0FC"/>
          </w:tcPr>
          <w:p>
            <w:pPr>
              <w:ind w:left="162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328,599</w:t>
            </w:r>
          </w:p>
        </w:tc>
        <w:tc>
          <w:tcPr>
            <w:tcW w:w="3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374,085</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65,405</w:t>
            </w: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170,809</w:t>
            </w: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938,898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Unallocated</w:t>
            </w:r>
          </w:p>
        </w:tc>
        <w:tc>
          <w:tcPr>
            <w:tcW w:w="16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8"/>
                <w:szCs w:val="18"/>
                <w:color w:val="auto"/>
              </w:rPr>
              <w:t>78,300</w:t>
            </w: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00" w:type="dxa"/>
            <w:vAlign w:val="bottom"/>
            <w:tcBorders>
              <w:bottom w:val="single" w:sz="8" w:color="CFF0FC"/>
            </w:tcBorders>
            <w:vMerge w:val="continue"/>
          </w:tcPr>
          <w:p>
            <w:pPr>
              <w:spacing w:after="0"/>
              <w:rPr>
                <w:sz w:val="17"/>
                <w:szCs w:val="17"/>
                <w:color w:val="auto"/>
              </w:rPr>
            </w:pPr>
          </w:p>
        </w:tc>
        <w:tc>
          <w:tcPr>
            <w:tcW w:w="162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720" w:type="dxa"/>
            <w:vAlign w:val="bottom"/>
            <w:tcBorders>
              <w:bottom w:val="single" w:sz="8" w:color="CFF0FC"/>
            </w:tcBorders>
          </w:tcPr>
          <w:p>
            <w:pPr>
              <w:spacing w:after="0"/>
              <w:rPr>
                <w:sz w:val="17"/>
                <w:szCs w:val="17"/>
                <w:color w:val="auto"/>
              </w:rPr>
            </w:pPr>
          </w:p>
        </w:tc>
        <w:tc>
          <w:tcPr>
            <w:tcW w:w="320" w:type="dxa"/>
            <w:vAlign w:val="bottom"/>
            <w:tcBorders>
              <w:bottom w:val="single" w:sz="8" w:color="CFF0FC"/>
            </w:tcBorders>
          </w:tcPr>
          <w:p>
            <w:pPr>
              <w:spacing w:after="0"/>
              <w:rPr>
                <w:sz w:val="17"/>
                <w:szCs w:val="17"/>
                <w:color w:val="auto"/>
              </w:rPr>
            </w:pPr>
          </w:p>
        </w:tc>
        <w:tc>
          <w:tcPr>
            <w:tcW w:w="840" w:type="dxa"/>
            <w:vAlign w:val="bottom"/>
            <w:tcBorders>
              <w:bottom w:val="single" w:sz="8" w:color="CFF0FC"/>
            </w:tcBorders>
          </w:tcPr>
          <w:p>
            <w:pPr>
              <w:spacing w:after="0"/>
              <w:rPr>
                <w:sz w:val="17"/>
                <w:szCs w:val="17"/>
                <w:color w:val="auto"/>
              </w:rPr>
            </w:pPr>
          </w:p>
        </w:tc>
        <w:tc>
          <w:tcPr>
            <w:tcW w:w="320" w:type="dxa"/>
            <w:vAlign w:val="bottom"/>
            <w:tcBorders>
              <w:bottom w:val="single" w:sz="8" w:color="CFF0FC"/>
            </w:tcBorders>
          </w:tcPr>
          <w:p>
            <w:pPr>
              <w:spacing w:after="0"/>
              <w:rPr>
                <w:sz w:val="17"/>
                <w:szCs w:val="17"/>
                <w:color w:val="auto"/>
              </w:rPr>
            </w:pPr>
          </w:p>
        </w:tc>
        <w:tc>
          <w:tcPr>
            <w:tcW w:w="800" w:type="dxa"/>
            <w:vAlign w:val="bottom"/>
            <w:tcBorders>
              <w:bottom w:val="single" w:sz="8" w:color="CFF0FC"/>
            </w:tcBorders>
          </w:tcPr>
          <w:p>
            <w:pPr>
              <w:spacing w:after="0"/>
              <w:rPr>
                <w:sz w:val="17"/>
                <w:szCs w:val="17"/>
                <w:color w:val="auto"/>
              </w:rPr>
            </w:pPr>
          </w:p>
        </w:tc>
        <w:tc>
          <w:tcPr>
            <w:tcW w:w="320" w:type="dxa"/>
            <w:vAlign w:val="bottom"/>
            <w:tcBorders>
              <w:bottom w:val="single" w:sz="8" w:color="CFF0FC"/>
            </w:tcBorders>
          </w:tcPr>
          <w:p>
            <w:pPr>
              <w:spacing w:after="0"/>
              <w:rPr>
                <w:sz w:val="17"/>
                <w:szCs w:val="17"/>
                <w:color w:val="auto"/>
              </w:rPr>
            </w:pPr>
          </w:p>
        </w:tc>
        <w:tc>
          <w:tcPr>
            <w:tcW w:w="820" w:type="dxa"/>
            <w:vAlign w:val="bottom"/>
            <w:tcBorders>
              <w:bottom w:val="single" w:sz="8" w:color="CFF0FC"/>
            </w:tcBorders>
          </w:tcPr>
          <w:p>
            <w:pPr>
              <w:spacing w:after="0"/>
              <w:rPr>
                <w:sz w:val="17"/>
                <w:szCs w:val="17"/>
                <w:color w:val="auto"/>
              </w:rPr>
            </w:pPr>
          </w:p>
        </w:tc>
        <w:tc>
          <w:tcPr>
            <w:tcW w:w="32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6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1,017,198</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vMerge w:val="restart"/>
          </w:tcPr>
          <w:p>
            <w:pPr>
              <w:spacing w:after="0"/>
              <w:rPr>
                <w:sz w:val="20"/>
                <w:szCs w:val="20"/>
                <w:color w:val="auto"/>
              </w:rPr>
            </w:pPr>
            <w:r>
              <w:rPr>
                <w:rFonts w:ascii="Arial" w:cs="Arial" w:eastAsia="Arial" w:hAnsi="Arial"/>
                <w:sz w:val="18"/>
                <w:szCs w:val="18"/>
                <w:color w:val="auto"/>
              </w:rPr>
              <w:t>December 31, 2016</w:t>
            </w: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00" w:type="dxa"/>
            <w:vAlign w:val="bottom"/>
            <w:vMerge w:val="continue"/>
          </w:tcPr>
          <w:p>
            <w:pPr>
              <w:spacing w:after="0"/>
              <w:rPr>
                <w:sz w:val="17"/>
                <w:szCs w:val="17"/>
                <w:color w:val="auto"/>
              </w:rPr>
            </w:pPr>
          </w:p>
        </w:tc>
        <w:tc>
          <w:tcPr>
            <w:tcW w:w="1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Individually evaluated for impairment</w:t>
            </w:r>
          </w:p>
        </w:tc>
        <w:tc>
          <w:tcPr>
            <w:tcW w:w="1700" w:type="dxa"/>
            <w:vAlign w:val="bottom"/>
            <w:gridSpan w:val="2"/>
            <w:shd w:val="clear" w:color="auto" w:fill="CFF0FC"/>
          </w:tcPr>
          <w:p>
            <w:pPr>
              <w:ind w:left="162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48,480</w:t>
            </w: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12,500</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9,457</w:t>
            </w: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12,543</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82,980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tcPr>
          <w:p>
            <w:pPr>
              <w:spacing w:after="0"/>
              <w:rPr>
                <w:sz w:val="20"/>
                <w:szCs w:val="20"/>
                <w:color w:val="auto"/>
              </w:rPr>
            </w:pPr>
            <w:r>
              <w:rPr>
                <w:rFonts w:ascii="Arial" w:cs="Arial" w:eastAsia="Arial" w:hAnsi="Arial"/>
                <w:sz w:val="18"/>
                <w:szCs w:val="18"/>
                <w:color w:val="auto"/>
              </w:rPr>
              <w:t>Collectively evaluated for impairment</w:t>
            </w:r>
          </w:p>
        </w:tc>
        <w:tc>
          <w:tcPr>
            <w:tcW w:w="1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282,353</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348,301</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47,993</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143,745</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822,392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Purchased impaired</w:t>
            </w:r>
          </w:p>
        </w:tc>
        <w:tc>
          <w:tcPr>
            <w:tcW w:w="16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1,918</w:t>
            </w:r>
          </w:p>
        </w:tc>
        <w:tc>
          <w:tcPr>
            <w:tcW w:w="320" w:type="dxa"/>
            <w:vAlign w:val="bottom"/>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3,677</w:t>
            </w:r>
          </w:p>
        </w:tc>
        <w:tc>
          <w:tcPr>
            <w:tcW w:w="32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5,595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4300" w:type="dxa"/>
            <w:vAlign w:val="bottom"/>
          </w:tcPr>
          <w:p>
            <w:pPr>
              <w:spacing w:after="0"/>
              <w:rPr>
                <w:sz w:val="20"/>
                <w:szCs w:val="20"/>
                <w:color w:val="auto"/>
              </w:rPr>
            </w:pPr>
            <w:r>
              <w:rPr>
                <w:rFonts w:ascii="Arial" w:cs="Arial" w:eastAsia="Arial" w:hAnsi="Arial"/>
                <w:sz w:val="18"/>
                <w:szCs w:val="18"/>
                <w:color w:val="auto"/>
              </w:rPr>
              <w:t>Allocated</w:t>
            </w:r>
          </w:p>
        </w:tc>
        <w:tc>
          <w:tcPr>
            <w:tcW w:w="1700" w:type="dxa"/>
            <w:vAlign w:val="bottom"/>
            <w:gridSpan w:val="2"/>
          </w:tcPr>
          <w:p>
            <w:pPr>
              <w:ind w:left="162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330,833</w:t>
            </w:r>
          </w:p>
        </w:tc>
        <w:tc>
          <w:tcPr>
            <w:tcW w:w="3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362,719</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61,127</w:t>
            </w:r>
          </w:p>
        </w:tc>
        <w:tc>
          <w:tcPr>
            <w:tcW w:w="3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156,288</w:t>
            </w: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910,967</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4300" w:type="dxa"/>
            <w:vAlign w:val="bottom"/>
            <w:tcBorders>
              <w:top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Unallocated</w:t>
            </w:r>
          </w:p>
        </w:tc>
        <w:tc>
          <w:tcPr>
            <w:tcW w:w="16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320" w:type="dxa"/>
            <w:vAlign w:val="bottom"/>
            <w:tcBorders>
              <w:top w:val="single" w:sz="8" w:color="CFF0FC"/>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320" w:type="dxa"/>
            <w:vAlign w:val="bottom"/>
            <w:tcBorders>
              <w:top w:val="single" w:sz="8" w:color="CFF0FC"/>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320" w:type="dxa"/>
            <w:vAlign w:val="bottom"/>
            <w:tcBorders>
              <w:top w:val="single" w:sz="8" w:color="CFF0FC"/>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3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auto"/>
            </w:tcBorders>
            <w:shd w:val="clear" w:color="auto" w:fill="CFF0FC"/>
          </w:tcPr>
          <w:p>
            <w:pPr>
              <w:spacing w:after="0"/>
              <w:rPr>
                <w:sz w:val="17"/>
                <w:szCs w:val="17"/>
                <w:color w:val="auto"/>
              </w:rPr>
            </w:pPr>
          </w:p>
        </w:tc>
        <w:tc>
          <w:tcPr>
            <w:tcW w:w="740" w:type="dxa"/>
            <w:vAlign w:val="bottom"/>
            <w:tcBorders>
              <w:top w:val="single" w:sz="8" w:color="CFF0FC"/>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78,030</w:t>
            </w: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Total</w:t>
            </w: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988,997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recorded investment in loans and leases summarized on the basis of the Company’s impairment methodology was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20" w:type="dxa"/>
            <w:vAlign w:val="bottom"/>
            <w:gridSpan w:val="3"/>
          </w:tcPr>
          <w:p>
            <w:pPr>
              <w:ind w:left="60"/>
              <w:spacing w:after="0"/>
              <w:rPr>
                <w:sz w:val="20"/>
                <w:szCs w:val="20"/>
                <w:color w:val="auto"/>
              </w:rPr>
            </w:pPr>
            <w:r>
              <w:rPr>
                <w:rFonts w:ascii="Arial" w:cs="Arial" w:eastAsia="Arial" w:hAnsi="Arial"/>
                <w:sz w:val="14"/>
                <w:szCs w:val="14"/>
                <w:b w:val="1"/>
                <w:bCs w:val="1"/>
                <w:color w:val="auto"/>
              </w:rPr>
              <w:t>Commercial,</w:t>
            </w:r>
          </w:p>
        </w:tc>
        <w:tc>
          <w:tcPr>
            <w:tcW w:w="2440" w:type="dxa"/>
            <w:vAlign w:val="bottom"/>
            <w:gridSpan w:val="4"/>
            <w:vMerge w:val="restart"/>
          </w:tcPr>
          <w:p>
            <w:pPr>
              <w:ind w:left="720"/>
              <w:spacing w:after="0"/>
              <w:rPr>
                <w:sz w:val="20"/>
                <w:szCs w:val="20"/>
                <w:color w:val="auto"/>
              </w:rPr>
            </w:pPr>
            <w:r>
              <w:rPr>
                <w:rFonts w:ascii="Arial" w:cs="Arial" w:eastAsia="Arial" w:hAnsi="Arial"/>
                <w:sz w:val="14"/>
                <w:szCs w:val="14"/>
                <w:b w:val="1"/>
                <w:bCs w:val="1"/>
                <w:color w:val="auto"/>
              </w:rPr>
              <w:t>Real Estate</w:t>
            </w: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Financial,</w:t>
            </w:r>
          </w:p>
        </w:tc>
        <w:tc>
          <w:tcPr>
            <w:tcW w:w="2440" w:type="dxa"/>
            <w:vAlign w:val="bottom"/>
            <w:gridSpan w:val="4"/>
            <w:vMerge w:val="continue"/>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41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20" w:type="dxa"/>
            <w:vAlign w:val="bottom"/>
            <w:gridSpan w:val="3"/>
          </w:tcPr>
          <w:p>
            <w:pPr>
              <w:ind w:left="80"/>
              <w:spacing w:after="0" w:line="151" w:lineRule="exact"/>
              <w:rPr>
                <w:sz w:val="20"/>
                <w:szCs w:val="20"/>
                <w:color w:val="auto"/>
              </w:rPr>
            </w:pPr>
            <w:r>
              <w:rPr>
                <w:rFonts w:ascii="Arial" w:cs="Arial" w:eastAsia="Arial" w:hAnsi="Arial"/>
                <w:sz w:val="14"/>
                <w:szCs w:val="14"/>
                <w:b w:val="1"/>
                <w:bCs w:val="1"/>
                <w:color w:val="auto"/>
              </w:rPr>
              <w:t>Leasing, etc.</w:t>
            </w:r>
          </w:p>
        </w:tc>
        <w:tc>
          <w:tcPr>
            <w:tcW w:w="1220" w:type="dxa"/>
            <w:vAlign w:val="bottom"/>
            <w:tcBorders>
              <w:top w:val="single" w:sz="8" w:color="auto"/>
            </w:tcBorders>
            <w:gridSpan w:val="2"/>
          </w:tcPr>
          <w:p>
            <w:pPr>
              <w:ind w:left="80"/>
              <w:spacing w:after="0" w:line="151" w:lineRule="exact"/>
              <w:rPr>
                <w:sz w:val="20"/>
                <w:szCs w:val="20"/>
                <w:color w:val="auto"/>
              </w:rPr>
            </w:pPr>
            <w:r>
              <w:rPr>
                <w:rFonts w:ascii="Arial" w:cs="Arial" w:eastAsia="Arial" w:hAnsi="Arial"/>
                <w:sz w:val="14"/>
                <w:szCs w:val="14"/>
                <w:b w:val="1"/>
                <w:bCs w:val="1"/>
                <w:color w:val="auto"/>
              </w:rPr>
              <w:t>Commercial</w:t>
            </w:r>
          </w:p>
        </w:tc>
        <w:tc>
          <w:tcPr>
            <w:tcW w:w="920" w:type="dxa"/>
            <w:vAlign w:val="bottom"/>
            <w:tcBorders>
              <w:top w:val="single" w:sz="8" w:color="auto"/>
            </w:tcBorders>
          </w:tcPr>
          <w:p>
            <w:pPr>
              <w:jc w:val="center"/>
              <w:spacing w:after="0" w:line="151" w:lineRule="exact"/>
              <w:rPr>
                <w:sz w:val="20"/>
                <w:szCs w:val="20"/>
                <w:color w:val="auto"/>
              </w:rPr>
            </w:pPr>
            <w:r>
              <w:rPr>
                <w:rFonts w:ascii="Arial" w:cs="Arial" w:eastAsia="Arial" w:hAnsi="Arial"/>
                <w:sz w:val="14"/>
                <w:szCs w:val="14"/>
                <w:b w:val="1"/>
                <w:bCs w:val="1"/>
                <w:color w:val="auto"/>
                <w:w w:val="88"/>
              </w:rPr>
              <w:t>Residential</w:t>
            </w:r>
          </w:p>
        </w:tc>
        <w:tc>
          <w:tcPr>
            <w:tcW w:w="300" w:type="dxa"/>
            <w:vAlign w:val="bottom"/>
          </w:tcPr>
          <w:p>
            <w:pPr>
              <w:spacing w:after="0"/>
              <w:rPr>
                <w:sz w:val="13"/>
                <w:szCs w:val="13"/>
                <w:color w:val="auto"/>
              </w:rPr>
            </w:pPr>
          </w:p>
        </w:tc>
        <w:tc>
          <w:tcPr>
            <w:tcW w:w="1240" w:type="dxa"/>
            <w:vAlign w:val="bottom"/>
            <w:gridSpan w:val="2"/>
          </w:tcPr>
          <w:p>
            <w:pPr>
              <w:ind w:left="140"/>
              <w:spacing w:after="0" w:line="151" w:lineRule="exact"/>
              <w:rPr>
                <w:sz w:val="20"/>
                <w:szCs w:val="20"/>
                <w:color w:val="auto"/>
              </w:rPr>
            </w:pPr>
            <w:r>
              <w:rPr>
                <w:rFonts w:ascii="Arial" w:cs="Arial" w:eastAsia="Arial" w:hAnsi="Arial"/>
                <w:sz w:val="14"/>
                <w:szCs w:val="14"/>
                <w:b w:val="1"/>
                <w:bCs w:val="1"/>
                <w:color w:val="auto"/>
              </w:rPr>
              <w:t>Consumer</w:t>
            </w:r>
          </w:p>
        </w:tc>
        <w:tc>
          <w:tcPr>
            <w:tcW w:w="80" w:type="dxa"/>
            <w:vAlign w:val="bottom"/>
          </w:tcPr>
          <w:p>
            <w:pPr>
              <w:spacing w:after="0"/>
              <w:rPr>
                <w:sz w:val="13"/>
                <w:szCs w:val="13"/>
                <w:color w:val="auto"/>
              </w:rPr>
            </w:pPr>
          </w:p>
        </w:tc>
        <w:tc>
          <w:tcPr>
            <w:tcW w:w="920" w:type="dxa"/>
            <w:vAlign w:val="bottom"/>
            <w:gridSpan w:val="2"/>
          </w:tcPr>
          <w:p>
            <w:pPr>
              <w:ind w:left="200"/>
              <w:spacing w:after="0" w:line="151"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1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2"/>
          </w:tcPr>
          <w:p>
            <w:pPr>
              <w:jc w:val="center"/>
              <w:ind w:right="320"/>
              <w:spacing w:after="0" w:line="151" w:lineRule="exact"/>
              <w:rPr>
                <w:sz w:val="20"/>
                <w:szCs w:val="20"/>
                <w:color w:val="auto"/>
              </w:rPr>
            </w:pPr>
            <w:r>
              <w:rPr>
                <w:rFonts w:ascii="Arial" w:cs="Arial" w:eastAsia="Arial" w:hAnsi="Arial"/>
                <w:sz w:val="14"/>
                <w:szCs w:val="14"/>
                <w:b w:val="1"/>
                <w:bCs w:val="1"/>
                <w:color w:val="auto"/>
                <w:w w:val="89"/>
              </w:rPr>
              <w:t>(In thousands)</w:t>
            </w:r>
          </w:p>
        </w:tc>
        <w:tc>
          <w:tcPr>
            <w:tcW w:w="92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December 31, 2017</w:t>
            </w: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20" w:type="dxa"/>
            <w:vAlign w:val="bottom"/>
          </w:tcPr>
          <w:p>
            <w:pPr>
              <w:spacing w:after="0"/>
              <w:rPr>
                <w:sz w:val="20"/>
                <w:szCs w:val="20"/>
                <w:color w:val="auto"/>
              </w:rPr>
            </w:pPr>
            <w:r>
              <w:rPr>
                <w:rFonts w:ascii="Arial" w:cs="Arial" w:eastAsia="Arial" w:hAnsi="Arial"/>
                <w:sz w:val="18"/>
                <w:szCs w:val="18"/>
                <w:color w:val="auto"/>
              </w:rPr>
              <w:t>Individually evaluated for impairment</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266,376</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226,205</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202,163</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65,565</w:t>
            </w:r>
          </w:p>
        </w:tc>
        <w:tc>
          <w:tcPr>
            <w:tcW w:w="3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760,309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Collectively evaluated for impairment</w:t>
            </w: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21,476,254</w:t>
            </w: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33,117,512</w:t>
            </w: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19,023,843</w:t>
            </w: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13,201,050</w:t>
            </w:r>
          </w:p>
        </w:tc>
        <w:tc>
          <w:tcPr>
            <w:tcW w:w="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86,818,659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Purchased impaired</w:t>
            </w:r>
          </w:p>
        </w:tc>
        <w:tc>
          <w:tcPr>
            <w:tcW w:w="14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30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22,656</w:t>
            </w:r>
          </w:p>
        </w:tc>
        <w:tc>
          <w:tcPr>
            <w:tcW w:w="30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387,338</w:t>
            </w:r>
          </w:p>
        </w:tc>
        <w:tc>
          <w:tcPr>
            <w:tcW w:w="30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410,015</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1500" w:type="dxa"/>
            <w:vAlign w:val="bottom"/>
            <w:gridSpan w:val="2"/>
            <w:shd w:val="clear" w:color="auto" w:fill="CFF0FC"/>
          </w:tcPr>
          <w:p>
            <w:pPr>
              <w:jc w:val="right"/>
              <w:spacing w:after="0"/>
              <w:rPr>
                <w:sz w:val="20"/>
                <w:szCs w:val="20"/>
                <w:color w:val="auto"/>
              </w:rPr>
            </w:pPr>
            <w:r>
              <w:rPr>
                <w:rFonts w:ascii="Arial" w:cs="Arial" w:eastAsia="Arial" w:hAnsi="Arial"/>
                <w:sz w:val="18"/>
                <w:szCs w:val="18"/>
                <w:u w:val="single" w:color="auto"/>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21,742,651</w:t>
            </w: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33,366,373</w:t>
            </w: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19,613,344</w:t>
            </w: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13,266,615</w:t>
            </w:r>
          </w:p>
        </w:tc>
        <w:tc>
          <w:tcPr>
            <w:tcW w:w="32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87,988,983</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December 31, 2016</w:t>
            </w:r>
          </w:p>
        </w:tc>
        <w:tc>
          <w:tcPr>
            <w:tcW w:w="14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20" w:type="dxa"/>
            <w:vAlign w:val="bottom"/>
            <w:vMerge w:val="continue"/>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Individually evaluated for impairment</w:t>
            </w:r>
          </w:p>
        </w:tc>
        <w:tc>
          <w:tcPr>
            <w:tcW w:w="15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268,877</w:t>
            </w: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224,630</w:t>
            </w: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201,479</w:t>
            </w: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65,466</w:t>
            </w:r>
          </w:p>
        </w:tc>
        <w:tc>
          <w:tcPr>
            <w:tcW w:w="3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760,452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20" w:type="dxa"/>
            <w:vAlign w:val="bottom"/>
          </w:tcPr>
          <w:p>
            <w:pPr>
              <w:spacing w:after="0"/>
              <w:rPr>
                <w:sz w:val="20"/>
                <w:szCs w:val="20"/>
                <w:color w:val="auto"/>
              </w:rPr>
            </w:pPr>
            <w:r>
              <w:rPr>
                <w:rFonts w:ascii="Arial" w:cs="Arial" w:eastAsia="Arial" w:hAnsi="Arial"/>
                <w:sz w:val="18"/>
                <w:szCs w:val="18"/>
                <w:color w:val="auto"/>
              </w:rPr>
              <w:t>Collectively evaluated for impairment</w:t>
            </w: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6"/>
              </w:rPr>
              <w:t>22,340,529</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33,222,080</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21,871,726</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12,080,597</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6"/>
              </w:rPr>
              <w:t>89,514,932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Purchased impaired</w:t>
            </w:r>
          </w:p>
        </w:tc>
        <w:tc>
          <w:tcPr>
            <w:tcW w:w="14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641</w:t>
            </w:r>
          </w:p>
        </w:tc>
        <w:tc>
          <w:tcPr>
            <w:tcW w:w="30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59,684</w:t>
            </w:r>
          </w:p>
        </w:tc>
        <w:tc>
          <w:tcPr>
            <w:tcW w:w="30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517,707</w:t>
            </w:r>
          </w:p>
        </w:tc>
        <w:tc>
          <w:tcPr>
            <w:tcW w:w="30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578,032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Total</w:t>
            </w:r>
          </w:p>
        </w:tc>
        <w:tc>
          <w:tcPr>
            <w:tcW w:w="15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6"/>
              </w:rPr>
              <w:t>22,610,047</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33,506,394</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22,590,912</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12,146,063</w:t>
            </w:r>
          </w:p>
        </w:tc>
        <w:tc>
          <w:tcPr>
            <w:tcW w:w="3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6"/>
              </w:rPr>
              <w:t>90,853,416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4"/>
        </w:trPr>
        <w:tc>
          <w:tcPr>
            <w:tcW w:w="4120" w:type="dxa"/>
            <w:vAlign w:val="bottom"/>
          </w:tcPr>
          <w:p>
            <w:pPr>
              <w:spacing w:after="0"/>
              <w:rPr>
                <w:sz w:val="24"/>
                <w:szCs w:val="24"/>
                <w:color w:val="auto"/>
              </w:rPr>
            </w:pPr>
          </w:p>
        </w:tc>
        <w:tc>
          <w:tcPr>
            <w:tcW w:w="2320" w:type="dxa"/>
            <w:vAlign w:val="bottom"/>
            <w:gridSpan w:val="3"/>
          </w:tcPr>
          <w:p>
            <w:pPr>
              <w:ind w:left="1460"/>
              <w:spacing w:after="0"/>
              <w:rPr>
                <w:sz w:val="20"/>
                <w:szCs w:val="20"/>
                <w:color w:val="auto"/>
              </w:rPr>
            </w:pPr>
            <w:r>
              <w:rPr>
                <w:rFonts w:ascii="Arial" w:cs="Arial" w:eastAsia="Arial" w:hAnsi="Arial"/>
                <w:sz w:val="18"/>
                <w:szCs w:val="18"/>
                <w:color w:val="auto"/>
              </w:rPr>
              <w:t>136</w:t>
            </w: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12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336" w:right="219" w:bottom="1440" w:gutter="0" w:footer="0" w:header="0"/>
        </w:sectPr>
      </w:pPr>
    </w:p>
    <w:bookmarkStart w:id="136" w:name="page137"/>
    <w:bookmarkEnd w:id="136"/>
    <w:p>
      <w:pPr>
        <w:spacing w:after="0"/>
        <w:tabs>
          <w:tab w:leader="none" w:pos="340" w:val="left"/>
        </w:tabs>
        <w:rPr>
          <w:sz w:val="20"/>
          <w:szCs w:val="20"/>
          <w:color w:val="auto"/>
        </w:rPr>
      </w:pPr>
      <w:r>
        <w:rPr>
          <w:rFonts w:ascii="Arial" w:cs="Arial" w:eastAsia="Arial" w:hAnsi="Arial"/>
          <w:sz w:val="20"/>
          <w:szCs w:val="20"/>
          <w:b w:val="1"/>
          <w:bCs w:val="1"/>
          <w:color w:val="auto"/>
        </w:rPr>
        <w:t>6.</w:t>
      </w:r>
      <w:r>
        <w:rPr>
          <w:sz w:val="20"/>
          <w:szCs w:val="20"/>
          <w:color w:val="auto"/>
        </w:rPr>
        <w:tab/>
      </w:r>
      <w:r>
        <w:rPr>
          <w:rFonts w:ascii="Arial" w:cs="Arial" w:eastAsia="Arial" w:hAnsi="Arial"/>
          <w:sz w:val="17"/>
          <w:szCs w:val="17"/>
          <w:b w:val="1"/>
          <w:bCs w:val="1"/>
          <w:color w:val="auto"/>
        </w:rPr>
        <w:t>Premises and equipment</w:t>
      </w:r>
    </w:p>
    <w:p>
      <w:pPr>
        <w:spacing w:after="0" w:line="29" w:lineRule="exact"/>
        <w:rPr>
          <w:sz w:val="20"/>
          <w:szCs w:val="20"/>
          <w:color w:val="auto"/>
        </w:rPr>
      </w:pPr>
    </w:p>
    <w:p>
      <w:pPr>
        <w:spacing w:after="0"/>
        <w:rPr>
          <w:sz w:val="20"/>
          <w:szCs w:val="20"/>
          <w:color w:val="auto"/>
        </w:rPr>
      </w:pPr>
      <w:r>
        <w:rPr>
          <w:rFonts w:ascii="Arial" w:cs="Arial" w:eastAsia="Arial" w:hAnsi="Arial"/>
          <w:sz w:val="20"/>
          <w:szCs w:val="20"/>
          <w:color w:val="auto"/>
        </w:rPr>
        <w:t>The detail of premises and equipment was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9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1"/>
        </w:trPr>
        <w:tc>
          <w:tcPr>
            <w:tcW w:w="89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86"/>
              <w:spacing w:after="0" w:line="151"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02"/>
              <w:spacing w:after="0" w:line="151"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r>
      <w:tr>
        <w:trPr>
          <w:trHeight w:val="151"/>
        </w:trPr>
        <w:tc>
          <w:tcPr>
            <w:tcW w:w="8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20" w:type="dxa"/>
            <w:vAlign w:val="bottom"/>
            <w:gridSpan w:val="4"/>
          </w:tcPr>
          <w:p>
            <w:pPr>
              <w:jc w:val="right"/>
              <w:ind w:right="662"/>
              <w:spacing w:after="0" w:line="151"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3"/>
                <w:szCs w:val="13"/>
                <w:color w:val="auto"/>
              </w:rPr>
            </w:pPr>
          </w:p>
        </w:tc>
      </w:tr>
      <w:tr>
        <w:trPr>
          <w:trHeight w:val="250"/>
        </w:trPr>
        <w:tc>
          <w:tcPr>
            <w:tcW w:w="8920" w:type="dxa"/>
            <w:vAlign w:val="bottom"/>
            <w:shd w:val="clear" w:color="auto" w:fill="CFF0FC"/>
          </w:tcPr>
          <w:p>
            <w:pPr>
              <w:spacing w:after="0"/>
              <w:rPr>
                <w:sz w:val="20"/>
                <w:szCs w:val="20"/>
                <w:color w:val="auto"/>
              </w:rPr>
            </w:pPr>
            <w:r>
              <w:rPr>
                <w:rFonts w:ascii="Arial" w:cs="Arial" w:eastAsia="Arial" w:hAnsi="Arial"/>
                <w:sz w:val="20"/>
                <w:szCs w:val="20"/>
                <w:color w:val="auto"/>
              </w:rPr>
              <w:t>Land</w:t>
            </w:r>
          </w:p>
        </w:tc>
        <w:tc>
          <w:tcPr>
            <w:tcW w:w="16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98,077</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59"/>
              <w:spacing w:after="0"/>
              <w:rPr>
                <w:sz w:val="20"/>
                <w:szCs w:val="20"/>
                <w:color w:val="auto"/>
              </w:rPr>
            </w:pPr>
            <w:r>
              <w:rPr>
                <w:rFonts w:ascii="Arial" w:cs="Arial" w:eastAsia="Arial" w:hAnsi="Arial"/>
                <w:sz w:val="20"/>
                <w:szCs w:val="20"/>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104,671</w:t>
            </w:r>
          </w:p>
        </w:tc>
        <w:tc>
          <w:tcPr>
            <w:tcW w:w="120" w:type="dxa"/>
            <w:vAlign w:val="bottom"/>
            <w:shd w:val="clear" w:color="auto" w:fill="CFF0FC"/>
          </w:tcPr>
          <w:p>
            <w:pPr>
              <w:spacing w:after="0"/>
              <w:rPr>
                <w:sz w:val="21"/>
                <w:szCs w:val="21"/>
                <w:color w:val="auto"/>
              </w:rPr>
            </w:pPr>
          </w:p>
        </w:tc>
      </w:tr>
      <w:tr>
        <w:trPr>
          <w:trHeight w:val="250"/>
        </w:trPr>
        <w:tc>
          <w:tcPr>
            <w:tcW w:w="8920" w:type="dxa"/>
            <w:vAlign w:val="bottom"/>
          </w:tcPr>
          <w:p>
            <w:pPr>
              <w:spacing w:after="0"/>
              <w:rPr>
                <w:sz w:val="20"/>
                <w:szCs w:val="20"/>
                <w:color w:val="auto"/>
              </w:rPr>
            </w:pPr>
            <w:r>
              <w:rPr>
                <w:rFonts w:ascii="Arial" w:cs="Arial" w:eastAsia="Arial" w:hAnsi="Arial"/>
                <w:sz w:val="20"/>
                <w:szCs w:val="20"/>
                <w:color w:val="auto"/>
              </w:rPr>
              <w:t>Buildings</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454,610</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448,442</w:t>
            </w:r>
          </w:p>
        </w:tc>
        <w:tc>
          <w:tcPr>
            <w:tcW w:w="120" w:type="dxa"/>
            <w:vAlign w:val="bottom"/>
          </w:tcPr>
          <w:p>
            <w:pPr>
              <w:spacing w:after="0"/>
              <w:rPr>
                <w:sz w:val="21"/>
                <w:szCs w:val="21"/>
                <w:color w:val="auto"/>
              </w:rPr>
            </w:pPr>
          </w:p>
        </w:tc>
      </w:tr>
      <w:tr>
        <w:trPr>
          <w:trHeight w:val="250"/>
        </w:trPr>
        <w:tc>
          <w:tcPr>
            <w:tcW w:w="8920" w:type="dxa"/>
            <w:vAlign w:val="bottom"/>
            <w:shd w:val="clear" w:color="auto" w:fill="CFF0FC"/>
          </w:tcPr>
          <w:p>
            <w:pPr>
              <w:spacing w:after="0"/>
              <w:rPr>
                <w:sz w:val="20"/>
                <w:szCs w:val="20"/>
                <w:color w:val="auto"/>
              </w:rPr>
            </w:pPr>
            <w:r>
              <w:rPr>
                <w:rFonts w:ascii="Arial" w:cs="Arial" w:eastAsia="Arial" w:hAnsi="Arial"/>
                <w:sz w:val="20"/>
                <w:szCs w:val="20"/>
                <w:color w:val="auto"/>
              </w:rPr>
              <w:t>Leasehold improvements</w:t>
            </w: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239,956</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232,936</w:t>
            </w:r>
          </w:p>
        </w:tc>
        <w:tc>
          <w:tcPr>
            <w:tcW w:w="120" w:type="dxa"/>
            <w:vAlign w:val="bottom"/>
            <w:shd w:val="clear" w:color="auto" w:fill="CFF0FC"/>
          </w:tcPr>
          <w:p>
            <w:pPr>
              <w:spacing w:after="0"/>
              <w:rPr>
                <w:sz w:val="21"/>
                <w:szCs w:val="21"/>
                <w:color w:val="auto"/>
              </w:rPr>
            </w:pPr>
          </w:p>
        </w:tc>
      </w:tr>
      <w:tr>
        <w:trPr>
          <w:trHeight w:val="250"/>
        </w:trPr>
        <w:tc>
          <w:tcPr>
            <w:tcW w:w="8920" w:type="dxa"/>
            <w:vAlign w:val="bottom"/>
          </w:tcPr>
          <w:p>
            <w:pPr>
              <w:spacing w:after="0"/>
              <w:rPr>
                <w:sz w:val="20"/>
                <w:szCs w:val="20"/>
                <w:color w:val="auto"/>
              </w:rPr>
            </w:pPr>
            <w:r>
              <w:rPr>
                <w:rFonts w:ascii="Arial" w:cs="Arial" w:eastAsia="Arial" w:hAnsi="Arial"/>
                <w:sz w:val="20"/>
                <w:szCs w:val="20"/>
                <w:color w:val="auto"/>
              </w:rPr>
              <w:t>Furniture and equipment — owned</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676,665</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636,219</w:t>
            </w:r>
          </w:p>
        </w:tc>
        <w:tc>
          <w:tcPr>
            <w:tcW w:w="120" w:type="dxa"/>
            <w:vAlign w:val="bottom"/>
          </w:tcPr>
          <w:p>
            <w:pPr>
              <w:spacing w:after="0"/>
              <w:rPr>
                <w:sz w:val="21"/>
                <w:szCs w:val="21"/>
                <w:color w:val="auto"/>
              </w:rPr>
            </w:pPr>
          </w:p>
        </w:tc>
      </w:tr>
      <w:tr>
        <w:trPr>
          <w:trHeight w:val="250"/>
        </w:trPr>
        <w:tc>
          <w:tcPr>
            <w:tcW w:w="8920" w:type="dxa"/>
            <w:vAlign w:val="bottom"/>
            <w:shd w:val="clear" w:color="auto" w:fill="CFF0FC"/>
          </w:tcPr>
          <w:p>
            <w:pPr>
              <w:spacing w:after="0"/>
              <w:rPr>
                <w:sz w:val="20"/>
                <w:szCs w:val="20"/>
                <w:color w:val="auto"/>
              </w:rPr>
            </w:pPr>
            <w:r>
              <w:rPr>
                <w:rFonts w:ascii="Arial" w:cs="Arial" w:eastAsia="Arial" w:hAnsi="Arial"/>
                <w:sz w:val="20"/>
                <w:szCs w:val="20"/>
                <w:color w:val="auto"/>
              </w:rPr>
              <w:t>Furniture and equipment — capital leases</w:t>
            </w:r>
          </w:p>
        </w:tc>
        <w:tc>
          <w:tcPr>
            <w:tcW w:w="1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18,039</w:t>
            </w:r>
          </w:p>
        </w:tc>
        <w:tc>
          <w:tcPr>
            <w:tcW w:w="280" w:type="dxa"/>
            <w:vAlign w:val="bottom"/>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14,849</w:t>
            </w:r>
          </w:p>
        </w:tc>
        <w:tc>
          <w:tcPr>
            <w:tcW w:w="120" w:type="dxa"/>
            <w:vAlign w:val="bottom"/>
            <w:shd w:val="clear" w:color="auto" w:fill="CFF0FC"/>
          </w:tcPr>
          <w:p>
            <w:pPr>
              <w:spacing w:after="0"/>
              <w:rPr>
                <w:sz w:val="21"/>
                <w:szCs w:val="21"/>
                <w:color w:val="auto"/>
              </w:rPr>
            </w:pPr>
          </w:p>
        </w:tc>
      </w:tr>
      <w:tr>
        <w:trPr>
          <w:trHeight w:val="243"/>
        </w:trPr>
        <w:tc>
          <w:tcPr>
            <w:tcW w:w="8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w w:val="96"/>
              </w:rPr>
              <w:t>1,487,347</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w w:val="87"/>
              </w:rPr>
              <w:t>1,437,117</w:t>
            </w:r>
          </w:p>
        </w:tc>
        <w:tc>
          <w:tcPr>
            <w:tcW w:w="120" w:type="dxa"/>
            <w:vAlign w:val="bottom"/>
          </w:tcPr>
          <w:p>
            <w:pPr>
              <w:spacing w:after="0"/>
              <w:rPr>
                <w:sz w:val="21"/>
                <w:szCs w:val="21"/>
                <w:color w:val="auto"/>
              </w:rPr>
            </w:pPr>
          </w:p>
        </w:tc>
      </w:tr>
      <w:tr>
        <w:trPr>
          <w:trHeight w:val="250"/>
        </w:trPr>
        <w:tc>
          <w:tcPr>
            <w:tcW w:w="8920" w:type="dxa"/>
            <w:vAlign w:val="bottom"/>
            <w:shd w:val="clear" w:color="auto" w:fill="CFF0FC"/>
          </w:tcPr>
          <w:p>
            <w:pPr>
              <w:spacing w:after="0"/>
              <w:rPr>
                <w:sz w:val="20"/>
                <w:szCs w:val="20"/>
                <w:color w:val="auto"/>
              </w:rPr>
            </w:pPr>
            <w:r>
              <w:rPr>
                <w:rFonts w:ascii="Arial" w:cs="Arial" w:eastAsia="Arial" w:hAnsi="Arial"/>
                <w:sz w:val="20"/>
                <w:szCs w:val="20"/>
                <w:color w:val="auto"/>
              </w:rPr>
              <w:t>Less: accumulated depreciation and amortization</w:t>
            </w: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50"/>
        </w:trPr>
        <w:tc>
          <w:tcPr>
            <w:tcW w:w="8920" w:type="dxa"/>
            <w:vAlign w:val="bottom"/>
          </w:tcPr>
          <w:p>
            <w:pPr>
              <w:ind w:left="240"/>
              <w:spacing w:after="0"/>
              <w:rPr>
                <w:sz w:val="20"/>
                <w:szCs w:val="20"/>
                <w:color w:val="auto"/>
              </w:rPr>
            </w:pPr>
            <w:r>
              <w:rPr>
                <w:rFonts w:ascii="Arial" w:cs="Arial" w:eastAsia="Arial" w:hAnsi="Arial"/>
                <w:sz w:val="20"/>
                <w:szCs w:val="20"/>
                <w:color w:val="auto"/>
              </w:rPr>
              <w:t>Owned assets</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830,832</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756,245</w:t>
            </w:r>
          </w:p>
        </w:tc>
        <w:tc>
          <w:tcPr>
            <w:tcW w:w="120" w:type="dxa"/>
            <w:vAlign w:val="bottom"/>
          </w:tcPr>
          <w:p>
            <w:pPr>
              <w:spacing w:after="0"/>
              <w:rPr>
                <w:sz w:val="21"/>
                <w:szCs w:val="21"/>
                <w:color w:val="auto"/>
              </w:rPr>
            </w:pPr>
          </w:p>
        </w:tc>
      </w:tr>
      <w:tr>
        <w:trPr>
          <w:trHeight w:val="250"/>
        </w:trPr>
        <w:tc>
          <w:tcPr>
            <w:tcW w:w="89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Capital leases</w:t>
            </w:r>
          </w:p>
        </w:tc>
        <w:tc>
          <w:tcPr>
            <w:tcW w:w="1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10,064</w:t>
            </w:r>
          </w:p>
        </w:tc>
        <w:tc>
          <w:tcPr>
            <w:tcW w:w="280" w:type="dxa"/>
            <w:vAlign w:val="bottom"/>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5,609</w:t>
            </w:r>
          </w:p>
        </w:tc>
        <w:tc>
          <w:tcPr>
            <w:tcW w:w="120" w:type="dxa"/>
            <w:vAlign w:val="bottom"/>
            <w:shd w:val="clear" w:color="auto" w:fill="CFF0FC"/>
          </w:tcPr>
          <w:p>
            <w:pPr>
              <w:spacing w:after="0"/>
              <w:rPr>
                <w:sz w:val="21"/>
                <w:szCs w:val="21"/>
                <w:color w:val="auto"/>
              </w:rPr>
            </w:pPr>
          </w:p>
        </w:tc>
      </w:tr>
      <w:tr>
        <w:trPr>
          <w:trHeight w:val="243"/>
        </w:trPr>
        <w:tc>
          <w:tcPr>
            <w:tcW w:w="892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840,896</w:t>
            </w:r>
          </w:p>
        </w:tc>
        <w:tc>
          <w:tcPr>
            <w:tcW w:w="28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761,854</w:t>
            </w:r>
          </w:p>
        </w:tc>
        <w:tc>
          <w:tcPr>
            <w:tcW w:w="120" w:type="dxa"/>
            <w:vAlign w:val="bottom"/>
            <w:tcBorders>
              <w:bottom w:val="single" w:sz="8" w:color="CFF0FC"/>
            </w:tcBorders>
          </w:tcPr>
          <w:p>
            <w:pPr>
              <w:spacing w:after="0"/>
              <w:rPr>
                <w:sz w:val="21"/>
                <w:szCs w:val="21"/>
                <w:color w:val="auto"/>
              </w:rPr>
            </w:pPr>
          </w:p>
        </w:tc>
      </w:tr>
      <w:tr>
        <w:trPr>
          <w:trHeight w:val="243"/>
        </w:trPr>
        <w:tc>
          <w:tcPr>
            <w:tcW w:w="8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Premises and equipment, net</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646,451</w:t>
            </w:r>
          </w:p>
        </w:tc>
        <w:tc>
          <w:tcPr>
            <w:tcW w:w="2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20"/>
                <w:szCs w:val="20"/>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675,263</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20"/>
        </w:trPr>
        <w:tc>
          <w:tcPr>
            <w:tcW w:w="8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6" w:lineRule="exact"/>
        <w:rPr>
          <w:sz w:val="20"/>
          <w:szCs w:val="20"/>
          <w:color w:val="auto"/>
        </w:rPr>
      </w:pPr>
    </w:p>
    <w:p>
      <w:pPr>
        <w:ind w:right="40" w:firstLine="598"/>
        <w:spacing w:after="0" w:line="261" w:lineRule="auto"/>
        <w:rPr>
          <w:sz w:val="20"/>
          <w:szCs w:val="20"/>
          <w:color w:val="auto"/>
        </w:rPr>
      </w:pPr>
      <w:r>
        <w:rPr>
          <w:rFonts w:ascii="Arial" w:cs="Arial" w:eastAsia="Arial" w:hAnsi="Arial"/>
          <w:sz w:val="20"/>
          <w:szCs w:val="20"/>
          <w:color w:val="auto"/>
        </w:rPr>
        <w:t>Net lease expense for all operating leases totaled $114,362,000 in 2017, $113,663,000 in 2016 and $102,356,000 in 2015. Minimum lease payments under noncancelable operating leases are presented in note 21. Minimum lease payments required under capital leases are not material.</w:t>
      </w:r>
    </w:p>
    <w:p>
      <w:pPr>
        <w:spacing w:after="0" w:line="349"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7.</w:t>
      </w:r>
      <w:r>
        <w:rPr>
          <w:sz w:val="20"/>
          <w:szCs w:val="20"/>
          <w:color w:val="auto"/>
        </w:rPr>
        <w:tab/>
      </w:r>
      <w:r>
        <w:rPr>
          <w:rFonts w:ascii="Arial" w:cs="Arial" w:eastAsia="Arial" w:hAnsi="Arial"/>
          <w:sz w:val="17"/>
          <w:szCs w:val="17"/>
          <w:b w:val="1"/>
          <w:bCs w:val="1"/>
          <w:color w:val="auto"/>
        </w:rPr>
        <w:t>Capitalized servicing assets</w:t>
      </w:r>
    </w:p>
    <w:p>
      <w:pPr>
        <w:spacing w:after="0" w:line="29" w:lineRule="exact"/>
        <w:rPr>
          <w:sz w:val="20"/>
          <w:szCs w:val="20"/>
          <w:color w:val="auto"/>
        </w:rPr>
      </w:pPr>
    </w:p>
    <w:p>
      <w:pPr>
        <w:spacing w:after="0"/>
        <w:rPr>
          <w:sz w:val="20"/>
          <w:szCs w:val="20"/>
          <w:color w:val="auto"/>
        </w:rPr>
      </w:pPr>
      <w:r>
        <w:rPr>
          <w:rFonts w:ascii="Arial" w:cs="Arial" w:eastAsia="Arial" w:hAnsi="Arial"/>
          <w:sz w:val="20"/>
          <w:szCs w:val="20"/>
          <w:color w:val="auto"/>
        </w:rPr>
        <w:t>Changes in capitalized servicing assets were as follows: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40" w:type="dxa"/>
            <w:vAlign w:val="bottom"/>
            <w:vMerge w:val="restart"/>
          </w:tcPr>
          <w:p>
            <w:pPr>
              <w:spacing w:after="0"/>
              <w:rPr>
                <w:sz w:val="20"/>
                <w:szCs w:val="20"/>
                <w:color w:val="auto"/>
              </w:rPr>
            </w:pPr>
            <w:r>
              <w:rPr>
                <w:rFonts w:ascii="Arial" w:cs="Arial" w:eastAsia="Arial" w:hAnsi="Arial"/>
                <w:sz w:val="14"/>
                <w:szCs w:val="14"/>
                <w:b w:val="1"/>
                <w:bCs w:val="1"/>
                <w:color w:val="auto"/>
                <w:w w:val="90"/>
              </w:rPr>
              <w:t>For the Year Ended December 31,</w:t>
            </w:r>
          </w:p>
        </w:tc>
        <w:tc>
          <w:tcPr>
            <w:tcW w:w="27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8"/>
          </w:tcPr>
          <w:p>
            <w:pPr>
              <w:jc w:val="center"/>
              <w:ind w:left="405"/>
              <w:spacing w:after="0"/>
              <w:rPr>
                <w:sz w:val="20"/>
                <w:szCs w:val="20"/>
                <w:color w:val="auto"/>
              </w:rPr>
            </w:pPr>
            <w:r>
              <w:rPr>
                <w:rFonts w:ascii="Arial" w:cs="Arial" w:eastAsia="Arial" w:hAnsi="Arial"/>
                <w:sz w:val="14"/>
                <w:szCs w:val="14"/>
                <w:b w:val="1"/>
                <w:bCs w:val="1"/>
                <w:color w:val="auto"/>
                <w:w w:val="91"/>
              </w:rPr>
              <w:t>Residential Mortgage Loans</w:t>
            </w:r>
          </w:p>
        </w:tc>
        <w:tc>
          <w:tcPr>
            <w:tcW w:w="7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6"/>
          </w:tcPr>
          <w:p>
            <w:pPr>
              <w:jc w:val="center"/>
              <w:ind w:left="425"/>
              <w:spacing w:after="0"/>
              <w:rPr>
                <w:sz w:val="20"/>
                <w:szCs w:val="20"/>
                <w:color w:val="auto"/>
              </w:rPr>
            </w:pPr>
            <w:r>
              <w:rPr>
                <w:rFonts w:ascii="Arial" w:cs="Arial" w:eastAsia="Arial" w:hAnsi="Arial"/>
                <w:sz w:val="14"/>
                <w:szCs w:val="14"/>
                <w:b w:val="1"/>
                <w:bCs w:val="1"/>
                <w:color w:val="auto"/>
                <w:w w:val="91"/>
              </w:rPr>
              <w:t>Commercial Mortgage Loans</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40" w:type="dxa"/>
            <w:vAlign w:val="bottom"/>
            <w:tcBorders>
              <w:bottom w:val="single" w:sz="8" w:color="auto"/>
            </w:tcBorders>
            <w:vMerge w:val="continue"/>
          </w:tcPr>
          <w:p>
            <w:pPr>
              <w:spacing w:after="0"/>
              <w:rPr>
                <w:sz w:val="12"/>
                <w:szCs w:val="12"/>
                <w:color w:val="auto"/>
              </w:rPr>
            </w:pPr>
          </w:p>
        </w:tc>
        <w:tc>
          <w:tcPr>
            <w:tcW w:w="27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25"/>
              <w:spacing w:after="0" w:line="138"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105"/>
              <w:spacing w:after="0" w:line="138" w:lineRule="exact"/>
              <w:rPr>
                <w:sz w:val="20"/>
                <w:szCs w:val="20"/>
                <w:color w:val="auto"/>
              </w:rPr>
            </w:pPr>
            <w:r>
              <w:rPr>
                <w:rFonts w:ascii="Arial" w:cs="Arial" w:eastAsia="Arial" w:hAnsi="Arial"/>
                <w:sz w:val="14"/>
                <w:szCs w:val="14"/>
                <w:b w:val="1"/>
                <w:bCs w:val="1"/>
                <w:color w:val="auto"/>
                <w:w w:val="89"/>
              </w:rPr>
              <w:t>2016</w:t>
            </w: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46"/>
              <w:spacing w:after="0" w:line="138"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25"/>
              <w:spacing w:after="0" w:line="138"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center"/>
              <w:ind w:right="125"/>
              <w:spacing w:after="0" w:line="138" w:lineRule="exact"/>
              <w:rPr>
                <w:sz w:val="20"/>
                <w:szCs w:val="20"/>
                <w:color w:val="auto"/>
              </w:rPr>
            </w:pPr>
            <w:r>
              <w:rPr>
                <w:rFonts w:ascii="Arial" w:cs="Arial" w:eastAsia="Arial" w:hAnsi="Arial"/>
                <w:sz w:val="14"/>
                <w:szCs w:val="14"/>
                <w:b w:val="1"/>
                <w:bCs w:val="1"/>
                <w:color w:val="auto"/>
                <w:w w:val="89"/>
              </w:rPr>
              <w:t>2016</w:t>
            </w:r>
          </w:p>
        </w:tc>
        <w:tc>
          <w:tcPr>
            <w:tcW w:w="2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43"/>
              <w:spacing w:after="0" w:line="138"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4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40" w:type="dxa"/>
            <w:vAlign w:val="bottom"/>
            <w:gridSpan w:val="6"/>
          </w:tcPr>
          <w:p>
            <w:pPr>
              <w:jc w:val="right"/>
              <w:ind w:right="800"/>
              <w:spacing w:after="0" w:line="158" w:lineRule="exact"/>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2040" w:type="dxa"/>
            <w:vAlign w:val="bottom"/>
            <w:shd w:val="clear" w:color="auto" w:fill="CFF0FC"/>
          </w:tcPr>
          <w:p>
            <w:pPr>
              <w:spacing w:after="0"/>
              <w:rPr>
                <w:sz w:val="20"/>
                <w:szCs w:val="20"/>
                <w:color w:val="auto"/>
              </w:rPr>
            </w:pPr>
            <w:r>
              <w:rPr>
                <w:rFonts w:ascii="Arial" w:cs="Arial" w:eastAsia="Arial" w:hAnsi="Arial"/>
                <w:sz w:val="20"/>
                <w:szCs w:val="20"/>
                <w:color w:val="auto"/>
              </w:rPr>
              <w:t>Beginning balance</w:t>
            </w:r>
          </w:p>
        </w:tc>
        <w:tc>
          <w:tcPr>
            <w:tcW w:w="290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96"/>
              </w:rPr>
              <w:t>117,351</w:t>
            </w:r>
          </w:p>
        </w:tc>
        <w:tc>
          <w:tcPr>
            <w:tcW w:w="200" w:type="dxa"/>
            <w:vAlign w:val="bottom"/>
            <w:shd w:val="clear" w:color="auto" w:fill="CFF0FC"/>
          </w:tcPr>
          <w:p>
            <w:pPr>
              <w:spacing w:after="0"/>
              <w:rPr>
                <w:sz w:val="21"/>
                <w:szCs w:val="21"/>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w w:val="8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96"/>
              </w:rPr>
              <w:t>118,303</w:t>
            </w:r>
          </w:p>
        </w:tc>
        <w:tc>
          <w:tcPr>
            <w:tcW w:w="140" w:type="dxa"/>
            <w:vAlign w:val="bottom"/>
            <w:shd w:val="clear" w:color="auto" w:fill="CFF0FC"/>
          </w:tcPr>
          <w:p>
            <w:pPr>
              <w:spacing w:after="0"/>
              <w:rPr>
                <w:sz w:val="21"/>
                <w:szCs w:val="21"/>
                <w:color w:val="auto"/>
              </w:rPr>
            </w:pPr>
          </w:p>
        </w:tc>
        <w:tc>
          <w:tcPr>
            <w:tcW w:w="300" w:type="dxa"/>
            <w:vAlign w:val="bottom"/>
            <w:gridSpan w:val="2"/>
            <w:shd w:val="clear" w:color="auto" w:fill="CFF0FC"/>
          </w:tcPr>
          <w:p>
            <w:pPr>
              <w:jc w:val="right"/>
              <w:ind w:right="19"/>
              <w:spacing w:after="0"/>
              <w:rPr>
                <w:sz w:val="20"/>
                <w:szCs w:val="20"/>
                <w:color w:val="auto"/>
              </w:rPr>
            </w:pPr>
            <w:r>
              <w:rPr>
                <w:rFonts w:ascii="Arial" w:cs="Arial" w:eastAsia="Arial" w:hAnsi="Arial"/>
                <w:sz w:val="20"/>
                <w:szCs w:val="20"/>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20"/>
                <w:szCs w:val="20"/>
                <w:color w:val="auto"/>
                <w:w w:val="91"/>
              </w:rPr>
              <w:t>109,871</w:t>
            </w:r>
          </w:p>
        </w:tc>
        <w:tc>
          <w:tcPr>
            <w:tcW w:w="140" w:type="dxa"/>
            <w:vAlign w:val="bottom"/>
            <w:shd w:val="clear" w:color="auto" w:fill="CFF0FC"/>
          </w:tcPr>
          <w:p>
            <w:pPr>
              <w:spacing w:after="0"/>
              <w:rPr>
                <w:sz w:val="21"/>
                <w:szCs w:val="21"/>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99"/>
              </w:rPr>
              <w:t>103,764</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83,692</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39"/>
              <w:spacing w:after="0"/>
              <w:rPr>
                <w:sz w:val="20"/>
                <w:szCs w:val="20"/>
                <w:color w:val="auto"/>
              </w:rPr>
            </w:pPr>
            <w:r>
              <w:rPr>
                <w:rFonts w:ascii="Arial" w:cs="Arial" w:eastAsia="Arial" w:hAnsi="Arial"/>
                <w:sz w:val="20"/>
                <w:szCs w:val="20"/>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72,939</w:t>
            </w: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40" w:type="dxa"/>
            <w:vAlign w:val="bottom"/>
          </w:tcPr>
          <w:p>
            <w:pPr>
              <w:spacing w:after="0"/>
              <w:rPr>
                <w:sz w:val="20"/>
                <w:szCs w:val="20"/>
                <w:color w:val="auto"/>
              </w:rPr>
            </w:pPr>
            <w:r>
              <w:rPr>
                <w:rFonts w:ascii="Arial" w:cs="Arial" w:eastAsia="Arial" w:hAnsi="Arial"/>
                <w:sz w:val="20"/>
                <w:szCs w:val="20"/>
                <w:color w:val="auto"/>
              </w:rPr>
              <w:t>Originations</w:t>
            </w:r>
          </w:p>
        </w:tc>
        <w:tc>
          <w:tcPr>
            <w:tcW w:w="2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28,792</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28,618</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35,556</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34,620</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40,117</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29,914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40" w:type="dxa"/>
            <w:vAlign w:val="bottom"/>
            <w:shd w:val="clear" w:color="auto" w:fill="CFF0FC"/>
          </w:tcPr>
          <w:p>
            <w:pPr>
              <w:spacing w:after="0"/>
              <w:rPr>
                <w:sz w:val="20"/>
                <w:szCs w:val="20"/>
                <w:color w:val="auto"/>
              </w:rPr>
            </w:pPr>
            <w:r>
              <w:rPr>
                <w:rFonts w:ascii="Arial" w:cs="Arial" w:eastAsia="Arial" w:hAnsi="Arial"/>
                <w:sz w:val="20"/>
                <w:szCs w:val="20"/>
                <w:color w:val="auto"/>
              </w:rPr>
              <w:t>Purchases</w:t>
            </w:r>
          </w:p>
        </w:tc>
        <w:tc>
          <w:tcPr>
            <w:tcW w:w="27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699</w:t>
            </w:r>
          </w:p>
        </w:tc>
        <w:tc>
          <w:tcPr>
            <w:tcW w:w="2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638</w:t>
            </w: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243</w:t>
            </w:r>
          </w:p>
        </w:tc>
        <w:tc>
          <w:tcPr>
            <w:tcW w:w="1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20"/>
                <w:szCs w:val="20"/>
                <w:color w:val="auto"/>
              </w:rPr>
              <w:t>—</w:t>
            </w:r>
          </w:p>
        </w:tc>
        <w:tc>
          <w:tcPr>
            <w:tcW w:w="18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20"/>
                <w:szCs w:val="20"/>
                <w:color w:val="auto"/>
              </w:rPr>
              <w:t>—</w:t>
            </w:r>
          </w:p>
        </w:tc>
        <w:tc>
          <w:tcPr>
            <w:tcW w:w="24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40" w:type="dxa"/>
            <w:vAlign w:val="bottom"/>
          </w:tcPr>
          <w:p>
            <w:pPr>
              <w:spacing w:after="0"/>
              <w:rPr>
                <w:sz w:val="20"/>
                <w:szCs w:val="20"/>
                <w:color w:val="auto"/>
              </w:rPr>
            </w:pPr>
            <w:r>
              <w:rPr>
                <w:rFonts w:ascii="Arial" w:cs="Arial" w:eastAsia="Arial" w:hAnsi="Arial"/>
                <w:sz w:val="20"/>
                <w:szCs w:val="20"/>
                <w:color w:val="auto"/>
              </w:rPr>
              <w:t>Amortization</w:t>
            </w:r>
          </w:p>
        </w:tc>
        <w:tc>
          <w:tcPr>
            <w:tcW w:w="2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20"/>
                <w:szCs w:val="20"/>
                <w:color w:val="auto"/>
              </w:rPr>
              <w:t>(31,864)</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20"/>
                <w:szCs w:val="20"/>
                <w:color w:val="auto"/>
              </w:rPr>
              <w:t>(30,208)</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20"/>
                <w:szCs w:val="20"/>
                <w:color w:val="auto"/>
                <w:w w:val="99"/>
              </w:rPr>
              <w:t>(27,367)</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20"/>
                <w:szCs w:val="20"/>
                <w:color w:val="auto"/>
              </w:rPr>
              <w:t>(24,308)</w:t>
            </w:r>
          </w:p>
        </w:tc>
        <w:tc>
          <w:tcPr>
            <w:tcW w:w="18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20"/>
                <w:szCs w:val="20"/>
                <w:color w:val="auto"/>
              </w:rPr>
              <w:t>(20,045)</w:t>
            </w:r>
          </w:p>
        </w:tc>
        <w:tc>
          <w:tcPr>
            <w:tcW w:w="240" w:type="dxa"/>
            <w:vAlign w:val="bottom"/>
          </w:tcPr>
          <w:p>
            <w:pPr>
              <w:spacing w:after="0"/>
              <w:rPr>
                <w:sz w:val="21"/>
                <w:szCs w:val="21"/>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20"/>
                <w:szCs w:val="20"/>
                <w:color w:val="auto"/>
                <w:w w:val="99"/>
              </w:rPr>
              <w:t>(19,161)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40" w:type="dxa"/>
            <w:vAlign w:val="bottom"/>
            <w:tcBorders>
              <w:top w:val="single" w:sz="8" w:color="CFF0FC"/>
            </w:tcBorders>
            <w:shd w:val="clear" w:color="auto" w:fill="CFF0FC"/>
          </w:tcPr>
          <w:p>
            <w:pPr>
              <w:spacing w:after="0"/>
              <w:rPr>
                <w:sz w:val="21"/>
                <w:szCs w:val="21"/>
                <w:color w:val="auto"/>
              </w:rPr>
            </w:pPr>
          </w:p>
        </w:tc>
        <w:tc>
          <w:tcPr>
            <w:tcW w:w="2720" w:type="dxa"/>
            <w:vAlign w:val="bottom"/>
            <w:tcBorders>
              <w:top w:val="single" w:sz="8" w:color="CFF0FC"/>
            </w:tcBorders>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96"/>
              </w:rPr>
              <w:t>114,978</w:t>
            </w:r>
          </w:p>
        </w:tc>
        <w:tc>
          <w:tcPr>
            <w:tcW w:w="200" w:type="dxa"/>
            <w:vAlign w:val="bottom"/>
            <w:tcBorders>
              <w:top w:val="single" w:sz="8" w:color="CFF0FC"/>
            </w:tcBorders>
            <w:shd w:val="clear" w:color="auto" w:fill="CFF0FC"/>
          </w:tcPr>
          <w:p>
            <w:pPr>
              <w:spacing w:after="0"/>
              <w:rPr>
                <w:sz w:val="21"/>
                <w:szCs w:val="21"/>
                <w:color w:val="auto"/>
              </w:rPr>
            </w:pPr>
          </w:p>
        </w:tc>
        <w:tc>
          <w:tcPr>
            <w:tcW w:w="20" w:type="dxa"/>
            <w:vAlign w:val="bottom"/>
            <w:tcBorders>
              <w:top w:val="single" w:sz="8" w:color="CFF0FC"/>
            </w:tcBorders>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96"/>
              </w:rPr>
              <w:t>117,351</w:t>
            </w:r>
          </w:p>
        </w:tc>
        <w:tc>
          <w:tcPr>
            <w:tcW w:w="140" w:type="dxa"/>
            <w:vAlign w:val="bottom"/>
            <w:tcBorders>
              <w:top w:val="single" w:sz="8" w:color="CFF0FC"/>
            </w:tcBorders>
            <w:shd w:val="clear" w:color="auto" w:fill="CFF0FC"/>
          </w:tcPr>
          <w:p>
            <w:pPr>
              <w:spacing w:after="0"/>
              <w:rPr>
                <w:sz w:val="21"/>
                <w:szCs w:val="21"/>
                <w:color w:val="auto"/>
              </w:rPr>
            </w:pPr>
          </w:p>
        </w:tc>
        <w:tc>
          <w:tcPr>
            <w:tcW w:w="80" w:type="dxa"/>
            <w:vAlign w:val="bottom"/>
            <w:tcBorders>
              <w:top w:val="single" w:sz="8" w:color="CFF0FC"/>
            </w:tcBorders>
            <w:shd w:val="clear" w:color="auto" w:fill="CFF0FC"/>
          </w:tcPr>
          <w:p>
            <w:pPr>
              <w:spacing w:after="0"/>
              <w:rPr>
                <w:sz w:val="21"/>
                <w:szCs w:val="21"/>
                <w:color w:val="auto"/>
              </w:rPr>
            </w:pPr>
          </w:p>
        </w:tc>
        <w:tc>
          <w:tcPr>
            <w:tcW w:w="220" w:type="dxa"/>
            <w:vAlign w:val="bottom"/>
            <w:tcBorders>
              <w:top w:val="single" w:sz="8" w:color="auto"/>
            </w:tcBorders>
            <w:shd w:val="clear" w:color="auto" w:fill="CFF0FC"/>
          </w:tcPr>
          <w:p>
            <w:pPr>
              <w:spacing w:after="0"/>
              <w:rPr>
                <w:sz w:val="21"/>
                <w:szCs w:val="21"/>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91"/>
              </w:rPr>
              <w:t>118,303</w:t>
            </w:r>
          </w:p>
        </w:tc>
        <w:tc>
          <w:tcPr>
            <w:tcW w:w="140" w:type="dxa"/>
            <w:vAlign w:val="bottom"/>
            <w:tcBorders>
              <w:top w:val="single" w:sz="8" w:color="CFF0FC"/>
            </w:tcBorders>
            <w:shd w:val="clear" w:color="auto" w:fill="CFF0FC"/>
          </w:tcPr>
          <w:p>
            <w:pPr>
              <w:spacing w:after="0"/>
              <w:rPr>
                <w:sz w:val="21"/>
                <w:szCs w:val="21"/>
                <w:color w:val="auto"/>
              </w:rPr>
            </w:pPr>
          </w:p>
        </w:tc>
        <w:tc>
          <w:tcPr>
            <w:tcW w:w="60" w:type="dxa"/>
            <w:vAlign w:val="bottom"/>
            <w:tcBorders>
              <w:top w:val="single" w:sz="8" w:color="CFF0FC"/>
            </w:tcBorders>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99"/>
              </w:rPr>
              <w:t>114,076</w:t>
            </w:r>
          </w:p>
        </w:tc>
        <w:tc>
          <w:tcPr>
            <w:tcW w:w="220" w:type="dxa"/>
            <w:vAlign w:val="bottom"/>
            <w:tcBorders>
              <w:top w:val="single" w:sz="8" w:color="CFF0FC"/>
            </w:tcBorders>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96"/>
              </w:rPr>
              <w:t>103,764</w:t>
            </w:r>
          </w:p>
        </w:tc>
        <w:tc>
          <w:tcPr>
            <w:tcW w:w="200" w:type="dxa"/>
            <w:vAlign w:val="bottom"/>
            <w:tcBorders>
              <w:top w:val="single" w:sz="8" w:color="CFF0FC"/>
            </w:tcBorders>
            <w:shd w:val="clear" w:color="auto" w:fill="CFF0FC"/>
          </w:tcPr>
          <w:p>
            <w:pPr>
              <w:spacing w:after="0"/>
              <w:rPr>
                <w:sz w:val="21"/>
                <w:szCs w:val="21"/>
                <w:color w:val="auto"/>
              </w:rPr>
            </w:pPr>
          </w:p>
        </w:tc>
        <w:tc>
          <w:tcPr>
            <w:tcW w:w="240" w:type="dxa"/>
            <w:vAlign w:val="bottom"/>
            <w:tcBorders>
              <w:top w:val="single" w:sz="8" w:color="auto"/>
            </w:tcBorders>
            <w:shd w:val="clear" w:color="auto" w:fill="CFF0FC"/>
          </w:tcPr>
          <w:p>
            <w:pPr>
              <w:spacing w:after="0"/>
              <w:rPr>
                <w:sz w:val="21"/>
                <w:szCs w:val="21"/>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83,692</w:t>
            </w:r>
          </w:p>
        </w:tc>
        <w:tc>
          <w:tcPr>
            <w:tcW w:w="100" w:type="dxa"/>
            <w:vAlign w:val="bottom"/>
            <w:tcBorders>
              <w:top w:val="single" w:sz="8" w:color="CFF0FC"/>
            </w:tcBorders>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40" w:type="dxa"/>
            <w:vAlign w:val="bottom"/>
          </w:tcPr>
          <w:p>
            <w:pPr>
              <w:spacing w:after="0"/>
              <w:rPr>
                <w:sz w:val="20"/>
                <w:szCs w:val="20"/>
                <w:color w:val="auto"/>
              </w:rPr>
            </w:pPr>
            <w:r>
              <w:rPr>
                <w:rFonts w:ascii="Arial" w:cs="Arial" w:eastAsia="Arial" w:hAnsi="Arial"/>
                <w:sz w:val="20"/>
                <w:szCs w:val="20"/>
                <w:color w:val="auto"/>
              </w:rPr>
              <w:t>Valuation allowance</w:t>
            </w:r>
          </w:p>
        </w:tc>
        <w:tc>
          <w:tcPr>
            <w:tcW w:w="2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21"/>
                <w:szCs w:val="2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Ending balance, net</w:t>
            </w:r>
          </w:p>
        </w:tc>
        <w:tc>
          <w:tcPr>
            <w:tcW w:w="2720" w:type="dxa"/>
            <w:vAlign w:val="bottom"/>
            <w:tcBorders>
              <w:top w:val="single" w:sz="8" w:color="CFF0FC"/>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96"/>
              </w:rPr>
              <w:t>114,978</w:t>
            </w:r>
          </w:p>
        </w:tc>
        <w:tc>
          <w:tcPr>
            <w:tcW w:w="200" w:type="dxa"/>
            <w:vAlign w:val="bottom"/>
            <w:tcBorders>
              <w:top w:val="single" w:sz="8" w:color="CFF0FC"/>
              <w:bottom w:val="single" w:sz="8" w:color="CFF0FC"/>
            </w:tcBorders>
            <w:shd w:val="clear" w:color="auto" w:fill="CFF0FC"/>
          </w:tcPr>
          <w:p>
            <w:pPr>
              <w:spacing w:after="0"/>
              <w:rPr>
                <w:sz w:val="21"/>
                <w:szCs w:val="21"/>
                <w:color w:val="auto"/>
              </w:rPr>
            </w:pPr>
          </w:p>
        </w:tc>
        <w:tc>
          <w:tcPr>
            <w:tcW w:w="20" w:type="dxa"/>
            <w:vAlign w:val="bottom"/>
            <w:tcBorders>
              <w:top w:val="single" w:sz="8" w:color="CFF0FC"/>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96"/>
              </w:rPr>
              <w:t>117,351</w:t>
            </w:r>
          </w:p>
        </w:tc>
        <w:tc>
          <w:tcPr>
            <w:tcW w:w="140" w:type="dxa"/>
            <w:vAlign w:val="bottom"/>
            <w:tcBorders>
              <w:top w:val="single" w:sz="8" w:color="CFF0FC"/>
              <w:bottom w:val="single" w:sz="8" w:color="CFF0FC"/>
            </w:tcBorders>
            <w:shd w:val="clear" w:color="auto" w:fill="CFF0FC"/>
          </w:tcPr>
          <w:p>
            <w:pPr>
              <w:spacing w:after="0"/>
              <w:rPr>
                <w:sz w:val="21"/>
                <w:szCs w:val="21"/>
                <w:color w:val="auto"/>
              </w:rPr>
            </w:pPr>
          </w:p>
        </w:tc>
        <w:tc>
          <w:tcPr>
            <w:tcW w:w="80" w:type="dxa"/>
            <w:vAlign w:val="bottom"/>
            <w:tcBorders>
              <w:top w:val="single" w:sz="8" w:color="CFF0FC"/>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Arial" w:cs="Arial" w:eastAsia="Arial" w:hAnsi="Arial"/>
                <w:sz w:val="20"/>
                <w:szCs w:val="20"/>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91"/>
              </w:rPr>
              <w:t>118,303</w:t>
            </w:r>
          </w:p>
        </w:tc>
        <w:tc>
          <w:tcPr>
            <w:tcW w:w="140" w:type="dxa"/>
            <w:vAlign w:val="bottom"/>
            <w:tcBorders>
              <w:top w:val="single" w:sz="8" w:color="CFF0FC"/>
              <w:bottom w:val="single" w:sz="8" w:color="CFF0FC"/>
            </w:tcBorders>
            <w:shd w:val="clear" w:color="auto" w:fill="CFF0FC"/>
          </w:tcPr>
          <w:p>
            <w:pPr>
              <w:spacing w:after="0"/>
              <w:rPr>
                <w:sz w:val="21"/>
                <w:szCs w:val="21"/>
                <w:color w:val="auto"/>
              </w:rPr>
            </w:pPr>
          </w:p>
        </w:tc>
        <w:tc>
          <w:tcPr>
            <w:tcW w:w="60" w:type="dxa"/>
            <w:vAlign w:val="bottom"/>
            <w:tcBorders>
              <w:top w:val="single" w:sz="8" w:color="CFF0FC"/>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99"/>
              </w:rPr>
              <w:t>114,076</w:t>
            </w:r>
          </w:p>
        </w:tc>
        <w:tc>
          <w:tcPr>
            <w:tcW w:w="220" w:type="dxa"/>
            <w:vAlign w:val="bottom"/>
            <w:tcBorders>
              <w:top w:val="single" w:sz="8" w:color="CFF0FC"/>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96"/>
              </w:rPr>
              <w:t>103,764</w:t>
            </w:r>
          </w:p>
        </w:tc>
        <w:tc>
          <w:tcPr>
            <w:tcW w:w="200" w:type="dxa"/>
            <w:vAlign w:val="bottom"/>
            <w:tcBorders>
              <w:top w:val="single" w:sz="8" w:color="CFF0FC"/>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Arial" w:cs="Arial" w:eastAsia="Arial" w:hAnsi="Arial"/>
                <w:sz w:val="20"/>
                <w:szCs w:val="20"/>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83,692</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2040" w:type="dxa"/>
            <w:vAlign w:val="bottom"/>
            <w:vMerge w:val="restart"/>
          </w:tcPr>
          <w:p>
            <w:pPr>
              <w:spacing w:after="0"/>
              <w:rPr>
                <w:sz w:val="20"/>
                <w:szCs w:val="20"/>
                <w:color w:val="auto"/>
              </w:rPr>
            </w:pPr>
            <w:r>
              <w:rPr>
                <w:rFonts w:ascii="Arial" w:cs="Arial" w:eastAsia="Arial" w:hAnsi="Arial"/>
                <w:sz w:val="14"/>
                <w:szCs w:val="14"/>
                <w:b w:val="1"/>
                <w:bCs w:val="1"/>
                <w:color w:val="auto"/>
                <w:w w:val="90"/>
              </w:rPr>
              <w:t>For the Year Ended December 31,</w:t>
            </w:r>
          </w:p>
        </w:tc>
        <w:tc>
          <w:tcPr>
            <w:tcW w:w="27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6"/>
              </w:rPr>
              <w:t>Other</w:t>
            </w: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89"/>
              </w:rPr>
              <w:t>Total</w:t>
            </w:r>
          </w:p>
        </w:tc>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040" w:type="dxa"/>
            <w:vAlign w:val="bottom"/>
            <w:tcBorders>
              <w:bottom w:val="single" w:sz="8" w:color="auto"/>
            </w:tcBorders>
            <w:vMerge w:val="continue"/>
          </w:tcPr>
          <w:p>
            <w:pPr>
              <w:spacing w:after="0"/>
              <w:rPr>
                <w:sz w:val="12"/>
                <w:szCs w:val="12"/>
                <w:color w:val="auto"/>
              </w:rPr>
            </w:pPr>
          </w:p>
        </w:tc>
        <w:tc>
          <w:tcPr>
            <w:tcW w:w="27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25"/>
              <w:spacing w:after="0" w:line="138"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105"/>
              <w:spacing w:after="0" w:line="138" w:lineRule="exact"/>
              <w:rPr>
                <w:sz w:val="20"/>
                <w:szCs w:val="20"/>
                <w:color w:val="auto"/>
              </w:rPr>
            </w:pPr>
            <w:r>
              <w:rPr>
                <w:rFonts w:ascii="Arial" w:cs="Arial" w:eastAsia="Arial" w:hAnsi="Arial"/>
                <w:sz w:val="14"/>
                <w:szCs w:val="14"/>
                <w:b w:val="1"/>
                <w:bCs w:val="1"/>
                <w:color w:val="auto"/>
                <w:w w:val="89"/>
              </w:rPr>
              <w:t>2016</w:t>
            </w: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46"/>
              <w:spacing w:after="0" w:line="138"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25"/>
              <w:spacing w:after="0" w:line="138"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center"/>
              <w:ind w:right="125"/>
              <w:spacing w:after="0" w:line="138" w:lineRule="exact"/>
              <w:rPr>
                <w:sz w:val="20"/>
                <w:szCs w:val="20"/>
                <w:color w:val="auto"/>
              </w:rPr>
            </w:pPr>
            <w:r>
              <w:rPr>
                <w:rFonts w:ascii="Arial" w:cs="Arial" w:eastAsia="Arial" w:hAnsi="Arial"/>
                <w:sz w:val="14"/>
                <w:szCs w:val="14"/>
                <w:b w:val="1"/>
                <w:bCs w:val="1"/>
                <w:color w:val="auto"/>
                <w:w w:val="89"/>
              </w:rPr>
              <w:t>2016</w:t>
            </w:r>
          </w:p>
        </w:tc>
        <w:tc>
          <w:tcPr>
            <w:tcW w:w="2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43"/>
              <w:spacing w:after="0" w:line="138"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4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40" w:type="dxa"/>
            <w:vAlign w:val="bottom"/>
            <w:gridSpan w:val="6"/>
          </w:tcPr>
          <w:p>
            <w:pPr>
              <w:jc w:val="right"/>
              <w:ind w:right="800"/>
              <w:spacing w:after="0" w:line="157" w:lineRule="exact"/>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2040" w:type="dxa"/>
            <w:vAlign w:val="bottom"/>
          </w:tcPr>
          <w:p>
            <w:pPr>
              <w:spacing w:after="0"/>
              <w:rPr>
                <w:sz w:val="20"/>
                <w:szCs w:val="20"/>
                <w:color w:val="auto"/>
              </w:rPr>
            </w:pPr>
            <w:r>
              <w:rPr>
                <w:rFonts w:ascii="Arial" w:cs="Arial" w:eastAsia="Arial" w:hAnsi="Arial"/>
                <w:sz w:val="20"/>
                <w:szCs w:val="20"/>
                <w:color w:val="auto"/>
              </w:rPr>
              <w:t>Beginning balance</w:t>
            </w:r>
          </w:p>
        </w:tc>
        <w:tc>
          <w:tcPr>
            <w:tcW w:w="29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200" w:type="dxa"/>
            <w:vAlign w:val="bottom"/>
            <w:gridSpan w:val="2"/>
          </w:tcPr>
          <w:p>
            <w:pPr>
              <w:jc w:val="right"/>
              <w:spacing w:after="0"/>
              <w:rPr>
                <w:sz w:val="20"/>
                <w:szCs w:val="20"/>
                <w:color w:val="auto"/>
              </w:rPr>
            </w:pPr>
            <w:r>
              <w:rPr>
                <w:rFonts w:ascii="Arial" w:cs="Arial" w:eastAsia="Arial" w:hAnsi="Arial"/>
                <w:sz w:val="20"/>
                <w:szCs w:val="20"/>
                <w:color w:val="auto"/>
                <w:w w:val="89"/>
              </w:rPr>
              <w:t>$</w:t>
            </w:r>
          </w:p>
        </w:tc>
        <w:tc>
          <w:tcPr>
            <w:tcW w:w="720" w:type="dxa"/>
            <w:vAlign w:val="bottom"/>
          </w:tcPr>
          <w:p>
            <w:pPr>
              <w:jc w:val="right"/>
              <w:spacing w:after="0"/>
              <w:rPr>
                <w:sz w:val="20"/>
                <w:szCs w:val="20"/>
                <w:color w:val="auto"/>
              </w:rPr>
            </w:pPr>
            <w:r>
              <w:rPr>
                <w:rFonts w:ascii="Arial" w:cs="Arial" w:eastAsia="Arial" w:hAnsi="Arial"/>
                <w:sz w:val="20"/>
                <w:szCs w:val="20"/>
                <w:color w:val="auto"/>
              </w:rPr>
              <w:t>729</w:t>
            </w:r>
          </w:p>
        </w:tc>
        <w:tc>
          <w:tcPr>
            <w:tcW w:w="140" w:type="dxa"/>
            <w:vAlign w:val="bottom"/>
          </w:tcPr>
          <w:p>
            <w:pPr>
              <w:spacing w:after="0"/>
              <w:rPr>
                <w:sz w:val="21"/>
                <w:szCs w:val="21"/>
                <w:color w:val="auto"/>
              </w:rPr>
            </w:pPr>
          </w:p>
        </w:tc>
        <w:tc>
          <w:tcPr>
            <w:tcW w:w="300" w:type="dxa"/>
            <w:vAlign w:val="bottom"/>
            <w:gridSpan w:val="2"/>
          </w:tcPr>
          <w:p>
            <w:pPr>
              <w:jc w:val="right"/>
              <w:ind w:right="19"/>
              <w:spacing w:after="0"/>
              <w:rPr>
                <w:sz w:val="20"/>
                <w:szCs w:val="20"/>
                <w:color w:val="auto"/>
              </w:rPr>
            </w:pPr>
            <w:r>
              <w:rPr>
                <w:rFonts w:ascii="Arial" w:cs="Arial" w:eastAsia="Arial" w:hAnsi="Arial"/>
                <w:sz w:val="20"/>
                <w:szCs w:val="20"/>
                <w:color w:val="auto"/>
              </w:rPr>
              <w:t>$</w:t>
            </w:r>
          </w:p>
        </w:tc>
        <w:tc>
          <w:tcPr>
            <w:tcW w:w="700" w:type="dxa"/>
            <w:vAlign w:val="bottom"/>
          </w:tcPr>
          <w:p>
            <w:pPr>
              <w:jc w:val="right"/>
              <w:spacing w:after="0"/>
              <w:rPr>
                <w:sz w:val="20"/>
                <w:szCs w:val="20"/>
                <w:color w:val="auto"/>
              </w:rPr>
            </w:pPr>
            <w:r>
              <w:rPr>
                <w:rFonts w:ascii="Arial" w:cs="Arial" w:eastAsia="Arial" w:hAnsi="Arial"/>
                <w:sz w:val="20"/>
                <w:szCs w:val="20"/>
                <w:color w:val="auto"/>
              </w:rPr>
              <w:t>4,107</w:t>
            </w:r>
          </w:p>
        </w:tc>
        <w:tc>
          <w:tcPr>
            <w:tcW w:w="140" w:type="dxa"/>
            <w:vAlign w:val="bottom"/>
          </w:tcPr>
          <w:p>
            <w:pPr>
              <w:spacing w:after="0"/>
              <w:rPr>
                <w:sz w:val="21"/>
                <w:szCs w:val="21"/>
                <w:color w:val="auto"/>
              </w:rPr>
            </w:pP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740" w:type="dxa"/>
            <w:vAlign w:val="bottom"/>
          </w:tcPr>
          <w:p>
            <w:pPr>
              <w:jc w:val="right"/>
              <w:spacing w:after="0"/>
              <w:rPr>
                <w:sz w:val="20"/>
                <w:szCs w:val="20"/>
                <w:color w:val="auto"/>
              </w:rPr>
            </w:pPr>
            <w:r>
              <w:rPr>
                <w:rFonts w:ascii="Arial" w:cs="Arial" w:eastAsia="Arial" w:hAnsi="Arial"/>
                <w:sz w:val="20"/>
                <w:szCs w:val="20"/>
                <w:color w:val="auto"/>
                <w:w w:val="99"/>
              </w:rPr>
              <w:t>221,115</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740" w:type="dxa"/>
            <w:vAlign w:val="bottom"/>
          </w:tcPr>
          <w:p>
            <w:pPr>
              <w:jc w:val="right"/>
              <w:spacing w:after="0"/>
              <w:rPr>
                <w:sz w:val="20"/>
                <w:szCs w:val="20"/>
                <w:color w:val="auto"/>
              </w:rPr>
            </w:pPr>
            <w:r>
              <w:rPr>
                <w:rFonts w:ascii="Arial" w:cs="Arial" w:eastAsia="Arial" w:hAnsi="Arial"/>
                <w:sz w:val="20"/>
                <w:szCs w:val="20"/>
                <w:color w:val="auto"/>
                <w:w w:val="96"/>
              </w:rPr>
              <w:t>202,724</w:t>
            </w:r>
          </w:p>
        </w:tc>
        <w:tc>
          <w:tcPr>
            <w:tcW w:w="200" w:type="dxa"/>
            <w:vAlign w:val="bottom"/>
          </w:tcPr>
          <w:p>
            <w:pPr>
              <w:spacing w:after="0"/>
              <w:rPr>
                <w:sz w:val="21"/>
                <w:szCs w:val="21"/>
                <w:color w:val="auto"/>
              </w:rPr>
            </w:pPr>
          </w:p>
        </w:tc>
        <w:tc>
          <w:tcPr>
            <w:tcW w:w="240" w:type="dxa"/>
            <w:vAlign w:val="bottom"/>
          </w:tcPr>
          <w:p>
            <w:pPr>
              <w:jc w:val="right"/>
              <w:ind w:right="39"/>
              <w:spacing w:after="0"/>
              <w:rPr>
                <w:sz w:val="20"/>
                <w:szCs w:val="20"/>
                <w:color w:val="auto"/>
              </w:rPr>
            </w:pPr>
            <w:r>
              <w:rPr>
                <w:rFonts w:ascii="Arial" w:cs="Arial" w:eastAsia="Arial" w:hAnsi="Arial"/>
                <w:sz w:val="20"/>
                <w:szCs w:val="20"/>
                <w:color w:val="auto"/>
                <w:w w:val="71"/>
              </w:rPr>
              <w:t>$</w:t>
            </w:r>
          </w:p>
        </w:tc>
        <w:tc>
          <w:tcPr>
            <w:tcW w:w="700" w:type="dxa"/>
            <w:vAlign w:val="bottom"/>
          </w:tcPr>
          <w:p>
            <w:pPr>
              <w:jc w:val="right"/>
              <w:spacing w:after="0"/>
              <w:rPr>
                <w:sz w:val="20"/>
                <w:szCs w:val="20"/>
                <w:color w:val="auto"/>
              </w:rPr>
            </w:pPr>
            <w:r>
              <w:rPr>
                <w:rFonts w:ascii="Arial" w:cs="Arial" w:eastAsia="Arial" w:hAnsi="Arial"/>
                <w:sz w:val="20"/>
                <w:szCs w:val="20"/>
                <w:color w:val="auto"/>
                <w:w w:val="91"/>
              </w:rPr>
              <w:t>186,917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40" w:type="dxa"/>
            <w:vAlign w:val="bottom"/>
            <w:shd w:val="clear" w:color="auto" w:fill="CFF0FC"/>
          </w:tcPr>
          <w:p>
            <w:pPr>
              <w:spacing w:after="0"/>
              <w:rPr>
                <w:sz w:val="20"/>
                <w:szCs w:val="20"/>
                <w:color w:val="auto"/>
              </w:rPr>
            </w:pPr>
            <w:r>
              <w:rPr>
                <w:rFonts w:ascii="Arial" w:cs="Arial" w:eastAsia="Arial" w:hAnsi="Arial"/>
                <w:sz w:val="20"/>
                <w:szCs w:val="20"/>
                <w:color w:val="auto"/>
              </w:rPr>
              <w:t>Originations</w:t>
            </w:r>
          </w:p>
        </w:tc>
        <w:tc>
          <w:tcPr>
            <w:tcW w:w="27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20"/>
                <w:szCs w:val="20"/>
                <w:color w:val="auto"/>
              </w:rPr>
              <w:t>—</w:t>
            </w:r>
          </w:p>
        </w:tc>
        <w:tc>
          <w:tcPr>
            <w:tcW w:w="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20"/>
                <w:szCs w:val="20"/>
                <w:color w:val="auto"/>
              </w:rPr>
              <w:t>—</w:t>
            </w: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20"/>
                <w:szCs w:val="20"/>
                <w:color w:val="auto"/>
              </w:rPr>
              <w:t>—</w:t>
            </w:r>
          </w:p>
        </w:tc>
        <w:tc>
          <w:tcPr>
            <w:tcW w:w="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63,412</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68,735</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65,470</w:t>
            </w: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40" w:type="dxa"/>
            <w:vAlign w:val="bottom"/>
          </w:tcPr>
          <w:p>
            <w:pPr>
              <w:spacing w:after="0"/>
              <w:rPr>
                <w:sz w:val="20"/>
                <w:szCs w:val="20"/>
                <w:color w:val="auto"/>
              </w:rPr>
            </w:pPr>
            <w:r>
              <w:rPr>
                <w:rFonts w:ascii="Arial" w:cs="Arial" w:eastAsia="Arial" w:hAnsi="Arial"/>
                <w:sz w:val="20"/>
                <w:szCs w:val="20"/>
                <w:color w:val="auto"/>
              </w:rPr>
              <w:t>Purchases</w:t>
            </w:r>
          </w:p>
        </w:tc>
        <w:tc>
          <w:tcPr>
            <w:tcW w:w="2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699</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638</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243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40" w:type="dxa"/>
            <w:vAlign w:val="bottom"/>
            <w:shd w:val="clear" w:color="auto" w:fill="CFF0FC"/>
          </w:tcPr>
          <w:p>
            <w:pPr>
              <w:spacing w:after="0"/>
              <w:rPr>
                <w:sz w:val="20"/>
                <w:szCs w:val="20"/>
                <w:color w:val="auto"/>
              </w:rPr>
            </w:pPr>
            <w:r>
              <w:rPr>
                <w:rFonts w:ascii="Arial" w:cs="Arial" w:eastAsia="Arial" w:hAnsi="Arial"/>
                <w:sz w:val="20"/>
                <w:szCs w:val="20"/>
                <w:color w:val="auto"/>
              </w:rPr>
              <w:t>Amortization</w:t>
            </w:r>
          </w:p>
        </w:tc>
        <w:tc>
          <w:tcPr>
            <w:tcW w:w="27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20"/>
                <w:szCs w:val="20"/>
                <w:color w:val="auto"/>
              </w:rPr>
              <w:t>—</w:t>
            </w:r>
          </w:p>
        </w:tc>
        <w:tc>
          <w:tcPr>
            <w:tcW w:w="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20"/>
                <w:szCs w:val="20"/>
                <w:color w:val="auto"/>
              </w:rPr>
              <w:t>(729)</w:t>
            </w: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20"/>
                <w:szCs w:val="20"/>
                <w:color w:val="auto"/>
              </w:rPr>
              <w:t>(3,378)</w:t>
            </w:r>
          </w:p>
        </w:tc>
        <w:tc>
          <w:tcPr>
            <w:tcW w:w="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20"/>
                <w:szCs w:val="20"/>
                <w:color w:val="auto"/>
              </w:rPr>
              <w:t>(56,172)</w:t>
            </w:r>
          </w:p>
        </w:tc>
        <w:tc>
          <w:tcPr>
            <w:tcW w:w="18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20"/>
                <w:szCs w:val="20"/>
                <w:color w:val="auto"/>
              </w:rPr>
              <w:t>(50,982)</w:t>
            </w:r>
          </w:p>
        </w:tc>
        <w:tc>
          <w:tcPr>
            <w:tcW w:w="24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w w:val="99"/>
              </w:rPr>
              <w:t>(49,906)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4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729</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w w:val="99"/>
              </w:rPr>
              <w:t>229,054</w:t>
            </w:r>
          </w:p>
        </w:tc>
        <w:tc>
          <w:tcPr>
            <w:tcW w:w="2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w w:val="96"/>
              </w:rPr>
              <w:t>221,115</w:t>
            </w:r>
          </w:p>
        </w:tc>
        <w:tc>
          <w:tcPr>
            <w:tcW w:w="2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w w:val="91"/>
              </w:rPr>
              <w:t>202,724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40" w:type="dxa"/>
            <w:vAlign w:val="bottom"/>
            <w:shd w:val="clear" w:color="auto" w:fill="CFF0FC"/>
          </w:tcPr>
          <w:p>
            <w:pPr>
              <w:spacing w:after="0"/>
              <w:rPr>
                <w:sz w:val="20"/>
                <w:szCs w:val="20"/>
                <w:color w:val="auto"/>
              </w:rPr>
            </w:pPr>
            <w:r>
              <w:rPr>
                <w:rFonts w:ascii="Arial" w:cs="Arial" w:eastAsia="Arial" w:hAnsi="Arial"/>
                <w:sz w:val="20"/>
                <w:szCs w:val="20"/>
                <w:color w:val="auto"/>
              </w:rPr>
              <w:t>Valuation allowance</w:t>
            </w:r>
          </w:p>
        </w:tc>
        <w:tc>
          <w:tcPr>
            <w:tcW w:w="27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20"/>
                <w:szCs w:val="20"/>
                <w:color w:val="auto"/>
              </w:rPr>
              <w:t>—</w:t>
            </w:r>
          </w:p>
        </w:tc>
        <w:tc>
          <w:tcPr>
            <w:tcW w:w="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20"/>
                <w:szCs w:val="20"/>
                <w:color w:val="auto"/>
              </w:rPr>
              <w:t>—</w:t>
            </w: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20"/>
                <w:szCs w:val="20"/>
                <w:color w:val="auto"/>
              </w:rPr>
              <w:t>—</w:t>
            </w:r>
          </w:p>
        </w:tc>
        <w:tc>
          <w:tcPr>
            <w:tcW w:w="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20"/>
                <w:szCs w:val="20"/>
                <w:color w:val="auto"/>
              </w:rPr>
              <w:t>—</w:t>
            </w:r>
          </w:p>
        </w:tc>
        <w:tc>
          <w:tcPr>
            <w:tcW w:w="18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20"/>
                <w:szCs w:val="20"/>
                <w:color w:val="auto"/>
              </w:rPr>
              <w:t>—</w:t>
            </w:r>
          </w:p>
        </w:tc>
        <w:tc>
          <w:tcPr>
            <w:tcW w:w="24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40" w:type="dxa"/>
            <w:vAlign w:val="bottom"/>
          </w:tcPr>
          <w:p>
            <w:pPr>
              <w:spacing w:after="0"/>
              <w:rPr>
                <w:sz w:val="20"/>
                <w:szCs w:val="20"/>
                <w:color w:val="auto"/>
              </w:rPr>
            </w:pPr>
            <w:r>
              <w:rPr>
                <w:rFonts w:ascii="Arial" w:cs="Arial" w:eastAsia="Arial" w:hAnsi="Arial"/>
                <w:sz w:val="20"/>
                <w:szCs w:val="20"/>
                <w:color w:val="auto"/>
              </w:rPr>
              <w:t>Ending balance, net</w:t>
            </w:r>
          </w:p>
        </w:tc>
        <w:tc>
          <w:tcPr>
            <w:tcW w:w="27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20"/>
                <w:szCs w:val="20"/>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729</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99"/>
              </w:rPr>
              <w:t>229,054</w:t>
            </w:r>
          </w:p>
        </w:tc>
        <w:tc>
          <w:tcPr>
            <w:tcW w:w="2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96"/>
              </w:rPr>
              <w:t>221,115</w:t>
            </w:r>
          </w:p>
        </w:tc>
        <w:tc>
          <w:tcPr>
            <w:tcW w:w="2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20"/>
                <w:szCs w:val="20"/>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91"/>
              </w:rPr>
              <w:t>202,724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0"/>
        </w:trPr>
        <w:tc>
          <w:tcPr>
            <w:tcW w:w="20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137</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2040" w:type="dxa"/>
            <w:vAlign w:val="bottom"/>
            <w:tcBorders>
              <w:bottom w:val="single" w:sz="8" w:color="9A9A9A"/>
            </w:tcBorders>
          </w:tcPr>
          <w:p>
            <w:pPr>
              <w:spacing w:after="0"/>
              <w:rPr>
                <w:sz w:val="9"/>
                <w:szCs w:val="9"/>
                <w:color w:val="auto"/>
              </w:rPr>
            </w:pPr>
          </w:p>
        </w:tc>
        <w:tc>
          <w:tcPr>
            <w:tcW w:w="27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332" w:right="219" w:bottom="1440" w:gutter="0" w:footer="0" w:header="0"/>
        </w:sectPr>
      </w:pPr>
    </w:p>
    <w:bookmarkStart w:id="137" w:name="page138"/>
    <w:bookmarkEnd w:id="137"/>
    <w:p>
      <w:pPr>
        <w:ind w:left="600"/>
        <w:spacing w:after="0"/>
        <w:rPr>
          <w:sz w:val="20"/>
          <w:szCs w:val="20"/>
          <w:color w:val="auto"/>
        </w:rPr>
      </w:pPr>
      <w:r>
        <w:rPr>
          <w:rFonts w:ascii="Arial" w:cs="Arial" w:eastAsia="Arial" w:hAnsi="Arial"/>
          <w:sz w:val="19"/>
          <w:szCs w:val="19"/>
          <w:color w:val="auto"/>
        </w:rPr>
        <w:t>Residential mortgage loans serviced for others were $22.6 billion at December 31, 2017, $22.8 billion at December 31, 2016 and</w:t>
      </w:r>
    </w:p>
    <w:p>
      <w:pPr>
        <w:spacing w:after="0" w:line="36" w:lineRule="exact"/>
        <w:rPr>
          <w:sz w:val="20"/>
          <w:szCs w:val="20"/>
          <w:color w:val="auto"/>
        </w:rPr>
      </w:pPr>
    </w:p>
    <w:p>
      <w:pPr>
        <w:spacing w:after="0"/>
        <w:rPr>
          <w:sz w:val="20"/>
          <w:szCs w:val="20"/>
          <w:color w:val="auto"/>
        </w:rPr>
      </w:pPr>
      <w:r>
        <w:rPr>
          <w:rFonts w:ascii="Arial" w:cs="Arial" w:eastAsia="Arial" w:hAnsi="Arial"/>
          <w:sz w:val="19"/>
          <w:szCs w:val="19"/>
          <w:color w:val="auto"/>
        </w:rPr>
        <w:t>$23.9 billion at December 31, 2015. Excluded from residential mortgage loans serviced for others were loans sub-serviced for others of</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$56.6 billion, $30.4 billion and $37.8 billion at December 31, 2017, 2016, and 2015, respectively. Commercial mortgage loans serviced for</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others were $13.6 billion at December 31, 2017, $11.8 billion at December 31, 2016 and $11.0 billion at December 31, 2015. Excluded from</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commercial mortgage loans serviced for others were loans sub-serviced for others of $2.6 billion at December 31, 2017.</w:t>
      </w:r>
    </w:p>
    <w:p>
      <w:pPr>
        <w:spacing w:after="0" w:line="7" w:lineRule="exact"/>
        <w:rPr>
          <w:sz w:val="20"/>
          <w:szCs w:val="20"/>
          <w:color w:val="auto"/>
        </w:rPr>
      </w:pPr>
    </w:p>
    <w:p>
      <w:pPr>
        <w:ind w:right="20" w:firstLine="598"/>
        <w:spacing w:after="0" w:line="259" w:lineRule="auto"/>
        <w:rPr>
          <w:sz w:val="20"/>
          <w:szCs w:val="20"/>
          <w:color w:val="auto"/>
        </w:rPr>
      </w:pPr>
      <w:r>
        <w:rPr>
          <w:rFonts w:ascii="Arial" w:cs="Arial" w:eastAsia="Arial" w:hAnsi="Arial"/>
          <w:sz w:val="19"/>
          <w:szCs w:val="19"/>
          <w:color w:val="auto"/>
        </w:rPr>
        <w:t>The estimated fair value of capitalized residential mortgage loan servicing assets was approximately $234 million at December 31, 2017 and $235 million at December 31, 2016. The fair value of capitalized residential mortgage loan servicing assets was estimated using weighted-average discount rates of 12.2% at each of December 31, 2017 and 2016 and contemporaneous prepayment assumptions that vary by loan type. At December 31, 2017 and 2016, the discount rate represented a weighted-average option-adjusted spread (“OAS”) of 1,067 basis points (hundredths of one percent) and 1,095 basis points, respectively, over market implied forward London Interbank Offered Rates (“LIBOR”). The estimated fair value of capitalized residential mortgage loan servicing rights may vary significantly in subsequent periods due to changing interest rates and the effect thereof on prepayment speeds. The estimated fair value of capitalized commercial mortgage loan servicing assets was approximately $132 million and $119 million at December 31, 2017 and 2016, respectively. An 18% discount rate was used to estimate the fair value of capitalized commercial mortgage loan servicing rights at December 31, 2017 and 2016 with no prepayment assumptions because, in general, the servicing agreements allow the Company to share in customer loan prepayment fees and thereby recover the remaining carrying value of the capitalized servicing rights associated with such loan. The Company’s ability to realize the carrying value of capitalized commercial mortgage servicing rights is more dependent on the borrowers’ abilities to repay the underlying loans than on prepayments or changes in interest rates.</w:t>
      </w:r>
    </w:p>
    <w:p>
      <w:pPr>
        <w:spacing w:after="0" w:line="9" w:lineRule="exact"/>
        <w:rPr>
          <w:sz w:val="20"/>
          <w:szCs w:val="20"/>
          <w:color w:val="auto"/>
        </w:rPr>
      </w:pPr>
    </w:p>
    <w:p>
      <w:pPr>
        <w:ind w:right="260" w:firstLine="598"/>
        <w:spacing w:after="0" w:line="264" w:lineRule="auto"/>
        <w:rPr>
          <w:sz w:val="20"/>
          <w:szCs w:val="20"/>
          <w:color w:val="auto"/>
        </w:rPr>
      </w:pPr>
      <w:r>
        <w:rPr>
          <w:rFonts w:ascii="Arial" w:cs="Arial" w:eastAsia="Arial" w:hAnsi="Arial"/>
          <w:sz w:val="19"/>
          <w:szCs w:val="19"/>
          <w:color w:val="auto"/>
        </w:rPr>
        <w:t>The key economic assumptions used to determine the fair value of significant portfolios of capitalized servicing rights at December 31, 2017 and the sensitivity of such value to changes in those assumptions are summarized in the table that follows. Those calculated sensitivities are hypothetical and actual changes in the fair value of capitalized servicing rights may differ significantly from the amounts presented herein. The effect of a variation in a particular assumption on the fair value of the servicing rights is calculated without changing any other assumption. In reality, changes in one factor may result in changes in another which may magnify or counteract the sensitivities. The changes in assumptions are presumed to be instantaneous.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680" w:type="dxa"/>
            <w:vAlign w:val="bottom"/>
            <w:tcBorders>
              <w:bottom w:val="single" w:sz="8" w:color="CFF0FC"/>
            </w:tcBorders>
          </w:tcPr>
          <w:p>
            <w:pPr>
              <w:spacing w:after="0"/>
              <w:rPr>
                <w:sz w:val="14"/>
                <w:szCs w:val="14"/>
                <w:color w:val="auto"/>
              </w:rPr>
            </w:pPr>
          </w:p>
        </w:tc>
        <w:tc>
          <w:tcPr>
            <w:tcW w:w="304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Residential</w:t>
            </w:r>
          </w:p>
        </w:tc>
        <w:tc>
          <w:tcPr>
            <w:tcW w:w="36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Commercial</w:t>
            </w:r>
          </w:p>
        </w:tc>
        <w:tc>
          <w:tcPr>
            <w:tcW w:w="18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r>
      <w:tr>
        <w:trPr>
          <w:trHeight w:val="243"/>
        </w:trPr>
        <w:tc>
          <w:tcPr>
            <w:tcW w:w="4680" w:type="dxa"/>
            <w:vAlign w:val="bottom"/>
            <w:shd w:val="clear" w:color="auto" w:fill="CFF0FC"/>
          </w:tcPr>
          <w:p>
            <w:pPr>
              <w:spacing w:after="0"/>
              <w:rPr>
                <w:sz w:val="20"/>
                <w:szCs w:val="20"/>
                <w:color w:val="auto"/>
              </w:rPr>
            </w:pPr>
            <w:r>
              <w:rPr>
                <w:rFonts w:ascii="Arial" w:cs="Arial" w:eastAsia="Arial" w:hAnsi="Arial"/>
                <w:sz w:val="20"/>
                <w:szCs w:val="20"/>
                <w:color w:val="auto"/>
              </w:rPr>
              <w:t>Weighted-average prepayment speeds</w:t>
            </w:r>
          </w:p>
        </w:tc>
        <w:tc>
          <w:tcPr>
            <w:tcW w:w="30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200"/>
              <w:spacing w:after="0"/>
              <w:rPr>
                <w:sz w:val="20"/>
                <w:szCs w:val="20"/>
                <w:color w:val="auto"/>
              </w:rPr>
            </w:pPr>
            <w:r>
              <w:rPr>
                <w:rFonts w:ascii="Arial" w:cs="Arial" w:eastAsia="Arial" w:hAnsi="Arial"/>
                <w:sz w:val="20"/>
                <w:szCs w:val="20"/>
                <w:color w:val="auto"/>
              </w:rPr>
              <w:t>12.16%</w:t>
            </w: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4680" w:type="dxa"/>
            <w:vAlign w:val="bottom"/>
          </w:tcPr>
          <w:p>
            <w:pPr>
              <w:ind w:left="240"/>
              <w:spacing w:after="0"/>
              <w:rPr>
                <w:sz w:val="20"/>
                <w:szCs w:val="20"/>
                <w:color w:val="auto"/>
              </w:rPr>
            </w:pPr>
            <w:r>
              <w:rPr>
                <w:rFonts w:ascii="Arial" w:cs="Arial" w:eastAsia="Arial" w:hAnsi="Arial"/>
                <w:sz w:val="20"/>
                <w:szCs w:val="20"/>
                <w:color w:val="auto"/>
              </w:rPr>
              <w:t>Impact on fair value of 10% adverse change</w:t>
            </w:r>
          </w:p>
        </w:tc>
        <w:tc>
          <w:tcPr>
            <w:tcW w:w="332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1660" w:type="dxa"/>
            <w:vAlign w:val="bottom"/>
            <w:gridSpan w:val="2"/>
          </w:tcPr>
          <w:p>
            <w:pPr>
              <w:jc w:val="right"/>
              <w:ind w:right="300"/>
              <w:spacing w:after="0"/>
              <w:rPr>
                <w:sz w:val="20"/>
                <w:szCs w:val="20"/>
                <w:color w:val="auto"/>
              </w:rPr>
            </w:pPr>
            <w:r>
              <w:rPr>
                <w:rFonts w:ascii="Arial" w:cs="Arial" w:eastAsia="Arial" w:hAnsi="Arial"/>
                <w:sz w:val="20"/>
                <w:szCs w:val="20"/>
                <w:color w:val="auto"/>
              </w:rPr>
              <w:t>(8,935,000)</w:t>
            </w: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4680" w:type="dxa"/>
            <w:vAlign w:val="bottom"/>
            <w:shd w:val="clear" w:color="auto" w:fill="CFF0FC"/>
          </w:tcPr>
          <w:p>
            <w:pPr>
              <w:ind w:left="240"/>
              <w:spacing w:after="0"/>
              <w:rPr>
                <w:sz w:val="20"/>
                <w:szCs w:val="20"/>
                <w:color w:val="auto"/>
              </w:rPr>
            </w:pPr>
            <w:r>
              <w:rPr>
                <w:rFonts w:ascii="Arial" w:cs="Arial" w:eastAsia="Arial" w:hAnsi="Arial"/>
                <w:sz w:val="20"/>
                <w:szCs w:val="20"/>
                <w:color w:val="auto"/>
              </w:rPr>
              <w:t>Impact on fair value of 20% adverse change</w:t>
            </w:r>
          </w:p>
        </w:tc>
        <w:tc>
          <w:tcPr>
            <w:tcW w:w="30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300"/>
              <w:spacing w:after="0"/>
              <w:rPr>
                <w:sz w:val="20"/>
                <w:szCs w:val="20"/>
                <w:color w:val="auto"/>
              </w:rPr>
            </w:pPr>
            <w:r>
              <w:rPr>
                <w:rFonts w:ascii="Arial" w:cs="Arial" w:eastAsia="Arial" w:hAnsi="Arial"/>
                <w:sz w:val="20"/>
                <w:szCs w:val="20"/>
                <w:color w:val="auto"/>
              </w:rPr>
              <w:t>(17,159,000)</w:t>
            </w: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4680" w:type="dxa"/>
            <w:vAlign w:val="bottom"/>
          </w:tcPr>
          <w:p>
            <w:pPr>
              <w:spacing w:after="0"/>
              <w:rPr>
                <w:sz w:val="20"/>
                <w:szCs w:val="20"/>
                <w:color w:val="auto"/>
              </w:rPr>
            </w:pPr>
            <w:r>
              <w:rPr>
                <w:rFonts w:ascii="Arial" w:cs="Arial" w:eastAsia="Arial" w:hAnsi="Arial"/>
                <w:sz w:val="20"/>
                <w:szCs w:val="20"/>
                <w:color w:val="auto"/>
              </w:rPr>
              <w:t>Weighted-average OAS</w:t>
            </w:r>
          </w:p>
        </w:tc>
        <w:tc>
          <w:tcPr>
            <w:tcW w:w="3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20"/>
                <w:szCs w:val="20"/>
                <w:color w:val="auto"/>
              </w:rPr>
              <w:t>10.67%</w:t>
            </w: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4680" w:type="dxa"/>
            <w:vAlign w:val="bottom"/>
            <w:shd w:val="clear" w:color="auto" w:fill="CFF0FC"/>
          </w:tcPr>
          <w:p>
            <w:pPr>
              <w:ind w:left="240"/>
              <w:spacing w:after="0"/>
              <w:rPr>
                <w:sz w:val="20"/>
                <w:szCs w:val="20"/>
                <w:color w:val="auto"/>
              </w:rPr>
            </w:pPr>
            <w:r>
              <w:rPr>
                <w:rFonts w:ascii="Arial" w:cs="Arial" w:eastAsia="Arial" w:hAnsi="Arial"/>
                <w:sz w:val="20"/>
                <w:szCs w:val="20"/>
                <w:color w:val="auto"/>
              </w:rPr>
              <w:t>Impact on fair value of 10% adverse change</w:t>
            </w:r>
          </w:p>
        </w:tc>
        <w:tc>
          <w:tcPr>
            <w:tcW w:w="3320" w:type="dxa"/>
            <w:vAlign w:val="bottom"/>
            <w:gridSpan w:val="2"/>
            <w:shd w:val="clear" w:color="auto" w:fill="CFF0FC"/>
          </w:tcPr>
          <w:p>
            <w:pPr>
              <w:jc w:val="right"/>
              <w:ind w:right="180"/>
              <w:spacing w:after="0"/>
              <w:rPr>
                <w:sz w:val="20"/>
                <w:szCs w:val="20"/>
                <w:color w:val="auto"/>
              </w:rPr>
            </w:pPr>
            <w:r>
              <w:rPr>
                <w:rFonts w:ascii="Arial" w:cs="Arial" w:eastAsia="Arial" w:hAnsi="Arial"/>
                <w:sz w:val="20"/>
                <w:szCs w:val="20"/>
                <w:color w:val="auto"/>
              </w:rPr>
              <w:t>$</w:t>
            </w:r>
          </w:p>
        </w:tc>
        <w:tc>
          <w:tcPr>
            <w:tcW w:w="1660" w:type="dxa"/>
            <w:vAlign w:val="bottom"/>
            <w:gridSpan w:val="2"/>
            <w:shd w:val="clear" w:color="auto" w:fill="CFF0FC"/>
          </w:tcPr>
          <w:p>
            <w:pPr>
              <w:jc w:val="right"/>
              <w:ind w:right="300"/>
              <w:spacing w:after="0"/>
              <w:rPr>
                <w:sz w:val="20"/>
                <w:szCs w:val="20"/>
                <w:color w:val="auto"/>
              </w:rPr>
            </w:pPr>
            <w:r>
              <w:rPr>
                <w:rFonts w:ascii="Arial" w:cs="Arial" w:eastAsia="Arial" w:hAnsi="Arial"/>
                <w:sz w:val="20"/>
                <w:szCs w:val="20"/>
                <w:color w:val="auto"/>
              </w:rPr>
              <w:t>(6,838,000)</w:t>
            </w: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4680" w:type="dxa"/>
            <w:vAlign w:val="bottom"/>
          </w:tcPr>
          <w:p>
            <w:pPr>
              <w:ind w:left="240"/>
              <w:spacing w:after="0"/>
              <w:rPr>
                <w:sz w:val="20"/>
                <w:szCs w:val="20"/>
                <w:color w:val="auto"/>
              </w:rPr>
            </w:pPr>
            <w:r>
              <w:rPr>
                <w:rFonts w:ascii="Arial" w:cs="Arial" w:eastAsia="Arial" w:hAnsi="Arial"/>
                <w:sz w:val="20"/>
                <w:szCs w:val="20"/>
                <w:color w:val="auto"/>
              </w:rPr>
              <w:t>Impact on fair value of 20% adverse change</w:t>
            </w:r>
          </w:p>
        </w:tc>
        <w:tc>
          <w:tcPr>
            <w:tcW w:w="3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20"/>
                <w:szCs w:val="20"/>
                <w:color w:val="auto"/>
              </w:rPr>
              <w:t>(13,267,000)</w:t>
            </w: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4680" w:type="dxa"/>
            <w:vAlign w:val="bottom"/>
            <w:shd w:val="clear" w:color="auto" w:fill="CFF0FC"/>
          </w:tcPr>
          <w:p>
            <w:pPr>
              <w:spacing w:after="0"/>
              <w:rPr>
                <w:sz w:val="20"/>
                <w:szCs w:val="20"/>
                <w:color w:val="auto"/>
              </w:rPr>
            </w:pPr>
            <w:r>
              <w:rPr>
                <w:rFonts w:ascii="Arial" w:cs="Arial" w:eastAsia="Arial" w:hAnsi="Arial"/>
                <w:sz w:val="20"/>
                <w:szCs w:val="20"/>
                <w:color w:val="auto"/>
              </w:rPr>
              <w:t>Weighted-average discount rate</w:t>
            </w:r>
          </w:p>
        </w:tc>
        <w:tc>
          <w:tcPr>
            <w:tcW w:w="30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18.00%</w:t>
            </w:r>
          </w:p>
        </w:tc>
        <w:tc>
          <w:tcPr>
            <w:tcW w:w="20" w:type="dxa"/>
            <w:vAlign w:val="bottom"/>
          </w:tcPr>
          <w:p>
            <w:pPr>
              <w:spacing w:after="0"/>
              <w:rPr>
                <w:sz w:val="21"/>
                <w:szCs w:val="21"/>
                <w:color w:val="auto"/>
              </w:rPr>
            </w:pPr>
          </w:p>
        </w:tc>
      </w:tr>
      <w:tr>
        <w:trPr>
          <w:trHeight w:val="250"/>
        </w:trPr>
        <w:tc>
          <w:tcPr>
            <w:tcW w:w="4680" w:type="dxa"/>
            <w:vAlign w:val="bottom"/>
          </w:tcPr>
          <w:p>
            <w:pPr>
              <w:ind w:left="240"/>
              <w:spacing w:after="0"/>
              <w:rPr>
                <w:sz w:val="20"/>
                <w:szCs w:val="20"/>
                <w:color w:val="auto"/>
              </w:rPr>
            </w:pPr>
            <w:r>
              <w:rPr>
                <w:rFonts w:ascii="Arial" w:cs="Arial" w:eastAsia="Arial" w:hAnsi="Arial"/>
                <w:sz w:val="20"/>
                <w:szCs w:val="20"/>
                <w:color w:val="auto"/>
              </w:rPr>
              <w:t>Impact on fair value of 10% adverse change</w:t>
            </w:r>
          </w:p>
        </w:tc>
        <w:tc>
          <w:tcPr>
            <w:tcW w:w="3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20" w:type="dxa"/>
            <w:vAlign w:val="bottom"/>
            <w:gridSpan w:val="3"/>
          </w:tcPr>
          <w:p>
            <w:pPr>
              <w:jc w:val="right"/>
              <w:ind w:right="160"/>
              <w:spacing w:after="0"/>
              <w:rPr>
                <w:sz w:val="20"/>
                <w:szCs w:val="20"/>
                <w:color w:val="auto"/>
              </w:rPr>
            </w:pPr>
            <w:r>
              <w:rPr>
                <w:rFonts w:ascii="Arial" w:cs="Arial" w:eastAsia="Arial" w:hAnsi="Arial"/>
                <w:sz w:val="20"/>
                <w:szCs w:val="20"/>
                <w:color w:val="auto"/>
              </w:rPr>
              <w:t>$</w:t>
            </w:r>
          </w:p>
        </w:tc>
        <w:tc>
          <w:tcPr>
            <w:tcW w:w="1500" w:type="dxa"/>
            <w:vAlign w:val="bottom"/>
            <w:gridSpan w:val="2"/>
          </w:tcPr>
          <w:p>
            <w:pPr>
              <w:jc w:val="right"/>
              <w:ind w:right="120"/>
              <w:spacing w:after="0"/>
              <w:rPr>
                <w:sz w:val="20"/>
                <w:szCs w:val="20"/>
                <w:color w:val="auto"/>
              </w:rPr>
            </w:pPr>
            <w:r>
              <w:rPr>
                <w:rFonts w:ascii="Arial" w:cs="Arial" w:eastAsia="Arial" w:hAnsi="Arial"/>
                <w:sz w:val="20"/>
                <w:szCs w:val="20"/>
                <w:color w:val="auto"/>
              </w:rPr>
              <w:t>(5,885,000)</w:t>
            </w:r>
          </w:p>
        </w:tc>
        <w:tc>
          <w:tcPr>
            <w:tcW w:w="20" w:type="dxa"/>
            <w:vAlign w:val="bottom"/>
          </w:tcPr>
          <w:p>
            <w:pPr>
              <w:spacing w:after="0"/>
              <w:rPr>
                <w:sz w:val="21"/>
                <w:szCs w:val="21"/>
                <w:color w:val="auto"/>
              </w:rPr>
            </w:pPr>
          </w:p>
        </w:tc>
      </w:tr>
      <w:tr>
        <w:trPr>
          <w:trHeight w:val="250"/>
        </w:trPr>
        <w:tc>
          <w:tcPr>
            <w:tcW w:w="4680" w:type="dxa"/>
            <w:vAlign w:val="bottom"/>
            <w:shd w:val="clear" w:color="auto" w:fill="CFF0FC"/>
          </w:tcPr>
          <w:p>
            <w:pPr>
              <w:ind w:left="240"/>
              <w:spacing w:after="0"/>
              <w:rPr>
                <w:sz w:val="20"/>
                <w:szCs w:val="20"/>
                <w:color w:val="auto"/>
              </w:rPr>
            </w:pPr>
            <w:r>
              <w:rPr>
                <w:rFonts w:ascii="Arial" w:cs="Arial" w:eastAsia="Arial" w:hAnsi="Arial"/>
                <w:sz w:val="20"/>
                <w:szCs w:val="20"/>
                <w:color w:val="auto"/>
              </w:rPr>
              <w:t>Impact on fair value of 20% adverse change</w:t>
            </w:r>
          </w:p>
        </w:tc>
        <w:tc>
          <w:tcPr>
            <w:tcW w:w="30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(11,342,000)</w:t>
            </w:r>
          </w:p>
        </w:tc>
        <w:tc>
          <w:tcPr>
            <w:tcW w:w="20" w:type="dxa"/>
            <w:vAlign w:val="bottom"/>
          </w:tcPr>
          <w:p>
            <w:pPr>
              <w:spacing w:after="0"/>
              <w:rPr>
                <w:sz w:val="21"/>
                <w:szCs w:val="21"/>
                <w:color w:val="auto"/>
              </w:rPr>
            </w:pPr>
          </w:p>
        </w:tc>
      </w:tr>
      <w:tr>
        <w:trPr>
          <w:trHeight w:val="788"/>
        </w:trPr>
        <w:tc>
          <w:tcPr>
            <w:tcW w:w="4680" w:type="dxa"/>
            <w:vAlign w:val="bottom"/>
          </w:tcPr>
          <w:p>
            <w:pPr>
              <w:spacing w:after="0"/>
              <w:rPr>
                <w:sz w:val="24"/>
                <w:szCs w:val="24"/>
                <w:color w:val="auto"/>
              </w:rPr>
            </w:pPr>
          </w:p>
        </w:tc>
        <w:tc>
          <w:tcPr>
            <w:tcW w:w="3040" w:type="dxa"/>
            <w:vAlign w:val="bottom"/>
          </w:tcPr>
          <w:p>
            <w:pPr>
              <w:jc w:val="right"/>
              <w:ind w:right="1784"/>
              <w:spacing w:after="0"/>
              <w:rPr>
                <w:sz w:val="20"/>
                <w:szCs w:val="20"/>
                <w:color w:val="auto"/>
              </w:rPr>
            </w:pPr>
            <w:r>
              <w:rPr>
                <w:rFonts w:ascii="Arial" w:cs="Arial" w:eastAsia="Arial" w:hAnsi="Arial"/>
                <w:sz w:val="18"/>
                <w:szCs w:val="18"/>
                <w:color w:val="auto"/>
              </w:rPr>
              <w:t>138</w:t>
            </w: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2"/>
        </w:trPr>
        <w:tc>
          <w:tcPr>
            <w:tcW w:w="4680" w:type="dxa"/>
            <w:vAlign w:val="bottom"/>
            <w:tcBorders>
              <w:bottom w:val="single" w:sz="8" w:color="9A9A9A"/>
            </w:tcBorders>
          </w:tcPr>
          <w:p>
            <w:pPr>
              <w:spacing w:after="0"/>
              <w:rPr>
                <w:sz w:val="9"/>
                <w:szCs w:val="9"/>
                <w:color w:val="auto"/>
              </w:rPr>
            </w:pPr>
          </w:p>
        </w:tc>
        <w:tc>
          <w:tcPr>
            <w:tcW w:w="30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376" w:right="219" w:bottom="1440" w:gutter="0" w:footer="0" w:header="0"/>
        </w:sectPr>
      </w:pPr>
    </w:p>
    <w:bookmarkStart w:id="138" w:name="page139"/>
    <w:bookmarkEnd w:id="138"/>
    <w:p>
      <w:pPr>
        <w:spacing w:after="0"/>
        <w:tabs>
          <w:tab w:leader="none" w:pos="340" w:val="left"/>
        </w:tabs>
        <w:rPr>
          <w:sz w:val="20"/>
          <w:szCs w:val="20"/>
          <w:color w:val="auto"/>
        </w:rPr>
      </w:pPr>
      <w:r>
        <w:rPr>
          <w:rFonts w:ascii="Arial" w:cs="Arial" w:eastAsia="Arial" w:hAnsi="Arial"/>
          <w:sz w:val="20"/>
          <w:szCs w:val="20"/>
          <w:b w:val="1"/>
          <w:bCs w:val="1"/>
          <w:color w:val="auto"/>
        </w:rPr>
        <w:t>8.</w:t>
      </w:r>
      <w:r>
        <w:rPr>
          <w:sz w:val="20"/>
          <w:szCs w:val="20"/>
          <w:color w:val="auto"/>
        </w:rPr>
        <w:tab/>
      </w:r>
      <w:r>
        <w:rPr>
          <w:rFonts w:ascii="Arial" w:cs="Arial" w:eastAsia="Arial" w:hAnsi="Arial"/>
          <w:sz w:val="17"/>
          <w:szCs w:val="17"/>
          <w:b w:val="1"/>
          <w:bCs w:val="1"/>
          <w:color w:val="auto"/>
        </w:rPr>
        <w:t>Goodwill and other intangible assets</w:t>
      </w:r>
    </w:p>
    <w:p>
      <w:pPr>
        <w:spacing w:after="0" w:line="29" w:lineRule="exact"/>
        <w:rPr>
          <w:sz w:val="20"/>
          <w:szCs w:val="20"/>
          <w:color w:val="auto"/>
        </w:rPr>
      </w:pPr>
    </w:p>
    <w:p>
      <w:pPr>
        <w:ind w:right="280"/>
        <w:spacing w:after="0" w:line="256" w:lineRule="auto"/>
        <w:rPr>
          <w:sz w:val="20"/>
          <w:szCs w:val="20"/>
          <w:color w:val="auto"/>
        </w:rPr>
      </w:pPr>
      <w:r>
        <w:rPr>
          <w:rFonts w:ascii="Arial" w:cs="Arial" w:eastAsia="Arial" w:hAnsi="Arial"/>
          <w:sz w:val="20"/>
          <w:szCs w:val="20"/>
          <w:color w:val="auto"/>
        </w:rPr>
        <w:t>In accordance with GAAP, the Company does not amortize goodwill, however, core deposit and other intangible assets are amortized over the estimated life of each respective asset. Total amortizing intangible assets were comprised of the following: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0"/>
              </w:rPr>
              <w:t>Gross Carrying</w:t>
            </w:r>
          </w:p>
        </w:tc>
        <w:tc>
          <w:tcPr>
            <w:tcW w:w="240" w:type="dxa"/>
            <w:vAlign w:val="bottom"/>
          </w:tcPr>
          <w:p>
            <w:pPr>
              <w:spacing w:after="0"/>
              <w:rPr>
                <w:sz w:val="14"/>
                <w:szCs w:val="14"/>
                <w:color w:val="auto"/>
              </w:rPr>
            </w:pPr>
          </w:p>
        </w:tc>
        <w:tc>
          <w:tcPr>
            <w:tcW w:w="16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0"/>
              </w:rPr>
              <w:t>Accumulated</w:t>
            </w:r>
          </w:p>
        </w:tc>
        <w:tc>
          <w:tcPr>
            <w:tcW w:w="260" w:type="dxa"/>
            <w:vAlign w:val="bottom"/>
          </w:tcPr>
          <w:p>
            <w:pPr>
              <w:spacing w:after="0"/>
              <w:rPr>
                <w:sz w:val="14"/>
                <w:szCs w:val="14"/>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Net Carrying</w:t>
            </w:r>
          </w:p>
        </w:tc>
      </w:tr>
      <w:tr>
        <w:trPr>
          <w:trHeight w:val="167"/>
        </w:trPr>
        <w:tc>
          <w:tcPr>
            <w:tcW w:w="37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0"/>
              </w:rPr>
              <w:t>Amount</w:t>
            </w:r>
          </w:p>
        </w:tc>
        <w:tc>
          <w:tcPr>
            <w:tcW w:w="240" w:type="dxa"/>
            <w:vAlign w:val="bottom"/>
          </w:tcPr>
          <w:p>
            <w:pPr>
              <w:spacing w:after="0"/>
              <w:rPr>
                <w:sz w:val="14"/>
                <w:szCs w:val="14"/>
                <w:color w:val="auto"/>
              </w:rPr>
            </w:pPr>
          </w:p>
        </w:tc>
        <w:tc>
          <w:tcPr>
            <w:tcW w:w="16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3"/>
              </w:rPr>
              <w:t>Amortization</w:t>
            </w:r>
          </w:p>
        </w:tc>
        <w:tc>
          <w:tcPr>
            <w:tcW w:w="260" w:type="dxa"/>
            <w:vAlign w:val="bottom"/>
          </w:tcPr>
          <w:p>
            <w:pPr>
              <w:spacing w:after="0"/>
              <w:rPr>
                <w:sz w:val="14"/>
                <w:szCs w:val="14"/>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Amount</w:t>
            </w:r>
          </w:p>
        </w:tc>
      </w:tr>
      <w:tr>
        <w:trPr>
          <w:trHeight w:val="151"/>
        </w:trPr>
        <w:tc>
          <w:tcPr>
            <w:tcW w:w="374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660" w:type="dxa"/>
            <w:vAlign w:val="bottom"/>
            <w:tcBorders>
              <w:top w:val="single" w:sz="8" w:color="auto"/>
            </w:tcBorders>
            <w:gridSpan w:val="2"/>
          </w:tcPr>
          <w:p>
            <w:pPr>
              <w:jc w:val="center"/>
              <w:ind w:right="520"/>
              <w:spacing w:after="0" w:line="151" w:lineRule="exact"/>
              <w:rPr>
                <w:sz w:val="20"/>
                <w:szCs w:val="20"/>
                <w:color w:val="auto"/>
              </w:rPr>
            </w:pPr>
            <w:r>
              <w:rPr>
                <w:rFonts w:ascii="Arial" w:cs="Arial" w:eastAsia="Arial" w:hAnsi="Arial"/>
                <w:sz w:val="14"/>
                <w:szCs w:val="14"/>
                <w:b w:val="1"/>
                <w:bCs w:val="1"/>
                <w:color w:val="auto"/>
                <w:w w:val="89"/>
              </w:rPr>
              <w:t>(In thousands)</w:t>
            </w:r>
          </w:p>
        </w:tc>
        <w:tc>
          <w:tcPr>
            <w:tcW w:w="26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50"/>
        </w:trPr>
        <w:tc>
          <w:tcPr>
            <w:tcW w:w="3740" w:type="dxa"/>
            <w:vAlign w:val="bottom"/>
            <w:shd w:val="clear" w:color="auto" w:fill="CFF0FC"/>
          </w:tcPr>
          <w:p>
            <w:pPr>
              <w:spacing w:after="0"/>
              <w:rPr>
                <w:sz w:val="20"/>
                <w:szCs w:val="20"/>
                <w:color w:val="auto"/>
              </w:rPr>
            </w:pPr>
            <w:r>
              <w:rPr>
                <w:rFonts w:ascii="Arial" w:cs="Arial" w:eastAsia="Arial" w:hAnsi="Arial"/>
                <w:sz w:val="20"/>
                <w:szCs w:val="20"/>
                <w:color w:val="auto"/>
              </w:rPr>
              <w:t>December 31, 2017</w:t>
            </w:r>
          </w:p>
        </w:tc>
        <w:tc>
          <w:tcPr>
            <w:tcW w:w="2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50"/>
        </w:trPr>
        <w:tc>
          <w:tcPr>
            <w:tcW w:w="3740" w:type="dxa"/>
            <w:vAlign w:val="bottom"/>
          </w:tcPr>
          <w:p>
            <w:pPr>
              <w:ind w:left="240"/>
              <w:spacing w:after="0"/>
              <w:rPr>
                <w:sz w:val="20"/>
                <w:szCs w:val="20"/>
                <w:color w:val="auto"/>
              </w:rPr>
            </w:pPr>
            <w:r>
              <w:rPr>
                <w:rFonts w:ascii="Arial" w:cs="Arial" w:eastAsia="Arial" w:hAnsi="Arial"/>
                <w:sz w:val="20"/>
                <w:szCs w:val="20"/>
                <w:color w:val="auto"/>
              </w:rPr>
              <w:t>Core deposit</w:t>
            </w:r>
          </w:p>
        </w:tc>
        <w:tc>
          <w:tcPr>
            <w:tcW w:w="2360" w:type="dxa"/>
            <w:vAlign w:val="bottom"/>
            <w:gridSpan w:val="2"/>
          </w:tcPr>
          <w:p>
            <w:pPr>
              <w:jc w:val="right"/>
              <w:ind w:right="19"/>
              <w:spacing w:after="0"/>
              <w:rPr>
                <w:sz w:val="20"/>
                <w:szCs w:val="20"/>
                <w:color w:val="auto"/>
              </w:rPr>
            </w:pPr>
            <w:r>
              <w:rPr>
                <w:rFonts w:ascii="Arial" w:cs="Arial" w:eastAsia="Arial" w:hAnsi="Arial"/>
                <w:sz w:val="20"/>
                <w:szCs w:val="20"/>
                <w:color w:val="auto"/>
              </w:rPr>
              <w:t>$</w:t>
            </w:r>
          </w:p>
        </w:tc>
        <w:tc>
          <w:tcPr>
            <w:tcW w:w="1400" w:type="dxa"/>
            <w:vAlign w:val="bottom"/>
          </w:tcPr>
          <w:p>
            <w:pPr>
              <w:jc w:val="right"/>
              <w:spacing w:after="0"/>
              <w:rPr>
                <w:sz w:val="20"/>
                <w:szCs w:val="20"/>
                <w:color w:val="auto"/>
              </w:rPr>
            </w:pPr>
            <w:r>
              <w:rPr>
                <w:rFonts w:ascii="Arial" w:cs="Arial" w:eastAsia="Arial" w:hAnsi="Arial"/>
                <w:sz w:val="20"/>
                <w:szCs w:val="20"/>
                <w:color w:val="auto"/>
              </w:rPr>
              <w:t>887,459</w:t>
            </w:r>
          </w:p>
        </w:tc>
        <w:tc>
          <w:tcPr>
            <w:tcW w:w="280" w:type="dxa"/>
            <w:vAlign w:val="bottom"/>
          </w:tcPr>
          <w:p>
            <w:pPr>
              <w:spacing w:after="0"/>
              <w:rPr>
                <w:sz w:val="21"/>
                <w:szCs w:val="21"/>
                <w:color w:val="auto"/>
              </w:rPr>
            </w:pPr>
          </w:p>
        </w:tc>
        <w:tc>
          <w:tcPr>
            <w:tcW w:w="240" w:type="dxa"/>
            <w:vAlign w:val="bottom"/>
          </w:tcPr>
          <w:p>
            <w:pPr>
              <w:jc w:val="right"/>
              <w:ind w:right="39"/>
              <w:spacing w:after="0"/>
              <w:rPr>
                <w:sz w:val="20"/>
                <w:szCs w:val="20"/>
                <w:color w:val="auto"/>
              </w:rPr>
            </w:pPr>
            <w:r>
              <w:rPr>
                <w:rFonts w:ascii="Arial" w:cs="Arial" w:eastAsia="Arial" w:hAnsi="Arial"/>
                <w:sz w:val="20"/>
                <w:szCs w:val="20"/>
                <w:color w:val="auto"/>
                <w:w w:val="71"/>
              </w:rPr>
              <w:t>$</w:t>
            </w:r>
          </w:p>
        </w:tc>
        <w:tc>
          <w:tcPr>
            <w:tcW w:w="1380" w:type="dxa"/>
            <w:vAlign w:val="bottom"/>
          </w:tcPr>
          <w:p>
            <w:pPr>
              <w:jc w:val="right"/>
              <w:spacing w:after="0"/>
              <w:rPr>
                <w:sz w:val="20"/>
                <w:szCs w:val="20"/>
                <w:color w:val="auto"/>
              </w:rPr>
            </w:pPr>
            <w:r>
              <w:rPr>
                <w:rFonts w:ascii="Arial" w:cs="Arial" w:eastAsia="Arial" w:hAnsi="Arial"/>
                <w:sz w:val="20"/>
                <w:szCs w:val="20"/>
                <w:color w:val="auto"/>
              </w:rPr>
              <w:t>820,110</w:t>
            </w:r>
          </w:p>
        </w:tc>
        <w:tc>
          <w:tcPr>
            <w:tcW w:w="280" w:type="dxa"/>
            <w:vAlign w:val="bottom"/>
          </w:tcPr>
          <w:p>
            <w:pPr>
              <w:spacing w:after="0"/>
              <w:rPr>
                <w:sz w:val="21"/>
                <w:szCs w:val="21"/>
                <w:color w:val="auto"/>
              </w:rPr>
            </w:pPr>
          </w:p>
        </w:tc>
        <w:tc>
          <w:tcPr>
            <w:tcW w:w="260" w:type="dxa"/>
            <w:vAlign w:val="bottom"/>
          </w:tcPr>
          <w:p>
            <w:pPr>
              <w:jc w:val="right"/>
              <w:ind w:right="59"/>
              <w:spacing w:after="0"/>
              <w:rPr>
                <w:sz w:val="20"/>
                <w:szCs w:val="20"/>
                <w:color w:val="auto"/>
              </w:rPr>
            </w:pPr>
            <w:r>
              <w:rPr>
                <w:rFonts w:ascii="Arial" w:cs="Arial" w:eastAsia="Arial" w:hAnsi="Arial"/>
                <w:sz w:val="20"/>
                <w:szCs w:val="20"/>
                <w:color w:val="auto"/>
                <w:w w:val="71"/>
              </w:rPr>
              <w:t>$</w:t>
            </w:r>
          </w:p>
        </w:tc>
        <w:tc>
          <w:tcPr>
            <w:tcW w:w="1380" w:type="dxa"/>
            <w:vAlign w:val="bottom"/>
          </w:tcPr>
          <w:p>
            <w:pPr>
              <w:jc w:val="right"/>
              <w:spacing w:after="0"/>
              <w:rPr>
                <w:sz w:val="20"/>
                <w:szCs w:val="20"/>
                <w:color w:val="auto"/>
              </w:rPr>
            </w:pPr>
            <w:r>
              <w:rPr>
                <w:rFonts w:ascii="Arial" w:cs="Arial" w:eastAsia="Arial" w:hAnsi="Arial"/>
                <w:sz w:val="20"/>
                <w:szCs w:val="20"/>
                <w:color w:val="auto"/>
              </w:rPr>
              <w:t>67,349</w:t>
            </w:r>
          </w:p>
        </w:tc>
        <w:tc>
          <w:tcPr>
            <w:tcW w:w="100" w:type="dxa"/>
            <w:vAlign w:val="bottom"/>
          </w:tcPr>
          <w:p>
            <w:pPr>
              <w:spacing w:after="0"/>
              <w:rPr>
                <w:sz w:val="21"/>
                <w:szCs w:val="21"/>
                <w:color w:val="auto"/>
              </w:rPr>
            </w:pPr>
          </w:p>
        </w:tc>
      </w:tr>
      <w:tr>
        <w:trPr>
          <w:trHeight w:val="250"/>
        </w:trPr>
        <w:tc>
          <w:tcPr>
            <w:tcW w:w="3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Other</w:t>
            </w:r>
          </w:p>
        </w:tc>
        <w:tc>
          <w:tcPr>
            <w:tcW w:w="214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182,568</w:t>
            </w:r>
          </w:p>
        </w:tc>
        <w:tc>
          <w:tcPr>
            <w:tcW w:w="280" w:type="dxa"/>
            <w:vAlign w:val="bottom"/>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178,328</w:t>
            </w:r>
          </w:p>
        </w:tc>
        <w:tc>
          <w:tcPr>
            <w:tcW w:w="280" w:type="dxa"/>
            <w:vAlign w:val="bottom"/>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4,240</w:t>
            </w:r>
          </w:p>
        </w:tc>
        <w:tc>
          <w:tcPr>
            <w:tcW w:w="100" w:type="dxa"/>
            <w:vAlign w:val="bottom"/>
            <w:shd w:val="clear" w:color="auto" w:fill="CFF0FC"/>
          </w:tcPr>
          <w:p>
            <w:pPr>
              <w:spacing w:after="0"/>
              <w:rPr>
                <w:sz w:val="21"/>
                <w:szCs w:val="21"/>
                <w:color w:val="auto"/>
              </w:rPr>
            </w:pPr>
          </w:p>
        </w:tc>
      </w:tr>
      <w:tr>
        <w:trPr>
          <w:trHeight w:val="283"/>
        </w:trPr>
        <w:tc>
          <w:tcPr>
            <w:tcW w:w="3740" w:type="dxa"/>
            <w:vAlign w:val="bottom"/>
            <w:tcBorders>
              <w:bottom w:val="single" w:sz="8" w:color="CFF0FC"/>
            </w:tcBorders>
          </w:tcPr>
          <w:p>
            <w:pPr>
              <w:ind w:left="240"/>
              <w:spacing w:after="0"/>
              <w:rPr>
                <w:sz w:val="20"/>
                <w:szCs w:val="20"/>
                <w:color w:val="auto"/>
              </w:rPr>
            </w:pPr>
            <w:r>
              <w:rPr>
                <w:rFonts w:ascii="Arial" w:cs="Arial" w:eastAsia="Arial" w:hAnsi="Arial"/>
                <w:sz w:val="20"/>
                <w:szCs w:val="20"/>
                <w:color w:val="auto"/>
              </w:rPr>
              <w:t>Total</w:t>
            </w:r>
          </w:p>
        </w:tc>
        <w:tc>
          <w:tcPr>
            <w:tcW w:w="2140" w:type="dxa"/>
            <w:vAlign w:val="bottom"/>
            <w:tcBorders>
              <w:bottom w:val="single" w:sz="8" w:color="CFF0FC"/>
            </w:tcBorders>
          </w:tcPr>
          <w:p>
            <w:pPr>
              <w:spacing w:after="0"/>
              <w:rPr>
                <w:sz w:val="24"/>
                <w:szCs w:val="24"/>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20"/>
                <w:szCs w:val="20"/>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1,070,027</w:t>
            </w:r>
          </w:p>
        </w:tc>
        <w:tc>
          <w:tcPr>
            <w:tcW w:w="280" w:type="dxa"/>
            <w:vAlign w:val="bottom"/>
            <w:tcBorders>
              <w:bottom w:val="single" w:sz="8" w:color="CFF0FC"/>
            </w:tcBorders>
          </w:tcPr>
          <w:p>
            <w:pPr>
              <w:spacing w:after="0"/>
              <w:rPr>
                <w:sz w:val="24"/>
                <w:szCs w:val="24"/>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20"/>
                <w:szCs w:val="20"/>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998,438</w:t>
            </w:r>
          </w:p>
        </w:tc>
        <w:tc>
          <w:tcPr>
            <w:tcW w:w="280" w:type="dxa"/>
            <w:vAlign w:val="bottom"/>
            <w:tcBorders>
              <w:bottom w:val="single" w:sz="8" w:color="CFF0FC"/>
            </w:tcBorders>
          </w:tcPr>
          <w:p>
            <w:pPr>
              <w:spacing w:after="0"/>
              <w:rPr>
                <w:sz w:val="24"/>
                <w:szCs w:val="24"/>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20"/>
                <w:szCs w:val="20"/>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71,589</w:t>
            </w:r>
          </w:p>
        </w:tc>
        <w:tc>
          <w:tcPr>
            <w:tcW w:w="100" w:type="dxa"/>
            <w:vAlign w:val="bottom"/>
            <w:tcBorders>
              <w:bottom w:val="single" w:sz="8" w:color="CFF0FC"/>
            </w:tcBorders>
          </w:tcPr>
          <w:p>
            <w:pPr>
              <w:spacing w:after="0"/>
              <w:rPr>
                <w:sz w:val="24"/>
                <w:szCs w:val="24"/>
                <w:color w:val="auto"/>
              </w:rPr>
            </w:pPr>
          </w:p>
        </w:tc>
      </w:tr>
      <w:tr>
        <w:trPr>
          <w:trHeight w:val="229"/>
        </w:trPr>
        <w:tc>
          <w:tcPr>
            <w:tcW w:w="3740" w:type="dxa"/>
            <w:vAlign w:val="bottom"/>
            <w:shd w:val="clear" w:color="auto" w:fill="CFF0FC"/>
          </w:tcPr>
          <w:p>
            <w:pPr>
              <w:spacing w:after="0"/>
              <w:rPr>
                <w:sz w:val="20"/>
                <w:szCs w:val="20"/>
                <w:color w:val="auto"/>
              </w:rPr>
            </w:pPr>
            <w:r>
              <w:rPr>
                <w:rFonts w:ascii="Arial" w:cs="Arial" w:eastAsia="Arial" w:hAnsi="Arial"/>
                <w:sz w:val="20"/>
                <w:szCs w:val="20"/>
                <w:color w:val="auto"/>
              </w:rPr>
              <w:t>December 31, 2016</w:t>
            </w:r>
          </w:p>
        </w:tc>
        <w:tc>
          <w:tcPr>
            <w:tcW w:w="2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50"/>
        </w:trPr>
        <w:tc>
          <w:tcPr>
            <w:tcW w:w="3740" w:type="dxa"/>
            <w:vAlign w:val="bottom"/>
          </w:tcPr>
          <w:p>
            <w:pPr>
              <w:ind w:left="240"/>
              <w:spacing w:after="0"/>
              <w:rPr>
                <w:sz w:val="20"/>
                <w:szCs w:val="20"/>
                <w:color w:val="auto"/>
              </w:rPr>
            </w:pPr>
            <w:r>
              <w:rPr>
                <w:rFonts w:ascii="Arial" w:cs="Arial" w:eastAsia="Arial" w:hAnsi="Arial"/>
                <w:sz w:val="20"/>
                <w:szCs w:val="20"/>
                <w:color w:val="auto"/>
              </w:rPr>
              <w:t>Core deposit</w:t>
            </w:r>
          </w:p>
        </w:tc>
        <w:tc>
          <w:tcPr>
            <w:tcW w:w="2360" w:type="dxa"/>
            <w:vAlign w:val="bottom"/>
            <w:gridSpan w:val="2"/>
          </w:tcPr>
          <w:p>
            <w:pPr>
              <w:jc w:val="right"/>
              <w:ind w:right="19"/>
              <w:spacing w:after="0"/>
              <w:rPr>
                <w:sz w:val="20"/>
                <w:szCs w:val="20"/>
                <w:color w:val="auto"/>
              </w:rPr>
            </w:pPr>
            <w:r>
              <w:rPr>
                <w:rFonts w:ascii="Arial" w:cs="Arial" w:eastAsia="Arial" w:hAnsi="Arial"/>
                <w:sz w:val="20"/>
                <w:szCs w:val="20"/>
                <w:color w:val="auto"/>
              </w:rPr>
              <w:t>$</w:t>
            </w:r>
          </w:p>
        </w:tc>
        <w:tc>
          <w:tcPr>
            <w:tcW w:w="1400" w:type="dxa"/>
            <w:vAlign w:val="bottom"/>
          </w:tcPr>
          <w:p>
            <w:pPr>
              <w:jc w:val="right"/>
              <w:spacing w:after="0"/>
              <w:rPr>
                <w:sz w:val="20"/>
                <w:szCs w:val="20"/>
                <w:color w:val="auto"/>
              </w:rPr>
            </w:pPr>
            <w:r>
              <w:rPr>
                <w:rFonts w:ascii="Arial" w:cs="Arial" w:eastAsia="Arial" w:hAnsi="Arial"/>
                <w:sz w:val="20"/>
                <w:szCs w:val="20"/>
                <w:color w:val="auto"/>
              </w:rPr>
              <w:t>887,459</w:t>
            </w:r>
          </w:p>
        </w:tc>
        <w:tc>
          <w:tcPr>
            <w:tcW w:w="280" w:type="dxa"/>
            <w:vAlign w:val="bottom"/>
          </w:tcPr>
          <w:p>
            <w:pPr>
              <w:spacing w:after="0"/>
              <w:rPr>
                <w:sz w:val="21"/>
                <w:szCs w:val="21"/>
                <w:color w:val="auto"/>
              </w:rPr>
            </w:pPr>
          </w:p>
        </w:tc>
        <w:tc>
          <w:tcPr>
            <w:tcW w:w="240" w:type="dxa"/>
            <w:vAlign w:val="bottom"/>
          </w:tcPr>
          <w:p>
            <w:pPr>
              <w:jc w:val="right"/>
              <w:ind w:right="39"/>
              <w:spacing w:after="0"/>
              <w:rPr>
                <w:sz w:val="20"/>
                <w:szCs w:val="20"/>
                <w:color w:val="auto"/>
              </w:rPr>
            </w:pPr>
            <w:r>
              <w:rPr>
                <w:rFonts w:ascii="Arial" w:cs="Arial" w:eastAsia="Arial" w:hAnsi="Arial"/>
                <w:sz w:val="20"/>
                <w:szCs w:val="20"/>
                <w:color w:val="auto"/>
                <w:w w:val="71"/>
              </w:rPr>
              <w:t>$</w:t>
            </w:r>
          </w:p>
        </w:tc>
        <w:tc>
          <w:tcPr>
            <w:tcW w:w="1380" w:type="dxa"/>
            <w:vAlign w:val="bottom"/>
          </w:tcPr>
          <w:p>
            <w:pPr>
              <w:jc w:val="right"/>
              <w:spacing w:after="0"/>
              <w:rPr>
                <w:sz w:val="20"/>
                <w:szCs w:val="20"/>
                <w:color w:val="auto"/>
              </w:rPr>
            </w:pPr>
            <w:r>
              <w:rPr>
                <w:rFonts w:ascii="Arial" w:cs="Arial" w:eastAsia="Arial" w:hAnsi="Arial"/>
                <w:sz w:val="20"/>
                <w:szCs w:val="20"/>
                <w:color w:val="auto"/>
              </w:rPr>
              <w:t>789,988</w:t>
            </w:r>
          </w:p>
        </w:tc>
        <w:tc>
          <w:tcPr>
            <w:tcW w:w="280" w:type="dxa"/>
            <w:vAlign w:val="bottom"/>
          </w:tcPr>
          <w:p>
            <w:pPr>
              <w:spacing w:after="0"/>
              <w:rPr>
                <w:sz w:val="21"/>
                <w:szCs w:val="21"/>
                <w:color w:val="auto"/>
              </w:rPr>
            </w:pPr>
          </w:p>
        </w:tc>
        <w:tc>
          <w:tcPr>
            <w:tcW w:w="260" w:type="dxa"/>
            <w:vAlign w:val="bottom"/>
          </w:tcPr>
          <w:p>
            <w:pPr>
              <w:jc w:val="right"/>
              <w:ind w:right="59"/>
              <w:spacing w:after="0"/>
              <w:rPr>
                <w:sz w:val="20"/>
                <w:szCs w:val="20"/>
                <w:color w:val="auto"/>
              </w:rPr>
            </w:pPr>
            <w:r>
              <w:rPr>
                <w:rFonts w:ascii="Arial" w:cs="Arial" w:eastAsia="Arial" w:hAnsi="Arial"/>
                <w:sz w:val="20"/>
                <w:szCs w:val="20"/>
                <w:color w:val="auto"/>
                <w:w w:val="71"/>
              </w:rPr>
              <w:t>$</w:t>
            </w:r>
          </w:p>
        </w:tc>
        <w:tc>
          <w:tcPr>
            <w:tcW w:w="1380" w:type="dxa"/>
            <w:vAlign w:val="bottom"/>
          </w:tcPr>
          <w:p>
            <w:pPr>
              <w:jc w:val="right"/>
              <w:spacing w:after="0"/>
              <w:rPr>
                <w:sz w:val="20"/>
                <w:szCs w:val="20"/>
                <w:color w:val="auto"/>
              </w:rPr>
            </w:pPr>
            <w:r>
              <w:rPr>
                <w:rFonts w:ascii="Arial" w:cs="Arial" w:eastAsia="Arial" w:hAnsi="Arial"/>
                <w:sz w:val="20"/>
                <w:szCs w:val="20"/>
                <w:color w:val="auto"/>
              </w:rPr>
              <w:t>97,471</w:t>
            </w:r>
          </w:p>
        </w:tc>
        <w:tc>
          <w:tcPr>
            <w:tcW w:w="100" w:type="dxa"/>
            <w:vAlign w:val="bottom"/>
          </w:tcPr>
          <w:p>
            <w:pPr>
              <w:spacing w:after="0"/>
              <w:rPr>
                <w:sz w:val="21"/>
                <w:szCs w:val="21"/>
                <w:color w:val="auto"/>
              </w:rPr>
            </w:pPr>
          </w:p>
        </w:tc>
      </w:tr>
      <w:tr>
        <w:trPr>
          <w:trHeight w:val="250"/>
        </w:trPr>
        <w:tc>
          <w:tcPr>
            <w:tcW w:w="3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Other</w:t>
            </w:r>
          </w:p>
        </w:tc>
        <w:tc>
          <w:tcPr>
            <w:tcW w:w="214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177,268</w:t>
            </w:r>
          </w:p>
        </w:tc>
        <w:tc>
          <w:tcPr>
            <w:tcW w:w="280" w:type="dxa"/>
            <w:vAlign w:val="bottom"/>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177,084</w:t>
            </w:r>
          </w:p>
        </w:tc>
        <w:tc>
          <w:tcPr>
            <w:tcW w:w="280" w:type="dxa"/>
            <w:vAlign w:val="bottom"/>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184</w:t>
            </w:r>
          </w:p>
        </w:tc>
        <w:tc>
          <w:tcPr>
            <w:tcW w:w="100" w:type="dxa"/>
            <w:vAlign w:val="bottom"/>
            <w:shd w:val="clear" w:color="auto" w:fill="CFF0FC"/>
          </w:tcPr>
          <w:p>
            <w:pPr>
              <w:spacing w:after="0"/>
              <w:rPr>
                <w:sz w:val="21"/>
                <w:szCs w:val="21"/>
                <w:color w:val="auto"/>
              </w:rPr>
            </w:pPr>
          </w:p>
        </w:tc>
      </w:tr>
      <w:tr>
        <w:trPr>
          <w:trHeight w:val="243"/>
        </w:trPr>
        <w:tc>
          <w:tcPr>
            <w:tcW w:w="3740" w:type="dxa"/>
            <w:vAlign w:val="bottom"/>
          </w:tcPr>
          <w:p>
            <w:pPr>
              <w:ind w:left="240"/>
              <w:spacing w:after="0"/>
              <w:rPr>
                <w:sz w:val="20"/>
                <w:szCs w:val="20"/>
                <w:color w:val="auto"/>
              </w:rPr>
            </w:pPr>
            <w:r>
              <w:rPr>
                <w:rFonts w:ascii="Arial" w:cs="Arial" w:eastAsia="Arial" w:hAnsi="Arial"/>
                <w:sz w:val="20"/>
                <w:szCs w:val="20"/>
                <w:color w:val="auto"/>
              </w:rPr>
              <w:t>Total</w:t>
            </w:r>
          </w:p>
        </w:tc>
        <w:tc>
          <w:tcPr>
            <w:tcW w:w="2140" w:type="dxa"/>
            <w:vAlign w:val="bottom"/>
          </w:tcPr>
          <w:p>
            <w:pPr>
              <w:spacing w:after="0"/>
              <w:rPr>
                <w:sz w:val="21"/>
                <w:szCs w:val="21"/>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20"/>
                <w:szCs w:val="20"/>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1,064,727</w:t>
            </w:r>
          </w:p>
        </w:tc>
        <w:tc>
          <w:tcPr>
            <w:tcW w:w="280" w:type="dxa"/>
            <w:vAlign w:val="bottom"/>
          </w:tcPr>
          <w:p>
            <w:pPr>
              <w:spacing w:after="0"/>
              <w:rPr>
                <w:sz w:val="21"/>
                <w:szCs w:val="21"/>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20"/>
                <w:szCs w:val="20"/>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967,072</w:t>
            </w:r>
          </w:p>
        </w:tc>
        <w:tc>
          <w:tcPr>
            <w:tcW w:w="280" w:type="dxa"/>
            <w:vAlign w:val="bottom"/>
          </w:tcPr>
          <w:p>
            <w:pPr>
              <w:spacing w:after="0"/>
              <w:rPr>
                <w:sz w:val="21"/>
                <w:szCs w:val="21"/>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20"/>
                <w:szCs w:val="20"/>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97,655</w:t>
            </w:r>
          </w:p>
        </w:tc>
        <w:tc>
          <w:tcPr>
            <w:tcW w:w="100" w:type="dxa"/>
            <w:vAlign w:val="bottom"/>
          </w:tcPr>
          <w:p>
            <w:pPr>
              <w:spacing w:after="0"/>
              <w:rPr>
                <w:sz w:val="21"/>
                <w:szCs w:val="21"/>
                <w:color w:val="auto"/>
              </w:rPr>
            </w:pPr>
          </w:p>
        </w:tc>
      </w:tr>
      <w:tr>
        <w:trPr>
          <w:trHeight w:val="20"/>
        </w:trPr>
        <w:tc>
          <w:tcPr>
            <w:tcW w:w="37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6" w:lineRule="exact"/>
        <w:rPr>
          <w:sz w:val="20"/>
          <w:szCs w:val="20"/>
          <w:color w:val="auto"/>
        </w:rPr>
      </w:pPr>
    </w:p>
    <w:p>
      <w:pPr>
        <w:ind w:right="80" w:firstLine="598"/>
        <w:spacing w:after="0" w:line="293" w:lineRule="auto"/>
        <w:rPr>
          <w:sz w:val="20"/>
          <w:szCs w:val="20"/>
          <w:color w:val="auto"/>
        </w:rPr>
      </w:pPr>
      <w:r>
        <w:rPr>
          <w:rFonts w:ascii="Arial" w:cs="Arial" w:eastAsia="Arial" w:hAnsi="Arial"/>
          <w:sz w:val="18"/>
          <w:szCs w:val="18"/>
          <w:color w:val="auto"/>
        </w:rPr>
        <w:t>Amortization of core deposit and other intangible assets was generally computed using accelerated methods over original amortization periods of five to ten years. The weighted-average original amortization period was approximately eight years. Amortization expense for core deposit and other intangible assets was $31,366,000, $42,613,000 and $26,424,000 for the years ended December 31, 2017, 2016 and 2015, respectively. Estimated amortization expense in future years for such intangible assets is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10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rPr>
              <w:t>(In thousands)</w:t>
            </w:r>
          </w:p>
        </w:tc>
      </w:tr>
      <w:tr>
        <w:trPr>
          <w:trHeight w:val="250"/>
        </w:trPr>
        <w:tc>
          <w:tcPr>
            <w:tcW w:w="6100" w:type="dxa"/>
            <w:vAlign w:val="bottom"/>
            <w:shd w:val="clear" w:color="auto" w:fill="CFF0FC"/>
          </w:tcPr>
          <w:p>
            <w:pPr>
              <w:jc w:val="right"/>
              <w:ind w:right="3839"/>
              <w:spacing w:after="0"/>
              <w:rPr>
                <w:sz w:val="20"/>
                <w:szCs w:val="20"/>
                <w:color w:val="auto"/>
              </w:rPr>
            </w:pPr>
            <w:r>
              <w:rPr>
                <w:rFonts w:ascii="Arial" w:cs="Arial" w:eastAsia="Arial" w:hAnsi="Arial"/>
                <w:sz w:val="20"/>
                <w:szCs w:val="20"/>
                <w:color w:val="auto"/>
                <w:w w:val="89"/>
              </w:rPr>
              <w:t>Year ending December 31:</w:t>
            </w:r>
          </w:p>
        </w:tc>
        <w:tc>
          <w:tcPr>
            <w:tcW w:w="39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50"/>
        </w:trPr>
        <w:tc>
          <w:tcPr>
            <w:tcW w:w="6100" w:type="dxa"/>
            <w:vAlign w:val="bottom"/>
          </w:tcPr>
          <w:p>
            <w:pPr>
              <w:jc w:val="right"/>
              <w:ind w:right="5359"/>
              <w:spacing w:after="0"/>
              <w:rPr>
                <w:sz w:val="20"/>
                <w:szCs w:val="20"/>
                <w:color w:val="auto"/>
              </w:rPr>
            </w:pPr>
            <w:r>
              <w:rPr>
                <w:rFonts w:ascii="Arial" w:cs="Arial" w:eastAsia="Arial" w:hAnsi="Arial"/>
                <w:sz w:val="20"/>
                <w:szCs w:val="20"/>
                <w:color w:val="auto"/>
              </w:rPr>
              <w:t>2018</w:t>
            </w:r>
          </w:p>
        </w:tc>
        <w:tc>
          <w:tcPr>
            <w:tcW w:w="40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24,522</w:t>
            </w:r>
          </w:p>
        </w:tc>
        <w:tc>
          <w:tcPr>
            <w:tcW w:w="120" w:type="dxa"/>
            <w:vAlign w:val="bottom"/>
          </w:tcPr>
          <w:p>
            <w:pPr>
              <w:spacing w:after="0"/>
              <w:rPr>
                <w:sz w:val="21"/>
                <w:szCs w:val="21"/>
                <w:color w:val="auto"/>
              </w:rPr>
            </w:pPr>
          </w:p>
        </w:tc>
      </w:tr>
      <w:tr>
        <w:trPr>
          <w:trHeight w:val="250"/>
        </w:trPr>
        <w:tc>
          <w:tcPr>
            <w:tcW w:w="6100" w:type="dxa"/>
            <w:vAlign w:val="bottom"/>
            <w:shd w:val="clear" w:color="auto" w:fill="CFF0FC"/>
          </w:tcPr>
          <w:p>
            <w:pPr>
              <w:jc w:val="right"/>
              <w:ind w:right="5359"/>
              <w:spacing w:after="0"/>
              <w:rPr>
                <w:sz w:val="20"/>
                <w:szCs w:val="20"/>
                <w:color w:val="auto"/>
              </w:rPr>
            </w:pPr>
            <w:r>
              <w:rPr>
                <w:rFonts w:ascii="Arial" w:cs="Arial" w:eastAsia="Arial" w:hAnsi="Arial"/>
                <w:sz w:val="20"/>
                <w:szCs w:val="20"/>
                <w:color w:val="auto"/>
              </w:rPr>
              <w:t>2019</w:t>
            </w:r>
          </w:p>
        </w:tc>
        <w:tc>
          <w:tcPr>
            <w:tcW w:w="39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19,086</w:t>
            </w:r>
          </w:p>
        </w:tc>
        <w:tc>
          <w:tcPr>
            <w:tcW w:w="120" w:type="dxa"/>
            <w:vAlign w:val="bottom"/>
            <w:shd w:val="clear" w:color="auto" w:fill="CFF0FC"/>
          </w:tcPr>
          <w:p>
            <w:pPr>
              <w:spacing w:after="0"/>
              <w:rPr>
                <w:sz w:val="21"/>
                <w:szCs w:val="21"/>
                <w:color w:val="auto"/>
              </w:rPr>
            </w:pPr>
          </w:p>
        </w:tc>
      </w:tr>
      <w:tr>
        <w:trPr>
          <w:trHeight w:val="250"/>
        </w:trPr>
        <w:tc>
          <w:tcPr>
            <w:tcW w:w="6100" w:type="dxa"/>
            <w:vAlign w:val="bottom"/>
          </w:tcPr>
          <w:p>
            <w:pPr>
              <w:jc w:val="right"/>
              <w:ind w:right="5359"/>
              <w:spacing w:after="0"/>
              <w:rPr>
                <w:sz w:val="20"/>
                <w:szCs w:val="20"/>
                <w:color w:val="auto"/>
              </w:rPr>
            </w:pPr>
            <w:r>
              <w:rPr>
                <w:rFonts w:ascii="Arial" w:cs="Arial" w:eastAsia="Arial" w:hAnsi="Arial"/>
                <w:sz w:val="20"/>
                <w:szCs w:val="20"/>
                <w:color w:val="auto"/>
              </w:rPr>
              <w:t>2020</w:t>
            </w:r>
          </w:p>
        </w:tc>
        <w:tc>
          <w:tcPr>
            <w:tcW w:w="3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14,383</w:t>
            </w:r>
          </w:p>
        </w:tc>
        <w:tc>
          <w:tcPr>
            <w:tcW w:w="120" w:type="dxa"/>
            <w:vAlign w:val="bottom"/>
          </w:tcPr>
          <w:p>
            <w:pPr>
              <w:spacing w:after="0"/>
              <w:rPr>
                <w:sz w:val="21"/>
                <w:szCs w:val="21"/>
                <w:color w:val="auto"/>
              </w:rPr>
            </w:pPr>
          </w:p>
        </w:tc>
      </w:tr>
      <w:tr>
        <w:trPr>
          <w:trHeight w:val="250"/>
        </w:trPr>
        <w:tc>
          <w:tcPr>
            <w:tcW w:w="6100" w:type="dxa"/>
            <w:vAlign w:val="bottom"/>
            <w:shd w:val="clear" w:color="auto" w:fill="CFF0FC"/>
          </w:tcPr>
          <w:p>
            <w:pPr>
              <w:jc w:val="right"/>
              <w:ind w:right="5359"/>
              <w:spacing w:after="0"/>
              <w:rPr>
                <w:sz w:val="20"/>
                <w:szCs w:val="20"/>
                <w:color w:val="auto"/>
              </w:rPr>
            </w:pPr>
            <w:r>
              <w:rPr>
                <w:rFonts w:ascii="Arial" w:cs="Arial" w:eastAsia="Arial" w:hAnsi="Arial"/>
                <w:sz w:val="20"/>
                <w:szCs w:val="20"/>
                <w:color w:val="auto"/>
              </w:rPr>
              <w:t>2021</w:t>
            </w:r>
          </w:p>
        </w:tc>
        <w:tc>
          <w:tcPr>
            <w:tcW w:w="39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9,681</w:t>
            </w:r>
          </w:p>
        </w:tc>
        <w:tc>
          <w:tcPr>
            <w:tcW w:w="120" w:type="dxa"/>
            <w:vAlign w:val="bottom"/>
            <w:shd w:val="clear" w:color="auto" w:fill="CFF0FC"/>
          </w:tcPr>
          <w:p>
            <w:pPr>
              <w:spacing w:after="0"/>
              <w:rPr>
                <w:sz w:val="21"/>
                <w:szCs w:val="21"/>
                <w:color w:val="auto"/>
              </w:rPr>
            </w:pPr>
          </w:p>
        </w:tc>
      </w:tr>
      <w:tr>
        <w:trPr>
          <w:trHeight w:val="250"/>
        </w:trPr>
        <w:tc>
          <w:tcPr>
            <w:tcW w:w="6100" w:type="dxa"/>
            <w:vAlign w:val="bottom"/>
            <w:tcBorders>
              <w:bottom w:val="single" w:sz="8" w:color="CFF0FC"/>
            </w:tcBorders>
          </w:tcPr>
          <w:p>
            <w:pPr>
              <w:jc w:val="right"/>
              <w:ind w:right="5359"/>
              <w:spacing w:after="0"/>
              <w:rPr>
                <w:sz w:val="20"/>
                <w:szCs w:val="20"/>
                <w:color w:val="auto"/>
              </w:rPr>
            </w:pPr>
            <w:r>
              <w:rPr>
                <w:rFonts w:ascii="Arial" w:cs="Arial" w:eastAsia="Arial" w:hAnsi="Arial"/>
                <w:sz w:val="20"/>
                <w:szCs w:val="20"/>
                <w:color w:val="auto"/>
              </w:rPr>
              <w:t>2022</w:t>
            </w:r>
          </w:p>
        </w:tc>
        <w:tc>
          <w:tcPr>
            <w:tcW w:w="394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3,917</w:t>
            </w:r>
          </w:p>
        </w:tc>
        <w:tc>
          <w:tcPr>
            <w:tcW w:w="120" w:type="dxa"/>
            <w:vAlign w:val="bottom"/>
            <w:tcBorders>
              <w:bottom w:val="single" w:sz="8" w:color="CFF0FC"/>
            </w:tcBorders>
          </w:tcPr>
          <w:p>
            <w:pPr>
              <w:spacing w:after="0"/>
              <w:rPr>
                <w:sz w:val="21"/>
                <w:szCs w:val="21"/>
                <w:color w:val="auto"/>
              </w:rPr>
            </w:pPr>
          </w:p>
        </w:tc>
      </w:tr>
      <w:tr>
        <w:trPr>
          <w:trHeight w:val="243"/>
        </w:trPr>
        <w:tc>
          <w:tcPr>
            <w:tcW w:w="6100" w:type="dxa"/>
            <w:vAlign w:val="bottom"/>
            <w:tcBorders>
              <w:bottom w:val="single" w:sz="8" w:color="CFF0FC"/>
            </w:tcBorders>
            <w:shd w:val="clear" w:color="auto" w:fill="CFF0FC"/>
          </w:tcPr>
          <w:p>
            <w:pPr>
              <w:spacing w:after="0"/>
              <w:rPr>
                <w:sz w:val="21"/>
                <w:szCs w:val="21"/>
                <w:color w:val="auto"/>
              </w:rPr>
            </w:pPr>
          </w:p>
        </w:tc>
        <w:tc>
          <w:tcPr>
            <w:tcW w:w="39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71,589</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20"/>
        </w:trPr>
        <w:tc>
          <w:tcPr>
            <w:tcW w:w="610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3" w:lineRule="exact"/>
        <w:rPr>
          <w:sz w:val="20"/>
          <w:szCs w:val="20"/>
          <w:color w:val="auto"/>
        </w:rPr>
      </w:pPr>
    </w:p>
    <w:p>
      <w:pPr>
        <w:ind w:right="40" w:firstLine="598"/>
        <w:spacing w:after="0" w:line="280" w:lineRule="auto"/>
        <w:rPr>
          <w:sz w:val="20"/>
          <w:szCs w:val="20"/>
          <w:color w:val="auto"/>
        </w:rPr>
      </w:pPr>
      <w:r>
        <w:rPr>
          <w:rFonts w:ascii="Arial" w:cs="Arial" w:eastAsia="Arial" w:hAnsi="Arial"/>
          <w:sz w:val="18"/>
          <w:szCs w:val="18"/>
          <w:color w:val="auto"/>
        </w:rPr>
        <w:t>In accordance with GAAP, the Company completed annual goodwill impairment tests as of October 1, 2017, 2016 and 2015. For purposes of testing for impairment, the Company assigned all recorded goodwill to the reporting units originally intended to benefit from past business combinations, which has historically been the Company’s core relationship business reporting units. Goodwill was generally assigned based on the implied fair value of the acquired goodwill applicable to the benefited reporting units at the time of each respective acquisition. The implied fair value of the goodwill was determined as the difference between the estimated incremental overall fair value of the reporting unit and the estimated fair value of the net assets assigned to the reporting unit as of each respective acquisition date. To test for goodwill impairment at each evaluation date, the Company compared the estimated fair value of each of its reporting units to their respective carrying amounts and certain other assets and liabilities assigned to the reporting unit, including goodwill and core deposit and other intangible assets. The methodologies used to estimate fair values of reporting units as of the acquisition dates and as of the evaluation dates were similar. For the Company’s core customer relationship business reporting units, fair value was estimated as the present value of the expected future cash flows of the reporting unit. Based on the results of the goodwill impairment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139" w:name="page140"/>
    <w:bookmarkEnd w:id="139"/>
    <w:p>
      <w:pPr>
        <w:spacing w:after="0"/>
        <w:rPr>
          <w:sz w:val="20"/>
          <w:szCs w:val="20"/>
          <w:color w:val="auto"/>
        </w:rPr>
      </w:pPr>
      <w:r>
        <w:rPr>
          <w:rFonts w:ascii="Arial" w:cs="Arial" w:eastAsia="Arial" w:hAnsi="Arial"/>
          <w:sz w:val="20"/>
          <w:szCs w:val="20"/>
          <w:color w:val="auto"/>
        </w:rPr>
        <w:t>tests, the Company concluded that the amount of recorded goodwill was not impaired at the respective testing dates.</w:t>
      </w:r>
    </w:p>
    <w:p>
      <w:pPr>
        <w:spacing w:after="0" w:line="25" w:lineRule="exact"/>
        <w:rPr>
          <w:sz w:val="20"/>
          <w:szCs w:val="20"/>
          <w:color w:val="auto"/>
        </w:rPr>
      </w:pPr>
    </w:p>
    <w:p>
      <w:pPr>
        <w:ind w:right="260" w:firstLine="598"/>
        <w:spacing w:after="0" w:line="256" w:lineRule="auto"/>
        <w:rPr>
          <w:sz w:val="20"/>
          <w:szCs w:val="20"/>
          <w:color w:val="auto"/>
        </w:rPr>
      </w:pPr>
      <w:r>
        <w:rPr>
          <w:rFonts w:ascii="Arial" w:cs="Arial" w:eastAsia="Arial" w:hAnsi="Arial"/>
          <w:sz w:val="20"/>
          <w:szCs w:val="20"/>
          <w:color w:val="auto"/>
        </w:rPr>
        <w:t>A summary of goodwill assigned to each of the Company’s reportable segments as of December 31, 2017 and 2016 for purposes of testing for impairment is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9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b w:val="1"/>
                <w:bCs w:val="1"/>
                <w:color w:val="auto"/>
              </w:rPr>
              <w:t>(In thousands)</w:t>
            </w:r>
          </w:p>
        </w:tc>
      </w:tr>
      <w:tr>
        <w:trPr>
          <w:trHeight w:val="142"/>
        </w:trPr>
        <w:tc>
          <w:tcPr>
            <w:tcW w:w="9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50"/>
        </w:trPr>
        <w:tc>
          <w:tcPr>
            <w:tcW w:w="9920" w:type="dxa"/>
            <w:vAlign w:val="bottom"/>
            <w:shd w:val="clear" w:color="auto" w:fill="CFF0FC"/>
          </w:tcPr>
          <w:p>
            <w:pPr>
              <w:spacing w:after="0"/>
              <w:rPr>
                <w:sz w:val="20"/>
                <w:szCs w:val="20"/>
                <w:color w:val="auto"/>
              </w:rPr>
            </w:pPr>
            <w:r>
              <w:rPr>
                <w:rFonts w:ascii="Arial" w:cs="Arial" w:eastAsia="Arial" w:hAnsi="Arial"/>
                <w:sz w:val="20"/>
                <w:szCs w:val="20"/>
                <w:color w:val="auto"/>
              </w:rPr>
              <w:t>Business Banking</w:t>
            </w:r>
          </w:p>
        </w:tc>
        <w:tc>
          <w:tcPr>
            <w:tcW w:w="18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864,366</w:t>
            </w:r>
          </w:p>
        </w:tc>
        <w:tc>
          <w:tcPr>
            <w:tcW w:w="100" w:type="dxa"/>
            <w:vAlign w:val="bottom"/>
            <w:shd w:val="clear" w:color="auto" w:fill="CFF0FC"/>
          </w:tcPr>
          <w:p>
            <w:pPr>
              <w:spacing w:after="0"/>
              <w:rPr>
                <w:sz w:val="21"/>
                <w:szCs w:val="21"/>
                <w:color w:val="auto"/>
              </w:rPr>
            </w:pPr>
          </w:p>
        </w:tc>
      </w:tr>
      <w:tr>
        <w:trPr>
          <w:trHeight w:val="250"/>
        </w:trPr>
        <w:tc>
          <w:tcPr>
            <w:tcW w:w="9920" w:type="dxa"/>
            <w:vAlign w:val="bottom"/>
          </w:tcPr>
          <w:p>
            <w:pPr>
              <w:spacing w:after="0"/>
              <w:rPr>
                <w:sz w:val="20"/>
                <w:szCs w:val="20"/>
                <w:color w:val="auto"/>
              </w:rPr>
            </w:pPr>
            <w:r>
              <w:rPr>
                <w:rFonts w:ascii="Arial" w:cs="Arial" w:eastAsia="Arial" w:hAnsi="Arial"/>
                <w:sz w:val="20"/>
                <w:szCs w:val="20"/>
                <w:color w:val="auto"/>
              </w:rPr>
              <w:t>Commercial Banking</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1,401,873</w:t>
            </w:r>
          </w:p>
        </w:tc>
        <w:tc>
          <w:tcPr>
            <w:tcW w:w="100" w:type="dxa"/>
            <w:vAlign w:val="bottom"/>
          </w:tcPr>
          <w:p>
            <w:pPr>
              <w:spacing w:after="0"/>
              <w:rPr>
                <w:sz w:val="21"/>
                <w:szCs w:val="21"/>
                <w:color w:val="auto"/>
              </w:rPr>
            </w:pPr>
          </w:p>
        </w:tc>
      </w:tr>
      <w:tr>
        <w:trPr>
          <w:trHeight w:val="250"/>
        </w:trPr>
        <w:tc>
          <w:tcPr>
            <w:tcW w:w="9920" w:type="dxa"/>
            <w:vAlign w:val="bottom"/>
            <w:shd w:val="clear" w:color="auto" w:fill="CFF0FC"/>
          </w:tcPr>
          <w:p>
            <w:pPr>
              <w:spacing w:after="0"/>
              <w:rPr>
                <w:sz w:val="20"/>
                <w:szCs w:val="20"/>
                <w:color w:val="auto"/>
              </w:rPr>
            </w:pPr>
            <w:r>
              <w:rPr>
                <w:rFonts w:ascii="Arial" w:cs="Arial" w:eastAsia="Arial" w:hAnsi="Arial"/>
                <w:sz w:val="20"/>
                <w:szCs w:val="20"/>
                <w:color w:val="auto"/>
              </w:rPr>
              <w:t>Commercial Real Estate</w:t>
            </w:r>
          </w:p>
        </w:tc>
        <w:tc>
          <w:tcPr>
            <w:tcW w:w="18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654,389</w:t>
            </w:r>
          </w:p>
        </w:tc>
        <w:tc>
          <w:tcPr>
            <w:tcW w:w="100" w:type="dxa"/>
            <w:vAlign w:val="bottom"/>
            <w:shd w:val="clear" w:color="auto" w:fill="CFF0FC"/>
          </w:tcPr>
          <w:p>
            <w:pPr>
              <w:spacing w:after="0"/>
              <w:rPr>
                <w:sz w:val="21"/>
                <w:szCs w:val="21"/>
                <w:color w:val="auto"/>
              </w:rPr>
            </w:pPr>
          </w:p>
        </w:tc>
      </w:tr>
      <w:tr>
        <w:trPr>
          <w:trHeight w:val="250"/>
        </w:trPr>
        <w:tc>
          <w:tcPr>
            <w:tcW w:w="9920" w:type="dxa"/>
            <w:vAlign w:val="bottom"/>
          </w:tcPr>
          <w:p>
            <w:pPr>
              <w:spacing w:after="0"/>
              <w:rPr>
                <w:sz w:val="20"/>
                <w:szCs w:val="20"/>
                <w:color w:val="auto"/>
              </w:rPr>
            </w:pPr>
            <w:r>
              <w:rPr>
                <w:rFonts w:ascii="Arial" w:cs="Arial" w:eastAsia="Arial" w:hAnsi="Arial"/>
                <w:sz w:val="20"/>
                <w:szCs w:val="20"/>
                <w:color w:val="auto"/>
              </w:rPr>
              <w:t>Discretionary Portfolio</w:t>
            </w:r>
          </w:p>
        </w:tc>
        <w:tc>
          <w:tcPr>
            <w:tcW w:w="180" w:type="dxa"/>
            <w:vAlign w:val="bottom"/>
          </w:tcPr>
          <w:p>
            <w:pPr>
              <w:spacing w:after="0"/>
              <w:rPr>
                <w:sz w:val="21"/>
                <w:szCs w:val="21"/>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r>
      <w:tr>
        <w:trPr>
          <w:trHeight w:val="250"/>
        </w:trPr>
        <w:tc>
          <w:tcPr>
            <w:tcW w:w="9920" w:type="dxa"/>
            <w:vAlign w:val="bottom"/>
            <w:shd w:val="clear" w:color="auto" w:fill="CFF0FC"/>
          </w:tcPr>
          <w:p>
            <w:pPr>
              <w:spacing w:after="0"/>
              <w:rPr>
                <w:sz w:val="20"/>
                <w:szCs w:val="20"/>
                <w:color w:val="auto"/>
              </w:rPr>
            </w:pPr>
            <w:r>
              <w:rPr>
                <w:rFonts w:ascii="Arial" w:cs="Arial" w:eastAsia="Arial" w:hAnsi="Arial"/>
                <w:sz w:val="20"/>
                <w:szCs w:val="20"/>
                <w:color w:val="auto"/>
              </w:rPr>
              <w:t>Residential Mortgage Banking</w:t>
            </w:r>
          </w:p>
        </w:tc>
        <w:tc>
          <w:tcPr>
            <w:tcW w:w="18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r>
      <w:tr>
        <w:trPr>
          <w:trHeight w:val="250"/>
        </w:trPr>
        <w:tc>
          <w:tcPr>
            <w:tcW w:w="9920" w:type="dxa"/>
            <w:vAlign w:val="bottom"/>
          </w:tcPr>
          <w:p>
            <w:pPr>
              <w:spacing w:after="0"/>
              <w:rPr>
                <w:sz w:val="20"/>
                <w:szCs w:val="20"/>
                <w:color w:val="auto"/>
              </w:rPr>
            </w:pPr>
            <w:r>
              <w:rPr>
                <w:rFonts w:ascii="Arial" w:cs="Arial" w:eastAsia="Arial" w:hAnsi="Arial"/>
                <w:sz w:val="20"/>
                <w:szCs w:val="20"/>
                <w:color w:val="auto"/>
              </w:rPr>
              <w:t>Retail Banking</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1,309,191</w:t>
            </w:r>
          </w:p>
        </w:tc>
        <w:tc>
          <w:tcPr>
            <w:tcW w:w="100" w:type="dxa"/>
            <w:vAlign w:val="bottom"/>
          </w:tcPr>
          <w:p>
            <w:pPr>
              <w:spacing w:after="0"/>
              <w:rPr>
                <w:sz w:val="21"/>
                <w:szCs w:val="21"/>
                <w:color w:val="auto"/>
              </w:rPr>
            </w:pPr>
          </w:p>
        </w:tc>
      </w:tr>
      <w:tr>
        <w:trPr>
          <w:trHeight w:val="250"/>
        </w:trPr>
        <w:tc>
          <w:tcPr>
            <w:tcW w:w="9920" w:type="dxa"/>
            <w:vAlign w:val="bottom"/>
            <w:shd w:val="clear" w:color="auto" w:fill="CFF0FC"/>
          </w:tcPr>
          <w:p>
            <w:pPr>
              <w:spacing w:after="0"/>
              <w:rPr>
                <w:sz w:val="20"/>
                <w:szCs w:val="20"/>
                <w:color w:val="auto"/>
              </w:rPr>
            </w:pPr>
            <w:r>
              <w:rPr>
                <w:rFonts w:ascii="Arial" w:cs="Arial" w:eastAsia="Arial" w:hAnsi="Arial"/>
                <w:sz w:val="20"/>
                <w:szCs w:val="20"/>
                <w:color w:val="auto"/>
              </w:rPr>
              <w:t>All Other</w:t>
            </w:r>
          </w:p>
        </w:tc>
        <w:tc>
          <w:tcPr>
            <w:tcW w:w="18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363,293</w:t>
            </w:r>
          </w:p>
        </w:tc>
        <w:tc>
          <w:tcPr>
            <w:tcW w:w="100" w:type="dxa"/>
            <w:vAlign w:val="bottom"/>
            <w:shd w:val="clear" w:color="auto" w:fill="CFF0FC"/>
          </w:tcPr>
          <w:p>
            <w:pPr>
              <w:spacing w:after="0"/>
              <w:rPr>
                <w:sz w:val="21"/>
                <w:szCs w:val="21"/>
                <w:color w:val="auto"/>
              </w:rPr>
            </w:pPr>
          </w:p>
        </w:tc>
      </w:tr>
      <w:tr>
        <w:trPr>
          <w:trHeight w:val="243"/>
        </w:trPr>
        <w:tc>
          <w:tcPr>
            <w:tcW w:w="9920" w:type="dxa"/>
            <w:vAlign w:val="bottom"/>
          </w:tcPr>
          <w:p>
            <w:pPr>
              <w:spacing w:after="0"/>
              <w:rPr>
                <w:sz w:val="20"/>
                <w:szCs w:val="20"/>
                <w:color w:val="auto"/>
              </w:rPr>
            </w:pPr>
            <w:r>
              <w:rPr>
                <w:rFonts w:ascii="Arial" w:cs="Arial" w:eastAsia="Arial" w:hAnsi="Arial"/>
                <w:sz w:val="20"/>
                <w:szCs w:val="20"/>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4,593,112</w:t>
            </w:r>
          </w:p>
        </w:tc>
        <w:tc>
          <w:tcPr>
            <w:tcW w:w="100" w:type="dxa"/>
            <w:vAlign w:val="bottom"/>
          </w:tcPr>
          <w:p>
            <w:pPr>
              <w:spacing w:after="0"/>
              <w:rPr>
                <w:sz w:val="21"/>
                <w:szCs w:val="21"/>
                <w:color w:val="auto"/>
              </w:rPr>
            </w:pPr>
          </w:p>
        </w:tc>
      </w:tr>
      <w:tr>
        <w:trPr>
          <w:trHeight w:val="20"/>
        </w:trPr>
        <w:tc>
          <w:tcPr>
            <w:tcW w:w="9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9.</w:t>
      </w:r>
      <w:r>
        <w:rPr>
          <w:sz w:val="20"/>
          <w:szCs w:val="20"/>
          <w:color w:val="auto"/>
        </w:rPr>
        <w:tab/>
      </w:r>
      <w:r>
        <w:rPr>
          <w:rFonts w:ascii="Arial" w:cs="Arial" w:eastAsia="Arial" w:hAnsi="Arial"/>
          <w:sz w:val="17"/>
          <w:szCs w:val="17"/>
          <w:b w:val="1"/>
          <w:bCs w:val="1"/>
          <w:color w:val="auto"/>
        </w:rPr>
        <w:t>Borrowings</w:t>
      </w:r>
    </w:p>
    <w:p>
      <w:pPr>
        <w:spacing w:after="0" w:line="29" w:lineRule="exact"/>
        <w:rPr>
          <w:sz w:val="20"/>
          <w:szCs w:val="20"/>
          <w:color w:val="auto"/>
        </w:rPr>
      </w:pPr>
    </w:p>
    <w:p>
      <w:pPr>
        <w:spacing w:after="0"/>
        <w:rPr>
          <w:sz w:val="20"/>
          <w:szCs w:val="20"/>
          <w:color w:val="auto"/>
        </w:rPr>
      </w:pPr>
      <w:r>
        <w:rPr>
          <w:rFonts w:ascii="Arial" w:cs="Arial" w:eastAsia="Arial" w:hAnsi="Arial"/>
          <w:sz w:val="20"/>
          <w:szCs w:val="20"/>
          <w:color w:val="auto"/>
        </w:rPr>
        <w:t>The amounts and interest rates of short-term borrowings were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jc w:val="center"/>
              <w:ind w:right="327"/>
              <w:spacing w:after="0"/>
              <w:rPr>
                <w:sz w:val="20"/>
                <w:szCs w:val="20"/>
                <w:color w:val="auto"/>
              </w:rPr>
            </w:pPr>
            <w:r>
              <w:rPr>
                <w:rFonts w:ascii="Arial" w:cs="Arial" w:eastAsia="Arial" w:hAnsi="Arial"/>
                <w:sz w:val="14"/>
                <w:szCs w:val="14"/>
                <w:b w:val="1"/>
                <w:bCs w:val="1"/>
                <w:color w:val="auto"/>
                <w:w w:val="89"/>
              </w:rPr>
              <w:t>Federal Funds</w:t>
            </w: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43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jc w:val="center"/>
              <w:ind w:right="327"/>
              <w:spacing w:after="0" w:line="145" w:lineRule="exact"/>
              <w:rPr>
                <w:sz w:val="20"/>
                <w:szCs w:val="20"/>
                <w:color w:val="auto"/>
              </w:rPr>
            </w:pPr>
            <w:r>
              <w:rPr>
                <w:rFonts w:ascii="Arial" w:cs="Arial" w:eastAsia="Arial" w:hAnsi="Arial"/>
                <w:sz w:val="14"/>
                <w:szCs w:val="14"/>
                <w:b w:val="1"/>
                <w:bCs w:val="1"/>
                <w:color w:val="auto"/>
                <w:w w:val="86"/>
              </w:rPr>
              <w:t>Purchased</w:t>
            </w:r>
          </w:p>
        </w:tc>
        <w:tc>
          <w:tcPr>
            <w:tcW w:w="300" w:type="dxa"/>
            <w:vAlign w:val="bottom"/>
          </w:tcPr>
          <w:p>
            <w:pPr>
              <w:spacing w:after="0"/>
              <w:rPr>
                <w:sz w:val="12"/>
                <w:szCs w:val="12"/>
                <w:color w:val="auto"/>
              </w:rPr>
            </w:pPr>
          </w:p>
        </w:tc>
        <w:tc>
          <w:tcPr>
            <w:tcW w:w="1380" w:type="dxa"/>
            <w:vAlign w:val="bottom"/>
            <w:vMerge w:val="restart"/>
          </w:tcPr>
          <w:p>
            <w:pPr>
              <w:jc w:val="center"/>
              <w:ind w:right="364"/>
              <w:spacing w:after="0"/>
              <w:rPr>
                <w:sz w:val="20"/>
                <w:szCs w:val="20"/>
                <w:color w:val="auto"/>
              </w:rPr>
            </w:pPr>
            <w:r>
              <w:rPr>
                <w:rFonts w:ascii="Arial" w:cs="Arial" w:eastAsia="Arial" w:hAnsi="Arial"/>
                <w:sz w:val="14"/>
                <w:szCs w:val="14"/>
                <w:b w:val="1"/>
                <w:bCs w:val="1"/>
                <w:color w:val="auto"/>
                <w:w w:val="96"/>
              </w:rPr>
              <w:t>Other</w:t>
            </w:r>
          </w:p>
        </w:tc>
        <w:tc>
          <w:tcPr>
            <w:tcW w:w="3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3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jc w:val="center"/>
              <w:ind w:right="327"/>
              <w:spacing w:after="0" w:line="145" w:lineRule="exact"/>
              <w:rPr>
                <w:sz w:val="20"/>
                <w:szCs w:val="20"/>
                <w:color w:val="auto"/>
              </w:rPr>
            </w:pPr>
            <w:r>
              <w:rPr>
                <w:rFonts w:ascii="Arial" w:cs="Arial" w:eastAsia="Arial" w:hAnsi="Arial"/>
                <w:sz w:val="14"/>
                <w:szCs w:val="14"/>
                <w:b w:val="1"/>
                <w:bCs w:val="1"/>
                <w:color w:val="auto"/>
                <w:w w:val="88"/>
              </w:rPr>
              <w:t>and</w:t>
            </w:r>
          </w:p>
        </w:tc>
        <w:tc>
          <w:tcPr>
            <w:tcW w:w="30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3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jc w:val="center"/>
              <w:ind w:right="327"/>
              <w:spacing w:after="0" w:line="145" w:lineRule="exact"/>
              <w:rPr>
                <w:sz w:val="20"/>
                <w:szCs w:val="20"/>
                <w:color w:val="auto"/>
              </w:rPr>
            </w:pPr>
            <w:r>
              <w:rPr>
                <w:rFonts w:ascii="Arial" w:cs="Arial" w:eastAsia="Arial" w:hAnsi="Arial"/>
                <w:sz w:val="14"/>
                <w:szCs w:val="14"/>
                <w:b w:val="1"/>
                <w:bCs w:val="1"/>
                <w:color w:val="auto"/>
                <w:w w:val="87"/>
              </w:rPr>
              <w:t>Repurchase</w:t>
            </w:r>
          </w:p>
        </w:tc>
        <w:tc>
          <w:tcPr>
            <w:tcW w:w="300" w:type="dxa"/>
            <w:vAlign w:val="bottom"/>
          </w:tcPr>
          <w:p>
            <w:pPr>
              <w:spacing w:after="0"/>
              <w:rPr>
                <w:sz w:val="12"/>
                <w:szCs w:val="12"/>
                <w:color w:val="auto"/>
              </w:rPr>
            </w:pPr>
          </w:p>
        </w:tc>
        <w:tc>
          <w:tcPr>
            <w:tcW w:w="1380" w:type="dxa"/>
            <w:vAlign w:val="bottom"/>
          </w:tcPr>
          <w:p>
            <w:pPr>
              <w:jc w:val="center"/>
              <w:ind w:right="384"/>
              <w:spacing w:after="0" w:line="145" w:lineRule="exact"/>
              <w:rPr>
                <w:sz w:val="20"/>
                <w:szCs w:val="20"/>
                <w:color w:val="auto"/>
              </w:rPr>
            </w:pPr>
            <w:r>
              <w:rPr>
                <w:rFonts w:ascii="Arial" w:cs="Arial" w:eastAsia="Arial" w:hAnsi="Arial"/>
                <w:sz w:val="14"/>
                <w:szCs w:val="14"/>
                <w:b w:val="1"/>
                <w:bCs w:val="1"/>
                <w:color w:val="auto"/>
                <w:w w:val="92"/>
              </w:rPr>
              <w:t>Short-term</w:t>
            </w:r>
          </w:p>
        </w:tc>
        <w:tc>
          <w:tcPr>
            <w:tcW w:w="380" w:type="dxa"/>
            <w:vAlign w:val="bottom"/>
          </w:tcPr>
          <w:p>
            <w:pPr>
              <w:spacing w:after="0"/>
              <w:rPr>
                <w:sz w:val="12"/>
                <w:szCs w:val="12"/>
                <w:color w:val="auto"/>
              </w:rPr>
            </w:pPr>
          </w:p>
        </w:tc>
        <w:tc>
          <w:tcPr>
            <w:tcW w:w="122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3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jc w:val="center"/>
              <w:ind w:right="327"/>
              <w:spacing w:after="0"/>
              <w:rPr>
                <w:sz w:val="20"/>
                <w:szCs w:val="20"/>
                <w:color w:val="auto"/>
              </w:rPr>
            </w:pPr>
            <w:r>
              <w:rPr>
                <w:rFonts w:ascii="Arial" w:cs="Arial" w:eastAsia="Arial" w:hAnsi="Arial"/>
                <w:sz w:val="14"/>
                <w:szCs w:val="14"/>
                <w:b w:val="1"/>
                <w:bCs w:val="1"/>
                <w:color w:val="auto"/>
                <w:w w:val="86"/>
              </w:rPr>
              <w:t>Agreements</w:t>
            </w:r>
          </w:p>
        </w:tc>
        <w:tc>
          <w:tcPr>
            <w:tcW w:w="300" w:type="dxa"/>
            <w:vAlign w:val="bottom"/>
          </w:tcPr>
          <w:p>
            <w:pPr>
              <w:spacing w:after="0"/>
              <w:rPr>
                <w:sz w:val="14"/>
                <w:szCs w:val="14"/>
                <w:color w:val="auto"/>
              </w:rPr>
            </w:pPr>
          </w:p>
        </w:tc>
        <w:tc>
          <w:tcPr>
            <w:tcW w:w="1380" w:type="dxa"/>
            <w:vAlign w:val="bottom"/>
          </w:tcPr>
          <w:p>
            <w:pPr>
              <w:jc w:val="center"/>
              <w:ind w:right="384"/>
              <w:spacing w:after="0"/>
              <w:rPr>
                <w:sz w:val="20"/>
                <w:szCs w:val="20"/>
                <w:color w:val="auto"/>
              </w:rPr>
            </w:pPr>
            <w:r>
              <w:rPr>
                <w:rFonts w:ascii="Arial" w:cs="Arial" w:eastAsia="Arial" w:hAnsi="Arial"/>
                <w:sz w:val="14"/>
                <w:szCs w:val="14"/>
                <w:b w:val="1"/>
                <w:bCs w:val="1"/>
                <w:color w:val="auto"/>
                <w:w w:val="89"/>
              </w:rPr>
              <w:t>Borrowings</w:t>
            </w:r>
          </w:p>
        </w:tc>
        <w:tc>
          <w:tcPr>
            <w:tcW w:w="38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436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spacing w:after="0"/>
              <w:rPr>
                <w:sz w:val="13"/>
                <w:szCs w:val="13"/>
                <w:color w:val="auto"/>
              </w:rPr>
            </w:pPr>
          </w:p>
        </w:tc>
        <w:tc>
          <w:tcPr>
            <w:tcW w:w="1680" w:type="dxa"/>
            <w:vAlign w:val="bottom"/>
            <w:tcBorders>
              <w:top w:val="single" w:sz="8" w:color="auto"/>
            </w:tcBorders>
            <w:gridSpan w:val="2"/>
          </w:tcPr>
          <w:p>
            <w:pPr>
              <w:ind w:left="100"/>
              <w:spacing w:after="0" w:line="151" w:lineRule="exact"/>
              <w:rPr>
                <w:sz w:val="20"/>
                <w:szCs w:val="20"/>
                <w:color w:val="auto"/>
              </w:rPr>
            </w:pPr>
            <w:r>
              <w:rPr>
                <w:rFonts w:ascii="Arial" w:cs="Arial" w:eastAsia="Arial" w:hAnsi="Arial"/>
                <w:sz w:val="14"/>
                <w:szCs w:val="14"/>
                <w:b w:val="1"/>
                <w:bCs w:val="1"/>
                <w:color w:val="auto"/>
              </w:rPr>
              <w:t>(Dollars in thousands)</w:t>
            </w:r>
          </w:p>
        </w:tc>
        <w:tc>
          <w:tcPr>
            <w:tcW w:w="3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4360" w:type="dxa"/>
            <w:vAlign w:val="bottom"/>
            <w:shd w:val="clear" w:color="auto" w:fill="CFF0FC"/>
          </w:tcPr>
          <w:p>
            <w:pPr>
              <w:spacing w:after="0"/>
              <w:rPr>
                <w:sz w:val="20"/>
                <w:szCs w:val="20"/>
                <w:color w:val="auto"/>
              </w:rPr>
            </w:pPr>
            <w:r>
              <w:rPr>
                <w:rFonts w:ascii="Arial" w:cs="Arial" w:eastAsia="Arial" w:hAnsi="Arial"/>
                <w:sz w:val="20"/>
                <w:szCs w:val="20"/>
                <w:color w:val="auto"/>
              </w:rPr>
              <w:t>At December 31, 2017</w:t>
            </w:r>
          </w:p>
        </w:tc>
        <w:tc>
          <w:tcPr>
            <w:tcW w:w="2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360" w:type="dxa"/>
            <w:vAlign w:val="bottom"/>
          </w:tcPr>
          <w:p>
            <w:pPr>
              <w:ind w:left="240"/>
              <w:spacing w:after="0"/>
              <w:rPr>
                <w:sz w:val="20"/>
                <w:szCs w:val="20"/>
                <w:color w:val="auto"/>
              </w:rPr>
            </w:pPr>
            <w:r>
              <w:rPr>
                <w:rFonts w:ascii="Arial" w:cs="Arial" w:eastAsia="Arial" w:hAnsi="Arial"/>
                <w:sz w:val="20"/>
                <w:szCs w:val="20"/>
                <w:color w:val="auto"/>
              </w:rPr>
              <w:t>Amount outstanding</w:t>
            </w:r>
          </w:p>
        </w:tc>
        <w:tc>
          <w:tcPr>
            <w:tcW w:w="238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400" w:type="dxa"/>
            <w:vAlign w:val="bottom"/>
          </w:tcPr>
          <w:p>
            <w:pPr>
              <w:jc w:val="right"/>
              <w:ind w:right="167"/>
              <w:spacing w:after="0"/>
              <w:rPr>
                <w:sz w:val="20"/>
                <w:szCs w:val="20"/>
                <w:color w:val="auto"/>
              </w:rPr>
            </w:pPr>
            <w:r>
              <w:rPr>
                <w:rFonts w:ascii="Arial" w:cs="Arial" w:eastAsia="Arial" w:hAnsi="Arial"/>
                <w:sz w:val="20"/>
                <w:szCs w:val="20"/>
                <w:color w:val="auto"/>
              </w:rPr>
              <w:t>175,099</w:t>
            </w:r>
          </w:p>
        </w:tc>
        <w:tc>
          <w:tcPr>
            <w:tcW w:w="300" w:type="dxa"/>
            <w:vAlign w:val="bottom"/>
          </w:tcPr>
          <w:p>
            <w:pPr>
              <w:ind w:left="100"/>
              <w:spacing w:after="0"/>
              <w:rPr>
                <w:sz w:val="20"/>
                <w:szCs w:val="20"/>
                <w:color w:val="auto"/>
              </w:rPr>
            </w:pPr>
            <w:r>
              <w:rPr>
                <w:rFonts w:ascii="Arial" w:cs="Arial" w:eastAsia="Arial" w:hAnsi="Arial"/>
                <w:sz w:val="20"/>
                <w:szCs w:val="20"/>
                <w:color w:val="auto"/>
              </w:rPr>
              <w:t>$</w:t>
            </w:r>
          </w:p>
        </w:tc>
        <w:tc>
          <w:tcPr>
            <w:tcW w:w="1380" w:type="dxa"/>
            <w:vAlign w:val="bottom"/>
          </w:tcPr>
          <w:p>
            <w:pPr>
              <w:jc w:val="right"/>
              <w:ind w:right="164"/>
              <w:spacing w:after="0"/>
              <w:rPr>
                <w:sz w:val="20"/>
                <w:szCs w:val="20"/>
                <w:color w:val="auto"/>
              </w:rPr>
            </w:pPr>
            <w:r>
              <w:rPr>
                <w:rFonts w:ascii="Arial" w:cs="Arial" w:eastAsia="Arial" w:hAnsi="Arial"/>
                <w:sz w:val="20"/>
                <w:szCs w:val="20"/>
                <w:color w:val="auto"/>
              </w:rPr>
              <w:t>—</w:t>
            </w:r>
          </w:p>
        </w:tc>
        <w:tc>
          <w:tcPr>
            <w:tcW w:w="380" w:type="dxa"/>
            <w:vAlign w:val="bottom"/>
          </w:tcPr>
          <w:p>
            <w:pPr>
              <w:jc w:val="right"/>
              <w:ind w:right="99"/>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175,099</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360" w:type="dxa"/>
            <w:vAlign w:val="bottom"/>
            <w:shd w:val="clear" w:color="auto" w:fill="CFF0FC"/>
          </w:tcPr>
          <w:p>
            <w:pPr>
              <w:ind w:left="240"/>
              <w:spacing w:after="0"/>
              <w:rPr>
                <w:sz w:val="20"/>
                <w:szCs w:val="20"/>
                <w:color w:val="auto"/>
              </w:rPr>
            </w:pPr>
            <w:r>
              <w:rPr>
                <w:rFonts w:ascii="Arial" w:cs="Arial" w:eastAsia="Arial" w:hAnsi="Arial"/>
                <w:sz w:val="20"/>
                <w:szCs w:val="20"/>
                <w:color w:val="auto"/>
              </w:rPr>
              <w:t>Weighted-average interest rate</w:t>
            </w:r>
          </w:p>
        </w:tc>
        <w:tc>
          <w:tcPr>
            <w:tcW w:w="2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0.92%</w:t>
            </w:r>
          </w:p>
        </w:tc>
        <w:tc>
          <w:tcPr>
            <w:tcW w:w="30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164"/>
              <w:spacing w:after="0"/>
              <w:rPr>
                <w:sz w:val="20"/>
                <w:szCs w:val="20"/>
                <w:color w:val="auto"/>
              </w:rPr>
            </w:pPr>
            <w:r>
              <w:rPr>
                <w:rFonts w:ascii="Arial" w:cs="Arial" w:eastAsia="Arial" w:hAnsi="Arial"/>
                <w:sz w:val="20"/>
                <w:szCs w:val="20"/>
                <w:color w:val="auto"/>
              </w:rPr>
              <w:t>—</w:t>
            </w:r>
          </w:p>
        </w:tc>
        <w:tc>
          <w:tcPr>
            <w:tcW w:w="38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0.92%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360" w:type="dxa"/>
            <w:vAlign w:val="bottom"/>
          </w:tcPr>
          <w:p>
            <w:pPr>
              <w:spacing w:after="0"/>
              <w:rPr>
                <w:sz w:val="20"/>
                <w:szCs w:val="20"/>
                <w:color w:val="auto"/>
              </w:rPr>
            </w:pPr>
            <w:r>
              <w:rPr>
                <w:rFonts w:ascii="Arial" w:cs="Arial" w:eastAsia="Arial" w:hAnsi="Arial"/>
                <w:sz w:val="20"/>
                <w:szCs w:val="20"/>
                <w:color w:val="auto"/>
              </w:rPr>
              <w:t>For the year ended December 31, 2017</w:t>
            </w:r>
          </w:p>
        </w:tc>
        <w:tc>
          <w:tcPr>
            <w:tcW w:w="2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360" w:type="dxa"/>
            <w:vAlign w:val="bottom"/>
            <w:shd w:val="clear" w:color="auto" w:fill="CFF0FC"/>
          </w:tcPr>
          <w:p>
            <w:pPr>
              <w:ind w:left="240"/>
              <w:spacing w:after="0"/>
              <w:rPr>
                <w:sz w:val="20"/>
                <w:szCs w:val="20"/>
                <w:color w:val="auto"/>
              </w:rPr>
            </w:pPr>
            <w:r>
              <w:rPr>
                <w:rFonts w:ascii="Arial" w:cs="Arial" w:eastAsia="Arial" w:hAnsi="Arial"/>
                <w:sz w:val="20"/>
                <w:szCs w:val="20"/>
                <w:color w:val="auto"/>
              </w:rPr>
              <w:t>Highest amount at a month-end</w:t>
            </w:r>
          </w:p>
        </w:tc>
        <w:tc>
          <w:tcPr>
            <w:tcW w:w="2380" w:type="dxa"/>
            <w:vAlign w:val="bottom"/>
            <w:gridSpan w:val="2"/>
            <w:shd w:val="clear" w:color="auto" w:fill="CFF0FC"/>
          </w:tcPr>
          <w:p>
            <w:pPr>
              <w:jc w:val="right"/>
              <w:ind w:right="60"/>
              <w:spacing w:after="0"/>
              <w:rPr>
                <w:sz w:val="20"/>
                <w:szCs w:val="20"/>
                <w:color w:val="auto"/>
              </w:rPr>
            </w:pPr>
            <w:r>
              <w:rPr>
                <w:rFonts w:ascii="Arial" w:cs="Arial" w:eastAsia="Arial" w:hAnsi="Arial"/>
                <w:sz w:val="20"/>
                <w:szCs w:val="20"/>
                <w:color w:val="auto"/>
              </w:rPr>
              <w:t>$</w:t>
            </w:r>
          </w:p>
        </w:tc>
        <w:tc>
          <w:tcPr>
            <w:tcW w:w="1400" w:type="dxa"/>
            <w:vAlign w:val="bottom"/>
            <w:shd w:val="clear" w:color="auto" w:fill="CFF0FC"/>
          </w:tcPr>
          <w:p>
            <w:pPr>
              <w:jc w:val="right"/>
              <w:ind w:right="167"/>
              <w:spacing w:after="0"/>
              <w:rPr>
                <w:sz w:val="20"/>
                <w:szCs w:val="20"/>
                <w:color w:val="auto"/>
              </w:rPr>
            </w:pPr>
            <w:r>
              <w:rPr>
                <w:rFonts w:ascii="Arial" w:cs="Arial" w:eastAsia="Arial" w:hAnsi="Arial"/>
                <w:sz w:val="20"/>
                <w:szCs w:val="20"/>
                <w:color w:val="auto"/>
              </w:rPr>
              <w:t>204,977</w:t>
            </w:r>
          </w:p>
        </w:tc>
        <w:tc>
          <w:tcPr>
            <w:tcW w:w="3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w:t>
            </w:r>
          </w:p>
        </w:tc>
        <w:tc>
          <w:tcPr>
            <w:tcW w:w="1380" w:type="dxa"/>
            <w:vAlign w:val="bottom"/>
            <w:shd w:val="clear" w:color="auto" w:fill="CFF0FC"/>
          </w:tcPr>
          <w:p>
            <w:pPr>
              <w:jc w:val="right"/>
              <w:ind w:right="164"/>
              <w:spacing w:after="0"/>
              <w:rPr>
                <w:sz w:val="20"/>
                <w:szCs w:val="20"/>
                <w:color w:val="auto"/>
              </w:rPr>
            </w:pPr>
            <w:r>
              <w:rPr>
                <w:rFonts w:ascii="Arial" w:cs="Arial" w:eastAsia="Arial" w:hAnsi="Arial"/>
                <w:sz w:val="20"/>
                <w:szCs w:val="20"/>
                <w:color w:val="auto"/>
              </w:rPr>
              <w:t>1,500,000</w:t>
            </w:r>
          </w:p>
        </w:tc>
        <w:tc>
          <w:tcPr>
            <w:tcW w:w="38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360" w:type="dxa"/>
            <w:vAlign w:val="bottom"/>
          </w:tcPr>
          <w:p>
            <w:pPr>
              <w:ind w:left="240"/>
              <w:spacing w:after="0"/>
              <w:rPr>
                <w:sz w:val="20"/>
                <w:szCs w:val="20"/>
                <w:color w:val="auto"/>
              </w:rPr>
            </w:pPr>
            <w:r>
              <w:rPr>
                <w:rFonts w:ascii="Arial" w:cs="Arial" w:eastAsia="Arial" w:hAnsi="Arial"/>
                <w:sz w:val="20"/>
                <w:szCs w:val="20"/>
                <w:color w:val="auto"/>
              </w:rPr>
              <w:t>Daily-average amount outstanding</w:t>
            </w:r>
          </w:p>
        </w:tc>
        <w:tc>
          <w:tcPr>
            <w:tcW w:w="2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167"/>
              <w:spacing w:after="0"/>
              <w:rPr>
                <w:sz w:val="20"/>
                <w:szCs w:val="20"/>
                <w:color w:val="auto"/>
              </w:rPr>
            </w:pPr>
            <w:r>
              <w:rPr>
                <w:rFonts w:ascii="Arial" w:cs="Arial" w:eastAsia="Arial" w:hAnsi="Arial"/>
                <w:sz w:val="20"/>
                <w:szCs w:val="20"/>
                <w:color w:val="auto"/>
              </w:rPr>
              <w:t>188,459</w:t>
            </w:r>
          </w:p>
        </w:tc>
        <w:tc>
          <w:tcPr>
            <w:tcW w:w="300" w:type="dxa"/>
            <w:vAlign w:val="bottom"/>
          </w:tcPr>
          <w:p>
            <w:pPr>
              <w:spacing w:after="0"/>
              <w:rPr>
                <w:sz w:val="21"/>
                <w:szCs w:val="21"/>
                <w:color w:val="auto"/>
              </w:rPr>
            </w:pPr>
          </w:p>
        </w:tc>
        <w:tc>
          <w:tcPr>
            <w:tcW w:w="1380" w:type="dxa"/>
            <w:vAlign w:val="bottom"/>
          </w:tcPr>
          <w:p>
            <w:pPr>
              <w:jc w:val="right"/>
              <w:ind w:right="164"/>
              <w:spacing w:after="0"/>
              <w:rPr>
                <w:sz w:val="20"/>
                <w:szCs w:val="20"/>
                <w:color w:val="auto"/>
              </w:rPr>
            </w:pPr>
            <w:r>
              <w:rPr>
                <w:rFonts w:ascii="Arial" w:cs="Arial" w:eastAsia="Arial" w:hAnsi="Arial"/>
                <w:sz w:val="20"/>
                <w:szCs w:val="20"/>
                <w:color w:val="auto"/>
              </w:rPr>
              <w:t>16,164</w:t>
            </w:r>
          </w:p>
        </w:tc>
        <w:tc>
          <w:tcPr>
            <w:tcW w:w="380" w:type="dxa"/>
            <w:vAlign w:val="bottom"/>
          </w:tcPr>
          <w:p>
            <w:pPr>
              <w:jc w:val="right"/>
              <w:ind w:right="99"/>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204,623</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360" w:type="dxa"/>
            <w:vAlign w:val="bottom"/>
            <w:shd w:val="clear" w:color="auto" w:fill="CFF0FC"/>
          </w:tcPr>
          <w:p>
            <w:pPr>
              <w:ind w:left="240"/>
              <w:spacing w:after="0"/>
              <w:rPr>
                <w:sz w:val="20"/>
                <w:szCs w:val="20"/>
                <w:color w:val="auto"/>
              </w:rPr>
            </w:pPr>
            <w:r>
              <w:rPr>
                <w:rFonts w:ascii="Arial" w:cs="Arial" w:eastAsia="Arial" w:hAnsi="Arial"/>
                <w:sz w:val="20"/>
                <w:szCs w:val="20"/>
                <w:color w:val="auto"/>
              </w:rPr>
              <w:t>Weighted-average interest rate</w:t>
            </w:r>
          </w:p>
        </w:tc>
        <w:tc>
          <w:tcPr>
            <w:tcW w:w="2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0.69%</w:t>
            </w:r>
          </w:p>
        </w:tc>
        <w:tc>
          <w:tcPr>
            <w:tcW w:w="30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1.27%</w:t>
            </w:r>
          </w:p>
        </w:tc>
        <w:tc>
          <w:tcPr>
            <w:tcW w:w="38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0.74%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360" w:type="dxa"/>
            <w:vAlign w:val="bottom"/>
          </w:tcPr>
          <w:p>
            <w:pPr>
              <w:spacing w:after="0"/>
              <w:rPr>
                <w:sz w:val="20"/>
                <w:szCs w:val="20"/>
                <w:color w:val="auto"/>
              </w:rPr>
            </w:pPr>
            <w:r>
              <w:rPr>
                <w:rFonts w:ascii="Arial" w:cs="Arial" w:eastAsia="Arial" w:hAnsi="Arial"/>
                <w:sz w:val="20"/>
                <w:szCs w:val="20"/>
                <w:color w:val="auto"/>
              </w:rPr>
              <w:t>At December 31, 2016</w:t>
            </w:r>
          </w:p>
        </w:tc>
        <w:tc>
          <w:tcPr>
            <w:tcW w:w="2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360" w:type="dxa"/>
            <w:vAlign w:val="bottom"/>
            <w:shd w:val="clear" w:color="auto" w:fill="CFF0FC"/>
          </w:tcPr>
          <w:p>
            <w:pPr>
              <w:ind w:left="240"/>
              <w:spacing w:after="0"/>
              <w:rPr>
                <w:sz w:val="20"/>
                <w:szCs w:val="20"/>
                <w:color w:val="auto"/>
              </w:rPr>
            </w:pPr>
            <w:r>
              <w:rPr>
                <w:rFonts w:ascii="Arial" w:cs="Arial" w:eastAsia="Arial" w:hAnsi="Arial"/>
                <w:sz w:val="20"/>
                <w:szCs w:val="20"/>
                <w:color w:val="auto"/>
              </w:rPr>
              <w:t>Amount outstanding</w:t>
            </w:r>
          </w:p>
        </w:tc>
        <w:tc>
          <w:tcPr>
            <w:tcW w:w="2380" w:type="dxa"/>
            <w:vAlign w:val="bottom"/>
            <w:gridSpan w:val="2"/>
            <w:shd w:val="clear" w:color="auto" w:fill="CFF0FC"/>
          </w:tcPr>
          <w:p>
            <w:pPr>
              <w:jc w:val="right"/>
              <w:ind w:right="60"/>
              <w:spacing w:after="0"/>
              <w:rPr>
                <w:sz w:val="20"/>
                <w:szCs w:val="20"/>
                <w:color w:val="auto"/>
              </w:rPr>
            </w:pPr>
            <w:r>
              <w:rPr>
                <w:rFonts w:ascii="Arial" w:cs="Arial" w:eastAsia="Arial" w:hAnsi="Arial"/>
                <w:sz w:val="20"/>
                <w:szCs w:val="20"/>
                <w:color w:val="auto"/>
              </w:rPr>
              <w:t>$</w:t>
            </w:r>
          </w:p>
        </w:tc>
        <w:tc>
          <w:tcPr>
            <w:tcW w:w="1400" w:type="dxa"/>
            <w:vAlign w:val="bottom"/>
            <w:shd w:val="clear" w:color="auto" w:fill="CFF0FC"/>
          </w:tcPr>
          <w:p>
            <w:pPr>
              <w:jc w:val="right"/>
              <w:ind w:right="167"/>
              <w:spacing w:after="0"/>
              <w:rPr>
                <w:sz w:val="20"/>
                <w:szCs w:val="20"/>
                <w:color w:val="auto"/>
              </w:rPr>
            </w:pPr>
            <w:r>
              <w:rPr>
                <w:rFonts w:ascii="Arial" w:cs="Arial" w:eastAsia="Arial" w:hAnsi="Arial"/>
                <w:sz w:val="20"/>
                <w:szCs w:val="20"/>
                <w:color w:val="auto"/>
              </w:rPr>
              <w:t>163,442</w:t>
            </w:r>
          </w:p>
        </w:tc>
        <w:tc>
          <w:tcPr>
            <w:tcW w:w="3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w:t>
            </w:r>
          </w:p>
        </w:tc>
        <w:tc>
          <w:tcPr>
            <w:tcW w:w="1380" w:type="dxa"/>
            <w:vAlign w:val="bottom"/>
            <w:shd w:val="clear" w:color="auto" w:fill="CFF0FC"/>
          </w:tcPr>
          <w:p>
            <w:pPr>
              <w:jc w:val="right"/>
              <w:ind w:right="164"/>
              <w:spacing w:after="0"/>
              <w:rPr>
                <w:sz w:val="20"/>
                <w:szCs w:val="20"/>
                <w:color w:val="auto"/>
              </w:rPr>
            </w:pPr>
            <w:r>
              <w:rPr>
                <w:rFonts w:ascii="Arial" w:cs="Arial" w:eastAsia="Arial" w:hAnsi="Arial"/>
                <w:sz w:val="20"/>
                <w:szCs w:val="20"/>
                <w:color w:val="auto"/>
              </w:rPr>
              <w:t>—</w:t>
            </w:r>
          </w:p>
        </w:tc>
        <w:tc>
          <w:tcPr>
            <w:tcW w:w="380" w:type="dxa"/>
            <w:vAlign w:val="bottom"/>
            <w:shd w:val="clear" w:color="auto" w:fill="CFF0FC"/>
          </w:tcPr>
          <w:p>
            <w:pPr>
              <w:jc w:val="right"/>
              <w:ind w:right="99"/>
              <w:spacing w:after="0"/>
              <w:rPr>
                <w:sz w:val="20"/>
                <w:szCs w:val="20"/>
                <w:color w:val="auto"/>
              </w:rPr>
            </w:pPr>
            <w:r>
              <w:rPr>
                <w:rFonts w:ascii="Arial" w:cs="Arial" w:eastAsia="Arial" w:hAnsi="Arial"/>
                <w:sz w:val="20"/>
                <w:szCs w:val="20"/>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163,442</w:t>
            </w:r>
          </w:p>
        </w:tc>
        <w:tc>
          <w:tcPr>
            <w:tcW w:w="18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360" w:type="dxa"/>
            <w:vAlign w:val="bottom"/>
          </w:tcPr>
          <w:p>
            <w:pPr>
              <w:ind w:left="240"/>
              <w:spacing w:after="0"/>
              <w:rPr>
                <w:sz w:val="20"/>
                <w:szCs w:val="20"/>
                <w:color w:val="auto"/>
              </w:rPr>
            </w:pPr>
            <w:r>
              <w:rPr>
                <w:rFonts w:ascii="Arial" w:cs="Arial" w:eastAsia="Arial" w:hAnsi="Arial"/>
                <w:sz w:val="20"/>
                <w:szCs w:val="20"/>
                <w:color w:val="auto"/>
              </w:rPr>
              <w:t>Weighted-average interest rate</w:t>
            </w:r>
          </w:p>
        </w:tc>
        <w:tc>
          <w:tcPr>
            <w:tcW w:w="2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0.32%</w:t>
            </w:r>
          </w:p>
        </w:tc>
        <w:tc>
          <w:tcPr>
            <w:tcW w:w="300" w:type="dxa"/>
            <w:vAlign w:val="bottom"/>
          </w:tcPr>
          <w:p>
            <w:pPr>
              <w:spacing w:after="0"/>
              <w:rPr>
                <w:sz w:val="21"/>
                <w:szCs w:val="21"/>
                <w:color w:val="auto"/>
              </w:rPr>
            </w:pPr>
          </w:p>
        </w:tc>
        <w:tc>
          <w:tcPr>
            <w:tcW w:w="1380" w:type="dxa"/>
            <w:vAlign w:val="bottom"/>
          </w:tcPr>
          <w:p>
            <w:pPr>
              <w:jc w:val="right"/>
              <w:ind w:right="164"/>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21"/>
                <w:szCs w:val="21"/>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20"/>
                <w:szCs w:val="20"/>
                <w:color w:val="auto"/>
              </w:rPr>
              <w:t>0.32%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360" w:type="dxa"/>
            <w:vAlign w:val="bottom"/>
            <w:shd w:val="clear" w:color="auto" w:fill="CFF0FC"/>
          </w:tcPr>
          <w:p>
            <w:pPr>
              <w:spacing w:after="0"/>
              <w:rPr>
                <w:sz w:val="20"/>
                <w:szCs w:val="20"/>
                <w:color w:val="auto"/>
              </w:rPr>
            </w:pPr>
            <w:r>
              <w:rPr>
                <w:rFonts w:ascii="Arial" w:cs="Arial" w:eastAsia="Arial" w:hAnsi="Arial"/>
                <w:sz w:val="20"/>
                <w:szCs w:val="20"/>
                <w:color w:val="auto"/>
              </w:rPr>
              <w:t>For the year ended December 31, 2016</w:t>
            </w:r>
          </w:p>
        </w:tc>
        <w:tc>
          <w:tcPr>
            <w:tcW w:w="2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360" w:type="dxa"/>
            <w:vAlign w:val="bottom"/>
          </w:tcPr>
          <w:p>
            <w:pPr>
              <w:ind w:left="240"/>
              <w:spacing w:after="0"/>
              <w:rPr>
                <w:sz w:val="20"/>
                <w:szCs w:val="20"/>
                <w:color w:val="auto"/>
              </w:rPr>
            </w:pPr>
            <w:r>
              <w:rPr>
                <w:rFonts w:ascii="Arial" w:cs="Arial" w:eastAsia="Arial" w:hAnsi="Arial"/>
                <w:sz w:val="20"/>
                <w:szCs w:val="20"/>
                <w:color w:val="auto"/>
              </w:rPr>
              <w:t>Highest amount at a month-end</w:t>
            </w:r>
          </w:p>
        </w:tc>
        <w:tc>
          <w:tcPr>
            <w:tcW w:w="238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400" w:type="dxa"/>
            <w:vAlign w:val="bottom"/>
          </w:tcPr>
          <w:p>
            <w:pPr>
              <w:jc w:val="right"/>
              <w:ind w:right="167"/>
              <w:spacing w:after="0"/>
              <w:rPr>
                <w:sz w:val="20"/>
                <w:szCs w:val="20"/>
                <w:color w:val="auto"/>
              </w:rPr>
            </w:pPr>
            <w:r>
              <w:rPr>
                <w:rFonts w:ascii="Arial" w:cs="Arial" w:eastAsia="Arial" w:hAnsi="Arial"/>
                <w:sz w:val="20"/>
                <w:szCs w:val="20"/>
                <w:color w:val="auto"/>
              </w:rPr>
              <w:t>225,940</w:t>
            </w:r>
          </w:p>
        </w:tc>
        <w:tc>
          <w:tcPr>
            <w:tcW w:w="300" w:type="dxa"/>
            <w:vAlign w:val="bottom"/>
          </w:tcPr>
          <w:p>
            <w:pPr>
              <w:ind w:left="100"/>
              <w:spacing w:after="0"/>
              <w:rPr>
                <w:sz w:val="20"/>
                <w:szCs w:val="20"/>
                <w:color w:val="auto"/>
              </w:rPr>
            </w:pPr>
            <w:r>
              <w:rPr>
                <w:rFonts w:ascii="Arial" w:cs="Arial" w:eastAsia="Arial" w:hAnsi="Arial"/>
                <w:sz w:val="20"/>
                <w:szCs w:val="20"/>
                <w:color w:val="auto"/>
              </w:rPr>
              <w:t>$</w:t>
            </w:r>
          </w:p>
        </w:tc>
        <w:tc>
          <w:tcPr>
            <w:tcW w:w="1380" w:type="dxa"/>
            <w:vAlign w:val="bottom"/>
          </w:tcPr>
          <w:p>
            <w:pPr>
              <w:jc w:val="right"/>
              <w:ind w:right="164"/>
              <w:spacing w:after="0"/>
              <w:rPr>
                <w:sz w:val="20"/>
                <w:szCs w:val="20"/>
                <w:color w:val="auto"/>
              </w:rPr>
            </w:pPr>
            <w:r>
              <w:rPr>
                <w:rFonts w:ascii="Arial" w:cs="Arial" w:eastAsia="Arial" w:hAnsi="Arial"/>
                <w:sz w:val="20"/>
                <w:szCs w:val="20"/>
                <w:color w:val="auto"/>
              </w:rPr>
              <w:t>1,974,013</w:t>
            </w: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360" w:type="dxa"/>
            <w:vAlign w:val="bottom"/>
            <w:shd w:val="clear" w:color="auto" w:fill="CFF0FC"/>
          </w:tcPr>
          <w:p>
            <w:pPr>
              <w:ind w:left="240"/>
              <w:spacing w:after="0"/>
              <w:rPr>
                <w:sz w:val="20"/>
                <w:szCs w:val="20"/>
                <w:color w:val="auto"/>
              </w:rPr>
            </w:pPr>
            <w:r>
              <w:rPr>
                <w:rFonts w:ascii="Arial" w:cs="Arial" w:eastAsia="Arial" w:hAnsi="Arial"/>
                <w:sz w:val="20"/>
                <w:szCs w:val="20"/>
                <w:color w:val="auto"/>
              </w:rPr>
              <w:t>Daily-average amount outstanding</w:t>
            </w:r>
          </w:p>
        </w:tc>
        <w:tc>
          <w:tcPr>
            <w:tcW w:w="2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0" w:type="dxa"/>
            <w:vAlign w:val="bottom"/>
            <w:shd w:val="clear" w:color="auto" w:fill="CFF0FC"/>
          </w:tcPr>
          <w:p>
            <w:pPr>
              <w:jc w:val="right"/>
              <w:ind w:right="167"/>
              <w:spacing w:after="0"/>
              <w:rPr>
                <w:sz w:val="20"/>
                <w:szCs w:val="20"/>
                <w:color w:val="auto"/>
              </w:rPr>
            </w:pPr>
            <w:r>
              <w:rPr>
                <w:rFonts w:ascii="Arial" w:cs="Arial" w:eastAsia="Arial" w:hAnsi="Arial"/>
                <w:sz w:val="20"/>
                <w:szCs w:val="20"/>
                <w:color w:val="auto"/>
              </w:rPr>
              <w:t>203,853</w:t>
            </w:r>
          </w:p>
        </w:tc>
        <w:tc>
          <w:tcPr>
            <w:tcW w:w="30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164"/>
              <w:spacing w:after="0"/>
              <w:rPr>
                <w:sz w:val="20"/>
                <w:szCs w:val="20"/>
                <w:color w:val="auto"/>
              </w:rPr>
            </w:pPr>
            <w:r>
              <w:rPr>
                <w:rFonts w:ascii="Arial" w:cs="Arial" w:eastAsia="Arial" w:hAnsi="Arial"/>
                <w:sz w:val="20"/>
                <w:szCs w:val="20"/>
                <w:color w:val="auto"/>
              </w:rPr>
              <w:t>689,969</w:t>
            </w:r>
          </w:p>
        </w:tc>
        <w:tc>
          <w:tcPr>
            <w:tcW w:w="380" w:type="dxa"/>
            <w:vAlign w:val="bottom"/>
            <w:shd w:val="clear" w:color="auto" w:fill="CFF0FC"/>
          </w:tcPr>
          <w:p>
            <w:pPr>
              <w:jc w:val="right"/>
              <w:ind w:right="99"/>
              <w:spacing w:after="0"/>
              <w:rPr>
                <w:sz w:val="20"/>
                <w:szCs w:val="20"/>
                <w:color w:val="auto"/>
              </w:rPr>
            </w:pPr>
            <w:r>
              <w:rPr>
                <w:rFonts w:ascii="Arial" w:cs="Arial" w:eastAsia="Arial" w:hAnsi="Arial"/>
                <w:sz w:val="20"/>
                <w:szCs w:val="20"/>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893,822</w:t>
            </w:r>
          </w:p>
        </w:tc>
        <w:tc>
          <w:tcPr>
            <w:tcW w:w="18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360" w:type="dxa"/>
            <w:vAlign w:val="bottom"/>
          </w:tcPr>
          <w:p>
            <w:pPr>
              <w:ind w:left="240"/>
              <w:spacing w:after="0"/>
              <w:rPr>
                <w:sz w:val="20"/>
                <w:szCs w:val="20"/>
                <w:color w:val="auto"/>
              </w:rPr>
            </w:pPr>
            <w:r>
              <w:rPr>
                <w:rFonts w:ascii="Arial" w:cs="Arial" w:eastAsia="Arial" w:hAnsi="Arial"/>
                <w:sz w:val="20"/>
                <w:szCs w:val="20"/>
                <w:color w:val="auto"/>
              </w:rPr>
              <w:t>Weighted-average interest rate</w:t>
            </w:r>
          </w:p>
        </w:tc>
        <w:tc>
          <w:tcPr>
            <w:tcW w:w="2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0.28%</w:t>
            </w:r>
          </w:p>
        </w:tc>
        <w:tc>
          <w:tcPr>
            <w:tcW w:w="3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0.44%</w:t>
            </w:r>
          </w:p>
        </w:tc>
        <w:tc>
          <w:tcPr>
            <w:tcW w:w="380" w:type="dxa"/>
            <w:vAlign w:val="bottom"/>
          </w:tcPr>
          <w:p>
            <w:pPr>
              <w:spacing w:after="0"/>
              <w:rPr>
                <w:sz w:val="21"/>
                <w:szCs w:val="21"/>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20"/>
                <w:szCs w:val="20"/>
                <w:color w:val="auto"/>
              </w:rPr>
              <w:t>0.41%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360" w:type="dxa"/>
            <w:vAlign w:val="bottom"/>
            <w:shd w:val="clear" w:color="auto" w:fill="CFF0FC"/>
          </w:tcPr>
          <w:p>
            <w:pPr>
              <w:spacing w:after="0"/>
              <w:rPr>
                <w:sz w:val="20"/>
                <w:szCs w:val="20"/>
                <w:color w:val="auto"/>
              </w:rPr>
            </w:pPr>
            <w:r>
              <w:rPr>
                <w:rFonts w:ascii="Arial" w:cs="Arial" w:eastAsia="Arial" w:hAnsi="Arial"/>
                <w:sz w:val="20"/>
                <w:szCs w:val="20"/>
                <w:color w:val="auto"/>
              </w:rPr>
              <w:t>At December 31, 2015</w:t>
            </w:r>
          </w:p>
        </w:tc>
        <w:tc>
          <w:tcPr>
            <w:tcW w:w="2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360" w:type="dxa"/>
            <w:vAlign w:val="bottom"/>
          </w:tcPr>
          <w:p>
            <w:pPr>
              <w:ind w:left="240"/>
              <w:spacing w:after="0"/>
              <w:rPr>
                <w:sz w:val="20"/>
                <w:szCs w:val="20"/>
                <w:color w:val="auto"/>
              </w:rPr>
            </w:pPr>
            <w:r>
              <w:rPr>
                <w:rFonts w:ascii="Arial" w:cs="Arial" w:eastAsia="Arial" w:hAnsi="Arial"/>
                <w:sz w:val="20"/>
                <w:szCs w:val="20"/>
                <w:color w:val="auto"/>
              </w:rPr>
              <w:t>Amount outstanding</w:t>
            </w:r>
          </w:p>
        </w:tc>
        <w:tc>
          <w:tcPr>
            <w:tcW w:w="238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400" w:type="dxa"/>
            <w:vAlign w:val="bottom"/>
          </w:tcPr>
          <w:p>
            <w:pPr>
              <w:jc w:val="right"/>
              <w:ind w:right="167"/>
              <w:spacing w:after="0"/>
              <w:rPr>
                <w:sz w:val="20"/>
                <w:szCs w:val="20"/>
                <w:color w:val="auto"/>
              </w:rPr>
            </w:pPr>
            <w:r>
              <w:rPr>
                <w:rFonts w:ascii="Arial" w:cs="Arial" w:eastAsia="Arial" w:hAnsi="Arial"/>
                <w:sz w:val="20"/>
                <w:szCs w:val="20"/>
                <w:color w:val="auto"/>
              </w:rPr>
              <w:t>150,546</w:t>
            </w:r>
          </w:p>
        </w:tc>
        <w:tc>
          <w:tcPr>
            <w:tcW w:w="300" w:type="dxa"/>
            <w:vAlign w:val="bottom"/>
          </w:tcPr>
          <w:p>
            <w:pPr>
              <w:ind w:left="100"/>
              <w:spacing w:after="0"/>
              <w:rPr>
                <w:sz w:val="20"/>
                <w:szCs w:val="20"/>
                <w:color w:val="auto"/>
              </w:rPr>
            </w:pPr>
            <w:r>
              <w:rPr>
                <w:rFonts w:ascii="Arial" w:cs="Arial" w:eastAsia="Arial" w:hAnsi="Arial"/>
                <w:sz w:val="20"/>
                <w:szCs w:val="20"/>
                <w:color w:val="auto"/>
              </w:rPr>
              <w:t>$</w:t>
            </w:r>
          </w:p>
        </w:tc>
        <w:tc>
          <w:tcPr>
            <w:tcW w:w="1380" w:type="dxa"/>
            <w:vAlign w:val="bottom"/>
          </w:tcPr>
          <w:p>
            <w:pPr>
              <w:jc w:val="right"/>
              <w:ind w:right="164"/>
              <w:spacing w:after="0"/>
              <w:rPr>
                <w:sz w:val="20"/>
                <w:szCs w:val="20"/>
                <w:color w:val="auto"/>
              </w:rPr>
            </w:pPr>
            <w:r>
              <w:rPr>
                <w:rFonts w:ascii="Arial" w:cs="Arial" w:eastAsia="Arial" w:hAnsi="Arial"/>
                <w:sz w:val="20"/>
                <w:szCs w:val="20"/>
                <w:color w:val="auto"/>
              </w:rPr>
              <w:t>1,981,636</w:t>
            </w:r>
          </w:p>
        </w:tc>
        <w:tc>
          <w:tcPr>
            <w:tcW w:w="380" w:type="dxa"/>
            <w:vAlign w:val="bottom"/>
          </w:tcPr>
          <w:p>
            <w:pPr>
              <w:jc w:val="right"/>
              <w:ind w:right="99"/>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2,132,182</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360" w:type="dxa"/>
            <w:vAlign w:val="bottom"/>
            <w:shd w:val="clear" w:color="auto" w:fill="CFF0FC"/>
          </w:tcPr>
          <w:p>
            <w:pPr>
              <w:ind w:left="240"/>
              <w:spacing w:after="0"/>
              <w:rPr>
                <w:sz w:val="20"/>
                <w:szCs w:val="20"/>
                <w:color w:val="auto"/>
              </w:rPr>
            </w:pPr>
            <w:r>
              <w:rPr>
                <w:rFonts w:ascii="Arial" w:cs="Arial" w:eastAsia="Arial" w:hAnsi="Arial"/>
                <w:sz w:val="20"/>
                <w:szCs w:val="20"/>
                <w:color w:val="auto"/>
              </w:rPr>
              <w:t>Weighted-average interest rate</w:t>
            </w:r>
          </w:p>
        </w:tc>
        <w:tc>
          <w:tcPr>
            <w:tcW w:w="2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0.06%</w:t>
            </w:r>
          </w:p>
        </w:tc>
        <w:tc>
          <w:tcPr>
            <w:tcW w:w="30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0.43%</w:t>
            </w:r>
          </w:p>
        </w:tc>
        <w:tc>
          <w:tcPr>
            <w:tcW w:w="38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0.40%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360" w:type="dxa"/>
            <w:vAlign w:val="bottom"/>
          </w:tcPr>
          <w:p>
            <w:pPr>
              <w:spacing w:after="0"/>
              <w:rPr>
                <w:sz w:val="20"/>
                <w:szCs w:val="20"/>
                <w:color w:val="auto"/>
              </w:rPr>
            </w:pPr>
            <w:r>
              <w:rPr>
                <w:rFonts w:ascii="Arial" w:cs="Arial" w:eastAsia="Arial" w:hAnsi="Arial"/>
                <w:sz w:val="20"/>
                <w:szCs w:val="20"/>
                <w:color w:val="auto"/>
              </w:rPr>
              <w:t>For the year ended December 31, 2015</w:t>
            </w:r>
          </w:p>
        </w:tc>
        <w:tc>
          <w:tcPr>
            <w:tcW w:w="2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360" w:type="dxa"/>
            <w:vAlign w:val="bottom"/>
            <w:shd w:val="clear" w:color="auto" w:fill="CFF0FC"/>
          </w:tcPr>
          <w:p>
            <w:pPr>
              <w:ind w:left="240"/>
              <w:spacing w:after="0"/>
              <w:rPr>
                <w:sz w:val="20"/>
                <w:szCs w:val="20"/>
                <w:color w:val="auto"/>
              </w:rPr>
            </w:pPr>
            <w:r>
              <w:rPr>
                <w:rFonts w:ascii="Arial" w:cs="Arial" w:eastAsia="Arial" w:hAnsi="Arial"/>
                <w:sz w:val="20"/>
                <w:szCs w:val="20"/>
                <w:color w:val="auto"/>
              </w:rPr>
              <w:t>Highest amount at a month-end</w:t>
            </w:r>
          </w:p>
        </w:tc>
        <w:tc>
          <w:tcPr>
            <w:tcW w:w="2380" w:type="dxa"/>
            <w:vAlign w:val="bottom"/>
            <w:gridSpan w:val="2"/>
            <w:shd w:val="clear" w:color="auto" w:fill="CFF0FC"/>
          </w:tcPr>
          <w:p>
            <w:pPr>
              <w:jc w:val="right"/>
              <w:ind w:right="60"/>
              <w:spacing w:after="0"/>
              <w:rPr>
                <w:sz w:val="20"/>
                <w:szCs w:val="20"/>
                <w:color w:val="auto"/>
              </w:rPr>
            </w:pPr>
            <w:r>
              <w:rPr>
                <w:rFonts w:ascii="Arial" w:cs="Arial" w:eastAsia="Arial" w:hAnsi="Arial"/>
                <w:sz w:val="20"/>
                <w:szCs w:val="20"/>
                <w:color w:val="auto"/>
              </w:rPr>
              <w:t>$</w:t>
            </w:r>
          </w:p>
        </w:tc>
        <w:tc>
          <w:tcPr>
            <w:tcW w:w="1400" w:type="dxa"/>
            <w:vAlign w:val="bottom"/>
            <w:shd w:val="clear" w:color="auto" w:fill="CFF0FC"/>
          </w:tcPr>
          <w:p>
            <w:pPr>
              <w:jc w:val="right"/>
              <w:ind w:right="167"/>
              <w:spacing w:after="0"/>
              <w:rPr>
                <w:sz w:val="20"/>
                <w:szCs w:val="20"/>
                <w:color w:val="auto"/>
              </w:rPr>
            </w:pPr>
            <w:r>
              <w:rPr>
                <w:rFonts w:ascii="Arial" w:cs="Arial" w:eastAsia="Arial" w:hAnsi="Arial"/>
                <w:sz w:val="20"/>
                <w:szCs w:val="20"/>
                <w:color w:val="auto"/>
              </w:rPr>
              <w:t>202,951</w:t>
            </w:r>
          </w:p>
        </w:tc>
        <w:tc>
          <w:tcPr>
            <w:tcW w:w="3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w:t>
            </w:r>
          </w:p>
        </w:tc>
        <w:tc>
          <w:tcPr>
            <w:tcW w:w="1380" w:type="dxa"/>
            <w:vAlign w:val="bottom"/>
            <w:shd w:val="clear" w:color="auto" w:fill="CFF0FC"/>
          </w:tcPr>
          <w:p>
            <w:pPr>
              <w:jc w:val="right"/>
              <w:ind w:right="164"/>
              <w:spacing w:after="0"/>
              <w:rPr>
                <w:sz w:val="20"/>
                <w:szCs w:val="20"/>
                <w:color w:val="auto"/>
              </w:rPr>
            </w:pPr>
            <w:r>
              <w:rPr>
                <w:rFonts w:ascii="Arial" w:cs="Arial" w:eastAsia="Arial" w:hAnsi="Arial"/>
                <w:sz w:val="20"/>
                <w:szCs w:val="20"/>
                <w:color w:val="auto"/>
              </w:rPr>
              <w:t>1,989,257</w:t>
            </w:r>
          </w:p>
        </w:tc>
        <w:tc>
          <w:tcPr>
            <w:tcW w:w="38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360" w:type="dxa"/>
            <w:vAlign w:val="bottom"/>
          </w:tcPr>
          <w:p>
            <w:pPr>
              <w:ind w:left="240"/>
              <w:spacing w:after="0"/>
              <w:rPr>
                <w:sz w:val="20"/>
                <w:szCs w:val="20"/>
                <w:color w:val="auto"/>
              </w:rPr>
            </w:pPr>
            <w:r>
              <w:rPr>
                <w:rFonts w:ascii="Arial" w:cs="Arial" w:eastAsia="Arial" w:hAnsi="Arial"/>
                <w:sz w:val="20"/>
                <w:szCs w:val="20"/>
                <w:color w:val="auto"/>
              </w:rPr>
              <w:t>Daily-average amount outstanding</w:t>
            </w:r>
          </w:p>
        </w:tc>
        <w:tc>
          <w:tcPr>
            <w:tcW w:w="2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167"/>
              <w:spacing w:after="0"/>
              <w:rPr>
                <w:sz w:val="20"/>
                <w:szCs w:val="20"/>
                <w:color w:val="auto"/>
              </w:rPr>
            </w:pPr>
            <w:r>
              <w:rPr>
                <w:rFonts w:ascii="Arial" w:cs="Arial" w:eastAsia="Arial" w:hAnsi="Arial"/>
                <w:sz w:val="20"/>
                <w:szCs w:val="20"/>
                <w:color w:val="auto"/>
              </w:rPr>
              <w:t>187,167</w:t>
            </w:r>
          </w:p>
        </w:tc>
        <w:tc>
          <w:tcPr>
            <w:tcW w:w="300" w:type="dxa"/>
            <w:vAlign w:val="bottom"/>
          </w:tcPr>
          <w:p>
            <w:pPr>
              <w:spacing w:after="0"/>
              <w:rPr>
                <w:sz w:val="21"/>
                <w:szCs w:val="21"/>
                <w:color w:val="auto"/>
              </w:rPr>
            </w:pPr>
          </w:p>
        </w:tc>
        <w:tc>
          <w:tcPr>
            <w:tcW w:w="1380" w:type="dxa"/>
            <w:vAlign w:val="bottom"/>
          </w:tcPr>
          <w:p>
            <w:pPr>
              <w:jc w:val="right"/>
              <w:ind w:right="164"/>
              <w:spacing w:after="0"/>
              <w:rPr>
                <w:sz w:val="20"/>
                <w:szCs w:val="20"/>
                <w:color w:val="auto"/>
              </w:rPr>
            </w:pPr>
            <w:r>
              <w:rPr>
                <w:rFonts w:ascii="Arial" w:cs="Arial" w:eastAsia="Arial" w:hAnsi="Arial"/>
                <w:sz w:val="20"/>
                <w:szCs w:val="20"/>
                <w:color w:val="auto"/>
              </w:rPr>
              <w:t>360,838</w:t>
            </w:r>
          </w:p>
        </w:tc>
        <w:tc>
          <w:tcPr>
            <w:tcW w:w="380" w:type="dxa"/>
            <w:vAlign w:val="bottom"/>
          </w:tcPr>
          <w:p>
            <w:pPr>
              <w:jc w:val="right"/>
              <w:ind w:right="99"/>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548,005</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360" w:type="dxa"/>
            <w:vAlign w:val="bottom"/>
            <w:shd w:val="clear" w:color="auto" w:fill="CFF0FC"/>
          </w:tcPr>
          <w:p>
            <w:pPr>
              <w:ind w:left="240"/>
              <w:spacing w:after="0"/>
              <w:rPr>
                <w:sz w:val="20"/>
                <w:szCs w:val="20"/>
                <w:color w:val="auto"/>
              </w:rPr>
            </w:pPr>
            <w:r>
              <w:rPr>
                <w:rFonts w:ascii="Arial" w:cs="Arial" w:eastAsia="Arial" w:hAnsi="Arial"/>
                <w:sz w:val="20"/>
                <w:szCs w:val="20"/>
                <w:color w:val="auto"/>
              </w:rPr>
              <w:t>Weighted-average interest rate</w:t>
            </w:r>
          </w:p>
        </w:tc>
        <w:tc>
          <w:tcPr>
            <w:tcW w:w="2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0.08%</w:t>
            </w:r>
          </w:p>
        </w:tc>
        <w:tc>
          <w:tcPr>
            <w:tcW w:w="30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0.43%</w:t>
            </w:r>
          </w:p>
        </w:tc>
        <w:tc>
          <w:tcPr>
            <w:tcW w:w="38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0.31%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17"/>
        </w:trPr>
        <w:tc>
          <w:tcPr>
            <w:tcW w:w="4360" w:type="dxa"/>
            <w:vAlign w:val="bottom"/>
          </w:tcPr>
          <w:p>
            <w:pPr>
              <w:spacing w:after="0"/>
              <w:rPr>
                <w:sz w:val="24"/>
                <w:szCs w:val="24"/>
                <w:color w:val="auto"/>
              </w:rPr>
            </w:pPr>
          </w:p>
        </w:tc>
        <w:tc>
          <w:tcPr>
            <w:tcW w:w="2220" w:type="dxa"/>
            <w:vAlign w:val="bottom"/>
          </w:tcPr>
          <w:p>
            <w:pPr>
              <w:jc w:val="right"/>
              <w:ind w:right="641"/>
              <w:spacing w:after="0"/>
              <w:rPr>
                <w:sz w:val="20"/>
                <w:szCs w:val="20"/>
                <w:color w:val="auto"/>
              </w:rPr>
            </w:pPr>
            <w:r>
              <w:rPr>
                <w:rFonts w:ascii="Arial" w:cs="Arial" w:eastAsia="Arial" w:hAnsi="Arial"/>
                <w:sz w:val="18"/>
                <w:szCs w:val="18"/>
                <w:color w:val="auto"/>
              </w:rPr>
              <w:t>140</w:t>
            </w: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360" w:type="dxa"/>
            <w:vAlign w:val="bottom"/>
            <w:tcBorders>
              <w:bottom w:val="single" w:sz="8" w:color="9A9A9A"/>
            </w:tcBorders>
          </w:tcPr>
          <w:p>
            <w:pPr>
              <w:spacing w:after="0"/>
              <w:rPr>
                <w:sz w:val="9"/>
                <w:szCs w:val="9"/>
                <w:color w:val="auto"/>
              </w:rPr>
            </w:pPr>
          </w:p>
        </w:tc>
        <w:tc>
          <w:tcPr>
            <w:tcW w:w="22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376" w:right="219" w:bottom="1440" w:gutter="0" w:footer="0" w:header="0"/>
        </w:sectPr>
      </w:pPr>
    </w:p>
    <w:bookmarkStart w:id="140" w:name="page141"/>
    <w:bookmarkEnd w:id="140"/>
    <w:p>
      <w:pPr>
        <w:ind w:right="600" w:firstLine="598"/>
        <w:spacing w:after="0" w:line="264" w:lineRule="auto"/>
        <w:rPr>
          <w:sz w:val="20"/>
          <w:szCs w:val="20"/>
          <w:color w:val="auto"/>
        </w:rPr>
      </w:pPr>
      <w:r>
        <w:rPr>
          <w:rFonts w:ascii="Arial" w:cs="Arial" w:eastAsia="Arial" w:hAnsi="Arial"/>
          <w:sz w:val="19"/>
          <w:szCs w:val="19"/>
          <w:color w:val="auto"/>
        </w:rPr>
        <w:t>Short-term borrowings have a stated maturity of one year or less at the date the Company enters into the obligation. In general, federal funds purchased and short-term repurchase agreements outstanding at December 31, 2017 matured on the next business day following year-end. Other short-term borrowings at December 31, 2015 represent borrowings from the FHLB of New York that were assumed in the acquisition of Hudson City. Those borrowings matured at various dates during 2016.</w:t>
      </w:r>
    </w:p>
    <w:p>
      <w:pPr>
        <w:spacing w:after="0" w:line="3" w:lineRule="exact"/>
        <w:rPr>
          <w:sz w:val="20"/>
          <w:szCs w:val="20"/>
          <w:color w:val="auto"/>
        </w:rPr>
      </w:pPr>
    </w:p>
    <w:p>
      <w:pPr>
        <w:ind w:left="600"/>
        <w:spacing w:after="0"/>
        <w:rPr>
          <w:sz w:val="20"/>
          <w:szCs w:val="20"/>
          <w:color w:val="auto"/>
        </w:rPr>
      </w:pPr>
      <w:r>
        <w:rPr>
          <w:rFonts w:ascii="Arial" w:cs="Arial" w:eastAsia="Arial" w:hAnsi="Arial"/>
          <w:sz w:val="20"/>
          <w:szCs w:val="20"/>
          <w:color w:val="auto"/>
        </w:rPr>
        <w:t>At December 31, 2017, M&amp;T Bank had lines of credit under formal agreements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88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1400" w:type="dxa"/>
            <w:vAlign w:val="bottom"/>
          </w:tcPr>
          <w:p>
            <w:pPr>
              <w:jc w:val="right"/>
              <w:ind w:right="350"/>
              <w:spacing w:after="0"/>
              <w:rPr>
                <w:sz w:val="20"/>
                <w:szCs w:val="20"/>
                <w:color w:val="auto"/>
              </w:rPr>
            </w:pPr>
            <w:r>
              <w:rPr>
                <w:rFonts w:ascii="Arial" w:cs="Arial" w:eastAsia="Arial" w:hAnsi="Arial"/>
                <w:sz w:val="14"/>
                <w:szCs w:val="14"/>
                <w:b w:val="1"/>
                <w:bCs w:val="1"/>
                <w:color w:val="auto"/>
                <w:w w:val="97"/>
              </w:rPr>
              <w:t>(In thousands)</w:t>
            </w:r>
          </w:p>
        </w:tc>
      </w:tr>
      <w:tr>
        <w:trPr>
          <w:trHeight w:val="142"/>
        </w:trPr>
        <w:tc>
          <w:tcPr>
            <w:tcW w:w="588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400" w:type="dxa"/>
            <w:vAlign w:val="bottom"/>
          </w:tcPr>
          <w:p>
            <w:pPr>
              <w:spacing w:after="0"/>
              <w:rPr>
                <w:sz w:val="12"/>
                <w:szCs w:val="12"/>
                <w:color w:val="auto"/>
              </w:rPr>
            </w:pPr>
          </w:p>
        </w:tc>
      </w:tr>
      <w:tr>
        <w:trPr>
          <w:trHeight w:val="250"/>
        </w:trPr>
        <w:tc>
          <w:tcPr>
            <w:tcW w:w="5880" w:type="dxa"/>
            <w:vAlign w:val="bottom"/>
            <w:shd w:val="clear" w:color="auto" w:fill="CFF0FC"/>
          </w:tcPr>
          <w:p>
            <w:pPr>
              <w:spacing w:after="0"/>
              <w:rPr>
                <w:sz w:val="20"/>
                <w:szCs w:val="20"/>
                <w:color w:val="auto"/>
              </w:rPr>
            </w:pPr>
            <w:r>
              <w:rPr>
                <w:rFonts w:ascii="Arial" w:cs="Arial" w:eastAsia="Arial" w:hAnsi="Arial"/>
                <w:sz w:val="20"/>
                <w:szCs w:val="20"/>
                <w:color w:val="auto"/>
              </w:rPr>
              <w:t>Outstanding borrowings</w:t>
            </w:r>
          </w:p>
        </w:tc>
        <w:tc>
          <w:tcPr>
            <w:tcW w:w="4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400" w:type="dxa"/>
            <w:vAlign w:val="bottom"/>
            <w:shd w:val="clear" w:color="auto" w:fill="CFF0FC"/>
          </w:tcPr>
          <w:p>
            <w:pPr>
              <w:jc w:val="right"/>
              <w:ind w:right="30"/>
              <w:spacing w:after="0"/>
              <w:rPr>
                <w:sz w:val="20"/>
                <w:szCs w:val="20"/>
                <w:color w:val="auto"/>
              </w:rPr>
            </w:pPr>
            <w:r>
              <w:rPr>
                <w:rFonts w:ascii="Arial" w:cs="Arial" w:eastAsia="Arial" w:hAnsi="Arial"/>
                <w:sz w:val="20"/>
                <w:szCs w:val="20"/>
                <w:color w:val="auto"/>
              </w:rPr>
              <w:t>576,954</w:t>
            </w:r>
          </w:p>
        </w:tc>
      </w:tr>
      <w:tr>
        <w:trPr>
          <w:trHeight w:val="257"/>
        </w:trPr>
        <w:tc>
          <w:tcPr>
            <w:tcW w:w="5880" w:type="dxa"/>
            <w:vAlign w:val="bottom"/>
          </w:tcPr>
          <w:p>
            <w:pPr>
              <w:spacing w:after="0"/>
              <w:rPr>
                <w:sz w:val="20"/>
                <w:szCs w:val="20"/>
                <w:color w:val="auto"/>
              </w:rPr>
            </w:pPr>
            <w:r>
              <w:rPr>
                <w:rFonts w:ascii="Arial" w:cs="Arial" w:eastAsia="Arial" w:hAnsi="Arial"/>
                <w:sz w:val="20"/>
                <w:szCs w:val="20"/>
                <w:color w:val="auto"/>
              </w:rPr>
              <w:t>Unused</w:t>
            </w:r>
          </w:p>
        </w:tc>
        <w:tc>
          <w:tcPr>
            <w:tcW w:w="4140" w:type="dxa"/>
            <w:vAlign w:val="bottom"/>
          </w:tcPr>
          <w:p>
            <w:pPr>
              <w:spacing w:after="0"/>
              <w:rPr>
                <w:sz w:val="22"/>
                <w:szCs w:val="22"/>
                <w:color w:val="auto"/>
              </w:rPr>
            </w:pPr>
          </w:p>
        </w:tc>
        <w:tc>
          <w:tcPr>
            <w:tcW w:w="1400" w:type="dxa"/>
            <w:vAlign w:val="bottom"/>
          </w:tcPr>
          <w:p>
            <w:pPr>
              <w:jc w:val="right"/>
              <w:ind w:right="30"/>
              <w:spacing w:after="0"/>
              <w:rPr>
                <w:sz w:val="20"/>
                <w:szCs w:val="20"/>
                <w:color w:val="auto"/>
              </w:rPr>
            </w:pPr>
            <w:r>
              <w:rPr>
                <w:rFonts w:ascii="Arial" w:cs="Arial" w:eastAsia="Arial" w:hAnsi="Arial"/>
                <w:sz w:val="20"/>
                <w:szCs w:val="20"/>
                <w:color w:val="auto"/>
              </w:rPr>
              <w:t>31,624,206</w:t>
            </w:r>
          </w:p>
        </w:tc>
      </w:tr>
    </w:tbl>
    <w:p>
      <w:pPr>
        <w:spacing w:after="0" w:line="215" w:lineRule="exact"/>
        <w:rPr>
          <w:sz w:val="20"/>
          <w:szCs w:val="20"/>
          <w:color w:val="auto"/>
        </w:rPr>
      </w:pPr>
    </w:p>
    <w:p>
      <w:pPr>
        <w:ind w:right="280" w:firstLine="598"/>
        <w:spacing w:after="0" w:line="256" w:lineRule="auto"/>
        <w:rPr>
          <w:sz w:val="20"/>
          <w:szCs w:val="20"/>
          <w:color w:val="auto"/>
        </w:rPr>
      </w:pPr>
      <w:r>
        <w:rPr>
          <w:rFonts w:ascii="Arial" w:cs="Arial" w:eastAsia="Arial" w:hAnsi="Arial"/>
          <w:sz w:val="20"/>
          <w:szCs w:val="20"/>
          <w:color w:val="auto"/>
        </w:rPr>
        <w:t>At December 31, 2017, M&amp;T Bank had borrowing facilities available with the FHLBs whereby M&amp;T Bank could borrow up to approximately $20.2 billion. Additionally, M&amp;T Bank had an available line of credit with the Federal Reserve Bank of New York totaling approximately $12.0 billion at December 31, 2017. M&amp;T Bank is required to pledge loans and investment securities as collateral for these borrowing facilities.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76" w:right="239" w:bottom="1440" w:gutter="0" w:footer="0" w:header="0"/>
        </w:sectPr>
      </w:pPr>
    </w:p>
    <w:bookmarkStart w:id="141" w:name="page142"/>
    <w:bookmarkEnd w:id="141"/>
    <w:p>
      <w:pPr>
        <w:ind w:left="600"/>
        <w:spacing w:after="0"/>
        <w:rPr>
          <w:sz w:val="20"/>
          <w:szCs w:val="20"/>
          <w:color w:val="auto"/>
        </w:rPr>
      </w:pPr>
      <w:r>
        <w:rPr>
          <w:rFonts w:ascii="Arial" w:cs="Arial" w:eastAsia="Arial" w:hAnsi="Arial"/>
          <w:sz w:val="20"/>
          <w:szCs w:val="20"/>
          <w:color w:val="auto"/>
        </w:rPr>
        <w:t>Long-term borrowings were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6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4"/>
                <w:szCs w:val="14"/>
                <w:b w:val="1"/>
                <w:bCs w:val="1"/>
                <w:color w:val="auto"/>
              </w:rPr>
              <w:t>December 31,</w:t>
            </w:r>
          </w:p>
        </w:tc>
        <w:tc>
          <w:tcPr>
            <w:tcW w:w="1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1"/>
        </w:trPr>
        <w:tc>
          <w:tcPr>
            <w:tcW w:w="66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62"/>
              <w:spacing w:after="0" w:line="151"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60"/>
              <w:spacing w:after="0" w:line="151"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r>
      <w:tr>
        <w:trPr>
          <w:trHeight w:val="151"/>
        </w:trPr>
        <w:tc>
          <w:tcPr>
            <w:tcW w:w="66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60" w:type="dxa"/>
            <w:vAlign w:val="bottom"/>
            <w:gridSpan w:val="3"/>
          </w:tcPr>
          <w:p>
            <w:pPr>
              <w:jc w:val="right"/>
              <w:ind w:right="79"/>
              <w:spacing w:after="0" w:line="151" w:lineRule="exact"/>
              <w:rPr>
                <w:sz w:val="20"/>
                <w:szCs w:val="20"/>
                <w:color w:val="auto"/>
              </w:rPr>
            </w:pPr>
            <w:r>
              <w:rPr>
                <w:rFonts w:ascii="Arial" w:cs="Arial" w:eastAsia="Arial" w:hAnsi="Arial"/>
                <w:sz w:val="14"/>
                <w:szCs w:val="14"/>
                <w:b w:val="1"/>
                <w:bCs w:val="1"/>
                <w:color w:val="auto"/>
              </w:rPr>
              <w:t>(In thousands)</w:t>
            </w: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50"/>
        </w:trPr>
        <w:tc>
          <w:tcPr>
            <w:tcW w:w="6600" w:type="dxa"/>
            <w:vAlign w:val="bottom"/>
            <w:shd w:val="clear" w:color="auto" w:fill="CFF0FC"/>
          </w:tcPr>
          <w:p>
            <w:pPr>
              <w:spacing w:after="0"/>
              <w:rPr>
                <w:sz w:val="20"/>
                <w:szCs w:val="20"/>
                <w:color w:val="auto"/>
              </w:rPr>
            </w:pPr>
            <w:r>
              <w:rPr>
                <w:rFonts w:ascii="Arial" w:cs="Arial" w:eastAsia="Arial" w:hAnsi="Arial"/>
                <w:sz w:val="20"/>
                <w:szCs w:val="20"/>
                <w:color w:val="auto"/>
              </w:rPr>
              <w:t>Senior notes of M&amp;T Bank:</w:t>
            </w:r>
          </w:p>
        </w:tc>
        <w:tc>
          <w:tcPr>
            <w:tcW w:w="1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50"/>
        </w:trPr>
        <w:tc>
          <w:tcPr>
            <w:tcW w:w="6600" w:type="dxa"/>
            <w:vAlign w:val="bottom"/>
          </w:tcPr>
          <w:p>
            <w:pPr>
              <w:ind w:left="240"/>
              <w:spacing w:after="0"/>
              <w:rPr>
                <w:sz w:val="20"/>
                <w:szCs w:val="20"/>
                <w:color w:val="auto"/>
              </w:rPr>
            </w:pPr>
            <w:r>
              <w:rPr>
                <w:rFonts w:ascii="Arial" w:cs="Arial" w:eastAsia="Arial" w:hAnsi="Arial"/>
                <w:sz w:val="20"/>
                <w:szCs w:val="20"/>
                <w:color w:val="auto"/>
              </w:rPr>
              <w:t>Variable rate due 2017</w:t>
            </w:r>
          </w:p>
        </w:tc>
        <w:tc>
          <w:tcPr>
            <w:tcW w:w="1640" w:type="dxa"/>
            <w:vAlign w:val="bottom"/>
            <w:gridSpan w:val="2"/>
          </w:tcPr>
          <w:p>
            <w:pPr>
              <w:jc w:val="right"/>
              <w:ind w:right="179"/>
              <w:spacing w:after="0"/>
              <w:rPr>
                <w:sz w:val="20"/>
                <w:szCs w:val="20"/>
                <w:color w:val="auto"/>
              </w:rPr>
            </w:pPr>
            <w:r>
              <w:rPr>
                <w:rFonts w:ascii="Arial" w:cs="Arial" w:eastAsia="Arial" w:hAnsi="Arial"/>
                <w:sz w:val="20"/>
                <w:szCs w:val="20"/>
                <w:color w:val="auto"/>
              </w:rPr>
              <w:t>$</w:t>
            </w:r>
          </w:p>
        </w:tc>
        <w:tc>
          <w:tcPr>
            <w:tcW w:w="1480" w:type="dxa"/>
            <w:vAlign w:val="bottom"/>
            <w:gridSpan w:val="2"/>
          </w:tcPr>
          <w:p>
            <w:pPr>
              <w:jc w:val="right"/>
              <w:ind w:right="300"/>
              <w:spacing w:after="0"/>
              <w:rPr>
                <w:sz w:val="20"/>
                <w:szCs w:val="20"/>
                <w:color w:val="auto"/>
              </w:rPr>
            </w:pPr>
            <w:r>
              <w:rPr>
                <w:rFonts w:ascii="Arial" w:cs="Arial" w:eastAsia="Arial" w:hAnsi="Arial"/>
                <w:sz w:val="20"/>
                <w:szCs w:val="20"/>
                <w:color w:val="auto"/>
              </w:rPr>
              <w:t>—</w:t>
            </w:r>
          </w:p>
        </w:tc>
        <w:tc>
          <w:tcPr>
            <w:tcW w:w="480" w:type="dxa"/>
            <w:vAlign w:val="bottom"/>
          </w:tcPr>
          <w:p>
            <w:pPr>
              <w:jc w:val="right"/>
              <w:ind w:right="279"/>
              <w:spacing w:after="0"/>
              <w:rPr>
                <w:sz w:val="20"/>
                <w:szCs w:val="20"/>
                <w:color w:val="auto"/>
              </w:rPr>
            </w:pPr>
            <w:r>
              <w:rPr>
                <w:rFonts w:ascii="Arial" w:cs="Arial" w:eastAsia="Arial" w:hAnsi="Arial"/>
                <w:sz w:val="20"/>
                <w:szCs w:val="20"/>
                <w:color w:val="auto"/>
                <w:w w:val="71"/>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550,000</w:t>
            </w:r>
          </w:p>
        </w:tc>
        <w:tc>
          <w:tcPr>
            <w:tcW w:w="120" w:type="dxa"/>
            <w:vAlign w:val="bottom"/>
          </w:tcPr>
          <w:p>
            <w:pPr>
              <w:spacing w:after="0"/>
              <w:rPr>
                <w:sz w:val="21"/>
                <w:szCs w:val="21"/>
                <w:color w:val="auto"/>
              </w:rPr>
            </w:pPr>
          </w:p>
        </w:tc>
      </w:tr>
      <w:tr>
        <w:trPr>
          <w:trHeight w:val="250"/>
        </w:trPr>
        <w:tc>
          <w:tcPr>
            <w:tcW w:w="6600" w:type="dxa"/>
            <w:vAlign w:val="bottom"/>
            <w:shd w:val="clear" w:color="auto" w:fill="CFF0FC"/>
          </w:tcPr>
          <w:p>
            <w:pPr>
              <w:ind w:left="240"/>
              <w:spacing w:after="0"/>
              <w:rPr>
                <w:sz w:val="20"/>
                <w:szCs w:val="20"/>
                <w:color w:val="auto"/>
              </w:rPr>
            </w:pPr>
            <w:r>
              <w:rPr>
                <w:rFonts w:ascii="Arial" w:cs="Arial" w:eastAsia="Arial" w:hAnsi="Arial"/>
                <w:sz w:val="20"/>
                <w:szCs w:val="20"/>
                <w:color w:val="auto"/>
              </w:rPr>
              <w:t>Variable rate due 2022</w:t>
            </w:r>
          </w:p>
        </w:tc>
        <w:tc>
          <w:tcPr>
            <w:tcW w:w="1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249,558</w:t>
            </w: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r>
      <w:tr>
        <w:trPr>
          <w:trHeight w:val="250"/>
        </w:trPr>
        <w:tc>
          <w:tcPr>
            <w:tcW w:w="6600" w:type="dxa"/>
            <w:vAlign w:val="bottom"/>
          </w:tcPr>
          <w:p>
            <w:pPr>
              <w:ind w:left="240"/>
              <w:spacing w:after="0"/>
              <w:rPr>
                <w:sz w:val="20"/>
                <w:szCs w:val="20"/>
                <w:color w:val="auto"/>
              </w:rPr>
            </w:pPr>
            <w:r>
              <w:rPr>
                <w:rFonts w:ascii="Arial" w:cs="Arial" w:eastAsia="Arial" w:hAnsi="Arial"/>
                <w:sz w:val="20"/>
                <w:szCs w:val="20"/>
                <w:color w:val="auto"/>
              </w:rPr>
              <w:t>1.25% due 2017</w:t>
            </w:r>
          </w:p>
        </w:tc>
        <w:tc>
          <w:tcPr>
            <w:tcW w:w="1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20"/>
                <w:szCs w:val="20"/>
                <w:color w:val="auto"/>
              </w:rPr>
              <w:t>—</w:t>
            </w:r>
          </w:p>
        </w:tc>
        <w:tc>
          <w:tcPr>
            <w:tcW w:w="4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499,999</w:t>
            </w:r>
          </w:p>
        </w:tc>
        <w:tc>
          <w:tcPr>
            <w:tcW w:w="120" w:type="dxa"/>
            <w:vAlign w:val="bottom"/>
          </w:tcPr>
          <w:p>
            <w:pPr>
              <w:spacing w:after="0"/>
              <w:rPr>
                <w:sz w:val="21"/>
                <w:szCs w:val="21"/>
                <w:color w:val="auto"/>
              </w:rPr>
            </w:pPr>
          </w:p>
        </w:tc>
      </w:tr>
      <w:tr>
        <w:trPr>
          <w:trHeight w:val="250"/>
        </w:trPr>
        <w:tc>
          <w:tcPr>
            <w:tcW w:w="6600" w:type="dxa"/>
            <w:vAlign w:val="bottom"/>
            <w:shd w:val="clear" w:color="auto" w:fill="CFF0FC"/>
          </w:tcPr>
          <w:p>
            <w:pPr>
              <w:ind w:left="240"/>
              <w:spacing w:after="0"/>
              <w:rPr>
                <w:sz w:val="20"/>
                <w:szCs w:val="20"/>
                <w:color w:val="auto"/>
              </w:rPr>
            </w:pPr>
            <w:r>
              <w:rPr>
                <w:rFonts w:ascii="Arial" w:cs="Arial" w:eastAsia="Arial" w:hAnsi="Arial"/>
                <w:sz w:val="20"/>
                <w:szCs w:val="20"/>
                <w:color w:val="auto"/>
              </w:rPr>
              <w:t>1.40% due 2017</w:t>
            </w:r>
          </w:p>
        </w:tc>
        <w:tc>
          <w:tcPr>
            <w:tcW w:w="1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20"/>
                <w:szCs w:val="20"/>
                <w:color w:val="auto"/>
              </w:rPr>
              <w:t>—</w:t>
            </w:r>
          </w:p>
        </w:tc>
        <w:tc>
          <w:tcPr>
            <w:tcW w:w="4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749,946</w:t>
            </w:r>
          </w:p>
        </w:tc>
        <w:tc>
          <w:tcPr>
            <w:tcW w:w="120" w:type="dxa"/>
            <w:vAlign w:val="bottom"/>
            <w:shd w:val="clear" w:color="auto" w:fill="CFF0FC"/>
          </w:tcPr>
          <w:p>
            <w:pPr>
              <w:spacing w:after="0"/>
              <w:rPr>
                <w:sz w:val="21"/>
                <w:szCs w:val="21"/>
                <w:color w:val="auto"/>
              </w:rPr>
            </w:pPr>
          </w:p>
        </w:tc>
      </w:tr>
      <w:tr>
        <w:trPr>
          <w:trHeight w:val="250"/>
        </w:trPr>
        <w:tc>
          <w:tcPr>
            <w:tcW w:w="6600" w:type="dxa"/>
            <w:vAlign w:val="bottom"/>
          </w:tcPr>
          <w:p>
            <w:pPr>
              <w:ind w:left="240"/>
              <w:spacing w:after="0"/>
              <w:rPr>
                <w:sz w:val="20"/>
                <w:szCs w:val="20"/>
                <w:color w:val="auto"/>
              </w:rPr>
            </w:pPr>
            <w:r>
              <w:rPr>
                <w:rFonts w:ascii="Arial" w:cs="Arial" w:eastAsia="Arial" w:hAnsi="Arial"/>
                <w:sz w:val="20"/>
                <w:szCs w:val="20"/>
                <w:color w:val="auto"/>
              </w:rPr>
              <w:t>1.45% due 2018</w:t>
            </w:r>
          </w:p>
        </w:tc>
        <w:tc>
          <w:tcPr>
            <w:tcW w:w="1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499,907</w:t>
            </w: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501,829</w:t>
            </w:r>
          </w:p>
        </w:tc>
        <w:tc>
          <w:tcPr>
            <w:tcW w:w="120" w:type="dxa"/>
            <w:vAlign w:val="bottom"/>
          </w:tcPr>
          <w:p>
            <w:pPr>
              <w:spacing w:after="0"/>
              <w:rPr>
                <w:sz w:val="21"/>
                <w:szCs w:val="21"/>
                <w:color w:val="auto"/>
              </w:rPr>
            </w:pPr>
          </w:p>
        </w:tc>
      </w:tr>
      <w:tr>
        <w:trPr>
          <w:trHeight w:val="250"/>
        </w:trPr>
        <w:tc>
          <w:tcPr>
            <w:tcW w:w="6600" w:type="dxa"/>
            <w:vAlign w:val="bottom"/>
            <w:shd w:val="clear" w:color="auto" w:fill="CFF0FC"/>
          </w:tcPr>
          <w:p>
            <w:pPr>
              <w:ind w:left="240"/>
              <w:spacing w:after="0"/>
              <w:rPr>
                <w:sz w:val="20"/>
                <w:szCs w:val="20"/>
                <w:color w:val="auto"/>
              </w:rPr>
            </w:pPr>
            <w:r>
              <w:rPr>
                <w:rFonts w:ascii="Arial" w:cs="Arial" w:eastAsia="Arial" w:hAnsi="Arial"/>
                <w:sz w:val="20"/>
                <w:szCs w:val="20"/>
                <w:color w:val="auto"/>
              </w:rPr>
              <w:t>2.25% due 2019</w:t>
            </w:r>
          </w:p>
        </w:tc>
        <w:tc>
          <w:tcPr>
            <w:tcW w:w="1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644,977</w:t>
            </w: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649,012</w:t>
            </w:r>
          </w:p>
        </w:tc>
        <w:tc>
          <w:tcPr>
            <w:tcW w:w="120" w:type="dxa"/>
            <w:vAlign w:val="bottom"/>
            <w:shd w:val="clear" w:color="auto" w:fill="CFF0FC"/>
          </w:tcPr>
          <w:p>
            <w:pPr>
              <w:spacing w:after="0"/>
              <w:rPr>
                <w:sz w:val="21"/>
                <w:szCs w:val="21"/>
                <w:color w:val="auto"/>
              </w:rPr>
            </w:pPr>
          </w:p>
        </w:tc>
      </w:tr>
      <w:tr>
        <w:trPr>
          <w:trHeight w:val="250"/>
        </w:trPr>
        <w:tc>
          <w:tcPr>
            <w:tcW w:w="6600" w:type="dxa"/>
            <w:vAlign w:val="bottom"/>
          </w:tcPr>
          <w:p>
            <w:pPr>
              <w:ind w:left="240"/>
              <w:spacing w:after="0"/>
              <w:rPr>
                <w:sz w:val="20"/>
                <w:szCs w:val="20"/>
                <w:color w:val="auto"/>
              </w:rPr>
            </w:pPr>
            <w:r>
              <w:rPr>
                <w:rFonts w:ascii="Arial" w:cs="Arial" w:eastAsia="Arial" w:hAnsi="Arial"/>
                <w:sz w:val="20"/>
                <w:szCs w:val="20"/>
                <w:color w:val="auto"/>
              </w:rPr>
              <w:t>2.30% due 2019</w:t>
            </w:r>
          </w:p>
        </w:tc>
        <w:tc>
          <w:tcPr>
            <w:tcW w:w="1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746,919</w:t>
            </w: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749,473</w:t>
            </w:r>
          </w:p>
        </w:tc>
        <w:tc>
          <w:tcPr>
            <w:tcW w:w="120" w:type="dxa"/>
            <w:vAlign w:val="bottom"/>
          </w:tcPr>
          <w:p>
            <w:pPr>
              <w:spacing w:after="0"/>
              <w:rPr>
                <w:sz w:val="21"/>
                <w:szCs w:val="21"/>
                <w:color w:val="auto"/>
              </w:rPr>
            </w:pPr>
          </w:p>
        </w:tc>
      </w:tr>
      <w:tr>
        <w:trPr>
          <w:trHeight w:val="250"/>
        </w:trPr>
        <w:tc>
          <w:tcPr>
            <w:tcW w:w="6600" w:type="dxa"/>
            <w:vAlign w:val="bottom"/>
            <w:shd w:val="clear" w:color="auto" w:fill="CFF0FC"/>
          </w:tcPr>
          <w:p>
            <w:pPr>
              <w:ind w:left="240"/>
              <w:spacing w:after="0"/>
              <w:rPr>
                <w:sz w:val="20"/>
                <w:szCs w:val="20"/>
                <w:color w:val="auto"/>
              </w:rPr>
            </w:pPr>
            <w:r>
              <w:rPr>
                <w:rFonts w:ascii="Arial" w:cs="Arial" w:eastAsia="Arial" w:hAnsi="Arial"/>
                <w:sz w:val="20"/>
                <w:szCs w:val="20"/>
                <w:color w:val="auto"/>
              </w:rPr>
              <w:t>2.10% due 2020</w:t>
            </w:r>
          </w:p>
        </w:tc>
        <w:tc>
          <w:tcPr>
            <w:tcW w:w="1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743,788</w:t>
            </w: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749,735</w:t>
            </w:r>
          </w:p>
        </w:tc>
        <w:tc>
          <w:tcPr>
            <w:tcW w:w="120" w:type="dxa"/>
            <w:vAlign w:val="bottom"/>
            <w:shd w:val="clear" w:color="auto" w:fill="CFF0FC"/>
          </w:tcPr>
          <w:p>
            <w:pPr>
              <w:spacing w:after="0"/>
              <w:rPr>
                <w:sz w:val="21"/>
                <w:szCs w:val="21"/>
                <w:color w:val="auto"/>
              </w:rPr>
            </w:pPr>
          </w:p>
        </w:tc>
      </w:tr>
      <w:tr>
        <w:trPr>
          <w:trHeight w:val="250"/>
        </w:trPr>
        <w:tc>
          <w:tcPr>
            <w:tcW w:w="6600" w:type="dxa"/>
            <w:vAlign w:val="bottom"/>
          </w:tcPr>
          <w:p>
            <w:pPr>
              <w:ind w:left="240"/>
              <w:spacing w:after="0"/>
              <w:rPr>
                <w:sz w:val="20"/>
                <w:szCs w:val="20"/>
                <w:color w:val="auto"/>
              </w:rPr>
            </w:pPr>
            <w:r>
              <w:rPr>
                <w:rFonts w:ascii="Arial" w:cs="Arial" w:eastAsia="Arial" w:hAnsi="Arial"/>
                <w:sz w:val="20"/>
                <w:szCs w:val="20"/>
                <w:color w:val="auto"/>
              </w:rPr>
              <w:t>2.05% due 2020</w:t>
            </w:r>
          </w:p>
        </w:tc>
        <w:tc>
          <w:tcPr>
            <w:tcW w:w="1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739,961</w:t>
            </w: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r>
      <w:tr>
        <w:trPr>
          <w:trHeight w:val="250"/>
        </w:trPr>
        <w:tc>
          <w:tcPr>
            <w:tcW w:w="6600" w:type="dxa"/>
            <w:vAlign w:val="bottom"/>
            <w:shd w:val="clear" w:color="auto" w:fill="CFF0FC"/>
          </w:tcPr>
          <w:p>
            <w:pPr>
              <w:ind w:left="240"/>
              <w:spacing w:after="0"/>
              <w:rPr>
                <w:sz w:val="20"/>
                <w:szCs w:val="20"/>
                <w:color w:val="auto"/>
              </w:rPr>
            </w:pPr>
            <w:r>
              <w:rPr>
                <w:rFonts w:ascii="Arial" w:cs="Arial" w:eastAsia="Arial" w:hAnsi="Arial"/>
                <w:sz w:val="20"/>
                <w:szCs w:val="20"/>
                <w:color w:val="auto"/>
              </w:rPr>
              <w:t>2.50% due 2022</w:t>
            </w:r>
          </w:p>
        </w:tc>
        <w:tc>
          <w:tcPr>
            <w:tcW w:w="1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638,872</w:t>
            </w: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r>
      <w:tr>
        <w:trPr>
          <w:trHeight w:val="250"/>
        </w:trPr>
        <w:tc>
          <w:tcPr>
            <w:tcW w:w="6600" w:type="dxa"/>
            <w:vAlign w:val="bottom"/>
          </w:tcPr>
          <w:p>
            <w:pPr>
              <w:ind w:left="240"/>
              <w:spacing w:after="0"/>
              <w:rPr>
                <w:sz w:val="20"/>
                <w:szCs w:val="20"/>
                <w:color w:val="auto"/>
              </w:rPr>
            </w:pPr>
            <w:r>
              <w:rPr>
                <w:rFonts w:ascii="Arial" w:cs="Arial" w:eastAsia="Arial" w:hAnsi="Arial"/>
                <w:sz w:val="20"/>
                <w:szCs w:val="20"/>
                <w:color w:val="auto"/>
              </w:rPr>
              <w:t>2.90% due 2025</w:t>
            </w:r>
          </w:p>
        </w:tc>
        <w:tc>
          <w:tcPr>
            <w:tcW w:w="1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749,404</w:t>
            </w: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749,320</w:t>
            </w:r>
          </w:p>
        </w:tc>
        <w:tc>
          <w:tcPr>
            <w:tcW w:w="120" w:type="dxa"/>
            <w:vAlign w:val="bottom"/>
          </w:tcPr>
          <w:p>
            <w:pPr>
              <w:spacing w:after="0"/>
              <w:rPr>
                <w:sz w:val="21"/>
                <w:szCs w:val="21"/>
                <w:color w:val="auto"/>
              </w:rPr>
            </w:pPr>
          </w:p>
        </w:tc>
      </w:tr>
      <w:tr>
        <w:trPr>
          <w:trHeight w:val="250"/>
        </w:trPr>
        <w:tc>
          <w:tcPr>
            <w:tcW w:w="6600" w:type="dxa"/>
            <w:vAlign w:val="bottom"/>
            <w:shd w:val="clear" w:color="auto" w:fill="CFF0FC"/>
          </w:tcPr>
          <w:p>
            <w:pPr>
              <w:spacing w:after="0"/>
              <w:rPr>
                <w:sz w:val="20"/>
                <w:szCs w:val="20"/>
                <w:color w:val="auto"/>
              </w:rPr>
            </w:pPr>
            <w:r>
              <w:rPr>
                <w:rFonts w:ascii="Arial" w:cs="Arial" w:eastAsia="Arial" w:hAnsi="Arial"/>
                <w:sz w:val="20"/>
                <w:szCs w:val="20"/>
                <w:color w:val="auto"/>
              </w:rPr>
              <w:t>Advances from FHLB:</w:t>
            </w:r>
          </w:p>
        </w:tc>
        <w:tc>
          <w:tcPr>
            <w:tcW w:w="1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50"/>
        </w:trPr>
        <w:tc>
          <w:tcPr>
            <w:tcW w:w="6600" w:type="dxa"/>
            <w:vAlign w:val="bottom"/>
          </w:tcPr>
          <w:p>
            <w:pPr>
              <w:ind w:left="240"/>
              <w:spacing w:after="0"/>
              <w:rPr>
                <w:sz w:val="20"/>
                <w:szCs w:val="20"/>
                <w:color w:val="auto"/>
              </w:rPr>
            </w:pPr>
            <w:r>
              <w:rPr>
                <w:rFonts w:ascii="Arial" w:cs="Arial" w:eastAsia="Arial" w:hAnsi="Arial"/>
                <w:sz w:val="20"/>
                <w:szCs w:val="20"/>
                <w:color w:val="auto"/>
              </w:rPr>
              <w:t>Fixed rates</w:t>
            </w:r>
          </w:p>
        </w:tc>
        <w:tc>
          <w:tcPr>
            <w:tcW w:w="1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576,876</w:t>
            </w: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1,154,737</w:t>
            </w:r>
          </w:p>
        </w:tc>
        <w:tc>
          <w:tcPr>
            <w:tcW w:w="120" w:type="dxa"/>
            <w:vAlign w:val="bottom"/>
          </w:tcPr>
          <w:p>
            <w:pPr>
              <w:spacing w:after="0"/>
              <w:rPr>
                <w:sz w:val="21"/>
                <w:szCs w:val="21"/>
                <w:color w:val="auto"/>
              </w:rPr>
            </w:pPr>
          </w:p>
        </w:tc>
      </w:tr>
      <w:tr>
        <w:trPr>
          <w:trHeight w:val="250"/>
        </w:trPr>
        <w:tc>
          <w:tcPr>
            <w:tcW w:w="6600" w:type="dxa"/>
            <w:vAlign w:val="bottom"/>
            <w:shd w:val="clear" w:color="auto" w:fill="CFF0FC"/>
          </w:tcPr>
          <w:p>
            <w:pPr>
              <w:spacing w:after="0"/>
              <w:rPr>
                <w:sz w:val="20"/>
                <w:szCs w:val="20"/>
                <w:color w:val="auto"/>
              </w:rPr>
            </w:pPr>
            <w:r>
              <w:rPr>
                <w:rFonts w:ascii="Arial" w:cs="Arial" w:eastAsia="Arial" w:hAnsi="Arial"/>
                <w:sz w:val="20"/>
                <w:szCs w:val="20"/>
                <w:color w:val="auto"/>
              </w:rPr>
              <w:t>Agreements to repurchase securities</w:t>
            </w:r>
          </w:p>
        </w:tc>
        <w:tc>
          <w:tcPr>
            <w:tcW w:w="1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421,771</w:t>
            </w: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1,084,694</w:t>
            </w:r>
          </w:p>
        </w:tc>
        <w:tc>
          <w:tcPr>
            <w:tcW w:w="120" w:type="dxa"/>
            <w:vAlign w:val="bottom"/>
            <w:shd w:val="clear" w:color="auto" w:fill="CFF0FC"/>
          </w:tcPr>
          <w:p>
            <w:pPr>
              <w:spacing w:after="0"/>
              <w:rPr>
                <w:sz w:val="21"/>
                <w:szCs w:val="21"/>
                <w:color w:val="auto"/>
              </w:rPr>
            </w:pPr>
          </w:p>
        </w:tc>
      </w:tr>
      <w:tr>
        <w:trPr>
          <w:trHeight w:val="236"/>
        </w:trPr>
        <w:tc>
          <w:tcPr>
            <w:tcW w:w="6600" w:type="dxa"/>
            <w:vAlign w:val="bottom"/>
          </w:tcPr>
          <w:p>
            <w:pPr>
              <w:spacing w:after="0"/>
              <w:rPr>
                <w:sz w:val="20"/>
                <w:szCs w:val="20"/>
                <w:color w:val="auto"/>
              </w:rPr>
            </w:pPr>
            <w:r>
              <w:rPr>
                <w:rFonts w:ascii="Arial" w:cs="Arial" w:eastAsia="Arial" w:hAnsi="Arial"/>
                <w:sz w:val="20"/>
                <w:szCs w:val="20"/>
                <w:color w:val="auto"/>
              </w:rPr>
              <w:t>Subordinated notes of Wilmington Trust Corporation (a wholly</w:t>
            </w:r>
          </w:p>
        </w:tc>
        <w:tc>
          <w:tcPr>
            <w:tcW w:w="1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50"/>
        </w:trPr>
        <w:tc>
          <w:tcPr>
            <w:tcW w:w="6600" w:type="dxa"/>
            <w:vAlign w:val="bottom"/>
          </w:tcPr>
          <w:p>
            <w:pPr>
              <w:ind w:left="160"/>
              <w:spacing w:after="0"/>
              <w:rPr>
                <w:sz w:val="20"/>
                <w:szCs w:val="20"/>
                <w:color w:val="auto"/>
              </w:rPr>
            </w:pPr>
            <w:r>
              <w:rPr>
                <w:rFonts w:ascii="Arial" w:cs="Arial" w:eastAsia="Arial" w:hAnsi="Arial"/>
                <w:sz w:val="20"/>
                <w:szCs w:val="20"/>
                <w:color w:val="auto"/>
              </w:rPr>
              <w:t>owned subsidiary of M&amp;T):</w:t>
            </w:r>
          </w:p>
        </w:tc>
        <w:tc>
          <w:tcPr>
            <w:tcW w:w="1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50"/>
        </w:trPr>
        <w:tc>
          <w:tcPr>
            <w:tcW w:w="6600" w:type="dxa"/>
            <w:vAlign w:val="bottom"/>
            <w:shd w:val="clear" w:color="auto" w:fill="CFF0FC"/>
          </w:tcPr>
          <w:p>
            <w:pPr>
              <w:ind w:left="240"/>
              <w:spacing w:after="0"/>
              <w:rPr>
                <w:sz w:val="20"/>
                <w:szCs w:val="20"/>
                <w:color w:val="auto"/>
              </w:rPr>
            </w:pPr>
            <w:r>
              <w:rPr>
                <w:rFonts w:ascii="Arial" w:cs="Arial" w:eastAsia="Arial" w:hAnsi="Arial"/>
                <w:sz w:val="20"/>
                <w:szCs w:val="20"/>
                <w:color w:val="auto"/>
              </w:rPr>
              <w:t>8.50% due 2018</w:t>
            </w:r>
          </w:p>
        </w:tc>
        <w:tc>
          <w:tcPr>
            <w:tcW w:w="1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200,000</w:t>
            </w: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207,651</w:t>
            </w:r>
          </w:p>
        </w:tc>
        <w:tc>
          <w:tcPr>
            <w:tcW w:w="120" w:type="dxa"/>
            <w:vAlign w:val="bottom"/>
            <w:shd w:val="clear" w:color="auto" w:fill="CFF0FC"/>
          </w:tcPr>
          <w:p>
            <w:pPr>
              <w:spacing w:after="0"/>
              <w:rPr>
                <w:sz w:val="21"/>
                <w:szCs w:val="21"/>
                <w:color w:val="auto"/>
              </w:rPr>
            </w:pPr>
          </w:p>
        </w:tc>
      </w:tr>
      <w:tr>
        <w:trPr>
          <w:trHeight w:val="250"/>
        </w:trPr>
        <w:tc>
          <w:tcPr>
            <w:tcW w:w="6600" w:type="dxa"/>
            <w:vAlign w:val="bottom"/>
          </w:tcPr>
          <w:p>
            <w:pPr>
              <w:spacing w:after="0"/>
              <w:rPr>
                <w:sz w:val="20"/>
                <w:szCs w:val="20"/>
                <w:color w:val="auto"/>
              </w:rPr>
            </w:pPr>
            <w:r>
              <w:rPr>
                <w:rFonts w:ascii="Arial" w:cs="Arial" w:eastAsia="Arial" w:hAnsi="Arial"/>
                <w:sz w:val="20"/>
                <w:szCs w:val="20"/>
                <w:color w:val="auto"/>
              </w:rPr>
              <w:t>Subordinated notes of M&amp;T Bank:</w:t>
            </w:r>
          </w:p>
        </w:tc>
        <w:tc>
          <w:tcPr>
            <w:tcW w:w="1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50"/>
        </w:trPr>
        <w:tc>
          <w:tcPr>
            <w:tcW w:w="6600" w:type="dxa"/>
            <w:vAlign w:val="bottom"/>
            <w:shd w:val="clear" w:color="auto" w:fill="CFF0FC"/>
          </w:tcPr>
          <w:p>
            <w:pPr>
              <w:ind w:left="240"/>
              <w:spacing w:after="0"/>
              <w:rPr>
                <w:sz w:val="20"/>
                <w:szCs w:val="20"/>
                <w:color w:val="auto"/>
              </w:rPr>
            </w:pPr>
            <w:r>
              <w:rPr>
                <w:rFonts w:ascii="Arial" w:cs="Arial" w:eastAsia="Arial" w:hAnsi="Arial"/>
                <w:sz w:val="20"/>
                <w:szCs w:val="20"/>
                <w:color w:val="auto"/>
              </w:rPr>
              <w:t>6.625% due 2017</w:t>
            </w:r>
          </w:p>
        </w:tc>
        <w:tc>
          <w:tcPr>
            <w:tcW w:w="1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20"/>
                <w:szCs w:val="20"/>
                <w:color w:val="auto"/>
              </w:rPr>
              <w:t>—</w:t>
            </w:r>
          </w:p>
        </w:tc>
        <w:tc>
          <w:tcPr>
            <w:tcW w:w="4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409,526</w:t>
            </w:r>
          </w:p>
        </w:tc>
        <w:tc>
          <w:tcPr>
            <w:tcW w:w="120" w:type="dxa"/>
            <w:vAlign w:val="bottom"/>
            <w:shd w:val="clear" w:color="auto" w:fill="CFF0FC"/>
          </w:tcPr>
          <w:p>
            <w:pPr>
              <w:spacing w:after="0"/>
              <w:rPr>
                <w:sz w:val="21"/>
                <w:szCs w:val="21"/>
                <w:color w:val="auto"/>
              </w:rPr>
            </w:pPr>
          </w:p>
        </w:tc>
      </w:tr>
      <w:tr>
        <w:trPr>
          <w:trHeight w:val="250"/>
        </w:trPr>
        <w:tc>
          <w:tcPr>
            <w:tcW w:w="6600" w:type="dxa"/>
            <w:vAlign w:val="bottom"/>
          </w:tcPr>
          <w:p>
            <w:pPr>
              <w:ind w:left="240"/>
              <w:spacing w:after="0"/>
              <w:rPr>
                <w:sz w:val="20"/>
                <w:szCs w:val="20"/>
                <w:color w:val="auto"/>
              </w:rPr>
            </w:pPr>
            <w:r>
              <w:rPr>
                <w:rFonts w:ascii="Arial" w:cs="Arial" w:eastAsia="Arial" w:hAnsi="Arial"/>
                <w:sz w:val="20"/>
                <w:szCs w:val="20"/>
                <w:color w:val="auto"/>
              </w:rPr>
              <w:t>5.585% due 2020, variable rate commenced 2015</w:t>
            </w:r>
          </w:p>
        </w:tc>
        <w:tc>
          <w:tcPr>
            <w:tcW w:w="1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409,361</w:t>
            </w: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409,361</w:t>
            </w:r>
          </w:p>
        </w:tc>
        <w:tc>
          <w:tcPr>
            <w:tcW w:w="120" w:type="dxa"/>
            <w:vAlign w:val="bottom"/>
          </w:tcPr>
          <w:p>
            <w:pPr>
              <w:spacing w:after="0"/>
              <w:rPr>
                <w:sz w:val="21"/>
                <w:szCs w:val="21"/>
                <w:color w:val="auto"/>
              </w:rPr>
            </w:pPr>
          </w:p>
        </w:tc>
      </w:tr>
      <w:tr>
        <w:trPr>
          <w:trHeight w:val="250"/>
        </w:trPr>
        <w:tc>
          <w:tcPr>
            <w:tcW w:w="6600" w:type="dxa"/>
            <w:vAlign w:val="bottom"/>
            <w:shd w:val="clear" w:color="auto" w:fill="CFF0FC"/>
          </w:tcPr>
          <w:p>
            <w:pPr>
              <w:ind w:left="240"/>
              <w:spacing w:after="0"/>
              <w:rPr>
                <w:sz w:val="20"/>
                <w:szCs w:val="20"/>
                <w:color w:val="auto"/>
              </w:rPr>
            </w:pPr>
            <w:r>
              <w:rPr>
                <w:rFonts w:ascii="Arial" w:cs="Arial" w:eastAsia="Arial" w:hAnsi="Arial"/>
                <w:sz w:val="20"/>
                <w:szCs w:val="20"/>
                <w:color w:val="auto"/>
              </w:rPr>
              <w:t>5.629% due 2021, variable rate commenced 2016</w:t>
            </w:r>
          </w:p>
        </w:tc>
        <w:tc>
          <w:tcPr>
            <w:tcW w:w="1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500,000</w:t>
            </w: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500,000</w:t>
            </w:r>
          </w:p>
        </w:tc>
        <w:tc>
          <w:tcPr>
            <w:tcW w:w="120" w:type="dxa"/>
            <w:vAlign w:val="bottom"/>
            <w:shd w:val="clear" w:color="auto" w:fill="CFF0FC"/>
          </w:tcPr>
          <w:p>
            <w:pPr>
              <w:spacing w:after="0"/>
              <w:rPr>
                <w:sz w:val="21"/>
                <w:szCs w:val="21"/>
                <w:color w:val="auto"/>
              </w:rPr>
            </w:pPr>
          </w:p>
        </w:tc>
      </w:tr>
      <w:tr>
        <w:trPr>
          <w:trHeight w:val="250"/>
        </w:trPr>
        <w:tc>
          <w:tcPr>
            <w:tcW w:w="6600" w:type="dxa"/>
            <w:vAlign w:val="bottom"/>
          </w:tcPr>
          <w:p>
            <w:pPr>
              <w:ind w:left="240"/>
              <w:spacing w:after="0"/>
              <w:rPr>
                <w:sz w:val="20"/>
                <w:szCs w:val="20"/>
                <w:color w:val="auto"/>
              </w:rPr>
            </w:pPr>
            <w:r>
              <w:rPr>
                <w:rFonts w:ascii="Arial" w:cs="Arial" w:eastAsia="Arial" w:hAnsi="Arial"/>
                <w:sz w:val="20"/>
                <w:szCs w:val="20"/>
                <w:color w:val="auto"/>
              </w:rPr>
              <w:t>3.40% due 2027</w:t>
            </w:r>
          </w:p>
        </w:tc>
        <w:tc>
          <w:tcPr>
            <w:tcW w:w="1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491,176</w:t>
            </w: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r>
      <w:tr>
        <w:trPr>
          <w:trHeight w:val="236"/>
        </w:trPr>
        <w:tc>
          <w:tcPr>
            <w:tcW w:w="6600" w:type="dxa"/>
            <w:vAlign w:val="bottom"/>
            <w:shd w:val="clear" w:color="auto" w:fill="CFF0FC"/>
          </w:tcPr>
          <w:p>
            <w:pPr>
              <w:spacing w:after="0"/>
              <w:rPr>
                <w:sz w:val="20"/>
                <w:szCs w:val="20"/>
                <w:color w:val="auto"/>
              </w:rPr>
            </w:pPr>
            <w:r>
              <w:rPr>
                <w:rFonts w:ascii="Arial" w:cs="Arial" w:eastAsia="Arial" w:hAnsi="Arial"/>
                <w:sz w:val="20"/>
                <w:szCs w:val="20"/>
                <w:color w:val="auto"/>
              </w:rPr>
              <w:t>Junior subordinated debentures of M&amp;T associated with preferred</w:t>
            </w:r>
          </w:p>
        </w:tc>
        <w:tc>
          <w:tcPr>
            <w:tcW w:w="12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50"/>
        </w:trPr>
        <w:tc>
          <w:tcPr>
            <w:tcW w:w="6600" w:type="dxa"/>
            <w:vAlign w:val="bottom"/>
            <w:shd w:val="clear" w:color="auto" w:fill="CFF0FC"/>
          </w:tcPr>
          <w:p>
            <w:pPr>
              <w:ind w:left="160"/>
              <w:spacing w:after="0"/>
              <w:rPr>
                <w:sz w:val="20"/>
                <w:szCs w:val="20"/>
                <w:color w:val="auto"/>
              </w:rPr>
            </w:pPr>
            <w:r>
              <w:rPr>
                <w:rFonts w:ascii="Arial" w:cs="Arial" w:eastAsia="Arial" w:hAnsi="Arial"/>
                <w:sz w:val="20"/>
                <w:szCs w:val="20"/>
                <w:color w:val="auto"/>
              </w:rPr>
              <w:t>capital securities:</w:t>
            </w:r>
          </w:p>
        </w:tc>
        <w:tc>
          <w:tcPr>
            <w:tcW w:w="1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50"/>
        </w:trPr>
        <w:tc>
          <w:tcPr>
            <w:tcW w:w="6600" w:type="dxa"/>
            <w:vAlign w:val="bottom"/>
          </w:tcPr>
          <w:p>
            <w:pPr>
              <w:ind w:left="240"/>
              <w:spacing w:after="0"/>
              <w:rPr>
                <w:sz w:val="20"/>
                <w:szCs w:val="20"/>
                <w:color w:val="auto"/>
              </w:rPr>
            </w:pPr>
            <w:r>
              <w:rPr>
                <w:rFonts w:ascii="Arial" w:cs="Arial" w:eastAsia="Arial" w:hAnsi="Arial"/>
                <w:sz w:val="20"/>
                <w:szCs w:val="20"/>
                <w:color w:val="auto"/>
              </w:rPr>
              <w:t>Fixed rates:</w:t>
            </w:r>
          </w:p>
        </w:tc>
        <w:tc>
          <w:tcPr>
            <w:tcW w:w="1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50"/>
        </w:trPr>
        <w:tc>
          <w:tcPr>
            <w:tcW w:w="6600" w:type="dxa"/>
            <w:vAlign w:val="bottom"/>
            <w:shd w:val="clear" w:color="auto" w:fill="CFF0FC"/>
          </w:tcPr>
          <w:p>
            <w:pPr>
              <w:ind w:left="480"/>
              <w:spacing w:after="0"/>
              <w:rPr>
                <w:sz w:val="20"/>
                <w:szCs w:val="20"/>
                <w:color w:val="auto"/>
              </w:rPr>
            </w:pPr>
            <w:r>
              <w:rPr>
                <w:rFonts w:ascii="Arial" w:cs="Arial" w:eastAsia="Arial" w:hAnsi="Arial"/>
                <w:sz w:val="20"/>
                <w:szCs w:val="20"/>
                <w:color w:val="auto"/>
              </w:rPr>
              <w:t>BSB Capital Trust I — 8.125%, due 2028</w:t>
            </w:r>
          </w:p>
        </w:tc>
        <w:tc>
          <w:tcPr>
            <w:tcW w:w="1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15,682</w:t>
            </w: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15,659</w:t>
            </w:r>
          </w:p>
        </w:tc>
        <w:tc>
          <w:tcPr>
            <w:tcW w:w="120" w:type="dxa"/>
            <w:vAlign w:val="bottom"/>
            <w:shd w:val="clear" w:color="auto" w:fill="CFF0FC"/>
          </w:tcPr>
          <w:p>
            <w:pPr>
              <w:spacing w:after="0"/>
              <w:rPr>
                <w:sz w:val="21"/>
                <w:szCs w:val="21"/>
                <w:color w:val="auto"/>
              </w:rPr>
            </w:pPr>
          </w:p>
        </w:tc>
      </w:tr>
      <w:tr>
        <w:trPr>
          <w:trHeight w:val="250"/>
        </w:trPr>
        <w:tc>
          <w:tcPr>
            <w:tcW w:w="6600" w:type="dxa"/>
            <w:vAlign w:val="bottom"/>
          </w:tcPr>
          <w:p>
            <w:pPr>
              <w:ind w:left="480"/>
              <w:spacing w:after="0"/>
              <w:rPr>
                <w:sz w:val="20"/>
                <w:szCs w:val="20"/>
                <w:color w:val="auto"/>
              </w:rPr>
            </w:pPr>
            <w:r>
              <w:rPr>
                <w:rFonts w:ascii="Arial" w:cs="Arial" w:eastAsia="Arial" w:hAnsi="Arial"/>
                <w:sz w:val="20"/>
                <w:szCs w:val="20"/>
                <w:color w:val="auto"/>
              </w:rPr>
              <w:t>Provident Trust I — 8.29%, due 2028</w:t>
            </w:r>
          </w:p>
        </w:tc>
        <w:tc>
          <w:tcPr>
            <w:tcW w:w="1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26,847</w:t>
            </w: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26,293</w:t>
            </w:r>
          </w:p>
        </w:tc>
        <w:tc>
          <w:tcPr>
            <w:tcW w:w="120" w:type="dxa"/>
            <w:vAlign w:val="bottom"/>
          </w:tcPr>
          <w:p>
            <w:pPr>
              <w:spacing w:after="0"/>
              <w:rPr>
                <w:sz w:val="21"/>
                <w:szCs w:val="21"/>
                <w:color w:val="auto"/>
              </w:rPr>
            </w:pPr>
          </w:p>
        </w:tc>
      </w:tr>
      <w:tr>
        <w:trPr>
          <w:trHeight w:val="250"/>
        </w:trPr>
        <w:tc>
          <w:tcPr>
            <w:tcW w:w="6600" w:type="dxa"/>
            <w:vAlign w:val="bottom"/>
            <w:shd w:val="clear" w:color="auto" w:fill="CFF0FC"/>
          </w:tcPr>
          <w:p>
            <w:pPr>
              <w:ind w:left="480"/>
              <w:spacing w:after="0"/>
              <w:rPr>
                <w:sz w:val="20"/>
                <w:szCs w:val="20"/>
                <w:color w:val="auto"/>
              </w:rPr>
            </w:pPr>
            <w:r>
              <w:rPr>
                <w:rFonts w:ascii="Arial" w:cs="Arial" w:eastAsia="Arial" w:hAnsi="Arial"/>
                <w:sz w:val="20"/>
                <w:szCs w:val="20"/>
                <w:color w:val="auto"/>
              </w:rPr>
              <w:t>Southern Financial Statutory Trust I — 10.60%, due 2030</w:t>
            </w:r>
          </w:p>
        </w:tc>
        <w:tc>
          <w:tcPr>
            <w:tcW w:w="1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6,664</w:t>
            </w: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6,620</w:t>
            </w:r>
          </w:p>
        </w:tc>
        <w:tc>
          <w:tcPr>
            <w:tcW w:w="120" w:type="dxa"/>
            <w:vAlign w:val="bottom"/>
            <w:shd w:val="clear" w:color="auto" w:fill="CFF0FC"/>
          </w:tcPr>
          <w:p>
            <w:pPr>
              <w:spacing w:after="0"/>
              <w:rPr>
                <w:sz w:val="21"/>
                <w:szCs w:val="21"/>
                <w:color w:val="auto"/>
              </w:rPr>
            </w:pPr>
          </w:p>
        </w:tc>
      </w:tr>
      <w:tr>
        <w:trPr>
          <w:trHeight w:val="250"/>
        </w:trPr>
        <w:tc>
          <w:tcPr>
            <w:tcW w:w="6600" w:type="dxa"/>
            <w:vAlign w:val="bottom"/>
          </w:tcPr>
          <w:p>
            <w:pPr>
              <w:ind w:left="240"/>
              <w:spacing w:after="0"/>
              <w:rPr>
                <w:sz w:val="20"/>
                <w:szCs w:val="20"/>
                <w:color w:val="auto"/>
              </w:rPr>
            </w:pPr>
            <w:r>
              <w:rPr>
                <w:rFonts w:ascii="Arial" w:cs="Arial" w:eastAsia="Arial" w:hAnsi="Arial"/>
                <w:sz w:val="20"/>
                <w:szCs w:val="20"/>
                <w:color w:val="auto"/>
              </w:rPr>
              <w:t>Variable rates:</w:t>
            </w:r>
          </w:p>
        </w:tc>
        <w:tc>
          <w:tcPr>
            <w:tcW w:w="1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50"/>
        </w:trPr>
        <w:tc>
          <w:tcPr>
            <w:tcW w:w="6600" w:type="dxa"/>
            <w:vAlign w:val="bottom"/>
            <w:shd w:val="clear" w:color="auto" w:fill="CFF0FC"/>
          </w:tcPr>
          <w:p>
            <w:pPr>
              <w:ind w:left="480"/>
              <w:spacing w:after="0"/>
              <w:rPr>
                <w:sz w:val="20"/>
                <w:szCs w:val="20"/>
                <w:color w:val="auto"/>
              </w:rPr>
            </w:pPr>
            <w:r>
              <w:rPr>
                <w:rFonts w:ascii="Arial" w:cs="Arial" w:eastAsia="Arial" w:hAnsi="Arial"/>
                <w:sz w:val="20"/>
                <w:szCs w:val="20"/>
                <w:color w:val="auto"/>
              </w:rPr>
              <w:t>First Maryland Capital I — due 2027</w:t>
            </w:r>
          </w:p>
        </w:tc>
        <w:tc>
          <w:tcPr>
            <w:tcW w:w="1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146,794</w:t>
            </w: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146,256</w:t>
            </w:r>
          </w:p>
        </w:tc>
        <w:tc>
          <w:tcPr>
            <w:tcW w:w="120" w:type="dxa"/>
            <w:vAlign w:val="bottom"/>
            <w:shd w:val="clear" w:color="auto" w:fill="CFF0FC"/>
          </w:tcPr>
          <w:p>
            <w:pPr>
              <w:spacing w:after="0"/>
              <w:rPr>
                <w:sz w:val="21"/>
                <w:szCs w:val="21"/>
                <w:color w:val="auto"/>
              </w:rPr>
            </w:pPr>
          </w:p>
        </w:tc>
      </w:tr>
      <w:tr>
        <w:trPr>
          <w:trHeight w:val="250"/>
        </w:trPr>
        <w:tc>
          <w:tcPr>
            <w:tcW w:w="6600" w:type="dxa"/>
            <w:vAlign w:val="bottom"/>
          </w:tcPr>
          <w:p>
            <w:pPr>
              <w:ind w:left="480"/>
              <w:spacing w:after="0"/>
              <w:rPr>
                <w:sz w:val="20"/>
                <w:szCs w:val="20"/>
                <w:color w:val="auto"/>
              </w:rPr>
            </w:pPr>
            <w:r>
              <w:rPr>
                <w:rFonts w:ascii="Arial" w:cs="Arial" w:eastAsia="Arial" w:hAnsi="Arial"/>
                <w:sz w:val="20"/>
                <w:szCs w:val="20"/>
                <w:color w:val="auto"/>
              </w:rPr>
              <w:t>First Maryland Capital II — due 2027</w:t>
            </w:r>
          </w:p>
        </w:tc>
        <w:tc>
          <w:tcPr>
            <w:tcW w:w="1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148,617</w:t>
            </w: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147,954</w:t>
            </w:r>
          </w:p>
        </w:tc>
        <w:tc>
          <w:tcPr>
            <w:tcW w:w="120" w:type="dxa"/>
            <w:vAlign w:val="bottom"/>
          </w:tcPr>
          <w:p>
            <w:pPr>
              <w:spacing w:after="0"/>
              <w:rPr>
                <w:sz w:val="21"/>
                <w:szCs w:val="21"/>
                <w:color w:val="auto"/>
              </w:rPr>
            </w:pPr>
          </w:p>
        </w:tc>
      </w:tr>
      <w:tr>
        <w:trPr>
          <w:trHeight w:val="250"/>
        </w:trPr>
        <w:tc>
          <w:tcPr>
            <w:tcW w:w="6600" w:type="dxa"/>
            <w:vAlign w:val="bottom"/>
            <w:shd w:val="clear" w:color="auto" w:fill="CFF0FC"/>
          </w:tcPr>
          <w:p>
            <w:pPr>
              <w:ind w:left="480"/>
              <w:spacing w:after="0"/>
              <w:rPr>
                <w:sz w:val="20"/>
                <w:szCs w:val="20"/>
                <w:color w:val="auto"/>
              </w:rPr>
            </w:pPr>
            <w:r>
              <w:rPr>
                <w:rFonts w:ascii="Arial" w:cs="Arial" w:eastAsia="Arial" w:hAnsi="Arial"/>
                <w:sz w:val="20"/>
                <w:szCs w:val="20"/>
                <w:color w:val="auto"/>
              </w:rPr>
              <w:t>Allfirst Asset Trust — due 2029</w:t>
            </w:r>
          </w:p>
        </w:tc>
        <w:tc>
          <w:tcPr>
            <w:tcW w:w="1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96,640</w:t>
            </w: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96,494</w:t>
            </w:r>
          </w:p>
        </w:tc>
        <w:tc>
          <w:tcPr>
            <w:tcW w:w="120" w:type="dxa"/>
            <w:vAlign w:val="bottom"/>
            <w:shd w:val="clear" w:color="auto" w:fill="CFF0FC"/>
          </w:tcPr>
          <w:p>
            <w:pPr>
              <w:spacing w:after="0"/>
              <w:rPr>
                <w:sz w:val="21"/>
                <w:szCs w:val="21"/>
                <w:color w:val="auto"/>
              </w:rPr>
            </w:pPr>
          </w:p>
        </w:tc>
      </w:tr>
      <w:tr>
        <w:trPr>
          <w:trHeight w:val="250"/>
        </w:trPr>
        <w:tc>
          <w:tcPr>
            <w:tcW w:w="6600" w:type="dxa"/>
            <w:vAlign w:val="bottom"/>
          </w:tcPr>
          <w:p>
            <w:pPr>
              <w:ind w:left="480"/>
              <w:spacing w:after="0"/>
              <w:rPr>
                <w:sz w:val="20"/>
                <w:szCs w:val="20"/>
                <w:color w:val="auto"/>
              </w:rPr>
            </w:pPr>
            <w:r>
              <w:rPr>
                <w:rFonts w:ascii="Arial" w:cs="Arial" w:eastAsia="Arial" w:hAnsi="Arial"/>
                <w:sz w:val="20"/>
                <w:szCs w:val="20"/>
                <w:color w:val="auto"/>
              </w:rPr>
              <w:t>BSB Capital Trust III — due 2033</w:t>
            </w:r>
          </w:p>
        </w:tc>
        <w:tc>
          <w:tcPr>
            <w:tcW w:w="1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15,464</w:t>
            </w: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15,464</w:t>
            </w:r>
          </w:p>
        </w:tc>
        <w:tc>
          <w:tcPr>
            <w:tcW w:w="120" w:type="dxa"/>
            <w:vAlign w:val="bottom"/>
          </w:tcPr>
          <w:p>
            <w:pPr>
              <w:spacing w:after="0"/>
              <w:rPr>
                <w:sz w:val="21"/>
                <w:szCs w:val="21"/>
                <w:color w:val="auto"/>
              </w:rPr>
            </w:pPr>
          </w:p>
        </w:tc>
      </w:tr>
      <w:tr>
        <w:trPr>
          <w:trHeight w:val="250"/>
        </w:trPr>
        <w:tc>
          <w:tcPr>
            <w:tcW w:w="6600" w:type="dxa"/>
            <w:vAlign w:val="bottom"/>
            <w:shd w:val="clear" w:color="auto" w:fill="CFF0FC"/>
          </w:tcPr>
          <w:p>
            <w:pPr>
              <w:ind w:left="480"/>
              <w:spacing w:after="0"/>
              <w:rPr>
                <w:sz w:val="20"/>
                <w:szCs w:val="20"/>
                <w:color w:val="auto"/>
              </w:rPr>
            </w:pPr>
            <w:r>
              <w:rPr>
                <w:rFonts w:ascii="Arial" w:cs="Arial" w:eastAsia="Arial" w:hAnsi="Arial"/>
                <w:sz w:val="20"/>
                <w:szCs w:val="20"/>
                <w:color w:val="auto"/>
              </w:rPr>
              <w:t>Provident Statutory Trust III — due 2033</w:t>
            </w:r>
          </w:p>
        </w:tc>
        <w:tc>
          <w:tcPr>
            <w:tcW w:w="1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54,466</w:t>
            </w: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53,834</w:t>
            </w:r>
          </w:p>
        </w:tc>
        <w:tc>
          <w:tcPr>
            <w:tcW w:w="120" w:type="dxa"/>
            <w:vAlign w:val="bottom"/>
            <w:shd w:val="clear" w:color="auto" w:fill="CFF0FC"/>
          </w:tcPr>
          <w:p>
            <w:pPr>
              <w:spacing w:after="0"/>
              <w:rPr>
                <w:sz w:val="21"/>
                <w:szCs w:val="21"/>
                <w:color w:val="auto"/>
              </w:rPr>
            </w:pPr>
          </w:p>
        </w:tc>
      </w:tr>
      <w:tr>
        <w:trPr>
          <w:trHeight w:val="250"/>
        </w:trPr>
        <w:tc>
          <w:tcPr>
            <w:tcW w:w="6600" w:type="dxa"/>
            <w:vAlign w:val="bottom"/>
          </w:tcPr>
          <w:p>
            <w:pPr>
              <w:ind w:left="480"/>
              <w:spacing w:after="0"/>
              <w:rPr>
                <w:sz w:val="20"/>
                <w:szCs w:val="20"/>
                <w:color w:val="auto"/>
              </w:rPr>
            </w:pPr>
            <w:r>
              <w:rPr>
                <w:rFonts w:ascii="Arial" w:cs="Arial" w:eastAsia="Arial" w:hAnsi="Arial"/>
                <w:sz w:val="20"/>
                <w:szCs w:val="20"/>
                <w:color w:val="auto"/>
              </w:rPr>
              <w:t>Southern Financial Capital Trust III — due 2033</w:t>
            </w:r>
          </w:p>
        </w:tc>
        <w:tc>
          <w:tcPr>
            <w:tcW w:w="1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8,051</w:t>
            </w: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7,968</w:t>
            </w:r>
          </w:p>
        </w:tc>
        <w:tc>
          <w:tcPr>
            <w:tcW w:w="120" w:type="dxa"/>
            <w:vAlign w:val="bottom"/>
          </w:tcPr>
          <w:p>
            <w:pPr>
              <w:spacing w:after="0"/>
              <w:rPr>
                <w:sz w:val="21"/>
                <w:szCs w:val="21"/>
                <w:color w:val="auto"/>
              </w:rPr>
            </w:pPr>
          </w:p>
        </w:tc>
      </w:tr>
      <w:tr>
        <w:trPr>
          <w:trHeight w:val="250"/>
        </w:trPr>
        <w:tc>
          <w:tcPr>
            <w:tcW w:w="6600" w:type="dxa"/>
            <w:vAlign w:val="bottom"/>
            <w:shd w:val="clear" w:color="auto" w:fill="CFF0FC"/>
          </w:tcPr>
          <w:p>
            <w:pPr>
              <w:spacing w:after="0"/>
              <w:rPr>
                <w:sz w:val="20"/>
                <w:szCs w:val="20"/>
                <w:color w:val="auto"/>
              </w:rPr>
            </w:pPr>
            <w:r>
              <w:rPr>
                <w:rFonts w:ascii="Arial" w:cs="Arial" w:eastAsia="Arial" w:hAnsi="Arial"/>
                <w:sz w:val="20"/>
                <w:szCs w:val="20"/>
                <w:color w:val="auto"/>
              </w:rPr>
              <w:t>Other</w:t>
            </w:r>
          </w:p>
        </w:tc>
        <w:tc>
          <w:tcPr>
            <w:tcW w:w="1260" w:type="dxa"/>
            <w:vAlign w:val="bottom"/>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9,635</w:t>
            </w:r>
          </w:p>
        </w:tc>
        <w:tc>
          <w:tcPr>
            <w:tcW w:w="280" w:type="dxa"/>
            <w:vAlign w:val="bottom"/>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12,010</w:t>
            </w:r>
          </w:p>
        </w:tc>
        <w:tc>
          <w:tcPr>
            <w:tcW w:w="120" w:type="dxa"/>
            <w:vAlign w:val="bottom"/>
            <w:shd w:val="clear" w:color="auto" w:fill="CFF0FC"/>
          </w:tcPr>
          <w:p>
            <w:pPr>
              <w:spacing w:after="0"/>
              <w:rPr>
                <w:sz w:val="21"/>
                <w:szCs w:val="21"/>
                <w:color w:val="auto"/>
              </w:rPr>
            </w:pPr>
          </w:p>
        </w:tc>
      </w:tr>
      <w:tr>
        <w:trPr>
          <w:trHeight w:val="243"/>
        </w:trPr>
        <w:tc>
          <w:tcPr>
            <w:tcW w:w="66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20"/>
                <w:szCs w:val="20"/>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8,141,430</w:t>
            </w:r>
          </w:p>
        </w:tc>
        <w:tc>
          <w:tcPr>
            <w:tcW w:w="280" w:type="dxa"/>
            <w:vAlign w:val="bottom"/>
          </w:tcPr>
          <w:p>
            <w:pPr>
              <w:spacing w:after="0"/>
              <w:rPr>
                <w:sz w:val="21"/>
                <w:szCs w:val="21"/>
                <w:color w:val="auto"/>
              </w:rPr>
            </w:pP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20"/>
                <w:szCs w:val="20"/>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9,493,835</w:t>
            </w:r>
          </w:p>
        </w:tc>
        <w:tc>
          <w:tcPr>
            <w:tcW w:w="120" w:type="dxa"/>
            <w:vAlign w:val="bottom"/>
          </w:tcPr>
          <w:p>
            <w:pPr>
              <w:spacing w:after="0"/>
              <w:rPr>
                <w:sz w:val="21"/>
                <w:szCs w:val="21"/>
                <w:color w:val="auto"/>
              </w:rPr>
            </w:pPr>
          </w:p>
        </w:tc>
      </w:tr>
      <w:tr>
        <w:trPr>
          <w:trHeight w:val="20"/>
        </w:trPr>
        <w:tc>
          <w:tcPr>
            <w:tcW w:w="66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598"/>
        <w:spacing w:after="0" w:line="260" w:lineRule="auto"/>
        <w:rPr>
          <w:sz w:val="20"/>
          <w:szCs w:val="20"/>
          <w:color w:val="auto"/>
        </w:rPr>
      </w:pPr>
      <w:r>
        <w:rPr>
          <w:rFonts w:ascii="Arial" w:cs="Arial" w:eastAsia="Arial" w:hAnsi="Arial"/>
          <w:sz w:val="19"/>
          <w:szCs w:val="19"/>
          <w:color w:val="auto"/>
        </w:rPr>
        <w:t>The variable rate senior notes of M&amp;T Bank pay interest quarterly at rates that are indexed to the three-month LIBOR. The contractual interest rates for those notes were 2.05% at December 31, 2017 and ranged from 1.18% to 1.26% at December 31, 2016. The weighted-average contractual interest rate was 1.22% at December 31, 2016.</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42" w:name="page143"/>
    <w:bookmarkEnd w:id="142"/>
    <w:p>
      <w:pPr>
        <w:ind w:right="40" w:firstLine="598"/>
        <w:spacing w:after="0" w:line="249" w:lineRule="auto"/>
        <w:rPr>
          <w:sz w:val="20"/>
          <w:szCs w:val="20"/>
          <w:color w:val="auto"/>
        </w:rPr>
      </w:pPr>
      <w:r>
        <w:rPr>
          <w:rFonts w:ascii="Arial" w:cs="Arial" w:eastAsia="Arial" w:hAnsi="Arial"/>
          <w:sz w:val="19"/>
          <w:szCs w:val="19"/>
          <w:color w:val="auto"/>
        </w:rPr>
        <w:t>Long-term fixed rate advances from the FHLB had contractual interest rates ranging from 1.97% to 5.98% at December 31, 2017 and from 1.17% to 7.32% at December 31, 2016. The weighted-average contractual interest rate was 2.06% at December 31, 2017 and 1.65% at December 31, 2016. Advances from the FHLB mature at various dates through 2035 and are secured by residential real estate loans, commercial real estate loans and investment securities.</w:t>
      </w:r>
    </w:p>
    <w:p>
      <w:pPr>
        <w:spacing w:after="0" w:line="3" w:lineRule="exact"/>
        <w:rPr>
          <w:sz w:val="20"/>
          <w:szCs w:val="20"/>
          <w:color w:val="auto"/>
        </w:rPr>
      </w:pPr>
    </w:p>
    <w:p>
      <w:pPr>
        <w:ind w:firstLine="598"/>
        <w:spacing w:after="0" w:line="245" w:lineRule="auto"/>
        <w:rPr>
          <w:sz w:val="20"/>
          <w:szCs w:val="20"/>
          <w:color w:val="auto"/>
        </w:rPr>
      </w:pPr>
      <w:r>
        <w:rPr>
          <w:rFonts w:ascii="Arial" w:cs="Arial" w:eastAsia="Arial" w:hAnsi="Arial"/>
          <w:sz w:val="19"/>
          <w:szCs w:val="19"/>
          <w:color w:val="auto"/>
        </w:rPr>
        <w:t>Long-term agreements to repurchase securities had contractual interest rates that ranged from 4.09% to 4.58% at December 31, 2017 and from 3.65% to 4.58% at December 31, 2016. The weighted-average contractual interest rates payable were 4.31% at December 31, 2017 and 4.05% at December 31, 2016. The agreements reflect various repurchase dates through 2020, however, the contractual maturities of the underlying investment securities extend beyond such repurchase dates. The agreements are subject to legally enforceable master netting arrangements, however, the Company has not offset any amounts related to these agreements in its consolidated financial statements. The Company posted collateral consisting primarily of government guaranteed mortgage-backed securities of $442 million and $1.1 billion at December 31, 2017 and 2016, respectively.</w:t>
      </w:r>
    </w:p>
    <w:p>
      <w:pPr>
        <w:spacing w:after="0" w:line="2" w:lineRule="exact"/>
        <w:rPr>
          <w:sz w:val="20"/>
          <w:szCs w:val="20"/>
          <w:color w:val="auto"/>
        </w:rPr>
      </w:pPr>
    </w:p>
    <w:p>
      <w:pPr>
        <w:ind w:right="60" w:firstLine="598"/>
        <w:spacing w:after="0" w:line="245" w:lineRule="auto"/>
        <w:rPr>
          <w:sz w:val="20"/>
          <w:szCs w:val="20"/>
          <w:color w:val="auto"/>
        </w:rPr>
      </w:pPr>
      <w:r>
        <w:rPr>
          <w:rFonts w:ascii="Arial" w:cs="Arial" w:eastAsia="Arial" w:hAnsi="Arial"/>
          <w:sz w:val="19"/>
          <w:szCs w:val="19"/>
          <w:color w:val="auto"/>
        </w:rPr>
        <w:t>The subordinated notes of M&amp;T Bank and Wilmington Trust Corporation are unsecured and are subordinate to the claims of other creditors of those entities. The subordinated notes of M&amp;T Bank that mature in 2020 converted to variable rate notes in December 2015. These notes now pay interest monthly at a rate that is indexed to the one-month LIBOR. The contractual interest rates were 2.78% and 1.97% at December 31, 2017 and 2016, respectively. The subordinated notes of M&amp;T Bank that mature in 2021 converted to variable rate notes in December 2016. Those notes now pay interest quarterly at a rate that is indexed to the three-month LIBOR. The contractual interest rate was 2.12% at December 31, 2017 and 1.57% at December 31, 2016.</w:t>
      </w:r>
    </w:p>
    <w:p>
      <w:pPr>
        <w:spacing w:after="0" w:line="2" w:lineRule="exact"/>
        <w:rPr>
          <w:sz w:val="20"/>
          <w:szCs w:val="20"/>
          <w:color w:val="auto"/>
        </w:rPr>
      </w:pPr>
    </w:p>
    <w:p>
      <w:pPr>
        <w:ind w:right="80" w:firstLine="598"/>
        <w:spacing w:after="0" w:line="274" w:lineRule="auto"/>
        <w:rPr>
          <w:sz w:val="20"/>
          <w:szCs w:val="20"/>
          <w:color w:val="auto"/>
        </w:rPr>
      </w:pPr>
      <w:r>
        <w:rPr>
          <w:rFonts w:ascii="Arial" w:cs="Arial" w:eastAsia="Arial" w:hAnsi="Arial"/>
          <w:sz w:val="17"/>
          <w:szCs w:val="17"/>
          <w:color w:val="auto"/>
        </w:rPr>
        <w:t>The fixed and variable rate junior subordinated deferrable interest debentures of M&amp;T (“Junior Subordinated Debentures”) are held by various trusts and were issued in connection with the issuance by those trusts of preferred capital securities (“Capital Securities”) and common securities (“Common Securities”). The proceeds from the issuances of the Capital Securities and the Common Securities were used by the trusts to purchase the Junior Subordinated Debentures. The Common Securities of each of those trusts are wholly owned by M&amp;T and are the only class of each trust’s securities possessing general voting powers. The Capital Securities represent preferred undivided interests in the assets of the corresponding trust. Under the Federal Reserve Board’s risk-based capital guidelines, the Capital Securities qualify for inclusion in Tier 2 regulatory capital. The variable rate Junior Subordinated Debentures pay interest quarterly at rates that are indexed to the three-month LIBOR. Those rates ranged from 2.23% to 4.71% at December 31, 2017 and from 1.74% to 4.23% at December 31, 2016. The weighted-average variable rates payable on those Junior Subordinated Debentures were 2.83% at December 31, 2017 and 2.33% at December 31, 2016.</w:t>
      </w:r>
    </w:p>
    <w:p>
      <w:pPr>
        <w:spacing w:after="0" w:line="2" w:lineRule="exact"/>
        <w:rPr>
          <w:sz w:val="20"/>
          <w:szCs w:val="20"/>
          <w:color w:val="auto"/>
        </w:rPr>
      </w:pPr>
    </w:p>
    <w:p>
      <w:pPr>
        <w:ind w:right="60" w:firstLine="598"/>
        <w:spacing w:after="0" w:line="245" w:lineRule="auto"/>
        <w:rPr>
          <w:sz w:val="20"/>
          <w:szCs w:val="20"/>
          <w:color w:val="auto"/>
        </w:rPr>
      </w:pPr>
      <w:r>
        <w:rPr>
          <w:rFonts w:ascii="Arial" w:cs="Arial" w:eastAsia="Arial" w:hAnsi="Arial"/>
          <w:sz w:val="19"/>
          <w:szCs w:val="19"/>
          <w:color w:val="auto"/>
        </w:rPr>
        <w:t>Holders of the Capital Securities receive preferential cumulative cash distributions unless M&amp;T exercises its right to extend the payment of interest on the Junior Subordinated Debentures as allowed by the terms of each such debenture, in which case payment of distributions on the respective Capital Securities will be deferred for comparable periods. During an extended interest period, M&amp;T may not pay dividends or distributions on, or repurchase, redeem or acquire any shares of its capital stock. In general, the agreements governing the Capital Securities, in the aggregate, provide a full, irrevocable and unconditional guarantee by M&amp;T of the payment of distributions on, the redemption of, and any liquidation distribution with respect to the Capital Securities. The obligations under such guarantee and the Capital Securities are subordinate and junior in right of payment to all senior indebtedness of M&amp;T.</w:t>
      </w:r>
    </w:p>
    <w:p>
      <w:pPr>
        <w:spacing w:after="0" w:line="2" w:lineRule="exact"/>
        <w:rPr>
          <w:sz w:val="20"/>
          <w:szCs w:val="20"/>
          <w:color w:val="auto"/>
        </w:rPr>
      </w:pPr>
    </w:p>
    <w:p>
      <w:pPr>
        <w:jc w:val="both"/>
        <w:ind w:right="100" w:firstLine="598"/>
        <w:spacing w:after="0" w:line="248" w:lineRule="auto"/>
        <w:rPr>
          <w:sz w:val="20"/>
          <w:szCs w:val="20"/>
          <w:color w:val="auto"/>
        </w:rPr>
      </w:pPr>
      <w:r>
        <w:rPr>
          <w:rFonts w:ascii="Arial" w:cs="Arial" w:eastAsia="Arial" w:hAnsi="Arial"/>
          <w:sz w:val="19"/>
          <w:szCs w:val="19"/>
          <w:color w:val="auto"/>
        </w:rPr>
        <w:t>The Capital Securities will remain outstanding until the Junior Subordinated Debentures are repaid at maturity, are redeemed prior to maturity or are distributed in liquidation to the trusts. The Capital Securities are mandatorily redeemable in whole, but not in part, upon repayment at the stated maturity dates (ranging from 2027 to 2033) of the Junior Subordinated Debentures or the earlier redemption of the Junior Subordinated Debentures in whole upon the occurrence of one or more events set forth in the indentures relating to the Capital Securities, and in whole or in part at any time after an optional redemption prior to</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143" w:name="page144"/>
    <w:bookmarkEnd w:id="143"/>
    <w:p>
      <w:pPr>
        <w:ind w:right="380"/>
        <w:spacing w:after="0" w:line="254" w:lineRule="auto"/>
        <w:rPr>
          <w:sz w:val="20"/>
          <w:szCs w:val="20"/>
          <w:color w:val="auto"/>
        </w:rPr>
      </w:pPr>
      <w:r>
        <w:rPr>
          <w:rFonts w:ascii="Arial" w:cs="Arial" w:eastAsia="Arial" w:hAnsi="Arial"/>
          <w:sz w:val="19"/>
          <w:szCs w:val="19"/>
          <w:color w:val="auto"/>
        </w:rPr>
        <w:t>contractual maturity contemporaneously with the optional redemption of the related Junior Subordinated Debentures in whole or in part, subject to possible regulatory approval.</w:t>
      </w:r>
    </w:p>
    <w:p>
      <w:pPr>
        <w:ind w:left="600"/>
        <w:spacing w:after="0"/>
        <w:rPr>
          <w:sz w:val="20"/>
          <w:szCs w:val="20"/>
          <w:color w:val="auto"/>
        </w:rPr>
      </w:pPr>
      <w:r>
        <w:rPr>
          <w:rFonts w:ascii="Arial" w:cs="Arial" w:eastAsia="Arial" w:hAnsi="Arial"/>
          <w:sz w:val="19"/>
          <w:szCs w:val="19"/>
          <w:color w:val="auto"/>
        </w:rPr>
        <w:t>Long-term borrowings at December 31, 2017 mature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0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(In thousands)</w:t>
            </w:r>
          </w:p>
        </w:tc>
      </w:tr>
      <w:tr>
        <w:trPr>
          <w:trHeight w:val="250"/>
        </w:trPr>
        <w:tc>
          <w:tcPr>
            <w:tcW w:w="10020" w:type="dxa"/>
            <w:vAlign w:val="bottom"/>
            <w:shd w:val="clear" w:color="auto" w:fill="CFF0FC"/>
          </w:tcPr>
          <w:p>
            <w:pPr>
              <w:spacing w:after="0"/>
              <w:rPr>
                <w:sz w:val="20"/>
                <w:szCs w:val="20"/>
                <w:color w:val="auto"/>
              </w:rPr>
            </w:pPr>
            <w:r>
              <w:rPr>
                <w:rFonts w:ascii="Arial" w:cs="Arial" w:eastAsia="Arial" w:hAnsi="Arial"/>
                <w:sz w:val="20"/>
                <w:szCs w:val="20"/>
                <w:color w:val="auto"/>
              </w:rPr>
              <w:t>Year ending December 31:</w:t>
            </w: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50"/>
        </w:trPr>
        <w:tc>
          <w:tcPr>
            <w:tcW w:w="10020" w:type="dxa"/>
            <w:vAlign w:val="bottom"/>
          </w:tcPr>
          <w:p>
            <w:pPr>
              <w:ind w:left="240"/>
              <w:spacing w:after="0"/>
              <w:rPr>
                <w:sz w:val="20"/>
                <w:szCs w:val="20"/>
                <w:color w:val="auto"/>
              </w:rPr>
            </w:pPr>
            <w:r>
              <w:rPr>
                <w:rFonts w:ascii="Arial" w:cs="Arial" w:eastAsia="Arial" w:hAnsi="Arial"/>
                <w:sz w:val="20"/>
                <w:szCs w:val="20"/>
                <w:color w:val="auto"/>
              </w:rPr>
              <w:t>2018</w:t>
            </w:r>
          </w:p>
        </w:tc>
        <w:tc>
          <w:tcPr>
            <w:tcW w:w="160" w:type="dxa"/>
            <w:vAlign w:val="bottom"/>
            <w:gridSpan w:val="2"/>
          </w:tcPr>
          <w:p>
            <w:pPr>
              <w:jc w:val="right"/>
              <w:spacing w:after="0"/>
              <w:rPr>
                <w:sz w:val="20"/>
                <w:szCs w:val="20"/>
                <w:color w:val="auto"/>
              </w:rPr>
            </w:pPr>
            <w:r>
              <w:rPr>
                <w:rFonts w:ascii="Arial" w:cs="Arial" w:eastAsia="Arial" w:hAnsi="Arial"/>
                <w:sz w:val="20"/>
                <w:szCs w:val="20"/>
                <w:color w:val="auto"/>
                <w:w w:val="71"/>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701,256</w:t>
            </w:r>
          </w:p>
        </w:tc>
        <w:tc>
          <w:tcPr>
            <w:tcW w:w="100" w:type="dxa"/>
            <w:vAlign w:val="bottom"/>
          </w:tcPr>
          <w:p>
            <w:pPr>
              <w:spacing w:after="0"/>
              <w:rPr>
                <w:sz w:val="21"/>
                <w:szCs w:val="21"/>
                <w:color w:val="auto"/>
              </w:rPr>
            </w:pPr>
          </w:p>
        </w:tc>
      </w:tr>
      <w:tr>
        <w:trPr>
          <w:trHeight w:val="250"/>
        </w:trPr>
        <w:tc>
          <w:tcPr>
            <w:tcW w:w="100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2019</w:t>
            </w: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2,282,016</w:t>
            </w:r>
          </w:p>
        </w:tc>
        <w:tc>
          <w:tcPr>
            <w:tcW w:w="100" w:type="dxa"/>
            <w:vAlign w:val="bottom"/>
            <w:shd w:val="clear" w:color="auto" w:fill="CFF0FC"/>
          </w:tcPr>
          <w:p>
            <w:pPr>
              <w:spacing w:after="0"/>
              <w:rPr>
                <w:sz w:val="21"/>
                <w:szCs w:val="21"/>
                <w:color w:val="auto"/>
              </w:rPr>
            </w:pPr>
          </w:p>
        </w:tc>
      </w:tr>
      <w:tr>
        <w:trPr>
          <w:trHeight w:val="250"/>
        </w:trPr>
        <w:tc>
          <w:tcPr>
            <w:tcW w:w="10020" w:type="dxa"/>
            <w:vAlign w:val="bottom"/>
          </w:tcPr>
          <w:p>
            <w:pPr>
              <w:ind w:left="240"/>
              <w:spacing w:after="0"/>
              <w:rPr>
                <w:sz w:val="20"/>
                <w:szCs w:val="20"/>
                <w:color w:val="auto"/>
              </w:rPr>
            </w:pPr>
            <w:r>
              <w:rPr>
                <w:rFonts w:ascii="Arial" w:cs="Arial" w:eastAsia="Arial" w:hAnsi="Arial"/>
                <w:sz w:val="20"/>
                <w:szCs w:val="20"/>
                <w:color w:val="auto"/>
              </w:rPr>
              <w:t>2020</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2,005,383</w:t>
            </w:r>
          </w:p>
        </w:tc>
        <w:tc>
          <w:tcPr>
            <w:tcW w:w="100" w:type="dxa"/>
            <w:vAlign w:val="bottom"/>
          </w:tcPr>
          <w:p>
            <w:pPr>
              <w:spacing w:after="0"/>
              <w:rPr>
                <w:sz w:val="21"/>
                <w:szCs w:val="21"/>
                <w:color w:val="auto"/>
              </w:rPr>
            </w:pPr>
          </w:p>
        </w:tc>
      </w:tr>
      <w:tr>
        <w:trPr>
          <w:trHeight w:val="250"/>
        </w:trPr>
        <w:tc>
          <w:tcPr>
            <w:tcW w:w="100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2021</w:t>
            </w: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502,487</w:t>
            </w:r>
          </w:p>
        </w:tc>
        <w:tc>
          <w:tcPr>
            <w:tcW w:w="100" w:type="dxa"/>
            <w:vAlign w:val="bottom"/>
            <w:shd w:val="clear" w:color="auto" w:fill="CFF0FC"/>
          </w:tcPr>
          <w:p>
            <w:pPr>
              <w:spacing w:after="0"/>
              <w:rPr>
                <w:sz w:val="21"/>
                <w:szCs w:val="21"/>
                <w:color w:val="auto"/>
              </w:rPr>
            </w:pPr>
          </w:p>
        </w:tc>
      </w:tr>
      <w:tr>
        <w:trPr>
          <w:trHeight w:val="250"/>
        </w:trPr>
        <w:tc>
          <w:tcPr>
            <w:tcW w:w="10020" w:type="dxa"/>
            <w:vAlign w:val="bottom"/>
          </w:tcPr>
          <w:p>
            <w:pPr>
              <w:ind w:left="240"/>
              <w:spacing w:after="0"/>
              <w:rPr>
                <w:sz w:val="20"/>
                <w:szCs w:val="20"/>
                <w:color w:val="auto"/>
              </w:rPr>
            </w:pPr>
            <w:r>
              <w:rPr>
                <w:rFonts w:ascii="Arial" w:cs="Arial" w:eastAsia="Arial" w:hAnsi="Arial"/>
                <w:sz w:val="20"/>
                <w:szCs w:val="20"/>
                <w:color w:val="auto"/>
              </w:rPr>
              <w:t>2022</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888,430</w:t>
            </w:r>
          </w:p>
        </w:tc>
        <w:tc>
          <w:tcPr>
            <w:tcW w:w="100" w:type="dxa"/>
            <w:vAlign w:val="bottom"/>
          </w:tcPr>
          <w:p>
            <w:pPr>
              <w:spacing w:after="0"/>
              <w:rPr>
                <w:sz w:val="21"/>
                <w:szCs w:val="21"/>
                <w:color w:val="auto"/>
              </w:rPr>
            </w:pPr>
          </w:p>
        </w:tc>
      </w:tr>
      <w:tr>
        <w:trPr>
          <w:trHeight w:val="250"/>
        </w:trPr>
        <w:tc>
          <w:tcPr>
            <w:tcW w:w="100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Later years</w:t>
            </w:r>
          </w:p>
        </w:tc>
        <w:tc>
          <w:tcPr>
            <w:tcW w:w="20" w:type="dxa"/>
            <w:vAlign w:val="bottom"/>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1,761,858</w:t>
            </w:r>
          </w:p>
        </w:tc>
        <w:tc>
          <w:tcPr>
            <w:tcW w:w="100" w:type="dxa"/>
            <w:vAlign w:val="bottom"/>
            <w:shd w:val="clear" w:color="auto" w:fill="CFF0FC"/>
          </w:tcPr>
          <w:p>
            <w:pPr>
              <w:spacing w:after="0"/>
              <w:rPr>
                <w:sz w:val="21"/>
                <w:szCs w:val="21"/>
                <w:color w:val="auto"/>
              </w:rPr>
            </w:pPr>
          </w:p>
        </w:tc>
      </w:tr>
      <w:tr>
        <w:trPr>
          <w:trHeight w:val="243"/>
        </w:trPr>
        <w:tc>
          <w:tcPr>
            <w:tcW w:w="100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8,141,430</w:t>
            </w:r>
          </w:p>
        </w:tc>
        <w:tc>
          <w:tcPr>
            <w:tcW w:w="100" w:type="dxa"/>
            <w:vAlign w:val="bottom"/>
          </w:tcPr>
          <w:p>
            <w:pPr>
              <w:spacing w:after="0"/>
              <w:rPr>
                <w:sz w:val="21"/>
                <w:szCs w:val="21"/>
                <w:color w:val="auto"/>
              </w:rPr>
            </w:pPr>
          </w:p>
        </w:tc>
      </w:tr>
      <w:tr>
        <w:trPr>
          <w:trHeight w:val="20"/>
        </w:trPr>
        <w:tc>
          <w:tcPr>
            <w:tcW w:w="10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72"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10.</w:t>
      </w:r>
      <w:r>
        <w:rPr>
          <w:sz w:val="20"/>
          <w:szCs w:val="20"/>
          <w:color w:val="auto"/>
        </w:rPr>
        <w:tab/>
      </w:r>
      <w:r>
        <w:rPr>
          <w:rFonts w:ascii="Arial" w:cs="Arial" w:eastAsia="Arial" w:hAnsi="Arial"/>
          <w:sz w:val="18"/>
          <w:szCs w:val="18"/>
          <w:b w:val="1"/>
          <w:bCs w:val="1"/>
          <w:color w:val="auto"/>
        </w:rPr>
        <w:t>Shareholders’ equity</w:t>
      </w:r>
    </w:p>
    <w:p>
      <w:pPr>
        <w:spacing w:after="0" w:line="23" w:lineRule="exact"/>
        <w:rPr>
          <w:sz w:val="20"/>
          <w:szCs w:val="20"/>
          <w:color w:val="auto"/>
        </w:rPr>
      </w:pPr>
    </w:p>
    <w:p>
      <w:pPr>
        <w:ind w:right="640"/>
        <w:spacing w:after="0" w:line="245" w:lineRule="auto"/>
        <w:rPr>
          <w:sz w:val="20"/>
          <w:szCs w:val="20"/>
          <w:color w:val="auto"/>
        </w:rPr>
      </w:pPr>
      <w:r>
        <w:rPr>
          <w:rFonts w:ascii="Arial" w:cs="Arial" w:eastAsia="Arial" w:hAnsi="Arial"/>
          <w:sz w:val="19"/>
          <w:szCs w:val="19"/>
          <w:color w:val="auto"/>
        </w:rPr>
        <w:t>M&amp;T is authorized to issue 1,000,000 shares of preferred stock with a $1.00 par value per share. Preferred shares outstanding rank senior to common shares both as to dividends and liquidation preference, but have no general voting rights.</w:t>
      </w:r>
    </w:p>
    <w:p>
      <w:pPr>
        <w:spacing w:after="0" w:line="1" w:lineRule="exact"/>
        <w:rPr>
          <w:sz w:val="20"/>
          <w:szCs w:val="20"/>
          <w:color w:val="auto"/>
        </w:rPr>
      </w:pPr>
    </w:p>
    <w:p>
      <w:pPr>
        <w:ind w:left="600"/>
        <w:spacing w:after="0"/>
        <w:rPr>
          <w:sz w:val="20"/>
          <w:szCs w:val="20"/>
          <w:color w:val="auto"/>
        </w:rPr>
      </w:pPr>
      <w:r>
        <w:rPr>
          <w:rFonts w:ascii="Arial" w:cs="Arial" w:eastAsia="Arial" w:hAnsi="Arial"/>
          <w:sz w:val="19"/>
          <w:szCs w:val="19"/>
          <w:color w:val="auto"/>
        </w:rPr>
        <w:t>Issued and outstanding preferred stock of M&amp;T as of December 31, 2017 and 2016 is presented below:</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20" w:type="dxa"/>
            <w:vAlign w:val="bottom"/>
          </w:tcPr>
          <w:p>
            <w:pPr>
              <w:spacing w:after="0"/>
              <w:rPr>
                <w:sz w:val="14"/>
                <w:szCs w:val="14"/>
                <w:color w:val="auto"/>
              </w:rPr>
            </w:pPr>
          </w:p>
        </w:tc>
        <w:tc>
          <w:tcPr>
            <w:tcW w:w="1240" w:type="dxa"/>
            <w:vAlign w:val="bottom"/>
          </w:tcPr>
          <w:p>
            <w:pPr>
              <w:jc w:val="center"/>
              <w:ind w:right="121"/>
              <w:spacing w:after="0"/>
              <w:rPr>
                <w:sz w:val="20"/>
                <w:szCs w:val="20"/>
                <w:color w:val="auto"/>
              </w:rPr>
            </w:pPr>
            <w:r>
              <w:rPr>
                <w:rFonts w:ascii="Arial" w:cs="Arial" w:eastAsia="Arial" w:hAnsi="Arial"/>
                <w:sz w:val="14"/>
                <w:szCs w:val="14"/>
                <w:b w:val="1"/>
                <w:bCs w:val="1"/>
                <w:color w:val="auto"/>
                <w:w w:val="85"/>
              </w:rPr>
              <w:t>Shares</w:t>
            </w: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8820" w:type="dxa"/>
            <w:vAlign w:val="bottom"/>
          </w:tcPr>
          <w:p>
            <w:pPr>
              <w:spacing w:after="0"/>
              <w:rPr>
                <w:sz w:val="12"/>
                <w:szCs w:val="12"/>
                <w:color w:val="auto"/>
              </w:rPr>
            </w:pPr>
          </w:p>
        </w:tc>
        <w:tc>
          <w:tcPr>
            <w:tcW w:w="1240" w:type="dxa"/>
            <w:vAlign w:val="bottom"/>
          </w:tcPr>
          <w:p>
            <w:pPr>
              <w:jc w:val="center"/>
              <w:ind w:right="121"/>
              <w:spacing w:after="0" w:line="145" w:lineRule="exact"/>
              <w:rPr>
                <w:sz w:val="20"/>
                <w:szCs w:val="20"/>
                <w:color w:val="auto"/>
              </w:rPr>
            </w:pPr>
            <w:r>
              <w:rPr>
                <w:rFonts w:ascii="Arial" w:cs="Arial" w:eastAsia="Arial" w:hAnsi="Arial"/>
                <w:sz w:val="14"/>
                <w:szCs w:val="14"/>
                <w:b w:val="1"/>
                <w:bCs w:val="1"/>
                <w:color w:val="auto"/>
                <w:w w:val="87"/>
              </w:rPr>
              <w:t>Issued and</w:t>
            </w:r>
          </w:p>
        </w:tc>
        <w:tc>
          <w:tcPr>
            <w:tcW w:w="1360" w:type="dxa"/>
            <w:vAlign w:val="bottom"/>
            <w:gridSpan w:val="3"/>
            <w:vMerge w:val="restart"/>
          </w:tcPr>
          <w:p>
            <w:pPr>
              <w:ind w:left="240"/>
              <w:spacing w:after="0"/>
              <w:rPr>
                <w:sz w:val="20"/>
                <w:szCs w:val="20"/>
                <w:color w:val="auto"/>
              </w:rPr>
            </w:pPr>
            <w:r>
              <w:rPr>
                <w:rFonts w:ascii="Arial" w:cs="Arial" w:eastAsia="Arial" w:hAnsi="Arial"/>
                <w:sz w:val="14"/>
                <w:szCs w:val="14"/>
                <w:b w:val="1"/>
                <w:bCs w:val="1"/>
                <w:color w:val="auto"/>
              </w:rPr>
              <w:t>Carrying Value</w:t>
            </w:r>
          </w:p>
        </w:tc>
        <w:tc>
          <w:tcPr>
            <w:tcW w:w="0" w:type="dxa"/>
            <w:vAlign w:val="bottom"/>
          </w:tcPr>
          <w:p>
            <w:pPr>
              <w:spacing w:after="0"/>
              <w:rPr>
                <w:sz w:val="1"/>
                <w:szCs w:val="1"/>
                <w:color w:val="auto"/>
              </w:rPr>
            </w:pPr>
          </w:p>
        </w:tc>
      </w:tr>
      <w:tr>
        <w:trPr>
          <w:trHeight w:val="167"/>
        </w:trPr>
        <w:tc>
          <w:tcPr>
            <w:tcW w:w="8820" w:type="dxa"/>
            <w:vAlign w:val="bottom"/>
          </w:tcPr>
          <w:p>
            <w:pPr>
              <w:spacing w:after="0"/>
              <w:rPr>
                <w:sz w:val="14"/>
                <w:szCs w:val="14"/>
                <w:color w:val="auto"/>
              </w:rPr>
            </w:pPr>
          </w:p>
        </w:tc>
        <w:tc>
          <w:tcPr>
            <w:tcW w:w="1240" w:type="dxa"/>
            <w:vAlign w:val="bottom"/>
          </w:tcPr>
          <w:p>
            <w:pPr>
              <w:jc w:val="center"/>
              <w:ind w:right="121"/>
              <w:spacing w:after="0"/>
              <w:rPr>
                <w:sz w:val="20"/>
                <w:szCs w:val="20"/>
                <w:color w:val="auto"/>
              </w:rPr>
            </w:pPr>
            <w:r>
              <w:rPr>
                <w:rFonts w:ascii="Arial" w:cs="Arial" w:eastAsia="Arial" w:hAnsi="Arial"/>
                <w:sz w:val="14"/>
                <w:szCs w:val="14"/>
                <w:b w:val="1"/>
                <w:bCs w:val="1"/>
                <w:color w:val="auto"/>
                <w:w w:val="92"/>
              </w:rPr>
              <w:t>Outstanding</w:t>
            </w:r>
          </w:p>
        </w:tc>
        <w:tc>
          <w:tcPr>
            <w:tcW w:w="13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8820" w:type="dxa"/>
            <w:vAlign w:val="bottom"/>
          </w:tcPr>
          <w:p>
            <w:pPr>
              <w:spacing w:after="0"/>
              <w:rPr>
                <w:sz w:val="13"/>
                <w:szCs w:val="13"/>
                <w:color w:val="auto"/>
              </w:rPr>
            </w:pPr>
          </w:p>
        </w:tc>
        <w:tc>
          <w:tcPr>
            <w:tcW w:w="1900" w:type="dxa"/>
            <w:vAlign w:val="bottom"/>
            <w:tcBorders>
              <w:top w:val="single" w:sz="8" w:color="auto"/>
            </w:tcBorders>
            <w:gridSpan w:val="2"/>
          </w:tcPr>
          <w:p>
            <w:pPr>
              <w:jc w:val="right"/>
              <w:spacing w:after="0" w:line="151" w:lineRule="exact"/>
              <w:rPr>
                <w:sz w:val="20"/>
                <w:szCs w:val="20"/>
                <w:color w:val="auto"/>
              </w:rPr>
            </w:pPr>
            <w:r>
              <w:rPr>
                <w:rFonts w:ascii="Arial" w:cs="Arial" w:eastAsia="Arial" w:hAnsi="Arial"/>
                <w:sz w:val="14"/>
                <w:szCs w:val="14"/>
                <w:b w:val="1"/>
                <w:bCs w:val="1"/>
                <w:color w:val="auto"/>
              </w:rPr>
              <w:t>(Dollars in thousands)</w:t>
            </w:r>
          </w:p>
        </w:tc>
        <w:tc>
          <w:tcPr>
            <w:tcW w:w="5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820" w:type="dxa"/>
            <w:vAlign w:val="bottom"/>
            <w:shd w:val="clear" w:color="auto" w:fill="CFF0FC"/>
          </w:tcPr>
          <w:p>
            <w:pPr>
              <w:spacing w:after="0"/>
              <w:rPr>
                <w:sz w:val="20"/>
                <w:szCs w:val="20"/>
                <w:color w:val="auto"/>
              </w:rPr>
            </w:pPr>
            <w:r>
              <w:rPr>
                <w:rFonts w:ascii="Arial" w:cs="Arial" w:eastAsia="Arial" w:hAnsi="Arial"/>
                <w:sz w:val="18"/>
                <w:szCs w:val="18"/>
                <w:color w:val="auto"/>
              </w:rPr>
              <w:t>Series A (a)</w:t>
            </w:r>
          </w:p>
        </w:tc>
        <w:tc>
          <w:tcPr>
            <w:tcW w:w="12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8820" w:type="dxa"/>
            <w:vAlign w:val="bottom"/>
          </w:tcPr>
          <w:p>
            <w:pPr>
              <w:spacing w:after="0"/>
              <w:rPr>
                <w:sz w:val="20"/>
                <w:szCs w:val="20"/>
                <w:color w:val="auto"/>
              </w:rPr>
            </w:pPr>
            <w:r>
              <w:rPr>
                <w:rFonts w:ascii="Arial" w:cs="Arial" w:eastAsia="Arial" w:hAnsi="Arial"/>
                <w:sz w:val="18"/>
                <w:szCs w:val="18"/>
                <w:color w:val="auto"/>
              </w:rPr>
              <w:t>Fixed Rate Cumulative Perpetual Preferred Stock,</w:t>
            </w:r>
          </w:p>
        </w:tc>
        <w:tc>
          <w:tcPr>
            <w:tcW w:w="1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820" w:type="dxa"/>
            <w:vAlign w:val="bottom"/>
          </w:tcPr>
          <w:p>
            <w:pPr>
              <w:ind w:left="180"/>
              <w:spacing w:after="0"/>
              <w:rPr>
                <w:sz w:val="20"/>
                <w:szCs w:val="20"/>
                <w:color w:val="auto"/>
              </w:rPr>
            </w:pPr>
            <w:r>
              <w:rPr>
                <w:rFonts w:ascii="Arial" w:cs="Arial" w:eastAsia="Arial" w:hAnsi="Arial"/>
                <w:sz w:val="18"/>
                <w:szCs w:val="18"/>
                <w:color w:val="auto"/>
              </w:rPr>
              <w:t>$1,000 liquidation preference per share</w:t>
            </w:r>
          </w:p>
        </w:tc>
        <w:tc>
          <w:tcPr>
            <w:tcW w:w="1240" w:type="dxa"/>
            <w:vAlign w:val="bottom"/>
          </w:tcPr>
          <w:p>
            <w:pPr>
              <w:jc w:val="right"/>
              <w:ind w:right="121"/>
              <w:spacing w:after="0"/>
              <w:rPr>
                <w:sz w:val="20"/>
                <w:szCs w:val="20"/>
                <w:color w:val="auto"/>
              </w:rPr>
            </w:pPr>
            <w:r>
              <w:rPr>
                <w:rFonts w:ascii="Arial" w:cs="Arial" w:eastAsia="Arial" w:hAnsi="Arial"/>
                <w:sz w:val="18"/>
                <w:szCs w:val="18"/>
                <w:color w:val="auto"/>
              </w:rPr>
              <w:t>230,000</w:t>
            </w:r>
          </w:p>
        </w:tc>
        <w:tc>
          <w:tcPr>
            <w:tcW w:w="660" w:type="dxa"/>
            <w:vAlign w:val="bottom"/>
          </w:tcPr>
          <w:p>
            <w:pPr>
              <w:jc w:val="right"/>
              <w:ind w:right="316"/>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230,000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820" w:type="dxa"/>
            <w:vAlign w:val="bottom"/>
            <w:shd w:val="clear" w:color="auto" w:fill="CFF0FC"/>
          </w:tcPr>
          <w:p>
            <w:pPr>
              <w:spacing w:after="0"/>
              <w:rPr>
                <w:sz w:val="20"/>
                <w:szCs w:val="20"/>
                <w:color w:val="auto"/>
              </w:rPr>
            </w:pPr>
            <w:r>
              <w:rPr>
                <w:rFonts w:ascii="Arial" w:cs="Arial" w:eastAsia="Arial" w:hAnsi="Arial"/>
                <w:sz w:val="18"/>
                <w:szCs w:val="18"/>
                <w:color w:val="auto"/>
              </w:rPr>
              <w:t>Series C (a)</w:t>
            </w:r>
          </w:p>
        </w:tc>
        <w:tc>
          <w:tcPr>
            <w:tcW w:w="12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8820" w:type="dxa"/>
            <w:vAlign w:val="bottom"/>
          </w:tcPr>
          <w:p>
            <w:pPr>
              <w:spacing w:after="0"/>
              <w:rPr>
                <w:sz w:val="20"/>
                <w:szCs w:val="20"/>
                <w:color w:val="auto"/>
              </w:rPr>
            </w:pPr>
            <w:r>
              <w:rPr>
                <w:rFonts w:ascii="Arial" w:cs="Arial" w:eastAsia="Arial" w:hAnsi="Arial"/>
                <w:sz w:val="18"/>
                <w:szCs w:val="18"/>
                <w:color w:val="auto"/>
              </w:rPr>
              <w:t>Fixed Rate Cumulative Perpetual Preferred Stock,</w:t>
            </w:r>
          </w:p>
        </w:tc>
        <w:tc>
          <w:tcPr>
            <w:tcW w:w="1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820" w:type="dxa"/>
            <w:vAlign w:val="bottom"/>
          </w:tcPr>
          <w:p>
            <w:pPr>
              <w:ind w:left="180"/>
              <w:spacing w:after="0"/>
              <w:rPr>
                <w:sz w:val="20"/>
                <w:szCs w:val="20"/>
                <w:color w:val="auto"/>
              </w:rPr>
            </w:pPr>
            <w:r>
              <w:rPr>
                <w:rFonts w:ascii="Arial" w:cs="Arial" w:eastAsia="Arial" w:hAnsi="Arial"/>
                <w:sz w:val="18"/>
                <w:szCs w:val="18"/>
                <w:color w:val="auto"/>
              </w:rPr>
              <w:t>$1,000 liquidation preference per share</w:t>
            </w:r>
          </w:p>
        </w:tc>
        <w:tc>
          <w:tcPr>
            <w:tcW w:w="1240" w:type="dxa"/>
            <w:vAlign w:val="bottom"/>
          </w:tcPr>
          <w:p>
            <w:pPr>
              <w:jc w:val="right"/>
              <w:ind w:right="121"/>
              <w:spacing w:after="0"/>
              <w:rPr>
                <w:sz w:val="20"/>
                <w:szCs w:val="20"/>
                <w:color w:val="auto"/>
              </w:rPr>
            </w:pPr>
            <w:r>
              <w:rPr>
                <w:rFonts w:ascii="Arial" w:cs="Arial" w:eastAsia="Arial" w:hAnsi="Arial"/>
                <w:sz w:val="18"/>
                <w:szCs w:val="18"/>
                <w:color w:val="auto"/>
              </w:rPr>
              <w:t>151,500</w:t>
            </w:r>
          </w:p>
        </w:tc>
        <w:tc>
          <w:tcPr>
            <w:tcW w:w="660" w:type="dxa"/>
            <w:vAlign w:val="bottom"/>
          </w:tcPr>
          <w:p>
            <w:pPr>
              <w:jc w:val="right"/>
              <w:ind w:right="316"/>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151,500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820" w:type="dxa"/>
            <w:vAlign w:val="bottom"/>
            <w:shd w:val="clear" w:color="auto" w:fill="CFF0FC"/>
          </w:tcPr>
          <w:p>
            <w:pPr>
              <w:spacing w:after="0"/>
              <w:rPr>
                <w:sz w:val="20"/>
                <w:szCs w:val="20"/>
                <w:color w:val="auto"/>
              </w:rPr>
            </w:pPr>
            <w:r>
              <w:rPr>
                <w:rFonts w:ascii="Arial" w:cs="Arial" w:eastAsia="Arial" w:hAnsi="Arial"/>
                <w:sz w:val="18"/>
                <w:szCs w:val="18"/>
                <w:color w:val="auto"/>
              </w:rPr>
              <w:t>Series E (b)</w:t>
            </w:r>
          </w:p>
        </w:tc>
        <w:tc>
          <w:tcPr>
            <w:tcW w:w="12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8820" w:type="dxa"/>
            <w:vAlign w:val="bottom"/>
          </w:tcPr>
          <w:p>
            <w:pPr>
              <w:spacing w:after="0"/>
              <w:rPr>
                <w:sz w:val="20"/>
                <w:szCs w:val="20"/>
                <w:color w:val="auto"/>
              </w:rPr>
            </w:pPr>
            <w:r>
              <w:rPr>
                <w:rFonts w:ascii="Arial" w:cs="Arial" w:eastAsia="Arial" w:hAnsi="Arial"/>
                <w:sz w:val="18"/>
                <w:szCs w:val="18"/>
                <w:color w:val="auto"/>
              </w:rPr>
              <w:t>Fixed-to-Floating Rate Non-cumulative Perpetual Preferred Stock,</w:t>
            </w:r>
          </w:p>
        </w:tc>
        <w:tc>
          <w:tcPr>
            <w:tcW w:w="1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820" w:type="dxa"/>
            <w:vAlign w:val="bottom"/>
          </w:tcPr>
          <w:p>
            <w:pPr>
              <w:ind w:left="180"/>
              <w:spacing w:after="0"/>
              <w:rPr>
                <w:sz w:val="20"/>
                <w:szCs w:val="20"/>
                <w:color w:val="auto"/>
              </w:rPr>
            </w:pPr>
            <w:r>
              <w:rPr>
                <w:rFonts w:ascii="Arial" w:cs="Arial" w:eastAsia="Arial" w:hAnsi="Arial"/>
                <w:sz w:val="18"/>
                <w:szCs w:val="18"/>
                <w:color w:val="auto"/>
              </w:rPr>
              <w:t>$1,000 liquidation preference per share</w:t>
            </w:r>
          </w:p>
        </w:tc>
        <w:tc>
          <w:tcPr>
            <w:tcW w:w="1240" w:type="dxa"/>
            <w:vAlign w:val="bottom"/>
          </w:tcPr>
          <w:p>
            <w:pPr>
              <w:jc w:val="right"/>
              <w:ind w:right="121"/>
              <w:spacing w:after="0"/>
              <w:rPr>
                <w:sz w:val="20"/>
                <w:szCs w:val="20"/>
                <w:color w:val="auto"/>
              </w:rPr>
            </w:pPr>
            <w:r>
              <w:rPr>
                <w:rFonts w:ascii="Arial" w:cs="Arial" w:eastAsia="Arial" w:hAnsi="Arial"/>
                <w:sz w:val="18"/>
                <w:szCs w:val="18"/>
                <w:color w:val="auto"/>
              </w:rPr>
              <w:t>350,000</w:t>
            </w:r>
          </w:p>
        </w:tc>
        <w:tc>
          <w:tcPr>
            <w:tcW w:w="660" w:type="dxa"/>
            <w:vAlign w:val="bottom"/>
          </w:tcPr>
          <w:p>
            <w:pPr>
              <w:jc w:val="right"/>
              <w:ind w:right="316"/>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350,000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820" w:type="dxa"/>
            <w:vAlign w:val="bottom"/>
            <w:shd w:val="clear" w:color="auto" w:fill="CFF0FC"/>
          </w:tcPr>
          <w:p>
            <w:pPr>
              <w:spacing w:after="0"/>
              <w:rPr>
                <w:sz w:val="20"/>
                <w:szCs w:val="20"/>
                <w:color w:val="auto"/>
              </w:rPr>
            </w:pPr>
            <w:r>
              <w:rPr>
                <w:rFonts w:ascii="Arial" w:cs="Arial" w:eastAsia="Arial" w:hAnsi="Arial"/>
                <w:sz w:val="18"/>
                <w:szCs w:val="18"/>
                <w:color w:val="auto"/>
              </w:rPr>
              <w:t>Series F (c)</w:t>
            </w:r>
          </w:p>
        </w:tc>
        <w:tc>
          <w:tcPr>
            <w:tcW w:w="12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8820" w:type="dxa"/>
            <w:vAlign w:val="bottom"/>
          </w:tcPr>
          <w:p>
            <w:pPr>
              <w:spacing w:after="0"/>
              <w:rPr>
                <w:sz w:val="20"/>
                <w:szCs w:val="20"/>
                <w:color w:val="auto"/>
              </w:rPr>
            </w:pPr>
            <w:r>
              <w:rPr>
                <w:rFonts w:ascii="Arial" w:cs="Arial" w:eastAsia="Arial" w:hAnsi="Arial"/>
                <w:sz w:val="18"/>
                <w:szCs w:val="18"/>
                <w:color w:val="auto"/>
              </w:rPr>
              <w:t>Fixed-to-Floating Rate Non-cumulative Perpetual Preferred Stock,</w:t>
            </w:r>
          </w:p>
        </w:tc>
        <w:tc>
          <w:tcPr>
            <w:tcW w:w="1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820" w:type="dxa"/>
            <w:vAlign w:val="bottom"/>
          </w:tcPr>
          <w:p>
            <w:pPr>
              <w:ind w:left="180"/>
              <w:spacing w:after="0"/>
              <w:rPr>
                <w:sz w:val="20"/>
                <w:szCs w:val="20"/>
                <w:color w:val="auto"/>
              </w:rPr>
            </w:pPr>
            <w:r>
              <w:rPr>
                <w:rFonts w:ascii="Arial" w:cs="Arial" w:eastAsia="Arial" w:hAnsi="Arial"/>
                <w:sz w:val="18"/>
                <w:szCs w:val="18"/>
                <w:color w:val="auto"/>
              </w:rPr>
              <w:t>$10,000 liquidation preference per share</w:t>
            </w:r>
          </w:p>
        </w:tc>
        <w:tc>
          <w:tcPr>
            <w:tcW w:w="1240" w:type="dxa"/>
            <w:vAlign w:val="bottom"/>
          </w:tcPr>
          <w:p>
            <w:pPr>
              <w:jc w:val="right"/>
              <w:ind w:right="121"/>
              <w:spacing w:after="0"/>
              <w:rPr>
                <w:sz w:val="20"/>
                <w:szCs w:val="20"/>
                <w:color w:val="auto"/>
              </w:rPr>
            </w:pPr>
            <w:r>
              <w:rPr>
                <w:rFonts w:ascii="Arial" w:cs="Arial" w:eastAsia="Arial" w:hAnsi="Arial"/>
                <w:sz w:val="18"/>
                <w:szCs w:val="18"/>
                <w:color w:val="auto"/>
              </w:rPr>
              <w:t>50,000</w:t>
            </w:r>
          </w:p>
        </w:tc>
        <w:tc>
          <w:tcPr>
            <w:tcW w:w="660" w:type="dxa"/>
            <w:vAlign w:val="bottom"/>
          </w:tcPr>
          <w:p>
            <w:pPr>
              <w:jc w:val="right"/>
              <w:ind w:right="316"/>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500,000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136017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147" w:lineRule="exact"/>
        <w:rPr>
          <w:sz w:val="20"/>
          <w:szCs w:val="20"/>
          <w:color w:val="auto"/>
        </w:rPr>
      </w:pPr>
    </w:p>
    <w:p>
      <w:pPr>
        <w:ind w:left="600" w:right="160" w:hanging="595"/>
        <w:spacing w:after="0" w:line="251" w:lineRule="auto"/>
        <w:tabs>
          <w:tab w:leader="none" w:pos="600" w:val="left"/>
        </w:tabs>
        <w:numPr>
          <w:ilvl w:val="0"/>
          <w:numId w:val="47"/>
        </w:numPr>
        <w:rPr>
          <w:rFonts w:ascii="Arial" w:cs="Arial" w:eastAsia="Arial" w:hAnsi="Arial"/>
          <w:sz w:val="17"/>
          <w:szCs w:val="17"/>
          <w:i w:val="1"/>
          <w:iCs w:val="1"/>
          <w:color w:val="auto"/>
        </w:rPr>
      </w:pPr>
      <w:r>
        <w:rPr>
          <w:rFonts w:ascii="Arial" w:cs="Arial" w:eastAsia="Arial" w:hAnsi="Arial"/>
          <w:sz w:val="17"/>
          <w:szCs w:val="17"/>
          <w:i w:val="1"/>
          <w:iCs w:val="1"/>
          <w:color w:val="auto"/>
        </w:rPr>
        <w:t>Dividends, if declared, are paid at 6.375%. Warrants to purchase M&amp;T common stock at $73.77 per share issued in connection with the Series A preferred stock expire December 23, 2018 and totaled 257,008 at December 31, 2017.</w:t>
      </w:r>
    </w:p>
    <w:p>
      <w:pPr>
        <w:ind w:left="600" w:right="100" w:hanging="595"/>
        <w:spacing w:after="0" w:line="279" w:lineRule="auto"/>
        <w:tabs>
          <w:tab w:leader="none" w:pos="600" w:val="left"/>
        </w:tabs>
        <w:numPr>
          <w:ilvl w:val="0"/>
          <w:numId w:val="47"/>
        </w:numPr>
        <w:rPr>
          <w:rFonts w:ascii="Arial" w:cs="Arial" w:eastAsia="Arial" w:hAnsi="Arial"/>
          <w:sz w:val="15"/>
          <w:szCs w:val="15"/>
          <w:i w:val="1"/>
          <w:iCs w:val="1"/>
          <w:color w:val="auto"/>
        </w:rPr>
      </w:pPr>
      <w:r>
        <w:rPr>
          <w:rFonts w:ascii="Arial" w:cs="Arial" w:eastAsia="Arial" w:hAnsi="Arial"/>
          <w:sz w:val="15"/>
          <w:szCs w:val="15"/>
          <w:i w:val="1"/>
          <w:iCs w:val="1"/>
          <w:color w:val="auto"/>
        </w:rPr>
        <w:t>Dividends, if declared, are paid semi-annually at a rate of 6.45% through February 14, 2024 and thereafter will be paid quarterly at a rate of the three-month LIBOR plus 361 basis points. The shares are redeemable in whole or in part on or after February 15, 2024. Notwithstanding M&amp;T’s option to redeem the shares, if an event occurs such that the shares no longer qualify as Tier 1 capital, M&amp;T may redeem all of the shares within 90 days following that occurrence.</w:t>
      </w:r>
    </w:p>
    <w:p>
      <w:pPr>
        <w:spacing w:after="0" w:line="1" w:lineRule="exact"/>
        <w:rPr>
          <w:rFonts w:ascii="Arial" w:cs="Arial" w:eastAsia="Arial" w:hAnsi="Arial"/>
          <w:sz w:val="15"/>
          <w:szCs w:val="15"/>
          <w:i w:val="1"/>
          <w:iCs w:val="1"/>
          <w:color w:val="auto"/>
        </w:rPr>
      </w:pPr>
    </w:p>
    <w:p>
      <w:pPr>
        <w:ind w:left="600" w:right="40" w:hanging="595"/>
        <w:spacing w:after="0" w:line="292" w:lineRule="auto"/>
        <w:tabs>
          <w:tab w:leader="none" w:pos="600" w:val="left"/>
        </w:tabs>
        <w:numPr>
          <w:ilvl w:val="0"/>
          <w:numId w:val="47"/>
        </w:numPr>
        <w:rPr>
          <w:rFonts w:ascii="Arial" w:cs="Arial" w:eastAsia="Arial" w:hAnsi="Arial"/>
          <w:sz w:val="15"/>
          <w:szCs w:val="15"/>
          <w:i w:val="1"/>
          <w:iCs w:val="1"/>
          <w:color w:val="auto"/>
        </w:rPr>
      </w:pPr>
      <w:r>
        <w:rPr>
          <w:rFonts w:ascii="Arial" w:cs="Arial" w:eastAsia="Arial" w:hAnsi="Arial"/>
          <w:sz w:val="15"/>
          <w:szCs w:val="15"/>
          <w:i w:val="1"/>
          <w:iCs w:val="1"/>
          <w:color w:val="auto"/>
        </w:rPr>
        <w:t>Dividends, if declared, are paid semi-annually at a rate of 5.125% through October 31, 2026 and thereafter will be paid quarterly at a rate of the three-month LIBOR plus 352 basis points. The shares are redeemable in whole or in part on or after November 1, 2026. Notwithstanding M&amp;T’s option to redeem the shares, if an event occurs such that the shares no longer qualify as Tier 1 capital, M&amp;T may redeem all of the shares within 90 days following that occurrence.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144" w:name="page145"/>
    <w:bookmarkEnd w:id="144"/>
    <w:p>
      <w:pPr>
        <w:ind w:right="140" w:firstLine="598"/>
        <w:spacing w:after="0" w:line="261" w:lineRule="auto"/>
        <w:rPr>
          <w:sz w:val="20"/>
          <w:szCs w:val="20"/>
          <w:color w:val="auto"/>
        </w:rPr>
      </w:pPr>
      <w:r>
        <w:rPr>
          <w:rFonts w:ascii="Arial" w:cs="Arial" w:eastAsia="Arial" w:hAnsi="Arial"/>
          <w:sz w:val="20"/>
          <w:szCs w:val="20"/>
          <w:color w:val="auto"/>
        </w:rPr>
        <w:t>In addition to the Series A warrants, a warrant to purchase 95,500 shares of M&amp;T common stock at $518.32 per share was outstanding at December 31, 2017. The obligation under that warrant was assumed by M&amp;T in an acquisition and expires on December 12, 2018.</w:t>
      </w:r>
    </w:p>
    <w:p>
      <w:pPr>
        <w:spacing w:after="0" w:line="349"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b w:val="1"/>
          <w:bCs w:val="1"/>
          <w:color w:val="auto"/>
        </w:rPr>
        <w:t>11.</w:t>
      </w:r>
      <w:r>
        <w:rPr>
          <w:sz w:val="20"/>
          <w:szCs w:val="20"/>
          <w:color w:val="auto"/>
        </w:rPr>
        <w:tab/>
      </w:r>
      <w:r>
        <w:rPr>
          <w:rFonts w:ascii="Arial" w:cs="Arial" w:eastAsia="Arial" w:hAnsi="Arial"/>
          <w:sz w:val="17"/>
          <w:szCs w:val="17"/>
          <w:b w:val="1"/>
          <w:bCs w:val="1"/>
          <w:color w:val="auto"/>
        </w:rPr>
        <w:t>Stock-based compensation plans</w:t>
      </w:r>
    </w:p>
    <w:p>
      <w:pPr>
        <w:spacing w:after="0" w:line="29" w:lineRule="exact"/>
        <w:rPr>
          <w:sz w:val="20"/>
          <w:szCs w:val="20"/>
          <w:color w:val="auto"/>
        </w:rPr>
      </w:pPr>
    </w:p>
    <w:p>
      <w:pPr>
        <w:spacing w:after="0" w:line="259" w:lineRule="auto"/>
        <w:rPr>
          <w:sz w:val="20"/>
          <w:szCs w:val="20"/>
          <w:color w:val="auto"/>
        </w:rPr>
      </w:pPr>
      <w:r>
        <w:rPr>
          <w:rFonts w:ascii="Arial" w:cs="Arial" w:eastAsia="Arial" w:hAnsi="Arial"/>
          <w:sz w:val="19"/>
          <w:szCs w:val="19"/>
          <w:color w:val="auto"/>
        </w:rPr>
        <w:t>Stock-based compensation expense was $61 million in 2017, $65 million in 2016 and $67 million in 2015. The Company recognized income tax benefits related to stock-based compensation of $35 million in 2017, $31 million in 2016 and $29 million in 2015.</w:t>
      </w:r>
    </w:p>
    <w:p>
      <w:pPr>
        <w:spacing w:after="0" w:line="1" w:lineRule="exact"/>
        <w:rPr>
          <w:sz w:val="20"/>
          <w:szCs w:val="20"/>
          <w:color w:val="auto"/>
        </w:rPr>
      </w:pPr>
    </w:p>
    <w:p>
      <w:pPr>
        <w:ind w:right="100" w:firstLine="598"/>
        <w:spacing w:after="0" w:line="293" w:lineRule="auto"/>
        <w:rPr>
          <w:sz w:val="20"/>
          <w:szCs w:val="20"/>
          <w:color w:val="auto"/>
        </w:rPr>
      </w:pPr>
      <w:r>
        <w:rPr>
          <w:rFonts w:ascii="Arial" w:cs="Arial" w:eastAsia="Arial" w:hAnsi="Arial"/>
          <w:sz w:val="18"/>
          <w:szCs w:val="18"/>
          <w:color w:val="auto"/>
        </w:rPr>
        <w:t>The Company’s equity incentive compensation plan allows for the issuance of various forms of stock-based compensation, including stock options, restricted stock, restricted stock units and performance-based awards. At December 31, 2017 and 2016, respectively, there were 3,278,036 and 3,667,800 shares available for future grant under the Company’s equity incentive compensation plan.</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Restricted stock awards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Restricted stock awards are comprised of restricted stock and restricted stock units. Restricted stock awards granted since 2014 vest over</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three years. Restricted stock awards granted prior to 2014 vested over four years. A portion of restricted stock awards granted after 2013</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require a performance condition to be met before such awards vest. Unrecognized compensation expense associated with restricted stock was</w:t>
      </w:r>
    </w:p>
    <w:p>
      <w:pPr>
        <w:spacing w:after="0" w:line="30" w:lineRule="exact"/>
        <w:rPr>
          <w:sz w:val="20"/>
          <w:szCs w:val="20"/>
          <w:color w:val="auto"/>
        </w:rPr>
      </w:pPr>
    </w:p>
    <w:p>
      <w:pPr>
        <w:spacing w:after="0"/>
        <w:rPr>
          <w:sz w:val="20"/>
          <w:szCs w:val="20"/>
          <w:color w:val="auto"/>
        </w:rPr>
      </w:pPr>
      <w:r>
        <w:rPr>
          <w:rFonts w:ascii="Arial" w:cs="Arial" w:eastAsia="Arial" w:hAnsi="Arial"/>
          <w:sz w:val="19"/>
          <w:szCs w:val="19"/>
          <w:color w:val="auto"/>
        </w:rPr>
        <w:t>$15 million as of December 31, 2017 and is expected to be recognized over a weighted-average period of approximately one year. The</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Company may issue restricted shares from treasury stock to the extent available or issue new shares. The number of restricted shares issued</w:t>
      </w:r>
    </w:p>
    <w:p>
      <w:pPr>
        <w:spacing w:after="0" w:line="30" w:lineRule="exact"/>
        <w:rPr>
          <w:sz w:val="20"/>
          <w:szCs w:val="20"/>
          <w:color w:val="auto"/>
        </w:rPr>
      </w:pPr>
    </w:p>
    <w:p>
      <w:pPr>
        <w:spacing w:after="0"/>
        <w:rPr>
          <w:sz w:val="20"/>
          <w:szCs w:val="20"/>
          <w:color w:val="auto"/>
        </w:rPr>
      </w:pPr>
      <w:r>
        <w:rPr>
          <w:rFonts w:ascii="Arial" w:cs="Arial" w:eastAsia="Arial" w:hAnsi="Arial"/>
          <w:sz w:val="19"/>
          <w:szCs w:val="19"/>
          <w:color w:val="auto"/>
        </w:rPr>
        <w:t>was 181,939 in 2017, 218,341 in 2016 and 218,183 in 2015, with a weighted-average grant date fair value of $29,557,000 in 2017,</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$24,085,000 in 2016 and $24,726,000 in 2015. Unrecognized compensation expense associated with restricted stock units was $6 million as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of December 31, 2017 and is expected to be recognized over a weighted-average period of approximately one year. The number of restricted</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stock units issued was 235,983 in 2017, 348,297 in 2016 and 324,772 in 2015, with a weighted-average grant date fair value of $38,364,000,</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$38,795,000 and $37,070,000, respectively.</w:t>
      </w:r>
    </w:p>
    <w:p>
      <w:pPr>
        <w:spacing w:after="0" w:line="7" w:lineRule="exact"/>
        <w:rPr>
          <w:sz w:val="20"/>
          <w:szCs w:val="20"/>
          <w:color w:val="auto"/>
        </w:rPr>
      </w:pPr>
    </w:p>
    <w:p>
      <w:pPr>
        <w:ind w:left="600"/>
        <w:spacing w:after="0"/>
        <w:rPr>
          <w:sz w:val="20"/>
          <w:szCs w:val="20"/>
          <w:color w:val="auto"/>
        </w:rPr>
      </w:pPr>
      <w:r>
        <w:rPr>
          <w:rFonts w:ascii="Arial" w:cs="Arial" w:eastAsia="Arial" w:hAnsi="Arial"/>
          <w:sz w:val="20"/>
          <w:szCs w:val="20"/>
          <w:color w:val="auto"/>
        </w:rPr>
        <w:t>A summary of restricted stock and restricted stock unit activity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Restricted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Weighted-</w:t>
            </w: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Restricted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Weighted-</w:t>
            </w:r>
          </w:p>
        </w:tc>
      </w:tr>
      <w:tr>
        <w:trPr>
          <w:trHeight w:val="145"/>
        </w:trPr>
        <w:tc>
          <w:tcPr>
            <w:tcW w:w="5960" w:type="dxa"/>
            <w:vAlign w:val="bottom"/>
          </w:tcPr>
          <w:p>
            <w:pPr>
              <w:spacing w:after="0"/>
              <w:rPr>
                <w:sz w:val="12"/>
                <w:szCs w:val="12"/>
                <w:color w:val="auto"/>
              </w:rPr>
            </w:pPr>
          </w:p>
        </w:tc>
        <w:tc>
          <w:tcPr>
            <w:tcW w:w="130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w w:val="88"/>
              </w:rPr>
              <w:t>Stock Units</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400"/>
              <w:spacing w:after="0" w:line="145" w:lineRule="exact"/>
              <w:rPr>
                <w:sz w:val="20"/>
                <w:szCs w:val="20"/>
                <w:color w:val="auto"/>
              </w:rPr>
            </w:pPr>
            <w:r>
              <w:rPr>
                <w:rFonts w:ascii="Arial" w:cs="Arial" w:eastAsia="Arial" w:hAnsi="Arial"/>
                <w:sz w:val="14"/>
                <w:szCs w:val="14"/>
                <w:b w:val="1"/>
                <w:bCs w:val="1"/>
                <w:color w:val="auto"/>
                <w:w w:val="86"/>
              </w:rPr>
              <w:t>Average</w:t>
            </w:r>
          </w:p>
        </w:tc>
        <w:tc>
          <w:tcPr>
            <w:tcW w:w="140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w w:val="89"/>
              </w:rPr>
              <w:t>Stock</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86"/>
              </w:rPr>
              <w:t>Average</w:t>
            </w:r>
          </w:p>
        </w:tc>
      </w:tr>
      <w:tr>
        <w:trPr>
          <w:trHeight w:val="167"/>
        </w:trPr>
        <w:tc>
          <w:tcPr>
            <w:tcW w:w="596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71"/>
              <w:spacing w:after="0"/>
              <w:rPr>
                <w:sz w:val="20"/>
                <w:szCs w:val="20"/>
                <w:color w:val="auto"/>
              </w:rPr>
            </w:pPr>
            <w:r>
              <w:rPr>
                <w:rFonts w:ascii="Arial" w:cs="Arial" w:eastAsia="Arial" w:hAnsi="Arial"/>
                <w:sz w:val="14"/>
                <w:szCs w:val="14"/>
                <w:b w:val="1"/>
                <w:bCs w:val="1"/>
                <w:color w:val="auto"/>
                <w:w w:val="95"/>
              </w:rPr>
              <w:t>Grant Price</w:t>
            </w:r>
          </w:p>
        </w:tc>
        <w:tc>
          <w:tcPr>
            <w:tcW w:w="24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Outstanding</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91"/>
              <w:spacing w:after="0"/>
              <w:rPr>
                <w:sz w:val="20"/>
                <w:szCs w:val="20"/>
                <w:color w:val="auto"/>
              </w:rPr>
            </w:pPr>
            <w:r>
              <w:rPr>
                <w:rFonts w:ascii="Arial" w:cs="Arial" w:eastAsia="Arial" w:hAnsi="Arial"/>
                <w:sz w:val="14"/>
                <w:szCs w:val="14"/>
                <w:b w:val="1"/>
                <w:bCs w:val="1"/>
                <w:color w:val="auto"/>
                <w:w w:val="95"/>
              </w:rPr>
              <w:t>Grant Price</w:t>
            </w:r>
          </w:p>
        </w:tc>
        <w:tc>
          <w:tcPr>
            <w:tcW w:w="100" w:type="dxa"/>
            <w:vAlign w:val="bottom"/>
          </w:tcPr>
          <w:p>
            <w:pPr>
              <w:spacing w:after="0"/>
              <w:rPr>
                <w:sz w:val="14"/>
                <w:szCs w:val="14"/>
                <w:color w:val="auto"/>
              </w:rPr>
            </w:pPr>
          </w:p>
        </w:tc>
      </w:tr>
      <w:tr>
        <w:trPr>
          <w:trHeight w:val="400"/>
        </w:trPr>
        <w:tc>
          <w:tcPr>
            <w:tcW w:w="5960" w:type="dxa"/>
            <w:vAlign w:val="bottom"/>
          </w:tcPr>
          <w:p>
            <w:pPr>
              <w:spacing w:after="0"/>
              <w:rPr>
                <w:sz w:val="20"/>
                <w:szCs w:val="20"/>
                <w:color w:val="auto"/>
              </w:rPr>
            </w:pPr>
            <w:r>
              <w:rPr>
                <w:rFonts w:ascii="Arial" w:cs="Arial" w:eastAsia="Arial" w:hAnsi="Arial"/>
                <w:sz w:val="20"/>
                <w:szCs w:val="20"/>
                <w:color w:val="auto"/>
              </w:rPr>
              <w:t>Unvested at January 1, 2017</w:t>
            </w:r>
          </w:p>
        </w:tc>
        <w:tc>
          <w:tcPr>
            <w:tcW w:w="1140" w:type="dxa"/>
            <w:vAlign w:val="bottom"/>
          </w:tcPr>
          <w:p>
            <w:pPr>
              <w:jc w:val="right"/>
              <w:spacing w:after="0"/>
              <w:rPr>
                <w:sz w:val="20"/>
                <w:szCs w:val="20"/>
                <w:color w:val="auto"/>
              </w:rPr>
            </w:pPr>
            <w:r>
              <w:rPr>
                <w:rFonts w:ascii="Arial" w:cs="Arial" w:eastAsia="Arial" w:hAnsi="Arial"/>
                <w:sz w:val="20"/>
                <w:szCs w:val="20"/>
                <w:color w:val="auto"/>
              </w:rPr>
              <w:t>739,350</w:t>
            </w:r>
          </w:p>
        </w:tc>
        <w:tc>
          <w:tcPr>
            <w:tcW w:w="16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111.21</w:t>
            </w:r>
          </w:p>
        </w:tc>
        <w:tc>
          <w:tcPr>
            <w:tcW w:w="2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499,324</w:t>
            </w:r>
          </w:p>
        </w:tc>
        <w:tc>
          <w:tcPr>
            <w:tcW w:w="24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Arial" w:cs="Arial" w:eastAsia="Arial" w:hAnsi="Arial"/>
                <w:sz w:val="20"/>
                <w:szCs w:val="20"/>
                <w:color w:val="auto"/>
                <w:w w:val="71"/>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109.92</w:t>
            </w:r>
          </w:p>
        </w:tc>
        <w:tc>
          <w:tcPr>
            <w:tcW w:w="100" w:type="dxa"/>
            <w:vAlign w:val="bottom"/>
          </w:tcPr>
          <w:p>
            <w:pPr>
              <w:spacing w:after="0"/>
              <w:rPr>
                <w:sz w:val="24"/>
                <w:szCs w:val="24"/>
                <w:color w:val="auto"/>
              </w:rPr>
            </w:pPr>
          </w:p>
        </w:tc>
      </w:tr>
      <w:tr>
        <w:trPr>
          <w:trHeight w:val="250"/>
        </w:trPr>
        <w:tc>
          <w:tcPr>
            <w:tcW w:w="5960" w:type="dxa"/>
            <w:vAlign w:val="bottom"/>
            <w:shd w:val="clear" w:color="auto" w:fill="CFF0FC"/>
          </w:tcPr>
          <w:p>
            <w:pPr>
              <w:spacing w:after="0"/>
              <w:rPr>
                <w:sz w:val="20"/>
                <w:szCs w:val="20"/>
                <w:color w:val="auto"/>
              </w:rPr>
            </w:pPr>
            <w:r>
              <w:rPr>
                <w:rFonts w:ascii="Arial" w:cs="Arial" w:eastAsia="Arial" w:hAnsi="Arial"/>
                <w:sz w:val="20"/>
                <w:szCs w:val="20"/>
                <w:color w:val="auto"/>
              </w:rPr>
              <w:t>Granted</w:t>
            </w: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235,983</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162.57</w:t>
            </w: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181,939</w:t>
            </w:r>
          </w:p>
        </w:tc>
        <w:tc>
          <w:tcPr>
            <w:tcW w:w="2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162.46</w:t>
            </w:r>
          </w:p>
        </w:tc>
        <w:tc>
          <w:tcPr>
            <w:tcW w:w="100" w:type="dxa"/>
            <w:vAlign w:val="bottom"/>
            <w:shd w:val="clear" w:color="auto" w:fill="CFF0FC"/>
          </w:tcPr>
          <w:p>
            <w:pPr>
              <w:spacing w:after="0"/>
              <w:rPr>
                <w:sz w:val="21"/>
                <w:szCs w:val="21"/>
                <w:color w:val="auto"/>
              </w:rPr>
            </w:pPr>
          </w:p>
        </w:tc>
      </w:tr>
      <w:tr>
        <w:trPr>
          <w:trHeight w:val="250"/>
        </w:trPr>
        <w:tc>
          <w:tcPr>
            <w:tcW w:w="5960" w:type="dxa"/>
            <w:vAlign w:val="bottom"/>
          </w:tcPr>
          <w:p>
            <w:pPr>
              <w:spacing w:after="0"/>
              <w:rPr>
                <w:sz w:val="20"/>
                <w:szCs w:val="20"/>
                <w:color w:val="auto"/>
              </w:rPr>
            </w:pPr>
            <w:r>
              <w:rPr>
                <w:rFonts w:ascii="Arial" w:cs="Arial" w:eastAsia="Arial" w:hAnsi="Arial"/>
                <w:sz w:val="20"/>
                <w:szCs w:val="20"/>
                <w:color w:val="auto"/>
              </w:rPr>
              <w:t>Vested</w:t>
            </w:r>
          </w:p>
        </w:tc>
        <w:tc>
          <w:tcPr>
            <w:tcW w:w="1300" w:type="dxa"/>
            <w:vAlign w:val="bottom"/>
            <w:gridSpan w:val="2"/>
          </w:tcPr>
          <w:p>
            <w:pPr>
              <w:jc w:val="right"/>
              <w:ind w:right="100"/>
              <w:spacing w:after="0"/>
              <w:rPr>
                <w:sz w:val="20"/>
                <w:szCs w:val="20"/>
                <w:color w:val="auto"/>
              </w:rPr>
            </w:pPr>
            <w:r>
              <w:rPr>
                <w:rFonts w:ascii="Arial" w:cs="Arial" w:eastAsia="Arial" w:hAnsi="Arial"/>
                <w:sz w:val="20"/>
                <w:szCs w:val="20"/>
                <w:color w:val="auto"/>
              </w:rPr>
              <w:t>(481,002)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114.06</w:t>
            </w:r>
          </w:p>
        </w:tc>
        <w:tc>
          <w:tcPr>
            <w:tcW w:w="24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20"/>
                <w:szCs w:val="20"/>
                <w:color w:val="auto"/>
              </w:rPr>
              <w:t>(290,935)</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108.97</w:t>
            </w:r>
          </w:p>
        </w:tc>
        <w:tc>
          <w:tcPr>
            <w:tcW w:w="100" w:type="dxa"/>
            <w:vAlign w:val="bottom"/>
          </w:tcPr>
          <w:p>
            <w:pPr>
              <w:spacing w:after="0"/>
              <w:rPr>
                <w:sz w:val="21"/>
                <w:szCs w:val="21"/>
                <w:color w:val="auto"/>
              </w:rPr>
            </w:pPr>
          </w:p>
        </w:tc>
      </w:tr>
      <w:tr>
        <w:trPr>
          <w:trHeight w:val="250"/>
        </w:trPr>
        <w:tc>
          <w:tcPr>
            <w:tcW w:w="5960" w:type="dxa"/>
            <w:vAlign w:val="bottom"/>
            <w:shd w:val="clear" w:color="auto" w:fill="CFF0FC"/>
          </w:tcPr>
          <w:p>
            <w:pPr>
              <w:spacing w:after="0"/>
              <w:rPr>
                <w:sz w:val="20"/>
                <w:szCs w:val="20"/>
                <w:color w:val="auto"/>
              </w:rPr>
            </w:pPr>
            <w:r>
              <w:rPr>
                <w:rFonts w:ascii="Arial" w:cs="Arial" w:eastAsia="Arial" w:hAnsi="Arial"/>
                <w:sz w:val="20"/>
                <w:szCs w:val="20"/>
                <w:color w:val="auto"/>
              </w:rPr>
              <w:t>Cancelled</w:t>
            </w: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(11,774)</w:t>
            </w: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129.15</w:t>
            </w:r>
          </w:p>
        </w:tc>
        <w:tc>
          <w:tcPr>
            <w:tcW w:w="24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20"/>
                <w:szCs w:val="20"/>
                <w:color w:val="auto"/>
              </w:rPr>
              <w:t>(16,584)</w:t>
            </w: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128.64</w:t>
            </w:r>
          </w:p>
        </w:tc>
        <w:tc>
          <w:tcPr>
            <w:tcW w:w="100" w:type="dxa"/>
            <w:vAlign w:val="bottom"/>
            <w:shd w:val="clear" w:color="auto" w:fill="CFF0FC"/>
          </w:tcPr>
          <w:p>
            <w:pPr>
              <w:spacing w:after="0"/>
              <w:rPr>
                <w:sz w:val="21"/>
                <w:szCs w:val="21"/>
                <w:color w:val="auto"/>
              </w:rPr>
            </w:pPr>
          </w:p>
        </w:tc>
      </w:tr>
      <w:tr>
        <w:trPr>
          <w:trHeight w:val="243"/>
        </w:trPr>
        <w:tc>
          <w:tcPr>
            <w:tcW w:w="5960" w:type="dxa"/>
            <w:vAlign w:val="bottom"/>
          </w:tcPr>
          <w:p>
            <w:pPr>
              <w:spacing w:after="0"/>
              <w:rPr>
                <w:sz w:val="20"/>
                <w:szCs w:val="20"/>
                <w:color w:val="auto"/>
              </w:rPr>
            </w:pPr>
            <w:r>
              <w:rPr>
                <w:rFonts w:ascii="Arial" w:cs="Arial" w:eastAsia="Arial" w:hAnsi="Arial"/>
                <w:sz w:val="20"/>
                <w:szCs w:val="20"/>
                <w:color w:val="auto"/>
              </w:rPr>
              <w:t>Unvested at December 31, 2017</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482,557</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133.05</w:t>
            </w:r>
          </w:p>
        </w:tc>
        <w:tc>
          <w:tcPr>
            <w:tcW w:w="240" w:type="dxa"/>
            <w:vAlign w:val="bottom"/>
          </w:tcPr>
          <w:p>
            <w:pPr>
              <w:spacing w:after="0"/>
              <w:rPr>
                <w:sz w:val="21"/>
                <w:szCs w:val="21"/>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373,744</w:t>
            </w:r>
          </w:p>
        </w:tc>
        <w:tc>
          <w:tcPr>
            <w:tcW w:w="2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135.41</w:t>
            </w:r>
          </w:p>
        </w:tc>
        <w:tc>
          <w:tcPr>
            <w:tcW w:w="100" w:type="dxa"/>
            <w:vAlign w:val="bottom"/>
          </w:tcPr>
          <w:p>
            <w:pPr>
              <w:spacing w:after="0"/>
              <w:rPr>
                <w:sz w:val="21"/>
                <w:szCs w:val="21"/>
                <w:color w:val="auto"/>
              </w:rPr>
            </w:pPr>
          </w:p>
        </w:tc>
      </w:tr>
      <w:tr>
        <w:trPr>
          <w:trHeight w:val="20"/>
        </w:trPr>
        <w:tc>
          <w:tcPr>
            <w:tcW w:w="59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4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Stock option awards</w:t>
      </w:r>
    </w:p>
    <w:p>
      <w:pPr>
        <w:spacing w:after="0" w:line="25"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Stock options issued generally vested over four years and are exercisable over terms not exceeding ten years and one day. The Company used an option pricing model to estimate the grant date present value of stock options granted. Stock options granted in 2017, 2016 and 2015 were not significant.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46" w:right="239" w:bottom="1440" w:gutter="0" w:footer="0" w:header="0"/>
        </w:sectPr>
      </w:pPr>
    </w:p>
    <w:bookmarkStart w:id="145" w:name="page146"/>
    <w:bookmarkEnd w:id="145"/>
    <w:p>
      <w:pPr>
        <w:ind w:left="600"/>
        <w:spacing w:after="0"/>
        <w:rPr>
          <w:sz w:val="20"/>
          <w:szCs w:val="20"/>
          <w:color w:val="auto"/>
        </w:rPr>
      </w:pPr>
      <w:r>
        <w:rPr>
          <w:rFonts w:ascii="Arial" w:cs="Arial" w:eastAsia="Arial" w:hAnsi="Arial"/>
          <w:sz w:val="20"/>
          <w:szCs w:val="20"/>
          <w:color w:val="auto"/>
        </w:rPr>
        <w:t>A summary of stock option activity follows: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960" w:type="dxa"/>
            <w:vAlign w:val="bottom"/>
          </w:tcPr>
          <w:p>
            <w:pPr>
              <w:spacing w:after="0"/>
              <w:rPr>
                <w:sz w:val="14"/>
                <w:szCs w:val="14"/>
                <w:color w:val="auto"/>
              </w:rPr>
            </w:pPr>
          </w:p>
        </w:tc>
        <w:tc>
          <w:tcPr>
            <w:tcW w:w="13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3"/>
              </w:rPr>
              <w:t>Stock</w:t>
            </w: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rPr>
              <w:t>Weighted-Average</w:t>
            </w:r>
          </w:p>
        </w:tc>
        <w:tc>
          <w:tcPr>
            <w:tcW w:w="2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28"/>
        </w:trPr>
        <w:tc>
          <w:tcPr>
            <w:tcW w:w="596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Exercise</w:t>
            </w:r>
          </w:p>
        </w:tc>
        <w:tc>
          <w:tcPr>
            <w:tcW w:w="880" w:type="dxa"/>
            <w:vAlign w:val="bottom"/>
            <w:vMerge w:val="restart"/>
          </w:tcPr>
          <w:p>
            <w:pPr>
              <w:jc w:val="center"/>
              <w:ind w:left="210"/>
              <w:spacing w:after="0"/>
              <w:rPr>
                <w:sz w:val="20"/>
                <w:szCs w:val="20"/>
                <w:color w:val="auto"/>
              </w:rPr>
            </w:pPr>
            <w:r>
              <w:rPr>
                <w:rFonts w:ascii="Arial" w:cs="Arial" w:eastAsia="Arial" w:hAnsi="Arial"/>
                <w:sz w:val="14"/>
                <w:szCs w:val="14"/>
                <w:b w:val="1"/>
                <w:bCs w:val="1"/>
                <w:color w:val="auto"/>
                <w:w w:val="96"/>
              </w:rPr>
              <w:t>Life</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5960" w:type="dxa"/>
            <w:vAlign w:val="bottom"/>
          </w:tcPr>
          <w:p>
            <w:pPr>
              <w:spacing w:after="0"/>
              <w:rPr>
                <w:sz w:val="12"/>
                <w:szCs w:val="12"/>
                <w:color w:val="auto"/>
              </w:rPr>
            </w:pPr>
          </w:p>
        </w:tc>
        <w:tc>
          <w:tcPr>
            <w:tcW w:w="130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w w:val="90"/>
              </w:rPr>
              <w:t>Options</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91"/>
              </w:rPr>
              <w:t>Intrinsic Value</w:t>
            </w:r>
          </w:p>
        </w:tc>
        <w:tc>
          <w:tcPr>
            <w:tcW w:w="0" w:type="dxa"/>
            <w:vAlign w:val="bottom"/>
          </w:tcPr>
          <w:p>
            <w:pPr>
              <w:spacing w:after="0"/>
              <w:rPr>
                <w:sz w:val="1"/>
                <w:szCs w:val="1"/>
                <w:color w:val="auto"/>
              </w:rPr>
            </w:pPr>
          </w:p>
        </w:tc>
      </w:tr>
      <w:tr>
        <w:trPr>
          <w:trHeight w:val="167"/>
        </w:trPr>
        <w:tc>
          <w:tcPr>
            <w:tcW w:w="596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4"/>
                <w:szCs w:val="14"/>
                <w:b w:val="1"/>
                <w:bCs w:val="1"/>
                <w:color w:val="auto"/>
              </w:rPr>
              <w:t>Price</w:t>
            </w:r>
          </w:p>
        </w:tc>
        <w:tc>
          <w:tcPr>
            <w:tcW w:w="240" w:type="dxa"/>
            <w:vAlign w:val="bottom"/>
          </w:tcPr>
          <w:p>
            <w:pPr>
              <w:spacing w:after="0"/>
              <w:rPr>
                <w:sz w:val="14"/>
                <w:szCs w:val="14"/>
                <w:color w:val="auto"/>
              </w:rPr>
            </w:pPr>
          </w:p>
        </w:tc>
        <w:tc>
          <w:tcPr>
            <w:tcW w:w="880" w:type="dxa"/>
            <w:vAlign w:val="bottom"/>
            <w:tcBorders>
              <w:bottom w:val="single" w:sz="8" w:color="auto"/>
            </w:tcBorders>
          </w:tcPr>
          <w:p>
            <w:pPr>
              <w:jc w:val="center"/>
              <w:ind w:left="210"/>
              <w:spacing w:after="0"/>
              <w:rPr>
                <w:sz w:val="20"/>
                <w:szCs w:val="20"/>
                <w:color w:val="auto"/>
              </w:rPr>
            </w:pPr>
            <w:r>
              <w:rPr>
                <w:rFonts w:ascii="Arial" w:cs="Arial" w:eastAsia="Arial" w:hAnsi="Arial"/>
                <w:sz w:val="14"/>
                <w:szCs w:val="14"/>
                <w:b w:val="1"/>
                <w:bCs w:val="1"/>
                <w:color w:val="auto"/>
                <w:w w:val="93"/>
              </w:rPr>
              <w:t>(In Years)</w:t>
            </w:r>
          </w:p>
        </w:tc>
        <w:tc>
          <w:tcPr>
            <w:tcW w:w="2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0"/>
        </w:trPr>
        <w:tc>
          <w:tcPr>
            <w:tcW w:w="5960" w:type="dxa"/>
            <w:vAlign w:val="bottom"/>
          </w:tcPr>
          <w:p>
            <w:pPr>
              <w:spacing w:after="0"/>
              <w:rPr>
                <w:sz w:val="20"/>
                <w:szCs w:val="20"/>
                <w:color w:val="auto"/>
              </w:rPr>
            </w:pPr>
            <w:r>
              <w:rPr>
                <w:rFonts w:ascii="Arial" w:cs="Arial" w:eastAsia="Arial" w:hAnsi="Arial"/>
                <w:sz w:val="20"/>
                <w:szCs w:val="20"/>
                <w:color w:val="auto"/>
              </w:rPr>
              <w:t>Outstanding at January 1, 2017</w:t>
            </w:r>
          </w:p>
        </w:tc>
        <w:tc>
          <w:tcPr>
            <w:tcW w:w="1140" w:type="dxa"/>
            <w:vAlign w:val="bottom"/>
          </w:tcPr>
          <w:p>
            <w:pPr>
              <w:jc w:val="right"/>
              <w:spacing w:after="0"/>
              <w:rPr>
                <w:sz w:val="20"/>
                <w:szCs w:val="20"/>
                <w:color w:val="auto"/>
              </w:rPr>
            </w:pPr>
            <w:r>
              <w:rPr>
                <w:rFonts w:ascii="Arial" w:cs="Arial" w:eastAsia="Arial" w:hAnsi="Arial"/>
                <w:sz w:val="20"/>
                <w:szCs w:val="20"/>
                <w:color w:val="auto"/>
              </w:rPr>
              <w:t>1,594,591</w:t>
            </w:r>
          </w:p>
        </w:tc>
        <w:tc>
          <w:tcPr>
            <w:tcW w:w="160" w:type="dxa"/>
            <w:vAlign w:val="bottom"/>
          </w:tcPr>
          <w:p>
            <w:pPr>
              <w:spacing w:after="0"/>
              <w:rPr>
                <w:sz w:val="24"/>
                <w:szCs w:val="24"/>
                <w:color w:val="auto"/>
              </w:rPr>
            </w:pPr>
          </w:p>
        </w:tc>
        <w:tc>
          <w:tcPr>
            <w:tcW w:w="300" w:type="dxa"/>
            <w:vAlign w:val="bottom"/>
            <w:gridSpan w:val="2"/>
          </w:tcPr>
          <w:p>
            <w:pPr>
              <w:jc w:val="right"/>
              <w:ind w:right="19"/>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139.60</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960" w:type="dxa"/>
            <w:vAlign w:val="bottom"/>
            <w:shd w:val="clear" w:color="auto" w:fill="CFF0FC"/>
          </w:tcPr>
          <w:p>
            <w:pPr>
              <w:spacing w:after="0"/>
              <w:rPr>
                <w:sz w:val="20"/>
                <w:szCs w:val="20"/>
                <w:color w:val="auto"/>
              </w:rPr>
            </w:pPr>
            <w:r>
              <w:rPr>
                <w:rFonts w:ascii="Arial" w:cs="Arial" w:eastAsia="Arial" w:hAnsi="Arial"/>
                <w:sz w:val="20"/>
                <w:szCs w:val="20"/>
                <w:color w:val="auto"/>
              </w:rPr>
              <w:t>Granted</w:t>
            </w: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200</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162.57</w:t>
            </w: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60" w:type="dxa"/>
            <w:vAlign w:val="bottom"/>
          </w:tcPr>
          <w:p>
            <w:pPr>
              <w:spacing w:after="0"/>
              <w:rPr>
                <w:sz w:val="20"/>
                <w:szCs w:val="20"/>
                <w:color w:val="auto"/>
              </w:rPr>
            </w:pPr>
            <w:r>
              <w:rPr>
                <w:rFonts w:ascii="Arial" w:cs="Arial" w:eastAsia="Arial" w:hAnsi="Arial"/>
                <w:sz w:val="20"/>
                <w:szCs w:val="20"/>
                <w:color w:val="auto"/>
              </w:rPr>
              <w:t>Exercised</w:t>
            </w:r>
          </w:p>
        </w:tc>
        <w:tc>
          <w:tcPr>
            <w:tcW w:w="1300" w:type="dxa"/>
            <w:vAlign w:val="bottom"/>
            <w:gridSpan w:val="2"/>
          </w:tcPr>
          <w:p>
            <w:pPr>
              <w:jc w:val="right"/>
              <w:ind w:right="100"/>
              <w:spacing w:after="0"/>
              <w:rPr>
                <w:sz w:val="20"/>
                <w:szCs w:val="20"/>
                <w:color w:val="auto"/>
              </w:rPr>
            </w:pPr>
            <w:r>
              <w:rPr>
                <w:rFonts w:ascii="Arial" w:cs="Arial" w:eastAsia="Arial" w:hAnsi="Arial"/>
                <w:sz w:val="20"/>
                <w:szCs w:val="20"/>
                <w:color w:val="auto"/>
              </w:rPr>
              <w:t>(658,400)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116.20</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60" w:type="dxa"/>
            <w:vAlign w:val="bottom"/>
            <w:shd w:val="clear" w:color="auto" w:fill="CFF0FC"/>
          </w:tcPr>
          <w:p>
            <w:pPr>
              <w:spacing w:after="0"/>
              <w:rPr>
                <w:sz w:val="20"/>
                <w:szCs w:val="20"/>
                <w:color w:val="auto"/>
              </w:rPr>
            </w:pPr>
            <w:r>
              <w:rPr>
                <w:rFonts w:ascii="Arial" w:cs="Arial" w:eastAsia="Arial" w:hAnsi="Arial"/>
                <w:sz w:val="20"/>
                <w:szCs w:val="20"/>
                <w:color w:val="auto"/>
              </w:rPr>
              <w:t>Expired</w:t>
            </w: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(270,979)</w:t>
            </w: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165.46</w:t>
            </w: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5960" w:type="dxa"/>
            <w:vAlign w:val="bottom"/>
          </w:tcPr>
          <w:p>
            <w:pPr>
              <w:spacing w:after="0"/>
              <w:rPr>
                <w:sz w:val="20"/>
                <w:szCs w:val="20"/>
                <w:color w:val="auto"/>
              </w:rPr>
            </w:pPr>
            <w:r>
              <w:rPr>
                <w:rFonts w:ascii="Arial" w:cs="Arial" w:eastAsia="Arial" w:hAnsi="Arial"/>
                <w:sz w:val="20"/>
                <w:szCs w:val="20"/>
                <w:color w:val="auto"/>
              </w:rPr>
              <w:t>Outstanding at December 31, 2017</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665,412</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20"/>
                <w:szCs w:val="20"/>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152.23</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20"/>
                <w:szCs w:val="20"/>
                <w:color w:val="auto"/>
                <w:w w:val="86"/>
              </w:rPr>
              <w:t>0.8</w:t>
            </w:r>
          </w:p>
        </w:tc>
        <w:tc>
          <w:tcPr>
            <w:tcW w:w="3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18,086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9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Exercisable at December 31, 2017</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665,010</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Arial" w:cs="Arial" w:eastAsia="Arial" w:hAnsi="Arial"/>
                <w:sz w:val="20"/>
                <w:szCs w:val="20"/>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152.23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86"/>
              </w:rPr>
              <w:t>0.8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18,072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right="20" w:firstLine="598"/>
        <w:spacing w:after="0" w:line="252" w:lineRule="auto"/>
        <w:rPr>
          <w:sz w:val="20"/>
          <w:szCs w:val="20"/>
          <w:color w:val="auto"/>
        </w:rPr>
      </w:pPr>
      <w:r>
        <w:rPr>
          <w:rFonts w:ascii="Arial" w:cs="Arial" w:eastAsia="Arial" w:hAnsi="Arial"/>
          <w:sz w:val="20"/>
          <w:szCs w:val="20"/>
          <w:color w:val="auto"/>
        </w:rPr>
        <w:t>For 2017, 2016 and 2015, M&amp;T received $72 million, $172 million and $93 million, respectively, in cash and realized tax benefits from the exercise of stock options of $10 million, $15 million and $6 million, respectively. The intrinsic value of stock options exercised during those periods was $31 million, $42 million and $17 million, respectively. As of December 31, 2017, the amount of unrecognized compensation cost related to non-vested stock options was not significant. The total grant date fair value of stock options vested during 2017, 2016 and 2015 was not significant. Upon the exercise of stock options, the Company may issue shares from treasury stock to the extent available or issue new shares.</w:t>
      </w: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Stock purchase plan</w:t>
      </w:r>
    </w:p>
    <w:p>
      <w:pPr>
        <w:spacing w:after="0" w:line="25" w:lineRule="exact"/>
        <w:rPr>
          <w:sz w:val="20"/>
          <w:szCs w:val="20"/>
          <w:color w:val="auto"/>
        </w:rPr>
      </w:pPr>
    </w:p>
    <w:p>
      <w:pPr>
        <w:ind w:right="120"/>
        <w:spacing w:after="0" w:line="248" w:lineRule="auto"/>
        <w:rPr>
          <w:sz w:val="20"/>
          <w:szCs w:val="20"/>
          <w:color w:val="auto"/>
        </w:rPr>
      </w:pPr>
      <w:r>
        <w:rPr>
          <w:rFonts w:ascii="Arial" w:cs="Arial" w:eastAsia="Arial" w:hAnsi="Arial"/>
          <w:sz w:val="20"/>
          <w:szCs w:val="20"/>
          <w:color w:val="auto"/>
        </w:rPr>
        <w:t>The stock purchase plan provides eligible employees of the Company with the right to purchase shares of M&amp;T common stock at a discount through accumulated payroll deductions. In connection with the employee stock purchase plan, 2,500,000 shares of M&amp;T common stock were authorized for issuance under a plan adopted in 2013. There were 66,504 shares issued in 2017, 97,880 shares issued in 2016 and 89,384 shares issued in 2015. For 2017, 2016 and 2015, M&amp;T received $9,730,000, $9,528,000 and $9,296,000, respectively, in cash for shares purchased through the employee stock purchase plan. Compensation expense recognized for the stock purchase plan was not significant in 2017, 2016 or 2015.</w:t>
      </w:r>
    </w:p>
    <w:p>
      <w:pPr>
        <w:spacing w:after="0" w:line="29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Deferred bonus plan</w:t>
      </w:r>
    </w:p>
    <w:p>
      <w:pPr>
        <w:spacing w:after="0" w:line="25" w:lineRule="exact"/>
        <w:rPr>
          <w:sz w:val="20"/>
          <w:szCs w:val="20"/>
          <w:color w:val="auto"/>
        </w:rPr>
      </w:pPr>
    </w:p>
    <w:p>
      <w:pPr>
        <w:ind w:right="40"/>
        <w:spacing w:after="0" w:line="248" w:lineRule="auto"/>
        <w:rPr>
          <w:sz w:val="20"/>
          <w:szCs w:val="20"/>
          <w:color w:val="auto"/>
        </w:rPr>
      </w:pPr>
      <w:r>
        <w:rPr>
          <w:rFonts w:ascii="Arial" w:cs="Arial" w:eastAsia="Arial" w:hAnsi="Arial"/>
          <w:sz w:val="20"/>
          <w:szCs w:val="20"/>
          <w:color w:val="auto"/>
        </w:rPr>
        <w:t>The Company provided a deferred bonus plan pursuant to which eligible employees could elect to defer all or a portion of their annual incentive compensation awards and allocate such awards to several investment options, including M&amp;T common stock. Participants could elect the timing of distributions from the plan. Such distributions are payable in cash with the exception of balances allocated to M&amp;T common stock which are distributable in the form of M&amp;T common stock. Shares of M&amp;T common stock distributable pursuant to the terms of the deferred bonus plan were 19,633 and 23,188 at December 31, 2017 and 2016, respectively. The obligation to issue shares is included in “common stock issuable” in the consolidated balance sheet.</w:t>
      </w:r>
    </w:p>
    <w:p>
      <w:pPr>
        <w:spacing w:after="0" w:line="29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Directors’ stock plan</w:t>
      </w:r>
    </w:p>
    <w:p>
      <w:pPr>
        <w:spacing w:after="0" w:line="25" w:lineRule="exact"/>
        <w:rPr>
          <w:sz w:val="20"/>
          <w:szCs w:val="20"/>
          <w:color w:val="auto"/>
        </w:rPr>
      </w:pPr>
    </w:p>
    <w:p>
      <w:pPr>
        <w:ind w:right="20"/>
        <w:spacing w:after="0" w:line="251" w:lineRule="auto"/>
        <w:rPr>
          <w:sz w:val="20"/>
          <w:szCs w:val="20"/>
          <w:color w:val="auto"/>
        </w:rPr>
      </w:pPr>
      <w:r>
        <w:rPr>
          <w:rFonts w:ascii="Arial" w:cs="Arial" w:eastAsia="Arial" w:hAnsi="Arial"/>
          <w:sz w:val="20"/>
          <w:szCs w:val="20"/>
          <w:color w:val="auto"/>
        </w:rPr>
        <w:t>The Company maintains a compensation plan for non-employee members of the Company’s boards of directors and directors advisory councils that allows such members to receive all or a portion of their compensation in shares of M&amp;T common stock. Through December 31, 2017, 255,816 shares had been issued in connection with the directors’ stock plan.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46" w:name="page147"/>
    <w:bookmarkEnd w:id="146"/>
    <w:p>
      <w:pPr>
        <w:ind w:right="120" w:firstLine="598"/>
        <w:spacing w:after="0" w:line="281" w:lineRule="auto"/>
        <w:rPr>
          <w:sz w:val="20"/>
          <w:szCs w:val="20"/>
          <w:color w:val="auto"/>
        </w:rPr>
      </w:pPr>
      <w:r>
        <w:rPr>
          <w:rFonts w:ascii="Arial" w:cs="Arial" w:eastAsia="Arial" w:hAnsi="Arial"/>
          <w:sz w:val="19"/>
          <w:szCs w:val="19"/>
          <w:color w:val="auto"/>
        </w:rPr>
        <w:t>Through acquisitions, the Company assumed obligations to issue shares of M&amp;T common stock related to deferred directors compensation plans. Shares of common stock issuable under such plans were 7,505 and 9,215 at December 31, 2017 and 2016, respectively. The obligation to issue shares is included in “common stock issuable” in the consolidated balance sheet.</w:t>
      </w:r>
    </w:p>
    <w:p>
      <w:pPr>
        <w:spacing w:after="0" w:line="332"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12.</w:t>
      </w:r>
      <w:r>
        <w:rPr>
          <w:sz w:val="20"/>
          <w:szCs w:val="20"/>
          <w:color w:val="auto"/>
        </w:rPr>
        <w:tab/>
      </w:r>
      <w:r>
        <w:rPr>
          <w:rFonts w:ascii="Arial" w:cs="Arial" w:eastAsia="Arial" w:hAnsi="Arial"/>
          <w:sz w:val="17"/>
          <w:szCs w:val="17"/>
          <w:b w:val="1"/>
          <w:bCs w:val="1"/>
          <w:color w:val="auto"/>
        </w:rPr>
        <w:t>Pension plans and other postretirement benefits</w:t>
      </w:r>
    </w:p>
    <w:p>
      <w:pPr>
        <w:spacing w:after="0" w:line="29" w:lineRule="exact"/>
        <w:rPr>
          <w:sz w:val="20"/>
          <w:szCs w:val="20"/>
          <w:color w:val="auto"/>
        </w:rPr>
      </w:pPr>
    </w:p>
    <w:p>
      <w:pPr>
        <w:ind w:right="640"/>
        <w:spacing w:after="0" w:line="246" w:lineRule="auto"/>
        <w:rPr>
          <w:sz w:val="20"/>
          <w:szCs w:val="20"/>
          <w:color w:val="auto"/>
        </w:rPr>
      </w:pPr>
      <w:r>
        <w:rPr>
          <w:rFonts w:ascii="Arial" w:cs="Arial" w:eastAsia="Arial" w:hAnsi="Arial"/>
          <w:sz w:val="20"/>
          <w:szCs w:val="20"/>
          <w:color w:val="auto"/>
        </w:rPr>
        <w:t>The Company provides defined benefit pension and other postretirement benefits (including health care and life insurance benefits) to qualified retired employees. The Company uses a December 31 measurement date for all of its plans.</w:t>
      </w:r>
    </w:p>
    <w:p>
      <w:pPr>
        <w:spacing w:after="0" w:line="2" w:lineRule="exact"/>
        <w:rPr>
          <w:sz w:val="20"/>
          <w:szCs w:val="20"/>
          <w:color w:val="auto"/>
        </w:rPr>
      </w:pPr>
    </w:p>
    <w:p>
      <w:pPr>
        <w:ind w:left="600"/>
        <w:spacing w:after="0"/>
        <w:rPr>
          <w:sz w:val="20"/>
          <w:szCs w:val="20"/>
          <w:color w:val="auto"/>
        </w:rPr>
      </w:pPr>
      <w:r>
        <w:rPr>
          <w:rFonts w:ascii="Arial" w:cs="Arial" w:eastAsia="Arial" w:hAnsi="Arial"/>
          <w:sz w:val="20"/>
          <w:szCs w:val="20"/>
          <w:color w:val="auto"/>
        </w:rPr>
        <w:t>Net periodic pension expense for defined benefit plans consisted of the following: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4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0"/>
              </w:rPr>
              <w:t>Year Ended December 31</w:t>
            </w: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448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44"/>
              <w:spacing w:after="0" w:line="151"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right="87"/>
              <w:spacing w:after="0" w:line="151" w:lineRule="exact"/>
              <w:rPr>
                <w:sz w:val="20"/>
                <w:szCs w:val="20"/>
                <w:color w:val="auto"/>
              </w:rPr>
            </w:pPr>
            <w:r>
              <w:rPr>
                <w:rFonts w:ascii="Arial" w:cs="Arial" w:eastAsia="Arial" w:hAnsi="Arial"/>
                <w:sz w:val="14"/>
                <w:szCs w:val="14"/>
                <w:b w:val="1"/>
                <w:bCs w:val="1"/>
                <w:color w:val="auto"/>
                <w:w w:val="89"/>
              </w:rPr>
              <w:t>2016</w:t>
            </w: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44"/>
              <w:spacing w:after="0" w:line="151"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4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448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4480" w:type="dxa"/>
            <w:vAlign w:val="bottom"/>
            <w:shd w:val="clear" w:color="auto" w:fill="CFF0FC"/>
          </w:tcPr>
          <w:p>
            <w:pPr>
              <w:spacing w:after="0"/>
              <w:rPr>
                <w:sz w:val="20"/>
                <w:szCs w:val="20"/>
                <w:color w:val="auto"/>
              </w:rPr>
            </w:pPr>
            <w:r>
              <w:rPr>
                <w:rFonts w:ascii="Arial" w:cs="Arial" w:eastAsia="Arial" w:hAnsi="Arial"/>
                <w:sz w:val="20"/>
                <w:szCs w:val="20"/>
                <w:color w:val="auto"/>
              </w:rPr>
              <w:t>Service cost</w:t>
            </w:r>
          </w:p>
        </w:tc>
        <w:tc>
          <w:tcPr>
            <w:tcW w:w="2600" w:type="dxa"/>
            <w:vAlign w:val="bottom"/>
            <w:gridSpan w:val="2"/>
            <w:shd w:val="clear" w:color="auto" w:fill="CFF0FC"/>
          </w:tcPr>
          <w:p>
            <w:pPr>
              <w:jc w:val="right"/>
              <w:ind w:right="99"/>
              <w:spacing w:after="0"/>
              <w:rPr>
                <w:sz w:val="20"/>
                <w:szCs w:val="20"/>
                <w:color w:val="auto"/>
              </w:rPr>
            </w:pPr>
            <w:r>
              <w:rPr>
                <w:rFonts w:ascii="Arial" w:cs="Arial" w:eastAsia="Arial" w:hAnsi="Arial"/>
                <w:sz w:val="20"/>
                <w:szCs w:val="20"/>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20,193</w:t>
            </w:r>
          </w:p>
        </w:tc>
        <w:tc>
          <w:tcPr>
            <w:tcW w:w="120" w:type="dxa"/>
            <w:vAlign w:val="bottom"/>
            <w:shd w:val="clear" w:color="auto" w:fill="CFF0FC"/>
          </w:tcPr>
          <w:p>
            <w:pPr>
              <w:spacing w:after="0"/>
              <w:rPr>
                <w:sz w:val="21"/>
                <w:szCs w:val="21"/>
                <w:color w:val="auto"/>
              </w:rPr>
            </w:pP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25,037</w:t>
            </w:r>
          </w:p>
        </w:tc>
        <w:tc>
          <w:tcPr>
            <w:tcW w:w="160" w:type="dxa"/>
            <w:vAlign w:val="bottom"/>
            <w:shd w:val="clear" w:color="auto" w:fill="CFF0FC"/>
          </w:tcPr>
          <w:p>
            <w:pPr>
              <w:spacing w:after="0"/>
              <w:rPr>
                <w:sz w:val="21"/>
                <w:szCs w:val="21"/>
                <w:color w:val="auto"/>
              </w:rPr>
            </w:pPr>
          </w:p>
        </w:tc>
        <w:tc>
          <w:tcPr>
            <w:tcW w:w="400" w:type="dxa"/>
            <w:vAlign w:val="bottom"/>
            <w:gridSpan w:val="2"/>
            <w:shd w:val="clear" w:color="auto" w:fill="CFF0FC"/>
          </w:tcPr>
          <w:p>
            <w:pPr>
              <w:jc w:val="right"/>
              <w:ind w:right="119"/>
              <w:spacing w:after="0"/>
              <w:rPr>
                <w:sz w:val="20"/>
                <w:szCs w:val="20"/>
                <w:color w:val="auto"/>
              </w:rPr>
            </w:pPr>
            <w:r>
              <w:rPr>
                <w:rFonts w:ascii="Arial" w:cs="Arial" w:eastAsia="Arial" w:hAnsi="Arial"/>
                <w:sz w:val="20"/>
                <w:szCs w:val="20"/>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24,372</w:t>
            </w: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480" w:type="dxa"/>
            <w:vAlign w:val="bottom"/>
          </w:tcPr>
          <w:p>
            <w:pPr>
              <w:spacing w:after="0"/>
              <w:rPr>
                <w:sz w:val="20"/>
                <w:szCs w:val="20"/>
                <w:color w:val="auto"/>
              </w:rPr>
            </w:pPr>
            <w:r>
              <w:rPr>
                <w:rFonts w:ascii="Arial" w:cs="Arial" w:eastAsia="Arial" w:hAnsi="Arial"/>
                <w:sz w:val="20"/>
                <w:szCs w:val="20"/>
                <w:color w:val="auto"/>
              </w:rPr>
              <w:t>Interest cost on benefit obligation</w:t>
            </w:r>
          </w:p>
        </w:tc>
        <w:tc>
          <w:tcPr>
            <w:tcW w:w="2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79,270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83,410</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72,731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480" w:type="dxa"/>
            <w:vAlign w:val="bottom"/>
            <w:shd w:val="clear" w:color="auto" w:fill="CFF0FC"/>
          </w:tcPr>
          <w:p>
            <w:pPr>
              <w:spacing w:after="0"/>
              <w:rPr>
                <w:sz w:val="20"/>
                <w:szCs w:val="20"/>
                <w:color w:val="auto"/>
              </w:rPr>
            </w:pPr>
            <w:r>
              <w:rPr>
                <w:rFonts w:ascii="Arial" w:cs="Arial" w:eastAsia="Arial" w:hAnsi="Arial"/>
                <w:sz w:val="20"/>
                <w:szCs w:val="20"/>
                <w:color w:val="auto"/>
              </w:rPr>
              <w:t>Expected return on plan assets</w:t>
            </w:r>
          </w:p>
        </w:tc>
        <w:tc>
          <w:tcPr>
            <w:tcW w:w="2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20"/>
                <w:szCs w:val="20"/>
                <w:color w:val="auto"/>
              </w:rPr>
              <w:t>(108,524)</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(108,473)</w:t>
            </w:r>
          </w:p>
        </w:tc>
        <w:tc>
          <w:tcPr>
            <w:tcW w:w="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(96,155)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480" w:type="dxa"/>
            <w:vAlign w:val="bottom"/>
          </w:tcPr>
          <w:p>
            <w:pPr>
              <w:spacing w:after="0"/>
              <w:rPr>
                <w:sz w:val="20"/>
                <w:szCs w:val="20"/>
                <w:color w:val="auto"/>
              </w:rPr>
            </w:pPr>
            <w:r>
              <w:rPr>
                <w:rFonts w:ascii="Arial" w:cs="Arial" w:eastAsia="Arial" w:hAnsi="Arial"/>
                <w:sz w:val="20"/>
                <w:szCs w:val="20"/>
                <w:color w:val="auto"/>
              </w:rPr>
              <w:t>Amortization of prior service cost (credit)</w:t>
            </w:r>
          </w:p>
        </w:tc>
        <w:tc>
          <w:tcPr>
            <w:tcW w:w="2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557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20"/>
                <w:szCs w:val="20"/>
                <w:color w:val="auto"/>
              </w:rPr>
              <w:t>(3,228)</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20"/>
                <w:szCs w:val="20"/>
                <w:color w:val="auto"/>
              </w:rPr>
              <w:t>(6,005)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480" w:type="dxa"/>
            <w:vAlign w:val="bottom"/>
            <w:shd w:val="clear" w:color="auto" w:fill="CFF0FC"/>
          </w:tcPr>
          <w:p>
            <w:pPr>
              <w:spacing w:after="0"/>
              <w:rPr>
                <w:sz w:val="20"/>
                <w:szCs w:val="20"/>
                <w:color w:val="auto"/>
              </w:rPr>
            </w:pPr>
            <w:r>
              <w:rPr>
                <w:rFonts w:ascii="Arial" w:cs="Arial" w:eastAsia="Arial" w:hAnsi="Arial"/>
                <w:sz w:val="20"/>
                <w:szCs w:val="20"/>
                <w:color w:val="auto"/>
              </w:rPr>
              <w:t>Recognized net actuarial loss</w:t>
            </w:r>
          </w:p>
        </w:tc>
        <w:tc>
          <w:tcPr>
            <w:tcW w:w="2300" w:type="dxa"/>
            <w:vAlign w:val="bottom"/>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29,263</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30,145</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44,825</w:t>
            </w: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80" w:type="dxa"/>
            <w:vAlign w:val="bottom"/>
          </w:tcPr>
          <w:p>
            <w:pPr>
              <w:spacing w:after="0"/>
              <w:rPr>
                <w:sz w:val="20"/>
                <w:szCs w:val="20"/>
                <w:color w:val="auto"/>
              </w:rPr>
            </w:pPr>
            <w:r>
              <w:rPr>
                <w:rFonts w:ascii="Arial" w:cs="Arial" w:eastAsia="Arial" w:hAnsi="Arial"/>
                <w:sz w:val="20"/>
                <w:szCs w:val="20"/>
                <w:color w:val="auto"/>
              </w:rPr>
              <w:t>Net periodic pension expense</w:t>
            </w:r>
          </w:p>
        </w:tc>
        <w:tc>
          <w:tcPr>
            <w:tcW w:w="2300" w:type="dxa"/>
            <w:vAlign w:val="bottom"/>
          </w:tcPr>
          <w:p>
            <w:pPr>
              <w:spacing w:after="0"/>
              <w:rPr>
                <w:sz w:val="21"/>
                <w:szCs w:val="21"/>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20"/>
                <w:szCs w:val="20"/>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20,759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26,891</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20"/>
                <w:szCs w:val="20"/>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39,768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780" w:type="dxa"/>
            <w:vAlign w:val="bottom"/>
            <w:gridSpan w:val="2"/>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8240" w:type="dxa"/>
            <w:vAlign w:val="bottom"/>
            <w:gridSpan w:val="5"/>
          </w:tcPr>
          <w:p>
            <w:pPr>
              <w:ind w:left="600"/>
              <w:spacing w:after="0"/>
              <w:rPr>
                <w:sz w:val="20"/>
                <w:szCs w:val="20"/>
                <w:color w:val="auto"/>
              </w:rPr>
            </w:pPr>
            <w:r>
              <w:rPr>
                <w:rFonts w:ascii="Arial" w:cs="Arial" w:eastAsia="Arial" w:hAnsi="Arial"/>
                <w:sz w:val="20"/>
                <w:szCs w:val="20"/>
                <w:color w:val="auto"/>
                <w:w w:val="92"/>
              </w:rPr>
              <w:t>Net other postretirement benefits expense for defined benefit plans consisted of the following:</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44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0"/>
              </w:rPr>
              <w:t>Year Ended December 31</w:t>
            </w: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448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44"/>
              <w:spacing w:after="0" w:line="151"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right="87"/>
              <w:spacing w:after="0" w:line="151" w:lineRule="exact"/>
              <w:rPr>
                <w:sz w:val="20"/>
                <w:szCs w:val="20"/>
                <w:color w:val="auto"/>
              </w:rPr>
            </w:pPr>
            <w:r>
              <w:rPr>
                <w:rFonts w:ascii="Arial" w:cs="Arial" w:eastAsia="Arial" w:hAnsi="Arial"/>
                <w:sz w:val="14"/>
                <w:szCs w:val="14"/>
                <w:b w:val="1"/>
                <w:bCs w:val="1"/>
                <w:color w:val="auto"/>
                <w:w w:val="89"/>
              </w:rPr>
              <w:t>2016</w:t>
            </w: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44"/>
              <w:spacing w:after="0" w:line="151"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4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4480" w:type="dxa"/>
            <w:vAlign w:val="bottom"/>
          </w:tcPr>
          <w:p>
            <w:pPr>
              <w:spacing w:after="0"/>
              <w:rPr>
                <w:sz w:val="11"/>
                <w:szCs w:val="11"/>
                <w:color w:val="auto"/>
              </w:rPr>
            </w:pPr>
          </w:p>
        </w:tc>
        <w:tc>
          <w:tcPr>
            <w:tcW w:w="2600" w:type="dxa"/>
            <w:vAlign w:val="bottom"/>
            <w:gridSpan w:val="2"/>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gridSpan w:val="2"/>
          </w:tcPr>
          <w:p>
            <w:pPr>
              <w:spacing w:after="0"/>
              <w:rPr>
                <w:sz w:val="11"/>
                <w:szCs w:val="11"/>
                <w:color w:val="auto"/>
              </w:rPr>
            </w:pPr>
          </w:p>
        </w:tc>
        <w:tc>
          <w:tcPr>
            <w:tcW w:w="1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gridSpan w:val="2"/>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4480" w:type="dxa"/>
            <w:vAlign w:val="bottom"/>
            <w:shd w:val="clear" w:color="auto" w:fill="CFF0FC"/>
          </w:tcPr>
          <w:p>
            <w:pPr>
              <w:spacing w:after="0"/>
              <w:rPr>
                <w:sz w:val="20"/>
                <w:szCs w:val="20"/>
                <w:color w:val="auto"/>
              </w:rPr>
            </w:pPr>
            <w:r>
              <w:rPr>
                <w:rFonts w:ascii="Arial" w:cs="Arial" w:eastAsia="Arial" w:hAnsi="Arial"/>
                <w:sz w:val="20"/>
                <w:szCs w:val="20"/>
                <w:color w:val="auto"/>
              </w:rPr>
              <w:t>Service cost</w:t>
            </w:r>
          </w:p>
        </w:tc>
        <w:tc>
          <w:tcPr>
            <w:tcW w:w="2600" w:type="dxa"/>
            <w:vAlign w:val="bottom"/>
            <w:gridSpan w:val="2"/>
            <w:shd w:val="clear" w:color="auto" w:fill="CFF0FC"/>
          </w:tcPr>
          <w:p>
            <w:pPr>
              <w:jc w:val="right"/>
              <w:ind w:right="99"/>
              <w:spacing w:after="0"/>
              <w:rPr>
                <w:sz w:val="20"/>
                <w:szCs w:val="20"/>
                <w:color w:val="auto"/>
              </w:rPr>
            </w:pPr>
            <w:r>
              <w:rPr>
                <w:rFonts w:ascii="Arial" w:cs="Arial" w:eastAsia="Arial" w:hAnsi="Arial"/>
                <w:sz w:val="20"/>
                <w:szCs w:val="20"/>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1,172</w:t>
            </w:r>
          </w:p>
        </w:tc>
        <w:tc>
          <w:tcPr>
            <w:tcW w:w="120" w:type="dxa"/>
            <w:vAlign w:val="bottom"/>
            <w:shd w:val="clear" w:color="auto" w:fill="CFF0FC"/>
          </w:tcPr>
          <w:p>
            <w:pPr>
              <w:spacing w:after="0"/>
              <w:rPr>
                <w:sz w:val="21"/>
                <w:szCs w:val="21"/>
                <w:color w:val="auto"/>
              </w:rPr>
            </w:pP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1,595</w:t>
            </w:r>
          </w:p>
        </w:tc>
        <w:tc>
          <w:tcPr>
            <w:tcW w:w="160" w:type="dxa"/>
            <w:vAlign w:val="bottom"/>
            <w:shd w:val="clear" w:color="auto" w:fill="CFF0FC"/>
          </w:tcPr>
          <w:p>
            <w:pPr>
              <w:spacing w:after="0"/>
              <w:rPr>
                <w:sz w:val="21"/>
                <w:szCs w:val="21"/>
                <w:color w:val="auto"/>
              </w:rPr>
            </w:pPr>
          </w:p>
        </w:tc>
        <w:tc>
          <w:tcPr>
            <w:tcW w:w="400" w:type="dxa"/>
            <w:vAlign w:val="bottom"/>
            <w:gridSpan w:val="2"/>
            <w:shd w:val="clear" w:color="auto" w:fill="CFF0FC"/>
          </w:tcPr>
          <w:p>
            <w:pPr>
              <w:jc w:val="right"/>
              <w:ind w:right="119"/>
              <w:spacing w:after="0"/>
              <w:rPr>
                <w:sz w:val="20"/>
                <w:szCs w:val="20"/>
                <w:color w:val="auto"/>
              </w:rPr>
            </w:pPr>
            <w:r>
              <w:rPr>
                <w:rFonts w:ascii="Arial" w:cs="Arial" w:eastAsia="Arial" w:hAnsi="Arial"/>
                <w:sz w:val="20"/>
                <w:szCs w:val="20"/>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914</w:t>
            </w: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480" w:type="dxa"/>
            <w:vAlign w:val="bottom"/>
          </w:tcPr>
          <w:p>
            <w:pPr>
              <w:spacing w:after="0"/>
              <w:rPr>
                <w:sz w:val="20"/>
                <w:szCs w:val="20"/>
                <w:color w:val="auto"/>
              </w:rPr>
            </w:pPr>
            <w:r>
              <w:rPr>
                <w:rFonts w:ascii="Arial" w:cs="Arial" w:eastAsia="Arial" w:hAnsi="Arial"/>
                <w:sz w:val="20"/>
                <w:szCs w:val="20"/>
                <w:color w:val="auto"/>
              </w:rPr>
              <w:t>Interest cost on benefit obligation</w:t>
            </w:r>
          </w:p>
        </w:tc>
        <w:tc>
          <w:tcPr>
            <w:tcW w:w="2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3,716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4,971</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2,995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480" w:type="dxa"/>
            <w:vAlign w:val="bottom"/>
            <w:shd w:val="clear" w:color="auto" w:fill="CFF0FC"/>
          </w:tcPr>
          <w:p>
            <w:pPr>
              <w:spacing w:after="0"/>
              <w:rPr>
                <w:sz w:val="20"/>
                <w:szCs w:val="20"/>
                <w:color w:val="auto"/>
              </w:rPr>
            </w:pPr>
            <w:r>
              <w:rPr>
                <w:rFonts w:ascii="Arial" w:cs="Arial" w:eastAsia="Arial" w:hAnsi="Arial"/>
                <w:sz w:val="20"/>
                <w:szCs w:val="20"/>
                <w:color w:val="auto"/>
              </w:rPr>
              <w:t>Amortization of prior service credit</w:t>
            </w:r>
          </w:p>
        </w:tc>
        <w:tc>
          <w:tcPr>
            <w:tcW w:w="2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20"/>
                <w:szCs w:val="20"/>
                <w:color w:val="auto"/>
              </w:rPr>
              <w:t>(1,359)</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(1,359)</w:t>
            </w:r>
          </w:p>
        </w:tc>
        <w:tc>
          <w:tcPr>
            <w:tcW w:w="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(1,359)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480" w:type="dxa"/>
            <w:vAlign w:val="bottom"/>
          </w:tcPr>
          <w:p>
            <w:pPr>
              <w:spacing w:after="0"/>
              <w:rPr>
                <w:sz w:val="20"/>
                <w:szCs w:val="20"/>
                <w:color w:val="auto"/>
              </w:rPr>
            </w:pPr>
            <w:r>
              <w:rPr>
                <w:rFonts w:ascii="Arial" w:cs="Arial" w:eastAsia="Arial" w:hAnsi="Arial"/>
                <w:sz w:val="20"/>
                <w:szCs w:val="20"/>
                <w:color w:val="auto"/>
              </w:rPr>
              <w:t>Recognized net actuarial (gain) loss</w:t>
            </w:r>
          </w:p>
        </w:tc>
        <w:tc>
          <w:tcPr>
            <w:tcW w:w="2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20"/>
                <w:szCs w:val="20"/>
                <w:color w:val="auto"/>
              </w:rPr>
              <w:t>(988)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60</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106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Net other postretirement benefits expense</w:t>
            </w:r>
          </w:p>
        </w:tc>
        <w:tc>
          <w:tcPr>
            <w:tcW w:w="2300" w:type="dxa"/>
            <w:vAlign w:val="bottom"/>
            <w:tcBorders>
              <w:top w:val="single" w:sz="8" w:color="CFF0FC"/>
              <w:bottom w:val="single" w:sz="8" w:color="CFF0FC"/>
            </w:tcBorders>
            <w:shd w:val="clear" w:color="auto" w:fill="CFF0FC"/>
          </w:tcPr>
          <w:p>
            <w:pPr>
              <w:spacing w:after="0"/>
              <w:rPr>
                <w:sz w:val="21"/>
                <w:szCs w:val="21"/>
                <w:color w:val="auto"/>
              </w:rPr>
            </w:pPr>
          </w:p>
        </w:tc>
        <w:tc>
          <w:tcPr>
            <w:tcW w:w="300" w:type="dxa"/>
            <w:vAlign w:val="bottom"/>
            <w:tcBorders>
              <w:top w:val="single" w:sz="8" w:color="auto"/>
              <w:bottom w:val="single" w:sz="8" w:color="auto"/>
            </w:tcBorders>
            <w:shd w:val="clear" w:color="auto" w:fill="CFF0FC"/>
          </w:tcPr>
          <w:p>
            <w:pPr>
              <w:jc w:val="right"/>
              <w:ind w:right="99"/>
              <w:spacing w:after="0"/>
              <w:rPr>
                <w:sz w:val="20"/>
                <w:szCs w:val="20"/>
                <w:color w:val="auto"/>
              </w:rPr>
            </w:pPr>
            <w:r>
              <w:rPr>
                <w:rFonts w:ascii="Arial" w:cs="Arial" w:eastAsia="Arial" w:hAnsi="Arial"/>
                <w:sz w:val="20"/>
                <w:szCs w:val="20"/>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2,541</w:t>
            </w: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5,267</w:t>
            </w:r>
          </w:p>
        </w:tc>
        <w:tc>
          <w:tcPr>
            <w:tcW w:w="160" w:type="dxa"/>
            <w:vAlign w:val="bottom"/>
            <w:tcBorders>
              <w:top w:val="single" w:sz="8" w:color="CFF0FC"/>
              <w:bottom w:val="single" w:sz="8" w:color="CFF0FC"/>
            </w:tcBorders>
            <w:shd w:val="clear" w:color="auto" w:fill="CFF0FC"/>
          </w:tcPr>
          <w:p>
            <w:pPr>
              <w:spacing w:after="0"/>
              <w:rPr>
                <w:sz w:val="21"/>
                <w:szCs w:val="21"/>
                <w:color w:val="auto"/>
              </w:rPr>
            </w:pPr>
          </w:p>
        </w:tc>
        <w:tc>
          <w:tcPr>
            <w:tcW w:w="80" w:type="dxa"/>
            <w:vAlign w:val="bottom"/>
            <w:tcBorders>
              <w:top w:val="single" w:sz="8" w:color="CFF0FC"/>
              <w:bottom w:val="single" w:sz="8" w:color="CFF0FC"/>
            </w:tcBorders>
            <w:shd w:val="clear" w:color="auto" w:fill="CFF0FC"/>
          </w:tcPr>
          <w:p>
            <w:pPr>
              <w:spacing w:after="0"/>
              <w:rPr>
                <w:sz w:val="21"/>
                <w:szCs w:val="21"/>
                <w:color w:val="auto"/>
              </w:rPr>
            </w:pPr>
          </w:p>
        </w:tc>
        <w:tc>
          <w:tcPr>
            <w:tcW w:w="320" w:type="dxa"/>
            <w:vAlign w:val="bottom"/>
            <w:tcBorders>
              <w:top w:val="single" w:sz="8" w:color="auto"/>
              <w:bottom w:val="single" w:sz="8" w:color="auto"/>
            </w:tcBorders>
            <w:shd w:val="clear" w:color="auto" w:fill="CFF0FC"/>
          </w:tcPr>
          <w:p>
            <w:pPr>
              <w:jc w:val="right"/>
              <w:ind w:right="119"/>
              <w:spacing w:after="0"/>
              <w:rPr>
                <w:sz w:val="20"/>
                <w:szCs w:val="20"/>
                <w:color w:val="auto"/>
              </w:rPr>
            </w:pPr>
            <w:r>
              <w:rPr>
                <w:rFonts w:ascii="Arial" w:cs="Arial" w:eastAsia="Arial" w:hAnsi="Arial"/>
                <w:sz w:val="20"/>
                <w:szCs w:val="20"/>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2,656</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2300" w:type="dxa"/>
            <w:vAlign w:val="bottom"/>
            <w:vMerge w:val="restart"/>
          </w:tcPr>
          <w:p>
            <w:pPr>
              <w:jc w:val="right"/>
              <w:ind w:right="844"/>
              <w:spacing w:after="0"/>
              <w:rPr>
                <w:sz w:val="20"/>
                <w:szCs w:val="20"/>
                <w:color w:val="auto"/>
              </w:rPr>
            </w:pPr>
            <w:r>
              <w:rPr>
                <w:rFonts w:ascii="Arial" w:cs="Arial" w:eastAsia="Arial" w:hAnsi="Arial"/>
                <w:sz w:val="18"/>
                <w:szCs w:val="18"/>
                <w:color w:val="auto"/>
              </w:rPr>
              <w:t>147</w:t>
            </w: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0"/>
        </w:trPr>
        <w:tc>
          <w:tcPr>
            <w:tcW w:w="448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480" w:type="dxa"/>
            <w:vAlign w:val="bottom"/>
            <w:tcBorders>
              <w:bottom w:val="single" w:sz="8" w:color="9A9A9A"/>
            </w:tcBorders>
          </w:tcPr>
          <w:p>
            <w:pPr>
              <w:spacing w:after="0"/>
              <w:rPr>
                <w:sz w:val="9"/>
                <w:szCs w:val="9"/>
                <w:color w:val="auto"/>
              </w:rPr>
            </w:pPr>
          </w:p>
        </w:tc>
        <w:tc>
          <w:tcPr>
            <w:tcW w:w="23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336" w:right="219" w:bottom="1440" w:gutter="0" w:footer="0" w:header="0"/>
        </w:sectPr>
      </w:pPr>
    </w:p>
    <w:bookmarkStart w:id="147" w:name="page148"/>
    <w:bookmarkEnd w:id="147"/>
    <w:p>
      <w:pPr>
        <w:ind w:left="600"/>
        <w:spacing w:after="0"/>
        <w:rPr>
          <w:sz w:val="20"/>
          <w:szCs w:val="20"/>
          <w:color w:val="auto"/>
        </w:rPr>
      </w:pPr>
      <w:r>
        <w:rPr>
          <w:rFonts w:ascii="Arial" w:cs="Arial" w:eastAsia="Arial" w:hAnsi="Arial"/>
          <w:sz w:val="20"/>
          <w:szCs w:val="20"/>
          <w:color w:val="auto"/>
        </w:rPr>
        <w:t>Data relating to the funding position of the defined benefit plans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80" w:type="dxa"/>
            <w:vAlign w:val="bottom"/>
            <w:gridSpan w:val="6"/>
            <w:vMerge w:val="restart"/>
          </w:tcPr>
          <w:p>
            <w:pPr>
              <w:jc w:val="right"/>
              <w:ind w:right="919"/>
              <w:spacing w:after="0"/>
              <w:rPr>
                <w:sz w:val="20"/>
                <w:szCs w:val="20"/>
                <w:color w:val="auto"/>
              </w:rPr>
            </w:pPr>
            <w:r>
              <w:rPr>
                <w:rFonts w:ascii="Arial" w:cs="Arial" w:eastAsia="Arial" w:hAnsi="Arial"/>
                <w:sz w:val="14"/>
                <w:szCs w:val="14"/>
                <w:b w:val="1"/>
                <w:bCs w:val="1"/>
                <w:color w:val="auto"/>
              </w:rPr>
              <w:t>Pension Benefits</w:t>
            </w:r>
          </w:p>
        </w:tc>
        <w:tc>
          <w:tcPr>
            <w:tcW w:w="380" w:type="dxa"/>
            <w:vAlign w:val="bottom"/>
          </w:tcPr>
          <w:p>
            <w:pPr>
              <w:spacing w:after="0"/>
              <w:rPr>
                <w:sz w:val="14"/>
                <w:szCs w:val="14"/>
                <w:color w:val="auto"/>
              </w:rPr>
            </w:pPr>
          </w:p>
        </w:tc>
        <w:tc>
          <w:tcPr>
            <w:tcW w:w="1300" w:type="dxa"/>
            <w:vAlign w:val="bottom"/>
            <w:gridSpan w:val="4"/>
          </w:tcPr>
          <w:p>
            <w:pPr>
              <w:jc w:val="right"/>
              <w:ind w:right="144"/>
              <w:spacing w:after="0"/>
              <w:rPr>
                <w:sz w:val="20"/>
                <w:szCs w:val="20"/>
                <w:color w:val="auto"/>
              </w:rPr>
            </w:pPr>
            <w:r>
              <w:rPr>
                <w:rFonts w:ascii="Arial" w:cs="Arial" w:eastAsia="Arial" w:hAnsi="Arial"/>
                <w:sz w:val="14"/>
                <w:szCs w:val="14"/>
                <w:b w:val="1"/>
                <w:bCs w:val="1"/>
                <w:color w:val="auto"/>
              </w:rPr>
              <w:t>Other</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80" w:type="dxa"/>
            <w:vAlign w:val="bottom"/>
            <w:gridSpan w:val="6"/>
            <w:vMerge w:val="continue"/>
          </w:tcPr>
          <w:p>
            <w:pPr>
              <w:spacing w:after="0"/>
              <w:rPr>
                <w:sz w:val="14"/>
                <w:szCs w:val="14"/>
                <w:color w:val="auto"/>
              </w:rPr>
            </w:pPr>
          </w:p>
        </w:tc>
        <w:tc>
          <w:tcPr>
            <w:tcW w:w="380" w:type="dxa"/>
            <w:vAlign w:val="bottom"/>
          </w:tcPr>
          <w:p>
            <w:pPr>
              <w:spacing w:after="0"/>
              <w:rPr>
                <w:sz w:val="14"/>
                <w:szCs w:val="14"/>
                <w:color w:val="auto"/>
              </w:rPr>
            </w:pPr>
          </w:p>
        </w:tc>
        <w:tc>
          <w:tcPr>
            <w:tcW w:w="2300" w:type="dxa"/>
            <w:vAlign w:val="bottom"/>
            <w:gridSpan w:val="6"/>
          </w:tcPr>
          <w:p>
            <w:pPr>
              <w:jc w:val="right"/>
              <w:ind w:right="619"/>
              <w:spacing w:after="0"/>
              <w:rPr>
                <w:sz w:val="20"/>
                <w:szCs w:val="20"/>
                <w:color w:val="auto"/>
              </w:rPr>
            </w:pPr>
            <w:r>
              <w:rPr>
                <w:rFonts w:ascii="Arial" w:cs="Arial" w:eastAsia="Arial" w:hAnsi="Arial"/>
                <w:sz w:val="14"/>
                <w:szCs w:val="14"/>
                <w:b w:val="1"/>
                <w:bCs w:val="1"/>
                <w:color w:val="auto"/>
              </w:rPr>
              <w:t>Postretirement Benefits</w:t>
            </w:r>
          </w:p>
        </w:tc>
        <w:tc>
          <w:tcPr>
            <w:tcW w:w="0" w:type="dxa"/>
            <w:vAlign w:val="bottom"/>
          </w:tcPr>
          <w:p>
            <w:pPr>
              <w:spacing w:after="0"/>
              <w:rPr>
                <w:sz w:val="1"/>
                <w:szCs w:val="1"/>
                <w:color w:val="auto"/>
              </w:rPr>
            </w:pPr>
          </w:p>
        </w:tc>
      </w:tr>
      <w:tr>
        <w:trPr>
          <w:trHeight w:val="151"/>
        </w:trPr>
        <w:tc>
          <w:tcPr>
            <w:tcW w:w="594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42"/>
              <w:spacing w:after="0" w:line="151"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42"/>
              <w:spacing w:after="0" w:line="151"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363"/>
              <w:spacing w:after="0" w:line="151"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61"/>
              <w:spacing w:after="0" w:line="151"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5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60" w:type="dxa"/>
            <w:vAlign w:val="bottom"/>
            <w:gridSpan w:val="3"/>
          </w:tcPr>
          <w:p>
            <w:pPr>
              <w:jc w:val="right"/>
              <w:spacing w:after="0" w:line="151" w:lineRule="exact"/>
              <w:rPr>
                <w:sz w:val="20"/>
                <w:szCs w:val="20"/>
                <w:color w:val="auto"/>
              </w:rPr>
            </w:pPr>
            <w:r>
              <w:rPr>
                <w:rFonts w:ascii="Arial" w:cs="Arial" w:eastAsia="Arial" w:hAnsi="Arial"/>
                <w:sz w:val="14"/>
                <w:szCs w:val="14"/>
                <w:b w:val="1"/>
                <w:bCs w:val="1"/>
                <w:color w:val="auto"/>
              </w:rPr>
              <w:t>(In thousands)</w:t>
            </w: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5940" w:type="dxa"/>
            <w:vAlign w:val="bottom"/>
            <w:shd w:val="clear" w:color="auto" w:fill="CFF0FC"/>
          </w:tcPr>
          <w:p>
            <w:pPr>
              <w:spacing w:after="0"/>
              <w:rPr>
                <w:sz w:val="20"/>
                <w:szCs w:val="20"/>
                <w:color w:val="auto"/>
              </w:rPr>
            </w:pPr>
            <w:r>
              <w:rPr>
                <w:rFonts w:ascii="Arial" w:cs="Arial" w:eastAsia="Arial" w:hAnsi="Arial"/>
                <w:sz w:val="20"/>
                <w:szCs w:val="20"/>
                <w:color w:val="auto"/>
              </w:rPr>
              <w:t>Change in benefit obligation:</w:t>
            </w: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40" w:type="dxa"/>
            <w:vAlign w:val="bottom"/>
          </w:tcPr>
          <w:p>
            <w:pPr>
              <w:ind w:left="240"/>
              <w:spacing w:after="0"/>
              <w:rPr>
                <w:sz w:val="20"/>
                <w:szCs w:val="20"/>
                <w:color w:val="auto"/>
              </w:rPr>
            </w:pPr>
            <w:r>
              <w:rPr>
                <w:rFonts w:ascii="Arial" w:cs="Arial" w:eastAsia="Arial" w:hAnsi="Arial"/>
                <w:sz w:val="20"/>
                <w:szCs w:val="20"/>
                <w:color w:val="auto"/>
              </w:rPr>
              <w:t>Benefit obligation at beginning of year</w:t>
            </w:r>
          </w:p>
        </w:tc>
        <w:tc>
          <w:tcPr>
            <w:tcW w:w="220" w:type="dxa"/>
            <w:vAlign w:val="bottom"/>
          </w:tcPr>
          <w:p>
            <w:pPr>
              <w:jc w:val="right"/>
              <w:ind w:right="19"/>
              <w:spacing w:after="0"/>
              <w:rPr>
                <w:sz w:val="20"/>
                <w:szCs w:val="20"/>
                <w:color w:val="auto"/>
              </w:rPr>
            </w:pPr>
            <w:r>
              <w:rPr>
                <w:rFonts w:ascii="Arial" w:cs="Arial" w:eastAsia="Arial" w:hAnsi="Arial"/>
                <w:sz w:val="20"/>
                <w:szCs w:val="20"/>
                <w:color w:val="auto"/>
                <w:w w:val="71"/>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2,007,158</w:t>
            </w:r>
          </w:p>
        </w:tc>
        <w:tc>
          <w:tcPr>
            <w:tcW w:w="160" w:type="dxa"/>
            <w:vAlign w:val="bottom"/>
          </w:tcPr>
          <w:p>
            <w:pPr>
              <w:spacing w:after="0"/>
              <w:rPr>
                <w:sz w:val="21"/>
                <w:szCs w:val="21"/>
                <w:color w:val="auto"/>
              </w:rPr>
            </w:pPr>
          </w:p>
        </w:tc>
        <w:tc>
          <w:tcPr>
            <w:tcW w:w="300" w:type="dxa"/>
            <w:vAlign w:val="bottom"/>
            <w:gridSpan w:val="2"/>
          </w:tcPr>
          <w:p>
            <w:pPr>
              <w:jc w:val="right"/>
              <w:ind w:right="19"/>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2,004,531</w:t>
            </w:r>
          </w:p>
        </w:tc>
        <w:tc>
          <w:tcPr>
            <w:tcW w:w="240" w:type="dxa"/>
            <w:vAlign w:val="bottom"/>
          </w:tcPr>
          <w:p>
            <w:pPr>
              <w:spacing w:after="0"/>
              <w:rPr>
                <w:sz w:val="21"/>
                <w:szCs w:val="21"/>
                <w:color w:val="auto"/>
              </w:rPr>
            </w:pPr>
          </w:p>
        </w:tc>
        <w:tc>
          <w:tcPr>
            <w:tcW w:w="380" w:type="dxa"/>
            <w:vAlign w:val="bottom"/>
          </w:tcPr>
          <w:p>
            <w:pPr>
              <w:jc w:val="right"/>
              <w:ind w:right="179"/>
              <w:spacing w:after="0"/>
              <w:rPr>
                <w:sz w:val="20"/>
                <w:szCs w:val="20"/>
                <w:color w:val="auto"/>
              </w:rPr>
            </w:pPr>
            <w:r>
              <w:rPr>
                <w:rFonts w:ascii="Arial" w:cs="Arial" w:eastAsia="Arial" w:hAnsi="Arial"/>
                <w:sz w:val="20"/>
                <w:szCs w:val="20"/>
                <w:color w:val="auto"/>
                <w:w w:val="71"/>
              </w:rPr>
              <w:t>$</w:t>
            </w:r>
          </w:p>
        </w:tc>
        <w:tc>
          <w:tcPr>
            <w:tcW w:w="800" w:type="dxa"/>
            <w:vAlign w:val="bottom"/>
          </w:tcPr>
          <w:p>
            <w:pPr>
              <w:jc w:val="right"/>
              <w:spacing w:after="0"/>
              <w:rPr>
                <w:sz w:val="20"/>
                <w:szCs w:val="20"/>
                <w:color w:val="auto"/>
              </w:rPr>
            </w:pPr>
            <w:r>
              <w:rPr>
                <w:rFonts w:ascii="Arial" w:cs="Arial" w:eastAsia="Arial" w:hAnsi="Arial"/>
                <w:sz w:val="20"/>
                <w:szCs w:val="20"/>
                <w:color w:val="auto"/>
              </w:rPr>
              <w:t>109,922</w:t>
            </w:r>
          </w:p>
        </w:tc>
        <w:tc>
          <w:tcPr>
            <w:tcW w:w="220" w:type="dxa"/>
            <w:vAlign w:val="bottom"/>
          </w:tcPr>
          <w:p>
            <w:pPr>
              <w:spacing w:after="0"/>
              <w:rPr>
                <w:sz w:val="21"/>
                <w:szCs w:val="21"/>
                <w:color w:val="auto"/>
              </w:rPr>
            </w:pPr>
          </w:p>
        </w:tc>
        <w:tc>
          <w:tcPr>
            <w:tcW w:w="280" w:type="dxa"/>
            <w:vAlign w:val="bottom"/>
            <w:gridSpan w:val="2"/>
          </w:tcPr>
          <w:p>
            <w:pPr>
              <w:jc w:val="right"/>
              <w:ind w:right="104"/>
              <w:spacing w:after="0"/>
              <w:rPr>
                <w:sz w:val="20"/>
                <w:szCs w:val="20"/>
                <w:color w:val="auto"/>
              </w:rPr>
            </w:pPr>
            <w:r>
              <w:rPr>
                <w:rFonts w:ascii="Arial" w:cs="Arial" w:eastAsia="Arial" w:hAnsi="Arial"/>
                <w:sz w:val="20"/>
                <w:szCs w:val="20"/>
                <w:color w:val="auto"/>
                <w:w w:val="71"/>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121,497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Service cost</w:t>
            </w: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20,193</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25,037</w:t>
            </w: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1,172</w:t>
            </w:r>
          </w:p>
        </w:tc>
        <w:tc>
          <w:tcPr>
            <w:tcW w:w="2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1,595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40" w:type="dxa"/>
            <w:vAlign w:val="bottom"/>
          </w:tcPr>
          <w:p>
            <w:pPr>
              <w:ind w:left="240"/>
              <w:spacing w:after="0"/>
              <w:rPr>
                <w:sz w:val="20"/>
                <w:szCs w:val="20"/>
                <w:color w:val="auto"/>
              </w:rPr>
            </w:pPr>
            <w:r>
              <w:rPr>
                <w:rFonts w:ascii="Arial" w:cs="Arial" w:eastAsia="Arial" w:hAnsi="Arial"/>
                <w:sz w:val="20"/>
                <w:szCs w:val="20"/>
                <w:color w:val="auto"/>
              </w:rPr>
              <w:t>Interest cost</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79,270</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83,410</w:t>
            </w: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3,716</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4,971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Plan participants’ contributions</w:t>
            </w:r>
          </w:p>
        </w:tc>
        <w:tc>
          <w:tcPr>
            <w:tcW w:w="2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99"/>
              <w:spacing w:after="0"/>
              <w:rPr>
                <w:sz w:val="20"/>
                <w:szCs w:val="20"/>
                <w:color w:val="auto"/>
              </w:rPr>
            </w:pPr>
            <w:r>
              <w:rPr>
                <w:rFonts w:ascii="Arial" w:cs="Arial" w:eastAsia="Arial" w:hAnsi="Arial"/>
                <w:sz w:val="20"/>
                <w:szCs w:val="20"/>
                <w:color w:val="auto"/>
              </w:rPr>
              <w:t>—</w:t>
            </w: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39"/>
              <w:spacing w:after="0"/>
              <w:rPr>
                <w:sz w:val="20"/>
                <w:szCs w:val="20"/>
                <w:color w:val="auto"/>
              </w:rPr>
            </w:pPr>
            <w:r>
              <w:rPr>
                <w:rFonts w:ascii="Arial" w:cs="Arial" w:eastAsia="Arial" w:hAnsi="Arial"/>
                <w:sz w:val="20"/>
                <w:szCs w:val="20"/>
                <w:color w:val="auto"/>
              </w:rPr>
              <w:t>—</w:t>
            </w:r>
          </w:p>
        </w:tc>
        <w:tc>
          <w:tcPr>
            <w:tcW w:w="38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2,929</w:t>
            </w:r>
          </w:p>
        </w:tc>
        <w:tc>
          <w:tcPr>
            <w:tcW w:w="2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3,085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40" w:type="dxa"/>
            <w:vAlign w:val="bottom"/>
          </w:tcPr>
          <w:p>
            <w:pPr>
              <w:ind w:left="240"/>
              <w:spacing w:after="0"/>
              <w:rPr>
                <w:sz w:val="20"/>
                <w:szCs w:val="20"/>
                <w:color w:val="auto"/>
              </w:rPr>
            </w:pPr>
            <w:r>
              <w:rPr>
                <w:rFonts w:ascii="Arial" w:cs="Arial" w:eastAsia="Arial" w:hAnsi="Arial"/>
                <w:sz w:val="20"/>
                <w:szCs w:val="20"/>
                <w:color w:val="auto"/>
              </w:rPr>
              <w:t>Amendments and curtailments</w:t>
            </w:r>
          </w:p>
        </w:tc>
        <w:tc>
          <w:tcPr>
            <w:tcW w:w="220" w:type="dxa"/>
            <w:vAlign w:val="bottom"/>
          </w:tcPr>
          <w:p>
            <w:pPr>
              <w:spacing w:after="0"/>
              <w:rPr>
                <w:sz w:val="21"/>
                <w:szCs w:val="21"/>
                <w:color w:val="auto"/>
              </w:rPr>
            </w:pPr>
          </w:p>
        </w:tc>
        <w:tc>
          <w:tcPr>
            <w:tcW w:w="1100" w:type="dxa"/>
            <w:vAlign w:val="bottom"/>
            <w:gridSpan w:val="2"/>
          </w:tcPr>
          <w:p>
            <w:pPr>
              <w:jc w:val="right"/>
              <w:ind w:right="99"/>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tcPr>
          <w:p>
            <w:pPr>
              <w:jc w:val="right"/>
              <w:ind w:right="59"/>
              <w:spacing w:after="0"/>
              <w:rPr>
                <w:sz w:val="20"/>
                <w:szCs w:val="20"/>
                <w:color w:val="auto"/>
              </w:rPr>
            </w:pPr>
            <w:r>
              <w:rPr>
                <w:rFonts w:ascii="Arial" w:cs="Arial" w:eastAsia="Arial" w:hAnsi="Arial"/>
                <w:sz w:val="20"/>
                <w:szCs w:val="20"/>
                <w:color w:val="auto"/>
              </w:rPr>
              <w:t>(28,308)</w:t>
            </w:r>
          </w:p>
        </w:tc>
        <w:tc>
          <w:tcPr>
            <w:tcW w:w="38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20"/>
                <w:szCs w:val="20"/>
                <w:color w:val="auto"/>
              </w:rPr>
              <w:t>(30,088)</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gridSpan w:val="2"/>
          </w:tcPr>
          <w:p>
            <w:pPr>
              <w:jc w:val="right"/>
              <w:ind w:right="39"/>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0"/>
        </w:trPr>
        <w:tc>
          <w:tcPr>
            <w:tcW w:w="59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Actuarial (gain) loss</w:t>
            </w: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172,180</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4,827</w:t>
            </w: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20"/>
                <w:szCs w:val="20"/>
                <w:color w:val="auto"/>
              </w:rPr>
              <w:t>(8,511)</w:t>
            </w:r>
          </w:p>
        </w:tc>
        <w:tc>
          <w:tcPr>
            <w:tcW w:w="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(10,553)</w:t>
            </w:r>
          </w:p>
        </w:tc>
        <w:tc>
          <w:tcPr>
            <w:tcW w:w="0" w:type="dxa"/>
            <w:vAlign w:val="bottom"/>
          </w:tcPr>
          <w:p>
            <w:pPr>
              <w:spacing w:after="0"/>
              <w:rPr>
                <w:sz w:val="1"/>
                <w:szCs w:val="1"/>
                <w:color w:val="auto"/>
              </w:rPr>
            </w:pPr>
          </w:p>
        </w:tc>
      </w:tr>
      <w:tr>
        <w:trPr>
          <w:trHeight w:val="250"/>
        </w:trPr>
        <w:tc>
          <w:tcPr>
            <w:tcW w:w="5940" w:type="dxa"/>
            <w:vAlign w:val="bottom"/>
          </w:tcPr>
          <w:p>
            <w:pPr>
              <w:ind w:left="240"/>
              <w:spacing w:after="0"/>
              <w:rPr>
                <w:sz w:val="20"/>
                <w:szCs w:val="20"/>
                <w:color w:val="auto"/>
              </w:rPr>
            </w:pPr>
            <w:r>
              <w:rPr>
                <w:rFonts w:ascii="Arial" w:cs="Arial" w:eastAsia="Arial" w:hAnsi="Arial"/>
                <w:sz w:val="20"/>
                <w:szCs w:val="20"/>
                <w:color w:val="auto"/>
              </w:rPr>
              <w:t>Medicare Part D reimbursement</w:t>
            </w:r>
          </w:p>
        </w:tc>
        <w:tc>
          <w:tcPr>
            <w:tcW w:w="220" w:type="dxa"/>
            <w:vAlign w:val="bottom"/>
          </w:tcPr>
          <w:p>
            <w:pPr>
              <w:spacing w:after="0"/>
              <w:rPr>
                <w:sz w:val="21"/>
                <w:szCs w:val="21"/>
                <w:color w:val="auto"/>
              </w:rPr>
            </w:pPr>
          </w:p>
        </w:tc>
        <w:tc>
          <w:tcPr>
            <w:tcW w:w="1100" w:type="dxa"/>
            <w:vAlign w:val="bottom"/>
            <w:gridSpan w:val="2"/>
          </w:tcPr>
          <w:p>
            <w:pPr>
              <w:jc w:val="right"/>
              <w:ind w:right="99"/>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tcPr>
          <w:p>
            <w:pPr>
              <w:jc w:val="right"/>
              <w:ind w:right="139"/>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630</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592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Benefits paid</w:t>
            </w:r>
          </w:p>
        </w:tc>
        <w:tc>
          <w:tcPr>
            <w:tcW w:w="2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9"/>
              <w:spacing w:after="0"/>
              <w:rPr>
                <w:sz w:val="20"/>
                <w:szCs w:val="20"/>
                <w:color w:val="auto"/>
              </w:rPr>
            </w:pPr>
            <w:r>
              <w:rPr>
                <w:rFonts w:ascii="Arial" w:cs="Arial" w:eastAsia="Arial" w:hAnsi="Arial"/>
                <w:sz w:val="20"/>
                <w:szCs w:val="20"/>
                <w:color w:val="auto"/>
              </w:rPr>
              <w:t>(90,065)</w:t>
            </w: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59"/>
              <w:spacing w:after="0"/>
              <w:rPr>
                <w:sz w:val="20"/>
                <w:szCs w:val="20"/>
                <w:color w:val="auto"/>
              </w:rPr>
            </w:pPr>
            <w:r>
              <w:rPr>
                <w:rFonts w:ascii="Arial" w:cs="Arial" w:eastAsia="Arial" w:hAnsi="Arial"/>
                <w:sz w:val="20"/>
                <w:szCs w:val="20"/>
                <w:color w:val="auto"/>
              </w:rPr>
              <w:t>(82,339)</w:t>
            </w:r>
          </w:p>
        </w:tc>
        <w:tc>
          <w:tcPr>
            <w:tcW w:w="38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20"/>
                <w:szCs w:val="20"/>
                <w:color w:val="auto"/>
              </w:rPr>
              <w:t>(11,133)</w:t>
            </w:r>
          </w:p>
        </w:tc>
        <w:tc>
          <w:tcPr>
            <w:tcW w:w="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(11,265)</w:t>
            </w:r>
          </w:p>
        </w:tc>
        <w:tc>
          <w:tcPr>
            <w:tcW w:w="0" w:type="dxa"/>
            <w:vAlign w:val="bottom"/>
          </w:tcPr>
          <w:p>
            <w:pPr>
              <w:spacing w:after="0"/>
              <w:rPr>
                <w:sz w:val="1"/>
                <w:szCs w:val="1"/>
                <w:color w:val="auto"/>
              </w:rPr>
            </w:pPr>
          </w:p>
        </w:tc>
      </w:tr>
      <w:tr>
        <w:trPr>
          <w:trHeight w:val="243"/>
        </w:trPr>
        <w:tc>
          <w:tcPr>
            <w:tcW w:w="5940" w:type="dxa"/>
            <w:vAlign w:val="bottom"/>
            <w:tcBorders>
              <w:bottom w:val="single" w:sz="8" w:color="CFF0FC"/>
            </w:tcBorders>
          </w:tcPr>
          <w:p>
            <w:pPr>
              <w:ind w:left="240"/>
              <w:spacing w:after="0"/>
              <w:rPr>
                <w:sz w:val="20"/>
                <w:szCs w:val="20"/>
                <w:color w:val="auto"/>
              </w:rPr>
            </w:pPr>
            <w:r>
              <w:rPr>
                <w:rFonts w:ascii="Arial" w:cs="Arial" w:eastAsia="Arial" w:hAnsi="Arial"/>
                <w:sz w:val="20"/>
                <w:szCs w:val="20"/>
                <w:color w:val="auto"/>
              </w:rPr>
              <w:t>Benefit obligation at end of year</w:t>
            </w:r>
          </w:p>
        </w:tc>
        <w:tc>
          <w:tcPr>
            <w:tcW w:w="22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2,188,736</w:t>
            </w: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2,007,158</w:t>
            </w:r>
          </w:p>
        </w:tc>
        <w:tc>
          <w:tcPr>
            <w:tcW w:w="240" w:type="dxa"/>
            <w:vAlign w:val="bottom"/>
            <w:tcBorders>
              <w:bottom w:val="single" w:sz="8" w:color="CFF0FC"/>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68,637</w:t>
            </w:r>
          </w:p>
        </w:tc>
        <w:tc>
          <w:tcPr>
            <w:tcW w:w="22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109,922</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40" w:type="dxa"/>
            <w:vAlign w:val="bottom"/>
            <w:shd w:val="clear" w:color="auto" w:fill="CFF0FC"/>
          </w:tcPr>
          <w:p>
            <w:pPr>
              <w:spacing w:after="0"/>
              <w:rPr>
                <w:sz w:val="20"/>
                <w:szCs w:val="20"/>
                <w:color w:val="auto"/>
              </w:rPr>
            </w:pPr>
            <w:r>
              <w:rPr>
                <w:rFonts w:ascii="Arial" w:cs="Arial" w:eastAsia="Arial" w:hAnsi="Arial"/>
                <w:sz w:val="20"/>
                <w:szCs w:val="20"/>
                <w:color w:val="auto"/>
              </w:rPr>
              <w:t>Change in plan assets:</w:t>
            </w: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40" w:type="dxa"/>
            <w:vAlign w:val="bottom"/>
          </w:tcPr>
          <w:p>
            <w:pPr>
              <w:ind w:left="240"/>
              <w:spacing w:after="0"/>
              <w:rPr>
                <w:sz w:val="20"/>
                <w:szCs w:val="20"/>
                <w:color w:val="auto"/>
              </w:rPr>
            </w:pPr>
            <w:r>
              <w:rPr>
                <w:rFonts w:ascii="Arial" w:cs="Arial" w:eastAsia="Arial" w:hAnsi="Arial"/>
                <w:sz w:val="20"/>
                <w:szCs w:val="20"/>
                <w:color w:val="auto"/>
              </w:rPr>
              <w:t>Fair value of plan assets at beginning of year</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1,642,131</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1,625,134</w:t>
            </w: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gridSpan w:val="2"/>
          </w:tcPr>
          <w:p>
            <w:pPr>
              <w:jc w:val="right"/>
              <w:ind w:right="39"/>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0"/>
        </w:trPr>
        <w:tc>
          <w:tcPr>
            <w:tcW w:w="59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Actual return on plan assets</w:t>
            </w: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251,381</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88,564</w:t>
            </w: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20"/>
                <w:szCs w:val="20"/>
                <w:color w:val="auto"/>
              </w:rPr>
              <w:t>—</w:t>
            </w:r>
          </w:p>
        </w:tc>
        <w:tc>
          <w:tcPr>
            <w:tcW w:w="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39"/>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0"/>
        </w:trPr>
        <w:tc>
          <w:tcPr>
            <w:tcW w:w="5940" w:type="dxa"/>
            <w:vAlign w:val="bottom"/>
          </w:tcPr>
          <w:p>
            <w:pPr>
              <w:ind w:left="240"/>
              <w:spacing w:after="0"/>
              <w:rPr>
                <w:sz w:val="20"/>
                <w:szCs w:val="20"/>
                <w:color w:val="auto"/>
              </w:rPr>
            </w:pPr>
            <w:r>
              <w:rPr>
                <w:rFonts w:ascii="Arial" w:cs="Arial" w:eastAsia="Arial" w:hAnsi="Arial"/>
                <w:sz w:val="20"/>
                <w:szCs w:val="20"/>
                <w:color w:val="auto"/>
              </w:rPr>
              <w:t>Employer contributions</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211,444</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10,772</w:t>
            </w: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7,574</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7,588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Plan participants’ contributions</w:t>
            </w:r>
          </w:p>
        </w:tc>
        <w:tc>
          <w:tcPr>
            <w:tcW w:w="2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99"/>
              <w:spacing w:after="0"/>
              <w:rPr>
                <w:sz w:val="20"/>
                <w:szCs w:val="20"/>
                <w:color w:val="auto"/>
              </w:rPr>
            </w:pPr>
            <w:r>
              <w:rPr>
                <w:rFonts w:ascii="Arial" w:cs="Arial" w:eastAsia="Arial" w:hAnsi="Arial"/>
                <w:sz w:val="20"/>
                <w:szCs w:val="20"/>
                <w:color w:val="auto"/>
              </w:rPr>
              <w:t>—</w:t>
            </w: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39"/>
              <w:spacing w:after="0"/>
              <w:rPr>
                <w:sz w:val="20"/>
                <w:szCs w:val="20"/>
                <w:color w:val="auto"/>
              </w:rPr>
            </w:pPr>
            <w:r>
              <w:rPr>
                <w:rFonts w:ascii="Arial" w:cs="Arial" w:eastAsia="Arial" w:hAnsi="Arial"/>
                <w:sz w:val="20"/>
                <w:szCs w:val="20"/>
                <w:color w:val="auto"/>
              </w:rPr>
              <w:t>—</w:t>
            </w:r>
          </w:p>
        </w:tc>
        <w:tc>
          <w:tcPr>
            <w:tcW w:w="38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2,929</w:t>
            </w:r>
          </w:p>
        </w:tc>
        <w:tc>
          <w:tcPr>
            <w:tcW w:w="2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3,085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40" w:type="dxa"/>
            <w:vAlign w:val="bottom"/>
          </w:tcPr>
          <w:p>
            <w:pPr>
              <w:ind w:left="240"/>
              <w:spacing w:after="0"/>
              <w:rPr>
                <w:sz w:val="20"/>
                <w:szCs w:val="20"/>
                <w:color w:val="auto"/>
              </w:rPr>
            </w:pPr>
            <w:r>
              <w:rPr>
                <w:rFonts w:ascii="Arial" w:cs="Arial" w:eastAsia="Arial" w:hAnsi="Arial"/>
                <w:sz w:val="20"/>
                <w:szCs w:val="20"/>
                <w:color w:val="auto"/>
              </w:rPr>
              <w:t>Medicare Part D reimbursement</w:t>
            </w:r>
          </w:p>
        </w:tc>
        <w:tc>
          <w:tcPr>
            <w:tcW w:w="220" w:type="dxa"/>
            <w:vAlign w:val="bottom"/>
          </w:tcPr>
          <w:p>
            <w:pPr>
              <w:spacing w:after="0"/>
              <w:rPr>
                <w:sz w:val="21"/>
                <w:szCs w:val="21"/>
                <w:color w:val="auto"/>
              </w:rPr>
            </w:pPr>
          </w:p>
        </w:tc>
        <w:tc>
          <w:tcPr>
            <w:tcW w:w="1100" w:type="dxa"/>
            <w:vAlign w:val="bottom"/>
            <w:gridSpan w:val="2"/>
          </w:tcPr>
          <w:p>
            <w:pPr>
              <w:jc w:val="right"/>
              <w:ind w:right="99"/>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tcPr>
          <w:p>
            <w:pPr>
              <w:jc w:val="right"/>
              <w:ind w:right="139"/>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630</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592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Benefits paid</w:t>
            </w:r>
          </w:p>
        </w:tc>
        <w:tc>
          <w:tcPr>
            <w:tcW w:w="2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9"/>
              <w:spacing w:after="0"/>
              <w:rPr>
                <w:sz w:val="20"/>
                <w:szCs w:val="20"/>
                <w:color w:val="auto"/>
              </w:rPr>
            </w:pPr>
            <w:r>
              <w:rPr>
                <w:rFonts w:ascii="Arial" w:cs="Arial" w:eastAsia="Arial" w:hAnsi="Arial"/>
                <w:sz w:val="20"/>
                <w:szCs w:val="20"/>
                <w:color w:val="auto"/>
              </w:rPr>
              <w:t>(90,065)</w:t>
            </w: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59"/>
              <w:spacing w:after="0"/>
              <w:rPr>
                <w:sz w:val="20"/>
                <w:szCs w:val="20"/>
                <w:color w:val="auto"/>
              </w:rPr>
            </w:pPr>
            <w:r>
              <w:rPr>
                <w:rFonts w:ascii="Arial" w:cs="Arial" w:eastAsia="Arial" w:hAnsi="Arial"/>
                <w:sz w:val="20"/>
                <w:szCs w:val="20"/>
                <w:color w:val="auto"/>
              </w:rPr>
              <w:t>(82,339)</w:t>
            </w:r>
          </w:p>
        </w:tc>
        <w:tc>
          <w:tcPr>
            <w:tcW w:w="38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20"/>
                <w:szCs w:val="20"/>
                <w:color w:val="auto"/>
              </w:rPr>
              <w:t>(11,133)</w:t>
            </w:r>
          </w:p>
        </w:tc>
        <w:tc>
          <w:tcPr>
            <w:tcW w:w="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(11,265)</w:t>
            </w:r>
          </w:p>
        </w:tc>
        <w:tc>
          <w:tcPr>
            <w:tcW w:w="0" w:type="dxa"/>
            <w:vAlign w:val="bottom"/>
          </w:tcPr>
          <w:p>
            <w:pPr>
              <w:spacing w:after="0"/>
              <w:rPr>
                <w:sz w:val="1"/>
                <w:szCs w:val="1"/>
                <w:color w:val="auto"/>
              </w:rPr>
            </w:pPr>
          </w:p>
        </w:tc>
      </w:tr>
      <w:tr>
        <w:trPr>
          <w:trHeight w:val="243"/>
        </w:trPr>
        <w:tc>
          <w:tcPr>
            <w:tcW w:w="5940" w:type="dxa"/>
            <w:vAlign w:val="bottom"/>
            <w:tcBorders>
              <w:bottom w:val="single" w:sz="8" w:color="CFF0FC"/>
            </w:tcBorders>
          </w:tcPr>
          <w:p>
            <w:pPr>
              <w:ind w:left="240"/>
              <w:spacing w:after="0"/>
              <w:rPr>
                <w:sz w:val="20"/>
                <w:szCs w:val="20"/>
                <w:color w:val="auto"/>
              </w:rPr>
            </w:pPr>
            <w:r>
              <w:rPr>
                <w:rFonts w:ascii="Arial" w:cs="Arial" w:eastAsia="Arial" w:hAnsi="Arial"/>
                <w:sz w:val="20"/>
                <w:szCs w:val="20"/>
                <w:color w:val="auto"/>
              </w:rPr>
              <w:t>Fair value of plan assets at end of year</w:t>
            </w:r>
          </w:p>
        </w:tc>
        <w:tc>
          <w:tcPr>
            <w:tcW w:w="22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2,014,891</w:t>
            </w: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1,642,131</w:t>
            </w:r>
          </w:p>
        </w:tc>
        <w:tc>
          <w:tcPr>
            <w:tcW w:w="240" w:type="dxa"/>
            <w:vAlign w:val="bottom"/>
            <w:tcBorders>
              <w:bottom w:val="single" w:sz="8" w:color="CFF0FC"/>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2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Funded status</w:t>
            </w:r>
          </w:p>
        </w:tc>
        <w:tc>
          <w:tcPr>
            <w:tcW w:w="2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20"/>
                <w:szCs w:val="20"/>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(173,845</w:t>
            </w:r>
          </w:p>
        </w:tc>
        <w:tc>
          <w:tcPr>
            <w:tcW w:w="16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20"/>
                <w:szCs w:val="20"/>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(365,027</w:t>
            </w:r>
          </w:p>
        </w:tc>
        <w:tc>
          <w:tcPr>
            <w:tcW w:w="240" w:type="dxa"/>
            <w:vAlign w:val="bottom"/>
            <w:tcBorders>
              <w:bottom w:val="single" w:sz="8" w:color="CFF0FC"/>
            </w:tcBorders>
            <w:shd w:val="clear" w:color="auto" w:fill="CFF0FC"/>
          </w:tcPr>
          <w:p>
            <w:pPr>
              <w:jc w:val="right"/>
              <w:ind w:right="59"/>
              <w:spacing w:after="0"/>
              <w:rPr>
                <w:sz w:val="20"/>
                <w:szCs w:val="20"/>
                <w:color w:val="auto"/>
              </w:rPr>
            </w:pPr>
            <w:r>
              <w:rPr>
                <w:rFonts w:ascii="Arial" w:cs="Arial" w:eastAsia="Arial" w:hAnsi="Arial"/>
                <w:sz w:val="20"/>
                <w:szCs w:val="20"/>
                <w:color w:val="auto"/>
                <w:w w:val="89"/>
              </w:rPr>
              <w:t>)</w:t>
            </w:r>
          </w:p>
        </w:tc>
        <w:tc>
          <w:tcPr>
            <w:tcW w:w="38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20"/>
                <w:szCs w:val="20"/>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(68,637)</w:t>
            </w:r>
          </w:p>
        </w:tc>
        <w:tc>
          <w:tcPr>
            <w:tcW w:w="22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(109,922</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940" w:type="dxa"/>
            <w:vAlign w:val="bottom"/>
            <w:vMerge w:val="restart"/>
          </w:tcPr>
          <w:p>
            <w:pPr>
              <w:spacing w:after="0"/>
              <w:rPr>
                <w:sz w:val="20"/>
                <w:szCs w:val="20"/>
                <w:color w:val="auto"/>
              </w:rPr>
            </w:pPr>
            <w:r>
              <w:rPr>
                <w:rFonts w:ascii="Arial" w:cs="Arial" w:eastAsia="Arial" w:hAnsi="Arial"/>
                <w:sz w:val="20"/>
                <w:szCs w:val="20"/>
                <w:color w:val="auto"/>
              </w:rPr>
              <w:t>Accrued liabilities recognized in the consolidated</w:t>
            </w: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9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5940" w:type="dxa"/>
            <w:vAlign w:val="bottom"/>
          </w:tcPr>
          <w:p>
            <w:pPr>
              <w:ind w:left="160"/>
              <w:spacing w:after="0"/>
              <w:rPr>
                <w:sz w:val="20"/>
                <w:szCs w:val="20"/>
                <w:color w:val="auto"/>
              </w:rPr>
            </w:pPr>
            <w:r>
              <w:rPr>
                <w:rFonts w:ascii="Arial" w:cs="Arial" w:eastAsia="Arial" w:hAnsi="Arial"/>
                <w:sz w:val="20"/>
                <w:szCs w:val="20"/>
                <w:color w:val="auto"/>
              </w:rPr>
              <w:t>balance sheet</w:t>
            </w:r>
          </w:p>
        </w:tc>
        <w:tc>
          <w:tcPr>
            <w:tcW w:w="220" w:type="dxa"/>
            <w:vAlign w:val="bottom"/>
          </w:tcPr>
          <w:p>
            <w:pPr>
              <w:jc w:val="right"/>
              <w:ind w:right="19"/>
              <w:spacing w:after="0"/>
              <w:rPr>
                <w:sz w:val="20"/>
                <w:szCs w:val="20"/>
                <w:color w:val="auto"/>
              </w:rPr>
            </w:pPr>
            <w:r>
              <w:rPr>
                <w:rFonts w:ascii="Arial" w:cs="Arial" w:eastAsia="Arial" w:hAnsi="Arial"/>
                <w:sz w:val="20"/>
                <w:szCs w:val="20"/>
                <w:color w:val="auto"/>
                <w:w w:val="71"/>
              </w:rPr>
              <w:t>$</w:t>
            </w:r>
          </w:p>
        </w:tc>
        <w:tc>
          <w:tcPr>
            <w:tcW w:w="1100" w:type="dxa"/>
            <w:vAlign w:val="bottom"/>
            <w:gridSpan w:val="2"/>
          </w:tcPr>
          <w:p>
            <w:pPr>
              <w:jc w:val="right"/>
              <w:ind w:right="19"/>
              <w:spacing w:after="0"/>
              <w:rPr>
                <w:sz w:val="20"/>
                <w:szCs w:val="20"/>
                <w:color w:val="auto"/>
              </w:rPr>
            </w:pPr>
            <w:r>
              <w:rPr>
                <w:rFonts w:ascii="Arial" w:cs="Arial" w:eastAsia="Arial" w:hAnsi="Arial"/>
                <w:sz w:val="20"/>
                <w:szCs w:val="20"/>
                <w:color w:val="auto"/>
              </w:rPr>
              <w:t>(173,845)</w:t>
            </w:r>
          </w:p>
        </w:tc>
        <w:tc>
          <w:tcPr>
            <w:tcW w:w="300" w:type="dxa"/>
            <w:vAlign w:val="bottom"/>
            <w:gridSpan w:val="2"/>
          </w:tcPr>
          <w:p>
            <w:pPr>
              <w:jc w:val="right"/>
              <w:ind w:right="19"/>
              <w:spacing w:after="0"/>
              <w:rPr>
                <w:sz w:val="20"/>
                <w:szCs w:val="20"/>
                <w:color w:val="auto"/>
              </w:rPr>
            </w:pPr>
            <w:r>
              <w:rPr>
                <w:rFonts w:ascii="Arial" w:cs="Arial" w:eastAsia="Arial" w:hAnsi="Arial"/>
                <w:sz w:val="20"/>
                <w:szCs w:val="20"/>
                <w:color w:val="auto"/>
              </w:rPr>
              <w:t>$</w:t>
            </w:r>
          </w:p>
        </w:tc>
        <w:tc>
          <w:tcPr>
            <w:tcW w:w="1180" w:type="dxa"/>
            <w:vAlign w:val="bottom"/>
            <w:gridSpan w:val="2"/>
          </w:tcPr>
          <w:p>
            <w:pPr>
              <w:jc w:val="right"/>
              <w:ind w:right="59"/>
              <w:spacing w:after="0"/>
              <w:rPr>
                <w:sz w:val="20"/>
                <w:szCs w:val="20"/>
                <w:color w:val="auto"/>
              </w:rPr>
            </w:pPr>
            <w:r>
              <w:rPr>
                <w:rFonts w:ascii="Arial" w:cs="Arial" w:eastAsia="Arial" w:hAnsi="Arial"/>
                <w:sz w:val="20"/>
                <w:szCs w:val="20"/>
                <w:color w:val="auto"/>
              </w:rPr>
              <w:t>(365,027)</w:t>
            </w:r>
          </w:p>
        </w:tc>
        <w:tc>
          <w:tcPr>
            <w:tcW w:w="380" w:type="dxa"/>
            <w:vAlign w:val="bottom"/>
          </w:tcPr>
          <w:p>
            <w:pPr>
              <w:jc w:val="right"/>
              <w:ind w:right="179"/>
              <w:spacing w:after="0"/>
              <w:rPr>
                <w:sz w:val="20"/>
                <w:szCs w:val="20"/>
                <w:color w:val="auto"/>
              </w:rPr>
            </w:pPr>
            <w:r>
              <w:rPr>
                <w:rFonts w:ascii="Arial" w:cs="Arial" w:eastAsia="Arial" w:hAnsi="Arial"/>
                <w:sz w:val="20"/>
                <w:szCs w:val="20"/>
                <w:color w:val="auto"/>
                <w:w w:val="71"/>
              </w:rPr>
              <w:t>$</w:t>
            </w:r>
          </w:p>
        </w:tc>
        <w:tc>
          <w:tcPr>
            <w:tcW w:w="1020" w:type="dxa"/>
            <w:vAlign w:val="bottom"/>
            <w:gridSpan w:val="2"/>
          </w:tcPr>
          <w:p>
            <w:pPr>
              <w:jc w:val="right"/>
              <w:ind w:right="160"/>
              <w:spacing w:after="0"/>
              <w:rPr>
                <w:sz w:val="20"/>
                <w:szCs w:val="20"/>
                <w:color w:val="auto"/>
              </w:rPr>
            </w:pPr>
            <w:r>
              <w:rPr>
                <w:rFonts w:ascii="Arial" w:cs="Arial" w:eastAsia="Arial" w:hAnsi="Arial"/>
                <w:sz w:val="20"/>
                <w:szCs w:val="20"/>
                <w:color w:val="auto"/>
              </w:rPr>
              <w:t>(68,637)</w:t>
            </w:r>
          </w:p>
        </w:tc>
        <w:tc>
          <w:tcPr>
            <w:tcW w:w="280" w:type="dxa"/>
            <w:vAlign w:val="bottom"/>
            <w:gridSpan w:val="2"/>
          </w:tcPr>
          <w:p>
            <w:pPr>
              <w:jc w:val="right"/>
              <w:ind w:right="104"/>
              <w:spacing w:after="0"/>
              <w:rPr>
                <w:sz w:val="20"/>
                <w:szCs w:val="20"/>
                <w:color w:val="auto"/>
              </w:rPr>
            </w:pPr>
            <w:r>
              <w:rPr>
                <w:rFonts w:ascii="Arial" w:cs="Arial" w:eastAsia="Arial" w:hAnsi="Arial"/>
                <w:sz w:val="20"/>
                <w:szCs w:val="20"/>
                <w:color w:val="auto"/>
                <w:w w:val="71"/>
              </w:rPr>
              <w:t>$</w:t>
            </w:r>
          </w:p>
        </w:tc>
        <w:tc>
          <w:tcPr>
            <w:tcW w:w="1000" w:type="dxa"/>
            <w:vAlign w:val="bottom"/>
            <w:gridSpan w:val="2"/>
          </w:tcPr>
          <w:p>
            <w:pPr>
              <w:jc w:val="right"/>
              <w:spacing w:after="0"/>
              <w:rPr>
                <w:sz w:val="20"/>
                <w:szCs w:val="20"/>
                <w:color w:val="auto"/>
              </w:rPr>
            </w:pPr>
            <w:r>
              <w:rPr>
                <w:rFonts w:ascii="Arial" w:cs="Arial" w:eastAsia="Arial" w:hAnsi="Arial"/>
                <w:sz w:val="20"/>
                <w:szCs w:val="20"/>
                <w:color w:val="auto"/>
              </w:rPr>
              <w:t>(109,922)</w:t>
            </w:r>
          </w:p>
        </w:tc>
        <w:tc>
          <w:tcPr>
            <w:tcW w:w="0" w:type="dxa"/>
            <w:vAlign w:val="bottom"/>
          </w:tcPr>
          <w:p>
            <w:pPr>
              <w:spacing w:after="0"/>
              <w:rPr>
                <w:sz w:val="1"/>
                <w:szCs w:val="1"/>
                <w:color w:val="auto"/>
              </w:rPr>
            </w:pPr>
          </w:p>
        </w:tc>
      </w:tr>
      <w:tr>
        <w:trPr>
          <w:trHeight w:val="216"/>
        </w:trPr>
        <w:tc>
          <w:tcPr>
            <w:tcW w:w="5940" w:type="dxa"/>
            <w:vAlign w:val="bottom"/>
            <w:tcBorders>
              <w:top w:val="single" w:sz="8" w:color="CFF0FC"/>
            </w:tcBorders>
            <w:shd w:val="clear" w:color="auto" w:fill="CFF0FC"/>
          </w:tcPr>
          <w:p>
            <w:pPr>
              <w:spacing w:after="0" w:line="215" w:lineRule="exact"/>
              <w:rPr>
                <w:sz w:val="20"/>
                <w:szCs w:val="20"/>
                <w:color w:val="auto"/>
              </w:rPr>
            </w:pPr>
            <w:r>
              <w:rPr>
                <w:rFonts w:ascii="Arial" w:cs="Arial" w:eastAsia="Arial" w:hAnsi="Arial"/>
                <w:sz w:val="20"/>
                <w:szCs w:val="20"/>
                <w:color w:val="auto"/>
              </w:rPr>
              <w:t>Amounts recognized in accumulated other</w:t>
            </w:r>
          </w:p>
        </w:tc>
        <w:tc>
          <w:tcPr>
            <w:tcW w:w="2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940" w:type="dxa"/>
            <w:vAlign w:val="bottom"/>
            <w:shd w:val="clear" w:color="auto" w:fill="CFF0FC"/>
          </w:tcPr>
          <w:p>
            <w:pPr>
              <w:ind w:left="160"/>
              <w:spacing w:after="0"/>
              <w:rPr>
                <w:sz w:val="20"/>
                <w:szCs w:val="20"/>
                <w:color w:val="auto"/>
              </w:rPr>
            </w:pPr>
            <w:r>
              <w:rPr>
                <w:rFonts w:ascii="Arial" w:cs="Arial" w:eastAsia="Arial" w:hAnsi="Arial"/>
                <w:sz w:val="20"/>
                <w:szCs w:val="20"/>
                <w:color w:val="auto"/>
              </w:rPr>
              <w:t>comprehensive income (“AOCI”) were:</w:t>
            </w: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40" w:type="dxa"/>
            <w:vAlign w:val="bottom"/>
          </w:tcPr>
          <w:p>
            <w:pPr>
              <w:ind w:left="240"/>
              <w:spacing w:after="0"/>
              <w:rPr>
                <w:sz w:val="20"/>
                <w:szCs w:val="20"/>
                <w:color w:val="auto"/>
              </w:rPr>
            </w:pPr>
            <w:r>
              <w:rPr>
                <w:rFonts w:ascii="Arial" w:cs="Arial" w:eastAsia="Arial" w:hAnsi="Arial"/>
                <w:sz w:val="20"/>
                <w:szCs w:val="20"/>
                <w:color w:val="auto"/>
              </w:rPr>
              <w:t>Net loss (gain)</w:t>
            </w:r>
          </w:p>
        </w:tc>
        <w:tc>
          <w:tcPr>
            <w:tcW w:w="220" w:type="dxa"/>
            <w:vAlign w:val="bottom"/>
          </w:tcPr>
          <w:p>
            <w:pPr>
              <w:jc w:val="right"/>
              <w:ind w:right="19"/>
              <w:spacing w:after="0"/>
              <w:rPr>
                <w:sz w:val="20"/>
                <w:szCs w:val="20"/>
                <w:color w:val="auto"/>
              </w:rPr>
            </w:pPr>
            <w:r>
              <w:rPr>
                <w:rFonts w:ascii="Arial" w:cs="Arial" w:eastAsia="Arial" w:hAnsi="Arial"/>
                <w:sz w:val="20"/>
                <w:szCs w:val="20"/>
                <w:color w:val="auto"/>
                <w:w w:val="71"/>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460,622</w:t>
            </w:r>
          </w:p>
        </w:tc>
        <w:tc>
          <w:tcPr>
            <w:tcW w:w="160" w:type="dxa"/>
            <w:vAlign w:val="bottom"/>
          </w:tcPr>
          <w:p>
            <w:pPr>
              <w:spacing w:after="0"/>
              <w:rPr>
                <w:sz w:val="21"/>
                <w:szCs w:val="21"/>
                <w:color w:val="auto"/>
              </w:rPr>
            </w:pPr>
          </w:p>
        </w:tc>
        <w:tc>
          <w:tcPr>
            <w:tcW w:w="300" w:type="dxa"/>
            <w:vAlign w:val="bottom"/>
            <w:gridSpan w:val="2"/>
          </w:tcPr>
          <w:p>
            <w:pPr>
              <w:jc w:val="right"/>
              <w:ind w:right="19"/>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460,562</w:t>
            </w:r>
          </w:p>
        </w:tc>
        <w:tc>
          <w:tcPr>
            <w:tcW w:w="240" w:type="dxa"/>
            <w:vAlign w:val="bottom"/>
          </w:tcPr>
          <w:p>
            <w:pPr>
              <w:spacing w:after="0"/>
              <w:rPr>
                <w:sz w:val="21"/>
                <w:szCs w:val="21"/>
                <w:color w:val="auto"/>
              </w:rPr>
            </w:pPr>
          </w:p>
        </w:tc>
        <w:tc>
          <w:tcPr>
            <w:tcW w:w="380" w:type="dxa"/>
            <w:vAlign w:val="bottom"/>
          </w:tcPr>
          <w:p>
            <w:pPr>
              <w:jc w:val="right"/>
              <w:ind w:right="179"/>
              <w:spacing w:after="0"/>
              <w:rPr>
                <w:sz w:val="20"/>
                <w:szCs w:val="20"/>
                <w:color w:val="auto"/>
              </w:rPr>
            </w:pPr>
            <w:r>
              <w:rPr>
                <w:rFonts w:ascii="Arial" w:cs="Arial" w:eastAsia="Arial" w:hAnsi="Arial"/>
                <w:sz w:val="20"/>
                <w:szCs w:val="20"/>
                <w:color w:val="auto"/>
                <w:w w:val="71"/>
              </w:rPr>
              <w:t>$</w:t>
            </w:r>
          </w:p>
        </w:tc>
        <w:tc>
          <w:tcPr>
            <w:tcW w:w="1020" w:type="dxa"/>
            <w:vAlign w:val="bottom"/>
            <w:gridSpan w:val="2"/>
          </w:tcPr>
          <w:p>
            <w:pPr>
              <w:jc w:val="right"/>
              <w:ind w:right="160"/>
              <w:spacing w:after="0"/>
              <w:rPr>
                <w:sz w:val="20"/>
                <w:szCs w:val="20"/>
                <w:color w:val="auto"/>
              </w:rPr>
            </w:pPr>
            <w:r>
              <w:rPr>
                <w:rFonts w:ascii="Arial" w:cs="Arial" w:eastAsia="Arial" w:hAnsi="Arial"/>
                <w:sz w:val="20"/>
                <w:szCs w:val="20"/>
                <w:color w:val="auto"/>
              </w:rPr>
              <w:t>(13,936)</w:t>
            </w:r>
          </w:p>
        </w:tc>
        <w:tc>
          <w:tcPr>
            <w:tcW w:w="280" w:type="dxa"/>
            <w:vAlign w:val="bottom"/>
            <w:gridSpan w:val="2"/>
          </w:tcPr>
          <w:p>
            <w:pPr>
              <w:jc w:val="right"/>
              <w:ind w:right="104"/>
              <w:spacing w:after="0"/>
              <w:rPr>
                <w:sz w:val="20"/>
                <w:szCs w:val="20"/>
                <w:color w:val="auto"/>
              </w:rPr>
            </w:pPr>
            <w:r>
              <w:rPr>
                <w:rFonts w:ascii="Arial" w:cs="Arial" w:eastAsia="Arial" w:hAnsi="Arial"/>
                <w:sz w:val="20"/>
                <w:szCs w:val="20"/>
                <w:color w:val="auto"/>
                <w:w w:val="71"/>
              </w:rPr>
              <w:t>$</w:t>
            </w:r>
          </w:p>
        </w:tc>
        <w:tc>
          <w:tcPr>
            <w:tcW w:w="1000" w:type="dxa"/>
            <w:vAlign w:val="bottom"/>
            <w:gridSpan w:val="2"/>
          </w:tcPr>
          <w:p>
            <w:pPr>
              <w:jc w:val="right"/>
              <w:spacing w:after="0"/>
              <w:rPr>
                <w:sz w:val="20"/>
                <w:szCs w:val="20"/>
                <w:color w:val="auto"/>
              </w:rPr>
            </w:pPr>
            <w:r>
              <w:rPr>
                <w:rFonts w:ascii="Arial" w:cs="Arial" w:eastAsia="Arial" w:hAnsi="Arial"/>
                <w:sz w:val="20"/>
                <w:szCs w:val="20"/>
                <w:color w:val="auto"/>
              </w:rPr>
              <w:t>(6,413)</w:t>
            </w:r>
          </w:p>
        </w:tc>
        <w:tc>
          <w:tcPr>
            <w:tcW w:w="0" w:type="dxa"/>
            <w:vAlign w:val="bottom"/>
          </w:tcPr>
          <w:p>
            <w:pPr>
              <w:spacing w:after="0"/>
              <w:rPr>
                <w:sz w:val="1"/>
                <w:szCs w:val="1"/>
                <w:color w:val="auto"/>
              </w:rPr>
            </w:pPr>
          </w:p>
        </w:tc>
      </w:tr>
      <w:tr>
        <w:trPr>
          <w:trHeight w:val="250"/>
        </w:trPr>
        <w:tc>
          <w:tcPr>
            <w:tcW w:w="59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Net prior service cost (credit)</w:t>
            </w: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2,948</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3,505</w:t>
            </w: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20"/>
                <w:szCs w:val="20"/>
                <w:color w:val="auto"/>
              </w:rPr>
              <w:t>(36,466)</w:t>
            </w:r>
          </w:p>
        </w:tc>
        <w:tc>
          <w:tcPr>
            <w:tcW w:w="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(7,737)</w:t>
            </w:r>
          </w:p>
        </w:tc>
        <w:tc>
          <w:tcPr>
            <w:tcW w:w="0" w:type="dxa"/>
            <w:vAlign w:val="bottom"/>
          </w:tcPr>
          <w:p>
            <w:pPr>
              <w:spacing w:after="0"/>
              <w:rPr>
                <w:sz w:val="1"/>
                <w:szCs w:val="1"/>
                <w:color w:val="auto"/>
              </w:rPr>
            </w:pPr>
          </w:p>
        </w:tc>
      </w:tr>
      <w:tr>
        <w:trPr>
          <w:trHeight w:val="243"/>
        </w:trPr>
        <w:tc>
          <w:tcPr>
            <w:tcW w:w="5940" w:type="dxa"/>
            <w:vAlign w:val="bottom"/>
          </w:tcPr>
          <w:p>
            <w:pPr>
              <w:ind w:left="240"/>
              <w:spacing w:after="0"/>
              <w:rPr>
                <w:sz w:val="20"/>
                <w:szCs w:val="20"/>
                <w:color w:val="auto"/>
              </w:rPr>
            </w:pPr>
            <w:r>
              <w:rPr>
                <w:rFonts w:ascii="Arial" w:cs="Arial" w:eastAsia="Arial" w:hAnsi="Arial"/>
                <w:sz w:val="20"/>
                <w:szCs w:val="20"/>
                <w:color w:val="auto"/>
              </w:rPr>
              <w:t>Pre-tax adjustment to AOCI</w:t>
            </w:r>
          </w:p>
        </w:tc>
        <w:tc>
          <w:tcPr>
            <w:tcW w:w="22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463,570</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464,067</w:t>
            </w:r>
          </w:p>
        </w:tc>
        <w:tc>
          <w:tcPr>
            <w:tcW w:w="24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(50,402)</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(14,150)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Taxes</w:t>
            </w:r>
          </w:p>
        </w:tc>
        <w:tc>
          <w:tcPr>
            <w:tcW w:w="2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9"/>
              <w:spacing w:after="0"/>
              <w:rPr>
                <w:sz w:val="20"/>
                <w:szCs w:val="20"/>
                <w:color w:val="auto"/>
              </w:rPr>
            </w:pPr>
            <w:r>
              <w:rPr>
                <w:rFonts w:ascii="Arial" w:cs="Arial" w:eastAsia="Arial" w:hAnsi="Arial"/>
                <w:sz w:val="20"/>
                <w:szCs w:val="20"/>
                <w:color w:val="auto"/>
              </w:rPr>
              <w:t>(121,873)</w:t>
            </w: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59"/>
              <w:spacing w:after="0"/>
              <w:rPr>
                <w:sz w:val="20"/>
                <w:szCs w:val="20"/>
                <w:color w:val="auto"/>
              </w:rPr>
            </w:pPr>
            <w:r>
              <w:rPr>
                <w:rFonts w:ascii="Arial" w:cs="Arial" w:eastAsia="Arial" w:hAnsi="Arial"/>
                <w:sz w:val="20"/>
                <w:szCs w:val="20"/>
                <w:color w:val="auto"/>
              </w:rPr>
              <w:t>(182,611)</w:t>
            </w:r>
          </w:p>
        </w:tc>
        <w:tc>
          <w:tcPr>
            <w:tcW w:w="38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13,251</w:t>
            </w:r>
          </w:p>
        </w:tc>
        <w:tc>
          <w:tcPr>
            <w:tcW w:w="2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5,568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40" w:type="dxa"/>
            <w:vAlign w:val="bottom"/>
          </w:tcPr>
          <w:p>
            <w:pPr>
              <w:ind w:left="240"/>
              <w:spacing w:after="0"/>
              <w:rPr>
                <w:sz w:val="20"/>
                <w:szCs w:val="20"/>
                <w:color w:val="auto"/>
              </w:rPr>
            </w:pPr>
            <w:r>
              <w:rPr>
                <w:rFonts w:ascii="Arial" w:cs="Arial" w:eastAsia="Arial" w:hAnsi="Arial"/>
                <w:sz w:val="20"/>
                <w:szCs w:val="20"/>
                <w:color w:val="auto"/>
              </w:rPr>
              <w:t>Net adjustment to AOCI</w:t>
            </w: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20"/>
                <w:szCs w:val="20"/>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341,697</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20"/>
                <w:szCs w:val="20"/>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281,456</w:t>
            </w:r>
          </w:p>
        </w:tc>
        <w:tc>
          <w:tcPr>
            <w:tcW w:w="24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20"/>
                <w:szCs w:val="20"/>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(37,151)</w:t>
            </w:r>
          </w:p>
        </w:tc>
        <w:tc>
          <w:tcPr>
            <w:tcW w:w="2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(8,582)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ind w:right="60" w:firstLine="598"/>
        <w:spacing w:after="0" w:line="253" w:lineRule="auto"/>
        <w:rPr>
          <w:sz w:val="20"/>
          <w:szCs w:val="20"/>
          <w:color w:val="auto"/>
        </w:rPr>
      </w:pPr>
      <w:r>
        <w:rPr>
          <w:rFonts w:ascii="Arial" w:cs="Arial" w:eastAsia="Arial" w:hAnsi="Arial"/>
          <w:sz w:val="20"/>
          <w:szCs w:val="20"/>
          <w:color w:val="auto"/>
        </w:rPr>
        <w:t>The Company has an unfunded supplemental pension plan for certain key executives and others. The projected benefit obligation and accumulated benefit obligation included in the preceding data related to such plan were $165,210,000 as of December 31, 2017 and $160,433,000 as of December 31, 2016.</w:t>
      </w:r>
    </w:p>
    <w:p>
      <w:pPr>
        <w:ind w:right="300" w:firstLine="598"/>
        <w:spacing w:after="0" w:line="256" w:lineRule="auto"/>
        <w:rPr>
          <w:sz w:val="20"/>
          <w:szCs w:val="20"/>
          <w:color w:val="auto"/>
        </w:rPr>
      </w:pPr>
      <w:r>
        <w:rPr>
          <w:rFonts w:ascii="Arial" w:cs="Arial" w:eastAsia="Arial" w:hAnsi="Arial"/>
          <w:sz w:val="20"/>
          <w:szCs w:val="20"/>
          <w:color w:val="auto"/>
        </w:rPr>
        <w:t>The accumulated benefit obligation for all defined benefit pension plans was $2,158,601,000 and $1,979,225,000 at December 31, 2017 and 2016, respectively.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76" w:right="239" w:bottom="1440" w:gutter="0" w:footer="0" w:header="0"/>
        </w:sectPr>
      </w:pPr>
    </w:p>
    <w:bookmarkStart w:id="148" w:name="page149"/>
    <w:bookmarkEnd w:id="148"/>
    <w:p>
      <w:pPr>
        <w:ind w:right="60" w:firstLine="598"/>
        <w:spacing w:after="0" w:line="279" w:lineRule="auto"/>
        <w:rPr>
          <w:sz w:val="20"/>
          <w:szCs w:val="20"/>
          <w:color w:val="auto"/>
        </w:rPr>
      </w:pPr>
      <w:r>
        <w:rPr>
          <w:rFonts w:ascii="Arial" w:cs="Arial" w:eastAsia="Arial" w:hAnsi="Arial"/>
          <w:sz w:val="18"/>
          <w:szCs w:val="18"/>
          <w:color w:val="auto"/>
        </w:rPr>
        <w:t>GAAP requires an employer to recognize in its balance sheet as an asset or liability the overfunded or underfunded status of a defined benefit postretirement plan, measured as the difference between the fair value of plan assets and the benefit obligation. For a pension plan, the benefit obligation is the projected benefit obligation; for any other postretirement benefit plan, such as a retiree health care plan, the benefit obligation is the accumulated postretirement benefit obligation. Gains or losses and prior service costs or credits that arise during the period, but are not included as components of net periodic benefit expense, are recognized as a component of other comprehensive income. Amortization of net gains and losses is included in annual net periodic benefit expense if, as of the beginning of the year, the net gain or loss exceeds 10% of the greater of the benefit obligation or the fair value of the plan assets. As indicated in the preceding table, as of December 31, 2017 the Company recorded a minimum liability adjustment of $413,168,000 ($463,570,000 related to pension plans and $(50,402,000) related to other postretirement benefits) with a corresponding reduction of shareholders’ equity, net of applicable deferred taxes, of $304,546,000. In aggregate, the benefit plans realized a net gain during 2017 that allowed the Company to decrease its minimum liability adjustment from that which was recorded at December 31, 2016 by $36,749,000. The net gain reflects an amendment to the former Hudson City postretirement health and life plans. The table below reflects the changes in plan assets and benefit obligations recognized in other comprehensive income related to the Company’s postretirement benefit plans.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Other</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40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w w:val="91"/>
              </w:rPr>
              <w:t>Pension Plans</w:t>
            </w:r>
          </w:p>
        </w:tc>
        <w:tc>
          <w:tcPr>
            <w:tcW w:w="160" w:type="dxa"/>
            <w:vAlign w:val="bottom"/>
          </w:tcPr>
          <w:p>
            <w:pPr>
              <w:spacing w:after="0"/>
              <w:rPr>
                <w:sz w:val="12"/>
                <w:szCs w:val="12"/>
                <w:color w:val="auto"/>
              </w:rPr>
            </w:pPr>
          </w:p>
        </w:tc>
        <w:tc>
          <w:tcPr>
            <w:tcW w:w="1440" w:type="dxa"/>
            <w:vAlign w:val="bottom"/>
            <w:gridSpan w:val="2"/>
          </w:tcPr>
          <w:p>
            <w:pPr>
              <w:jc w:val="center"/>
              <w:ind w:right="420"/>
              <w:spacing w:after="0" w:line="145" w:lineRule="exact"/>
              <w:rPr>
                <w:sz w:val="20"/>
                <w:szCs w:val="20"/>
                <w:color w:val="auto"/>
              </w:rPr>
            </w:pPr>
            <w:r>
              <w:rPr>
                <w:rFonts w:ascii="Arial" w:cs="Arial" w:eastAsia="Arial" w:hAnsi="Arial"/>
                <w:sz w:val="14"/>
                <w:szCs w:val="14"/>
                <w:b w:val="1"/>
                <w:bCs w:val="1"/>
                <w:color w:val="auto"/>
                <w:w w:val="91"/>
              </w:rPr>
              <w:t>Postretirement</w:t>
            </w:r>
          </w:p>
        </w:tc>
        <w:tc>
          <w:tcPr>
            <w:tcW w:w="320" w:type="dxa"/>
            <w:vAlign w:val="bottom"/>
          </w:tcPr>
          <w:p>
            <w:pPr>
              <w:spacing w:after="0"/>
              <w:rPr>
                <w:sz w:val="12"/>
                <w:szCs w:val="12"/>
                <w:color w:val="auto"/>
              </w:rPr>
            </w:pPr>
          </w:p>
        </w:tc>
        <w:tc>
          <w:tcPr>
            <w:tcW w:w="114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7"/>
        </w:trPr>
        <w:tc>
          <w:tcPr>
            <w:tcW w:w="40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7"/>
              </w:rPr>
              <w:t>Benefit Plans</w:t>
            </w:r>
          </w:p>
        </w:tc>
        <w:tc>
          <w:tcPr>
            <w:tcW w:w="3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400" w:type="dxa"/>
            <w:vAlign w:val="bottom"/>
          </w:tcPr>
          <w:p>
            <w:pPr>
              <w:spacing w:after="0"/>
              <w:rPr>
                <w:sz w:val="13"/>
                <w:szCs w:val="13"/>
                <w:color w:val="auto"/>
              </w:rPr>
            </w:pPr>
          </w:p>
        </w:tc>
        <w:tc>
          <w:tcPr>
            <w:tcW w:w="49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gridSpan w:val="2"/>
          </w:tcPr>
          <w:p>
            <w:pPr>
              <w:jc w:val="center"/>
              <w:ind w:right="400"/>
              <w:spacing w:after="0" w:line="151" w:lineRule="exact"/>
              <w:rPr>
                <w:sz w:val="20"/>
                <w:szCs w:val="20"/>
                <w:color w:val="auto"/>
              </w:rPr>
            </w:pPr>
            <w:r>
              <w:rPr>
                <w:rFonts w:ascii="Arial" w:cs="Arial" w:eastAsia="Arial" w:hAnsi="Arial"/>
                <w:sz w:val="14"/>
                <w:szCs w:val="14"/>
                <w:b w:val="1"/>
                <w:bCs w:val="1"/>
                <w:color w:val="auto"/>
                <w:w w:val="91"/>
              </w:rPr>
              <w:t>(In thousands)</w:t>
            </w:r>
          </w:p>
        </w:tc>
        <w:tc>
          <w:tcPr>
            <w:tcW w:w="3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5380" w:type="dxa"/>
            <w:vAlign w:val="bottom"/>
            <w:gridSpan w:val="2"/>
            <w:shd w:val="clear" w:color="auto" w:fill="CFF0FC"/>
          </w:tcPr>
          <w:p>
            <w:pPr>
              <w:spacing w:after="0" w:line="210" w:lineRule="exact"/>
              <w:rPr>
                <w:sz w:val="20"/>
                <w:szCs w:val="20"/>
                <w:color w:val="auto"/>
              </w:rPr>
            </w:pPr>
            <w:r>
              <w:rPr>
                <w:rFonts w:ascii="Arial" w:cs="Arial" w:eastAsia="Arial" w:hAnsi="Arial"/>
                <w:sz w:val="20"/>
                <w:szCs w:val="20"/>
                <w:color w:val="auto"/>
              </w:rPr>
              <w:t>2017</w:t>
            </w:r>
          </w:p>
        </w:tc>
        <w:tc>
          <w:tcPr>
            <w:tcW w:w="1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9"/>
        </w:trPr>
        <w:tc>
          <w:tcPr>
            <w:tcW w:w="400" w:type="dxa"/>
            <w:vAlign w:val="bottom"/>
            <w:shd w:val="clear" w:color="auto" w:fill="000000"/>
          </w:tcPr>
          <w:p>
            <w:pPr>
              <w:spacing w:after="0"/>
              <w:rPr>
                <w:sz w:val="3"/>
                <w:szCs w:val="3"/>
                <w:color w:val="auto"/>
              </w:rPr>
            </w:pPr>
          </w:p>
        </w:tc>
        <w:tc>
          <w:tcPr>
            <w:tcW w:w="4980" w:type="dxa"/>
            <w:vAlign w:val="bottom"/>
            <w:shd w:val="clear" w:color="auto" w:fill="CFF0FC"/>
          </w:tcPr>
          <w:p>
            <w:pPr>
              <w:spacing w:after="0"/>
              <w:rPr>
                <w:sz w:val="3"/>
                <w:szCs w:val="3"/>
                <w:color w:val="auto"/>
              </w:rPr>
            </w:pPr>
          </w:p>
        </w:tc>
        <w:tc>
          <w:tcPr>
            <w:tcW w:w="1400" w:type="dxa"/>
            <w:vAlign w:val="bottom"/>
            <w:shd w:val="clear" w:color="auto" w:fill="CFF0FC"/>
          </w:tcPr>
          <w:p>
            <w:pPr>
              <w:spacing w:after="0"/>
              <w:rPr>
                <w:sz w:val="3"/>
                <w:szCs w:val="3"/>
                <w:color w:val="auto"/>
              </w:rPr>
            </w:pPr>
          </w:p>
        </w:tc>
        <w:tc>
          <w:tcPr>
            <w:tcW w:w="160" w:type="dxa"/>
            <w:vAlign w:val="bottom"/>
            <w:shd w:val="clear" w:color="auto" w:fill="CFF0FC"/>
          </w:tcPr>
          <w:p>
            <w:pPr>
              <w:spacing w:after="0"/>
              <w:rPr>
                <w:sz w:val="3"/>
                <w:szCs w:val="3"/>
                <w:color w:val="auto"/>
              </w:rPr>
            </w:pPr>
          </w:p>
        </w:tc>
        <w:tc>
          <w:tcPr>
            <w:tcW w:w="1180" w:type="dxa"/>
            <w:vAlign w:val="bottom"/>
            <w:shd w:val="clear" w:color="auto" w:fill="CFF0FC"/>
          </w:tcPr>
          <w:p>
            <w:pPr>
              <w:spacing w:after="0"/>
              <w:rPr>
                <w:sz w:val="3"/>
                <w:szCs w:val="3"/>
                <w:color w:val="auto"/>
              </w:rPr>
            </w:pPr>
          </w:p>
        </w:tc>
        <w:tc>
          <w:tcPr>
            <w:tcW w:w="240" w:type="dxa"/>
            <w:vAlign w:val="bottom"/>
            <w:shd w:val="clear" w:color="auto" w:fill="CFF0FC"/>
          </w:tcPr>
          <w:p>
            <w:pPr>
              <w:spacing w:after="0"/>
              <w:rPr>
                <w:sz w:val="3"/>
                <w:szCs w:val="3"/>
                <w:color w:val="auto"/>
              </w:rPr>
            </w:pPr>
          </w:p>
        </w:tc>
        <w:tc>
          <w:tcPr>
            <w:tcW w:w="160" w:type="dxa"/>
            <w:vAlign w:val="bottom"/>
            <w:shd w:val="clear" w:color="auto" w:fill="CFF0FC"/>
          </w:tcPr>
          <w:p>
            <w:pPr>
              <w:spacing w:after="0"/>
              <w:rPr>
                <w:sz w:val="3"/>
                <w:szCs w:val="3"/>
                <w:color w:val="auto"/>
              </w:rPr>
            </w:pPr>
          </w:p>
        </w:tc>
        <w:tc>
          <w:tcPr>
            <w:tcW w:w="1200" w:type="dxa"/>
            <w:vAlign w:val="bottom"/>
            <w:shd w:val="clear" w:color="auto" w:fill="CFF0FC"/>
          </w:tcPr>
          <w:p>
            <w:pPr>
              <w:spacing w:after="0"/>
              <w:rPr>
                <w:sz w:val="3"/>
                <w:szCs w:val="3"/>
                <w:color w:val="auto"/>
              </w:rPr>
            </w:pPr>
          </w:p>
        </w:tc>
        <w:tc>
          <w:tcPr>
            <w:tcW w:w="240" w:type="dxa"/>
            <w:vAlign w:val="bottom"/>
            <w:shd w:val="clear" w:color="auto" w:fill="CFF0FC"/>
          </w:tcPr>
          <w:p>
            <w:pPr>
              <w:spacing w:after="0"/>
              <w:rPr>
                <w:sz w:val="3"/>
                <w:szCs w:val="3"/>
                <w:color w:val="auto"/>
              </w:rPr>
            </w:pPr>
          </w:p>
        </w:tc>
        <w:tc>
          <w:tcPr>
            <w:tcW w:w="320" w:type="dxa"/>
            <w:vAlign w:val="bottom"/>
            <w:shd w:val="clear" w:color="auto" w:fill="CFF0FC"/>
          </w:tcPr>
          <w:p>
            <w:pPr>
              <w:spacing w:after="0"/>
              <w:rPr>
                <w:sz w:val="3"/>
                <w:szCs w:val="3"/>
                <w:color w:val="auto"/>
              </w:rPr>
            </w:pPr>
          </w:p>
        </w:tc>
        <w:tc>
          <w:tcPr>
            <w:tcW w:w="1040" w:type="dxa"/>
            <w:vAlign w:val="bottom"/>
            <w:shd w:val="clear" w:color="auto" w:fill="CFF0FC"/>
          </w:tcPr>
          <w:p>
            <w:pPr>
              <w:spacing w:after="0"/>
              <w:rPr>
                <w:sz w:val="3"/>
                <w:szCs w:val="3"/>
                <w:color w:val="auto"/>
              </w:rPr>
            </w:pPr>
          </w:p>
        </w:tc>
        <w:tc>
          <w:tcPr>
            <w:tcW w:w="100" w:type="dxa"/>
            <w:vAlign w:val="bottom"/>
            <w:shd w:val="clear" w:color="auto" w:fill="CFF0FC"/>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gridSpan w:val="2"/>
          </w:tcPr>
          <w:p>
            <w:pPr>
              <w:spacing w:after="0"/>
              <w:rPr>
                <w:sz w:val="20"/>
                <w:szCs w:val="20"/>
                <w:color w:val="auto"/>
              </w:rPr>
            </w:pPr>
            <w:r>
              <w:rPr>
                <w:rFonts w:ascii="Arial" w:cs="Arial" w:eastAsia="Arial" w:hAnsi="Arial"/>
                <w:sz w:val="20"/>
                <w:szCs w:val="20"/>
                <w:color w:val="auto"/>
              </w:rPr>
              <w:t>Net loss (gain)</w:t>
            </w:r>
          </w:p>
        </w:tc>
        <w:tc>
          <w:tcPr>
            <w:tcW w:w="156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29,323</w:t>
            </w:r>
          </w:p>
        </w:tc>
        <w:tc>
          <w:tcPr>
            <w:tcW w:w="2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440" w:type="dxa"/>
            <w:vAlign w:val="bottom"/>
            <w:gridSpan w:val="2"/>
          </w:tcPr>
          <w:p>
            <w:pPr>
              <w:jc w:val="right"/>
              <w:ind w:right="180"/>
              <w:spacing w:after="0"/>
              <w:rPr>
                <w:sz w:val="20"/>
                <w:szCs w:val="20"/>
                <w:color w:val="auto"/>
              </w:rPr>
            </w:pPr>
            <w:r>
              <w:rPr>
                <w:rFonts w:ascii="Arial" w:cs="Arial" w:eastAsia="Arial" w:hAnsi="Arial"/>
                <w:sz w:val="20"/>
                <w:szCs w:val="20"/>
                <w:color w:val="auto"/>
              </w:rPr>
              <w:t>(8,511)</w:t>
            </w:r>
          </w:p>
        </w:tc>
        <w:tc>
          <w:tcPr>
            <w:tcW w:w="320" w:type="dxa"/>
            <w:vAlign w:val="bottom"/>
          </w:tcPr>
          <w:p>
            <w:pPr>
              <w:jc w:val="right"/>
              <w:ind w:right="119"/>
              <w:spacing w:after="0"/>
              <w:rPr>
                <w:sz w:val="20"/>
                <w:szCs w:val="20"/>
                <w:color w:val="auto"/>
              </w:rPr>
            </w:pPr>
            <w:r>
              <w:rPr>
                <w:rFonts w:ascii="Arial" w:cs="Arial" w:eastAsia="Arial" w:hAnsi="Arial"/>
                <w:sz w:val="20"/>
                <w:szCs w:val="20"/>
                <w:color w:val="auto"/>
                <w:w w:val="71"/>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20,812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38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Amendments and curtailments</w:t>
            </w:r>
          </w:p>
        </w:tc>
        <w:tc>
          <w:tcPr>
            <w:tcW w:w="14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260"/>
              <w:spacing w:after="0"/>
              <w:rPr>
                <w:sz w:val="20"/>
                <w:szCs w:val="20"/>
                <w:color w:val="auto"/>
              </w:rPr>
            </w:pPr>
            <w:r>
              <w:rPr>
                <w:rFonts w:ascii="Arial" w:cs="Arial" w:eastAsia="Arial" w:hAnsi="Arial"/>
                <w:sz w:val="20"/>
                <w:szCs w:val="20"/>
                <w:color w:val="auto"/>
              </w:rPr>
              <w:t>—</w:t>
            </w:r>
          </w:p>
        </w:tc>
        <w:tc>
          <w:tcPr>
            <w:tcW w:w="16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80"/>
              <w:spacing w:after="0"/>
              <w:rPr>
                <w:sz w:val="20"/>
                <w:szCs w:val="20"/>
                <w:color w:val="auto"/>
              </w:rPr>
            </w:pPr>
            <w:r>
              <w:rPr>
                <w:rFonts w:ascii="Arial" w:cs="Arial" w:eastAsia="Arial" w:hAnsi="Arial"/>
                <w:sz w:val="20"/>
                <w:szCs w:val="20"/>
                <w:color w:val="auto"/>
              </w:rPr>
              <w:t>(30,088)</w:t>
            </w:r>
          </w:p>
        </w:tc>
        <w:tc>
          <w:tcPr>
            <w:tcW w:w="3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(30,088)</w:t>
            </w:r>
          </w:p>
        </w:tc>
        <w:tc>
          <w:tcPr>
            <w:tcW w:w="0" w:type="dxa"/>
            <w:vAlign w:val="bottom"/>
          </w:tcPr>
          <w:p>
            <w:pPr>
              <w:spacing w:after="0"/>
              <w:rPr>
                <w:sz w:val="1"/>
                <w:szCs w:val="1"/>
                <w:color w:val="auto"/>
              </w:rPr>
            </w:pPr>
          </w:p>
        </w:tc>
      </w:tr>
      <w:tr>
        <w:trPr>
          <w:trHeight w:val="250"/>
        </w:trPr>
        <w:tc>
          <w:tcPr>
            <w:tcW w:w="5380" w:type="dxa"/>
            <w:vAlign w:val="bottom"/>
            <w:gridSpan w:val="2"/>
          </w:tcPr>
          <w:p>
            <w:pPr>
              <w:spacing w:after="0"/>
              <w:rPr>
                <w:sz w:val="20"/>
                <w:szCs w:val="20"/>
                <w:color w:val="auto"/>
              </w:rPr>
            </w:pPr>
            <w:r>
              <w:rPr>
                <w:rFonts w:ascii="Arial" w:cs="Arial" w:eastAsia="Arial" w:hAnsi="Arial"/>
                <w:sz w:val="20"/>
                <w:szCs w:val="20"/>
                <w:color w:val="auto"/>
              </w:rPr>
              <w:t>Amortization of prior service (cost) credit</w:t>
            </w:r>
          </w:p>
        </w:tc>
        <w:tc>
          <w:tcPr>
            <w:tcW w:w="1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20"/>
                <w:szCs w:val="20"/>
                <w:color w:val="auto"/>
              </w:rPr>
              <w:t>(557)</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1,359</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802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38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Amortization of actuarial (loss) gain</w:t>
            </w:r>
          </w:p>
        </w:tc>
        <w:tc>
          <w:tcPr>
            <w:tcW w:w="14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20"/>
                <w:szCs w:val="20"/>
                <w:color w:val="auto"/>
              </w:rPr>
              <w:t>(29,263)</w:t>
            </w:r>
          </w:p>
        </w:tc>
        <w:tc>
          <w:tcPr>
            <w:tcW w:w="1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988</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(28,275)</w:t>
            </w:r>
          </w:p>
        </w:tc>
        <w:tc>
          <w:tcPr>
            <w:tcW w:w="0" w:type="dxa"/>
            <w:vAlign w:val="bottom"/>
          </w:tcPr>
          <w:p>
            <w:pPr>
              <w:spacing w:after="0"/>
              <w:rPr>
                <w:sz w:val="1"/>
                <w:szCs w:val="1"/>
                <w:color w:val="auto"/>
              </w:rPr>
            </w:pPr>
          </w:p>
        </w:tc>
      </w:tr>
      <w:tr>
        <w:trPr>
          <w:trHeight w:val="229"/>
        </w:trPr>
        <w:tc>
          <w:tcPr>
            <w:tcW w:w="5380" w:type="dxa"/>
            <w:vAlign w:val="bottom"/>
            <w:gridSpan w:val="2"/>
          </w:tcPr>
          <w:p>
            <w:pPr>
              <w:spacing w:after="0"/>
              <w:rPr>
                <w:sz w:val="20"/>
                <w:szCs w:val="20"/>
                <w:color w:val="auto"/>
              </w:rPr>
            </w:pPr>
            <w:r>
              <w:rPr>
                <w:rFonts w:ascii="Arial" w:cs="Arial" w:eastAsia="Arial" w:hAnsi="Arial"/>
                <w:sz w:val="20"/>
                <w:szCs w:val="20"/>
                <w:color w:val="auto"/>
              </w:rPr>
              <w:t>Total recognized in other comprehensive income,</w:t>
            </w:r>
          </w:p>
        </w:tc>
        <w:tc>
          <w:tcPr>
            <w:tcW w:w="14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0"/>
        </w:trPr>
        <w:tc>
          <w:tcPr>
            <w:tcW w:w="5380" w:type="dxa"/>
            <w:vAlign w:val="bottom"/>
            <w:gridSpan w:val="2"/>
          </w:tcPr>
          <w:p>
            <w:pPr>
              <w:ind w:left="160"/>
              <w:spacing w:after="0"/>
              <w:rPr>
                <w:sz w:val="20"/>
                <w:szCs w:val="20"/>
                <w:color w:val="auto"/>
              </w:rPr>
            </w:pPr>
            <w:r>
              <w:rPr>
                <w:rFonts w:ascii="Arial" w:cs="Arial" w:eastAsia="Arial" w:hAnsi="Arial"/>
                <w:sz w:val="20"/>
                <w:szCs w:val="20"/>
                <w:color w:val="auto"/>
              </w:rPr>
              <w:t>pre-tax</w:t>
            </w:r>
          </w:p>
        </w:tc>
        <w:tc>
          <w:tcPr>
            <w:tcW w:w="156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420" w:type="dxa"/>
            <w:vAlign w:val="bottom"/>
            <w:gridSpan w:val="2"/>
          </w:tcPr>
          <w:p>
            <w:pPr>
              <w:jc w:val="right"/>
              <w:ind w:right="180"/>
              <w:spacing w:after="0"/>
              <w:rPr>
                <w:sz w:val="20"/>
                <w:szCs w:val="20"/>
                <w:color w:val="auto"/>
              </w:rPr>
            </w:pPr>
            <w:r>
              <w:rPr>
                <w:rFonts w:ascii="Arial" w:cs="Arial" w:eastAsia="Arial" w:hAnsi="Arial"/>
                <w:sz w:val="20"/>
                <w:szCs w:val="20"/>
                <w:color w:val="auto"/>
              </w:rPr>
              <w:t>(497)</w:t>
            </w:r>
          </w:p>
        </w:tc>
        <w:tc>
          <w:tcPr>
            <w:tcW w:w="16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440" w:type="dxa"/>
            <w:vAlign w:val="bottom"/>
            <w:gridSpan w:val="2"/>
          </w:tcPr>
          <w:p>
            <w:pPr>
              <w:jc w:val="right"/>
              <w:ind w:right="180"/>
              <w:spacing w:after="0"/>
              <w:rPr>
                <w:sz w:val="20"/>
                <w:szCs w:val="20"/>
                <w:color w:val="auto"/>
              </w:rPr>
            </w:pPr>
            <w:r>
              <w:rPr>
                <w:rFonts w:ascii="Arial" w:cs="Arial" w:eastAsia="Arial" w:hAnsi="Arial"/>
                <w:sz w:val="20"/>
                <w:szCs w:val="20"/>
                <w:color w:val="auto"/>
              </w:rPr>
              <w:t>(36,252)</w:t>
            </w:r>
          </w:p>
        </w:tc>
        <w:tc>
          <w:tcPr>
            <w:tcW w:w="320" w:type="dxa"/>
            <w:vAlign w:val="bottom"/>
          </w:tcPr>
          <w:p>
            <w:pPr>
              <w:jc w:val="right"/>
              <w:ind w:right="119"/>
              <w:spacing w:after="0"/>
              <w:rPr>
                <w:sz w:val="20"/>
                <w:szCs w:val="20"/>
                <w:color w:val="auto"/>
              </w:rPr>
            </w:pPr>
            <w:r>
              <w:rPr>
                <w:rFonts w:ascii="Arial" w:cs="Arial" w:eastAsia="Arial" w:hAnsi="Arial"/>
                <w:sz w:val="20"/>
                <w:szCs w:val="20"/>
                <w:color w:val="auto"/>
                <w:w w:val="71"/>
              </w:rPr>
              <w:t>$</w:t>
            </w:r>
          </w:p>
        </w:tc>
        <w:tc>
          <w:tcPr>
            <w:tcW w:w="1140" w:type="dxa"/>
            <w:vAlign w:val="bottom"/>
            <w:gridSpan w:val="2"/>
          </w:tcPr>
          <w:p>
            <w:pPr>
              <w:jc w:val="right"/>
              <w:ind w:right="40"/>
              <w:spacing w:after="0"/>
              <w:rPr>
                <w:sz w:val="20"/>
                <w:szCs w:val="20"/>
                <w:color w:val="auto"/>
              </w:rPr>
            </w:pPr>
            <w:r>
              <w:rPr>
                <w:rFonts w:ascii="Arial" w:cs="Arial" w:eastAsia="Arial" w:hAnsi="Arial"/>
                <w:sz w:val="20"/>
                <w:szCs w:val="20"/>
                <w:color w:val="auto"/>
              </w:rPr>
              <w:t>(36,749)</w:t>
            </w:r>
          </w:p>
        </w:tc>
        <w:tc>
          <w:tcPr>
            <w:tcW w:w="0" w:type="dxa"/>
            <w:vAlign w:val="bottom"/>
          </w:tcPr>
          <w:p>
            <w:pPr>
              <w:spacing w:after="0"/>
              <w:rPr>
                <w:sz w:val="1"/>
                <w:szCs w:val="1"/>
                <w:color w:val="auto"/>
              </w:rPr>
            </w:pPr>
          </w:p>
        </w:tc>
      </w:tr>
      <w:tr>
        <w:trPr>
          <w:trHeight w:val="190"/>
        </w:trPr>
        <w:tc>
          <w:tcPr>
            <w:tcW w:w="5380" w:type="dxa"/>
            <w:vAlign w:val="bottom"/>
            <w:tcBorders>
              <w:top w:val="single" w:sz="8" w:color="CFF0FC"/>
            </w:tcBorders>
            <w:gridSpan w:val="2"/>
            <w:shd w:val="clear" w:color="auto" w:fill="CFF0FC"/>
          </w:tcPr>
          <w:p>
            <w:pPr>
              <w:spacing w:after="0" w:line="189" w:lineRule="exact"/>
              <w:rPr>
                <w:sz w:val="20"/>
                <w:szCs w:val="20"/>
                <w:color w:val="auto"/>
              </w:rPr>
            </w:pPr>
            <w:r>
              <w:rPr>
                <w:rFonts w:ascii="Arial" w:cs="Arial" w:eastAsia="Arial" w:hAnsi="Arial"/>
                <w:sz w:val="20"/>
                <w:szCs w:val="20"/>
                <w:color w:val="auto"/>
              </w:rPr>
              <w:t>2016</w:t>
            </w:r>
          </w:p>
        </w:tc>
        <w:tc>
          <w:tcPr>
            <w:tcW w:w="140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1180" w:type="dxa"/>
            <w:vAlign w:val="bottom"/>
            <w:tcBorders>
              <w:top w:val="single" w:sz="8" w:color="auto"/>
            </w:tcBorders>
            <w:shd w:val="clear" w:color="auto" w:fill="CFF0FC"/>
          </w:tcPr>
          <w:p>
            <w:pPr>
              <w:spacing w:after="0"/>
              <w:rPr>
                <w:sz w:val="16"/>
                <w:szCs w:val="16"/>
                <w:color w:val="auto"/>
              </w:rPr>
            </w:pPr>
          </w:p>
        </w:tc>
        <w:tc>
          <w:tcPr>
            <w:tcW w:w="24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1200" w:type="dxa"/>
            <w:vAlign w:val="bottom"/>
            <w:tcBorders>
              <w:top w:val="single" w:sz="8" w:color="auto"/>
            </w:tcBorders>
            <w:shd w:val="clear" w:color="auto" w:fill="CFF0FC"/>
          </w:tcPr>
          <w:p>
            <w:pPr>
              <w:spacing w:after="0"/>
              <w:rPr>
                <w:sz w:val="16"/>
                <w:szCs w:val="16"/>
                <w:color w:val="auto"/>
              </w:rPr>
            </w:pPr>
          </w:p>
        </w:tc>
        <w:tc>
          <w:tcPr>
            <w:tcW w:w="240" w:type="dxa"/>
            <w:vAlign w:val="bottom"/>
            <w:tcBorders>
              <w:top w:val="single" w:sz="8" w:color="CFF0FC"/>
            </w:tcBorders>
            <w:shd w:val="clear" w:color="auto" w:fill="CFF0FC"/>
          </w:tcPr>
          <w:p>
            <w:pPr>
              <w:spacing w:after="0"/>
              <w:rPr>
                <w:sz w:val="16"/>
                <w:szCs w:val="16"/>
                <w:color w:val="auto"/>
              </w:rPr>
            </w:pPr>
          </w:p>
        </w:tc>
        <w:tc>
          <w:tcPr>
            <w:tcW w:w="320" w:type="dxa"/>
            <w:vAlign w:val="bottom"/>
            <w:tcBorders>
              <w:top w:val="single" w:sz="8" w:color="auto"/>
            </w:tcBorders>
            <w:shd w:val="clear" w:color="auto" w:fill="CFF0FC"/>
          </w:tcPr>
          <w:p>
            <w:pPr>
              <w:spacing w:after="0"/>
              <w:rPr>
                <w:sz w:val="16"/>
                <w:szCs w:val="16"/>
                <w:color w:val="auto"/>
              </w:rPr>
            </w:pPr>
          </w:p>
        </w:tc>
        <w:tc>
          <w:tcPr>
            <w:tcW w:w="104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400" w:type="dxa"/>
            <w:vAlign w:val="bottom"/>
            <w:shd w:val="clear" w:color="auto" w:fill="000000"/>
          </w:tcPr>
          <w:p>
            <w:pPr>
              <w:spacing w:after="0"/>
              <w:rPr>
                <w:sz w:val="3"/>
                <w:szCs w:val="3"/>
                <w:color w:val="auto"/>
              </w:rPr>
            </w:pPr>
          </w:p>
        </w:tc>
        <w:tc>
          <w:tcPr>
            <w:tcW w:w="4980" w:type="dxa"/>
            <w:vAlign w:val="bottom"/>
            <w:shd w:val="clear" w:color="auto" w:fill="CFF0FC"/>
          </w:tcPr>
          <w:p>
            <w:pPr>
              <w:spacing w:after="0"/>
              <w:rPr>
                <w:sz w:val="3"/>
                <w:szCs w:val="3"/>
                <w:color w:val="auto"/>
              </w:rPr>
            </w:pPr>
          </w:p>
        </w:tc>
        <w:tc>
          <w:tcPr>
            <w:tcW w:w="1400" w:type="dxa"/>
            <w:vAlign w:val="bottom"/>
            <w:shd w:val="clear" w:color="auto" w:fill="CFF0FC"/>
          </w:tcPr>
          <w:p>
            <w:pPr>
              <w:spacing w:after="0"/>
              <w:rPr>
                <w:sz w:val="3"/>
                <w:szCs w:val="3"/>
                <w:color w:val="auto"/>
              </w:rPr>
            </w:pPr>
          </w:p>
        </w:tc>
        <w:tc>
          <w:tcPr>
            <w:tcW w:w="160" w:type="dxa"/>
            <w:vAlign w:val="bottom"/>
            <w:shd w:val="clear" w:color="auto" w:fill="CFF0FC"/>
          </w:tcPr>
          <w:p>
            <w:pPr>
              <w:spacing w:after="0"/>
              <w:rPr>
                <w:sz w:val="3"/>
                <w:szCs w:val="3"/>
                <w:color w:val="auto"/>
              </w:rPr>
            </w:pPr>
          </w:p>
        </w:tc>
        <w:tc>
          <w:tcPr>
            <w:tcW w:w="1180" w:type="dxa"/>
            <w:vAlign w:val="bottom"/>
            <w:shd w:val="clear" w:color="auto" w:fill="CFF0FC"/>
          </w:tcPr>
          <w:p>
            <w:pPr>
              <w:spacing w:after="0"/>
              <w:rPr>
                <w:sz w:val="3"/>
                <w:szCs w:val="3"/>
                <w:color w:val="auto"/>
              </w:rPr>
            </w:pPr>
          </w:p>
        </w:tc>
        <w:tc>
          <w:tcPr>
            <w:tcW w:w="240" w:type="dxa"/>
            <w:vAlign w:val="bottom"/>
            <w:shd w:val="clear" w:color="auto" w:fill="CFF0FC"/>
          </w:tcPr>
          <w:p>
            <w:pPr>
              <w:spacing w:after="0"/>
              <w:rPr>
                <w:sz w:val="3"/>
                <w:szCs w:val="3"/>
                <w:color w:val="auto"/>
              </w:rPr>
            </w:pPr>
          </w:p>
        </w:tc>
        <w:tc>
          <w:tcPr>
            <w:tcW w:w="160" w:type="dxa"/>
            <w:vAlign w:val="bottom"/>
            <w:shd w:val="clear" w:color="auto" w:fill="CFF0FC"/>
          </w:tcPr>
          <w:p>
            <w:pPr>
              <w:spacing w:after="0"/>
              <w:rPr>
                <w:sz w:val="3"/>
                <w:szCs w:val="3"/>
                <w:color w:val="auto"/>
              </w:rPr>
            </w:pPr>
          </w:p>
        </w:tc>
        <w:tc>
          <w:tcPr>
            <w:tcW w:w="1200" w:type="dxa"/>
            <w:vAlign w:val="bottom"/>
            <w:shd w:val="clear" w:color="auto" w:fill="CFF0FC"/>
          </w:tcPr>
          <w:p>
            <w:pPr>
              <w:spacing w:after="0"/>
              <w:rPr>
                <w:sz w:val="3"/>
                <w:szCs w:val="3"/>
                <w:color w:val="auto"/>
              </w:rPr>
            </w:pPr>
          </w:p>
        </w:tc>
        <w:tc>
          <w:tcPr>
            <w:tcW w:w="240" w:type="dxa"/>
            <w:vAlign w:val="bottom"/>
            <w:shd w:val="clear" w:color="auto" w:fill="CFF0FC"/>
          </w:tcPr>
          <w:p>
            <w:pPr>
              <w:spacing w:after="0"/>
              <w:rPr>
                <w:sz w:val="3"/>
                <w:szCs w:val="3"/>
                <w:color w:val="auto"/>
              </w:rPr>
            </w:pPr>
          </w:p>
        </w:tc>
        <w:tc>
          <w:tcPr>
            <w:tcW w:w="320" w:type="dxa"/>
            <w:vAlign w:val="bottom"/>
            <w:shd w:val="clear" w:color="auto" w:fill="CFF0FC"/>
          </w:tcPr>
          <w:p>
            <w:pPr>
              <w:spacing w:after="0"/>
              <w:rPr>
                <w:sz w:val="3"/>
                <w:szCs w:val="3"/>
                <w:color w:val="auto"/>
              </w:rPr>
            </w:pPr>
          </w:p>
        </w:tc>
        <w:tc>
          <w:tcPr>
            <w:tcW w:w="1040" w:type="dxa"/>
            <w:vAlign w:val="bottom"/>
            <w:shd w:val="clear" w:color="auto" w:fill="CFF0FC"/>
          </w:tcPr>
          <w:p>
            <w:pPr>
              <w:spacing w:after="0"/>
              <w:rPr>
                <w:sz w:val="3"/>
                <w:szCs w:val="3"/>
                <w:color w:val="auto"/>
              </w:rPr>
            </w:pPr>
          </w:p>
        </w:tc>
        <w:tc>
          <w:tcPr>
            <w:tcW w:w="100" w:type="dxa"/>
            <w:vAlign w:val="bottom"/>
            <w:shd w:val="clear" w:color="auto" w:fill="CFF0FC"/>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gridSpan w:val="2"/>
          </w:tcPr>
          <w:p>
            <w:pPr>
              <w:spacing w:after="0"/>
              <w:rPr>
                <w:sz w:val="20"/>
                <w:szCs w:val="20"/>
                <w:color w:val="auto"/>
              </w:rPr>
            </w:pPr>
            <w:r>
              <w:rPr>
                <w:rFonts w:ascii="Arial" w:cs="Arial" w:eastAsia="Arial" w:hAnsi="Arial"/>
                <w:sz w:val="20"/>
                <w:szCs w:val="20"/>
                <w:color w:val="auto"/>
              </w:rPr>
              <w:t>Net loss (gain)</w:t>
            </w:r>
          </w:p>
        </w:tc>
        <w:tc>
          <w:tcPr>
            <w:tcW w:w="156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24,736</w:t>
            </w:r>
          </w:p>
        </w:tc>
        <w:tc>
          <w:tcPr>
            <w:tcW w:w="2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440" w:type="dxa"/>
            <w:vAlign w:val="bottom"/>
            <w:gridSpan w:val="2"/>
          </w:tcPr>
          <w:p>
            <w:pPr>
              <w:jc w:val="right"/>
              <w:ind w:right="180"/>
              <w:spacing w:after="0"/>
              <w:rPr>
                <w:sz w:val="20"/>
                <w:szCs w:val="20"/>
                <w:color w:val="auto"/>
              </w:rPr>
            </w:pPr>
            <w:r>
              <w:rPr>
                <w:rFonts w:ascii="Arial" w:cs="Arial" w:eastAsia="Arial" w:hAnsi="Arial"/>
                <w:sz w:val="20"/>
                <w:szCs w:val="20"/>
                <w:color w:val="auto"/>
              </w:rPr>
              <w:t>(10,553)</w:t>
            </w:r>
          </w:p>
        </w:tc>
        <w:tc>
          <w:tcPr>
            <w:tcW w:w="320" w:type="dxa"/>
            <w:vAlign w:val="bottom"/>
          </w:tcPr>
          <w:p>
            <w:pPr>
              <w:jc w:val="right"/>
              <w:ind w:right="119"/>
              <w:spacing w:after="0"/>
              <w:rPr>
                <w:sz w:val="20"/>
                <w:szCs w:val="20"/>
                <w:color w:val="auto"/>
              </w:rPr>
            </w:pPr>
            <w:r>
              <w:rPr>
                <w:rFonts w:ascii="Arial" w:cs="Arial" w:eastAsia="Arial" w:hAnsi="Arial"/>
                <w:sz w:val="20"/>
                <w:szCs w:val="20"/>
                <w:color w:val="auto"/>
                <w:w w:val="71"/>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14,183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38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Amendments and curtailments</w:t>
            </w:r>
          </w:p>
        </w:tc>
        <w:tc>
          <w:tcPr>
            <w:tcW w:w="14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20"/>
                <w:szCs w:val="20"/>
                <w:color w:val="auto"/>
              </w:rPr>
              <w:t>(28,308)</w:t>
            </w:r>
          </w:p>
        </w:tc>
        <w:tc>
          <w:tcPr>
            <w:tcW w:w="16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260"/>
              <w:spacing w:after="0"/>
              <w:rPr>
                <w:sz w:val="20"/>
                <w:szCs w:val="20"/>
                <w:color w:val="auto"/>
              </w:rPr>
            </w:pPr>
            <w:r>
              <w:rPr>
                <w:rFonts w:ascii="Arial" w:cs="Arial" w:eastAsia="Arial" w:hAnsi="Arial"/>
                <w:sz w:val="20"/>
                <w:szCs w:val="20"/>
                <w:color w:val="auto"/>
              </w:rPr>
              <w:t>—</w:t>
            </w:r>
          </w:p>
        </w:tc>
        <w:tc>
          <w:tcPr>
            <w:tcW w:w="3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(28,308)</w:t>
            </w:r>
          </w:p>
        </w:tc>
        <w:tc>
          <w:tcPr>
            <w:tcW w:w="0" w:type="dxa"/>
            <w:vAlign w:val="bottom"/>
          </w:tcPr>
          <w:p>
            <w:pPr>
              <w:spacing w:after="0"/>
              <w:rPr>
                <w:sz w:val="1"/>
                <w:szCs w:val="1"/>
                <w:color w:val="auto"/>
              </w:rPr>
            </w:pPr>
          </w:p>
        </w:tc>
      </w:tr>
      <w:tr>
        <w:trPr>
          <w:trHeight w:val="250"/>
        </w:trPr>
        <w:tc>
          <w:tcPr>
            <w:tcW w:w="5380" w:type="dxa"/>
            <w:vAlign w:val="bottom"/>
            <w:gridSpan w:val="2"/>
          </w:tcPr>
          <w:p>
            <w:pPr>
              <w:spacing w:after="0"/>
              <w:rPr>
                <w:sz w:val="20"/>
                <w:szCs w:val="20"/>
                <w:color w:val="auto"/>
              </w:rPr>
            </w:pPr>
            <w:r>
              <w:rPr>
                <w:rFonts w:ascii="Arial" w:cs="Arial" w:eastAsia="Arial" w:hAnsi="Arial"/>
                <w:sz w:val="20"/>
                <w:szCs w:val="20"/>
                <w:color w:val="auto"/>
              </w:rPr>
              <w:t>Amortization of prior service credit</w:t>
            </w:r>
          </w:p>
        </w:tc>
        <w:tc>
          <w:tcPr>
            <w:tcW w:w="1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3,228</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1,359</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4,587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38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Amortization of actuarial loss</w:t>
            </w:r>
          </w:p>
        </w:tc>
        <w:tc>
          <w:tcPr>
            <w:tcW w:w="14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20"/>
                <w:szCs w:val="20"/>
                <w:color w:val="auto"/>
              </w:rPr>
              <w:t>(30,145)</w:t>
            </w:r>
          </w:p>
        </w:tc>
        <w:tc>
          <w:tcPr>
            <w:tcW w:w="16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80"/>
              <w:spacing w:after="0"/>
              <w:rPr>
                <w:sz w:val="20"/>
                <w:szCs w:val="20"/>
                <w:color w:val="auto"/>
              </w:rPr>
            </w:pPr>
            <w:r>
              <w:rPr>
                <w:rFonts w:ascii="Arial" w:cs="Arial" w:eastAsia="Arial" w:hAnsi="Arial"/>
                <w:sz w:val="20"/>
                <w:szCs w:val="20"/>
                <w:color w:val="auto"/>
              </w:rPr>
              <w:t>(60)</w:t>
            </w:r>
          </w:p>
        </w:tc>
        <w:tc>
          <w:tcPr>
            <w:tcW w:w="3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(30,205)</w:t>
            </w:r>
          </w:p>
        </w:tc>
        <w:tc>
          <w:tcPr>
            <w:tcW w:w="0" w:type="dxa"/>
            <w:vAlign w:val="bottom"/>
          </w:tcPr>
          <w:p>
            <w:pPr>
              <w:spacing w:after="0"/>
              <w:rPr>
                <w:sz w:val="1"/>
                <w:szCs w:val="1"/>
                <w:color w:val="auto"/>
              </w:rPr>
            </w:pPr>
          </w:p>
        </w:tc>
      </w:tr>
      <w:tr>
        <w:trPr>
          <w:trHeight w:val="229"/>
        </w:trPr>
        <w:tc>
          <w:tcPr>
            <w:tcW w:w="5380" w:type="dxa"/>
            <w:vAlign w:val="bottom"/>
            <w:gridSpan w:val="2"/>
          </w:tcPr>
          <w:p>
            <w:pPr>
              <w:spacing w:after="0"/>
              <w:rPr>
                <w:sz w:val="20"/>
                <w:szCs w:val="20"/>
                <w:color w:val="auto"/>
              </w:rPr>
            </w:pPr>
            <w:r>
              <w:rPr>
                <w:rFonts w:ascii="Arial" w:cs="Arial" w:eastAsia="Arial" w:hAnsi="Arial"/>
                <w:sz w:val="20"/>
                <w:szCs w:val="20"/>
                <w:color w:val="auto"/>
              </w:rPr>
              <w:t>Total recognized in other comprehensive income,</w:t>
            </w:r>
          </w:p>
        </w:tc>
        <w:tc>
          <w:tcPr>
            <w:tcW w:w="14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380" w:type="dxa"/>
            <w:vAlign w:val="bottom"/>
            <w:gridSpan w:val="2"/>
          </w:tcPr>
          <w:p>
            <w:pPr>
              <w:ind w:left="160"/>
              <w:spacing w:after="0"/>
              <w:rPr>
                <w:sz w:val="20"/>
                <w:szCs w:val="20"/>
                <w:color w:val="auto"/>
              </w:rPr>
            </w:pPr>
            <w:r>
              <w:rPr>
                <w:rFonts w:ascii="Arial" w:cs="Arial" w:eastAsia="Arial" w:hAnsi="Arial"/>
                <w:sz w:val="20"/>
                <w:szCs w:val="20"/>
                <w:color w:val="auto"/>
              </w:rPr>
              <w:t>pre-tax</w:t>
            </w:r>
          </w:p>
        </w:tc>
        <w:tc>
          <w:tcPr>
            <w:tcW w:w="156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420" w:type="dxa"/>
            <w:vAlign w:val="bottom"/>
            <w:gridSpan w:val="2"/>
          </w:tcPr>
          <w:p>
            <w:pPr>
              <w:jc w:val="right"/>
              <w:ind w:right="180"/>
              <w:spacing w:after="0"/>
              <w:rPr>
                <w:sz w:val="20"/>
                <w:szCs w:val="20"/>
                <w:color w:val="auto"/>
              </w:rPr>
            </w:pPr>
            <w:r>
              <w:rPr>
                <w:rFonts w:ascii="Arial" w:cs="Arial" w:eastAsia="Arial" w:hAnsi="Arial"/>
                <w:sz w:val="20"/>
                <w:szCs w:val="20"/>
                <w:color w:val="auto"/>
              </w:rPr>
              <w:t>(30,489)</w:t>
            </w:r>
          </w:p>
        </w:tc>
        <w:tc>
          <w:tcPr>
            <w:tcW w:w="16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440" w:type="dxa"/>
            <w:vAlign w:val="bottom"/>
            <w:gridSpan w:val="2"/>
          </w:tcPr>
          <w:p>
            <w:pPr>
              <w:jc w:val="right"/>
              <w:ind w:right="180"/>
              <w:spacing w:after="0"/>
              <w:rPr>
                <w:sz w:val="20"/>
                <w:szCs w:val="20"/>
                <w:color w:val="auto"/>
              </w:rPr>
            </w:pPr>
            <w:r>
              <w:rPr>
                <w:rFonts w:ascii="Arial" w:cs="Arial" w:eastAsia="Arial" w:hAnsi="Arial"/>
                <w:sz w:val="20"/>
                <w:szCs w:val="20"/>
                <w:color w:val="auto"/>
              </w:rPr>
              <w:t>(9,254)</w:t>
            </w:r>
          </w:p>
        </w:tc>
        <w:tc>
          <w:tcPr>
            <w:tcW w:w="320" w:type="dxa"/>
            <w:vAlign w:val="bottom"/>
          </w:tcPr>
          <w:p>
            <w:pPr>
              <w:jc w:val="right"/>
              <w:ind w:right="119"/>
              <w:spacing w:after="0"/>
              <w:rPr>
                <w:sz w:val="20"/>
                <w:szCs w:val="20"/>
                <w:color w:val="auto"/>
              </w:rPr>
            </w:pPr>
            <w:r>
              <w:rPr>
                <w:rFonts w:ascii="Arial" w:cs="Arial" w:eastAsia="Arial" w:hAnsi="Arial"/>
                <w:sz w:val="20"/>
                <w:szCs w:val="20"/>
                <w:color w:val="auto"/>
                <w:w w:val="71"/>
              </w:rPr>
              <w:t>$</w:t>
            </w:r>
          </w:p>
        </w:tc>
        <w:tc>
          <w:tcPr>
            <w:tcW w:w="1140" w:type="dxa"/>
            <w:vAlign w:val="bottom"/>
            <w:gridSpan w:val="2"/>
          </w:tcPr>
          <w:p>
            <w:pPr>
              <w:jc w:val="right"/>
              <w:ind w:right="40"/>
              <w:spacing w:after="0"/>
              <w:rPr>
                <w:sz w:val="20"/>
                <w:szCs w:val="20"/>
                <w:color w:val="auto"/>
              </w:rPr>
            </w:pPr>
            <w:r>
              <w:rPr>
                <w:rFonts w:ascii="Arial" w:cs="Arial" w:eastAsia="Arial" w:hAnsi="Arial"/>
                <w:sz w:val="20"/>
                <w:szCs w:val="20"/>
                <w:color w:val="auto"/>
              </w:rPr>
              <w:t>(39,743)</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right="280" w:firstLine="598"/>
        <w:spacing w:after="0" w:line="275" w:lineRule="auto"/>
        <w:rPr>
          <w:sz w:val="20"/>
          <w:szCs w:val="20"/>
          <w:color w:val="auto"/>
        </w:rPr>
      </w:pPr>
      <w:r>
        <w:rPr>
          <w:rFonts w:ascii="Arial" w:cs="Arial" w:eastAsia="Arial" w:hAnsi="Arial"/>
          <w:sz w:val="20"/>
          <w:szCs w:val="20"/>
          <w:color w:val="auto"/>
        </w:rPr>
        <w:t>The following table reflects the amortization of amounts in accumulated other comprehensive income expected to be recognized as components of net periodic benefit expense during 2018:</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Other</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46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vMerge w:val="restart"/>
          </w:tcPr>
          <w:p>
            <w:pPr>
              <w:jc w:val="right"/>
              <w:ind w:right="435"/>
              <w:spacing w:after="0"/>
              <w:rPr>
                <w:sz w:val="20"/>
                <w:szCs w:val="20"/>
                <w:color w:val="auto"/>
              </w:rPr>
            </w:pPr>
            <w:r>
              <w:rPr>
                <w:rFonts w:ascii="Arial" w:cs="Arial" w:eastAsia="Arial" w:hAnsi="Arial"/>
                <w:sz w:val="14"/>
                <w:szCs w:val="14"/>
                <w:b w:val="1"/>
                <w:bCs w:val="1"/>
                <w:color w:val="auto"/>
                <w:w w:val="98"/>
              </w:rPr>
              <w:t>Pension Plans</w:t>
            </w:r>
          </w:p>
        </w:tc>
        <w:tc>
          <w:tcPr>
            <w:tcW w:w="460" w:type="dxa"/>
            <w:vAlign w:val="bottom"/>
          </w:tcPr>
          <w:p>
            <w:pPr>
              <w:spacing w:after="0"/>
              <w:rPr>
                <w:sz w:val="12"/>
                <w:szCs w:val="12"/>
                <w:color w:val="auto"/>
              </w:rPr>
            </w:pPr>
          </w:p>
        </w:tc>
        <w:tc>
          <w:tcPr>
            <w:tcW w:w="1380" w:type="dxa"/>
            <w:vAlign w:val="bottom"/>
            <w:gridSpan w:val="2"/>
          </w:tcPr>
          <w:p>
            <w:pPr>
              <w:jc w:val="center"/>
              <w:ind w:right="440"/>
              <w:spacing w:after="0" w:line="145" w:lineRule="exact"/>
              <w:rPr>
                <w:sz w:val="20"/>
                <w:szCs w:val="20"/>
                <w:color w:val="auto"/>
              </w:rPr>
            </w:pPr>
            <w:r>
              <w:rPr>
                <w:rFonts w:ascii="Arial" w:cs="Arial" w:eastAsia="Arial" w:hAnsi="Arial"/>
                <w:sz w:val="14"/>
                <w:szCs w:val="14"/>
                <w:b w:val="1"/>
                <w:bCs w:val="1"/>
                <w:color w:val="auto"/>
                <w:w w:val="91"/>
              </w:rPr>
              <w:t>Postretirement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6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3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7"/>
              </w:rPr>
              <w:t>Benefit Plans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62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94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(In thousands)</w:t>
            </w:r>
          </w:p>
        </w:tc>
        <w:tc>
          <w:tcPr>
            <w:tcW w:w="12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2"/>
        </w:trPr>
        <w:tc>
          <w:tcPr>
            <w:tcW w:w="4620" w:type="dxa"/>
            <w:vAlign w:val="bottom"/>
          </w:tcPr>
          <w:p>
            <w:pPr>
              <w:spacing w:after="0"/>
              <w:rPr>
                <w:sz w:val="20"/>
                <w:szCs w:val="20"/>
                <w:color w:val="auto"/>
              </w:rPr>
            </w:pPr>
            <w:r>
              <w:rPr>
                <w:rFonts w:ascii="Arial" w:cs="Arial" w:eastAsia="Arial" w:hAnsi="Arial"/>
                <w:sz w:val="20"/>
                <w:szCs w:val="20"/>
                <w:color w:val="auto"/>
              </w:rPr>
              <w:t>Amortization of net prior service cost (credit)</w:t>
            </w:r>
          </w:p>
        </w:tc>
        <w:tc>
          <w:tcPr>
            <w:tcW w:w="348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480" w:type="dxa"/>
            <w:vAlign w:val="bottom"/>
          </w:tcPr>
          <w:p>
            <w:pPr>
              <w:jc w:val="right"/>
              <w:ind w:right="75"/>
              <w:spacing w:after="0"/>
              <w:rPr>
                <w:sz w:val="20"/>
                <w:szCs w:val="20"/>
                <w:color w:val="auto"/>
              </w:rPr>
            </w:pPr>
            <w:r>
              <w:rPr>
                <w:rFonts w:ascii="Arial" w:cs="Arial" w:eastAsia="Arial" w:hAnsi="Arial"/>
                <w:sz w:val="20"/>
                <w:szCs w:val="20"/>
                <w:color w:val="auto"/>
              </w:rPr>
              <w:t>557</w:t>
            </w:r>
          </w:p>
        </w:tc>
        <w:tc>
          <w:tcPr>
            <w:tcW w:w="460" w:type="dxa"/>
            <w:vAlign w:val="bottom"/>
          </w:tcPr>
          <w:p>
            <w:pPr>
              <w:jc w:val="right"/>
              <w:ind w:right="119"/>
              <w:spacing w:after="0"/>
              <w:rPr>
                <w:sz w:val="20"/>
                <w:szCs w:val="20"/>
                <w:color w:val="auto"/>
              </w:rPr>
            </w:pPr>
            <w:r>
              <w:rPr>
                <w:rFonts w:ascii="Arial" w:cs="Arial" w:eastAsia="Arial" w:hAnsi="Arial"/>
                <w:sz w:val="20"/>
                <w:szCs w:val="20"/>
                <w:color w:val="auto"/>
              </w:rPr>
              <w:t>$</w:t>
            </w:r>
          </w:p>
        </w:tc>
        <w:tc>
          <w:tcPr>
            <w:tcW w:w="1380" w:type="dxa"/>
            <w:vAlign w:val="bottom"/>
            <w:gridSpan w:val="2"/>
          </w:tcPr>
          <w:p>
            <w:pPr>
              <w:jc w:val="right"/>
              <w:ind w:right="40"/>
              <w:spacing w:after="0"/>
              <w:rPr>
                <w:sz w:val="20"/>
                <w:szCs w:val="20"/>
                <w:color w:val="auto"/>
              </w:rPr>
            </w:pPr>
            <w:r>
              <w:rPr>
                <w:rFonts w:ascii="Arial" w:cs="Arial" w:eastAsia="Arial" w:hAnsi="Arial"/>
                <w:sz w:val="20"/>
                <w:szCs w:val="20"/>
                <w:color w:val="auto"/>
              </w:rPr>
              <w:t>(4,729)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620" w:type="dxa"/>
            <w:vAlign w:val="bottom"/>
            <w:shd w:val="clear" w:color="auto" w:fill="CFF0FC"/>
          </w:tcPr>
          <w:p>
            <w:pPr>
              <w:spacing w:after="0"/>
              <w:rPr>
                <w:sz w:val="20"/>
                <w:szCs w:val="20"/>
                <w:color w:val="auto"/>
              </w:rPr>
            </w:pPr>
            <w:r>
              <w:rPr>
                <w:rFonts w:ascii="Arial" w:cs="Arial" w:eastAsia="Arial" w:hAnsi="Arial"/>
                <w:sz w:val="20"/>
                <w:szCs w:val="20"/>
                <w:color w:val="auto"/>
              </w:rPr>
              <w:t>Amortization of net loss (gain)</w:t>
            </w:r>
          </w:p>
        </w:tc>
        <w:tc>
          <w:tcPr>
            <w:tcW w:w="3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80" w:type="dxa"/>
            <w:vAlign w:val="bottom"/>
            <w:shd w:val="clear" w:color="auto" w:fill="CFF0FC"/>
          </w:tcPr>
          <w:p>
            <w:pPr>
              <w:jc w:val="right"/>
              <w:ind w:right="75"/>
              <w:spacing w:after="0"/>
              <w:rPr>
                <w:sz w:val="20"/>
                <w:szCs w:val="20"/>
                <w:color w:val="auto"/>
              </w:rPr>
            </w:pPr>
            <w:r>
              <w:rPr>
                <w:rFonts w:ascii="Arial" w:cs="Arial" w:eastAsia="Arial" w:hAnsi="Arial"/>
                <w:sz w:val="20"/>
                <w:szCs w:val="20"/>
                <w:color w:val="auto"/>
              </w:rPr>
              <w:t>44,416</w:t>
            </w:r>
          </w:p>
        </w:tc>
        <w:tc>
          <w:tcPr>
            <w:tcW w:w="46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(830)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30"/>
        </w:trPr>
        <w:tc>
          <w:tcPr>
            <w:tcW w:w="4620" w:type="dxa"/>
            <w:vAlign w:val="bottom"/>
          </w:tcPr>
          <w:p>
            <w:pPr>
              <w:spacing w:after="0"/>
              <w:rPr>
                <w:sz w:val="24"/>
                <w:szCs w:val="24"/>
                <w:color w:val="auto"/>
              </w:rPr>
            </w:pPr>
          </w:p>
        </w:tc>
        <w:tc>
          <w:tcPr>
            <w:tcW w:w="3240" w:type="dxa"/>
            <w:vAlign w:val="bottom"/>
          </w:tcPr>
          <w:p>
            <w:pPr>
              <w:jc w:val="right"/>
              <w:ind w:right="1926"/>
              <w:spacing w:after="0"/>
              <w:rPr>
                <w:sz w:val="20"/>
                <w:szCs w:val="20"/>
                <w:color w:val="auto"/>
              </w:rPr>
            </w:pPr>
            <w:r>
              <w:rPr>
                <w:rFonts w:ascii="Arial" w:cs="Arial" w:eastAsia="Arial" w:hAnsi="Arial"/>
                <w:sz w:val="18"/>
                <w:szCs w:val="18"/>
                <w:color w:val="auto"/>
              </w:rPr>
              <w:t>149</w:t>
            </w: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620" w:type="dxa"/>
            <w:vAlign w:val="bottom"/>
            <w:tcBorders>
              <w:bottom w:val="single" w:sz="8" w:color="9A9A9A"/>
            </w:tcBorders>
          </w:tcPr>
          <w:p>
            <w:pPr>
              <w:spacing w:after="0"/>
              <w:rPr>
                <w:sz w:val="9"/>
                <w:szCs w:val="9"/>
                <w:color w:val="auto"/>
              </w:rPr>
            </w:pPr>
          </w:p>
        </w:tc>
        <w:tc>
          <w:tcPr>
            <w:tcW w:w="32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336" w:right="219" w:bottom="1440" w:gutter="0" w:footer="0" w:header="0"/>
        </w:sectPr>
      </w:pPr>
    </w:p>
    <w:bookmarkStart w:id="149" w:name="page150"/>
    <w:bookmarkEnd w:id="149"/>
    <w:p>
      <w:pPr>
        <w:ind w:right="180" w:firstLine="598"/>
        <w:spacing w:after="0" w:line="268" w:lineRule="auto"/>
        <w:rPr>
          <w:sz w:val="20"/>
          <w:szCs w:val="20"/>
          <w:color w:val="auto"/>
        </w:rPr>
      </w:pPr>
      <w:r>
        <w:rPr>
          <w:rFonts w:ascii="Arial" w:cs="Arial" w:eastAsia="Arial" w:hAnsi="Arial"/>
          <w:sz w:val="19"/>
          <w:szCs w:val="19"/>
          <w:color w:val="auto"/>
        </w:rPr>
        <w:t>The Company also provides a qualified defined contribution pension plan to eligible employees who were not participants in the defined benefit pension plan as of December 31, 2005 and to other employees who have elected to participate in the defined contribution plan. The Company makes contributions to the defined contribution plan each year in an amount that is based on an individual participant’s total compensation (generally defined as total wages, incentive compensation, commissions and bonuses) and years of service. Participants do not contribute to the defined contribution pension plan. Pension expense recorded in 2017, 2016 and 2015 associated with the defined contribution pension plan was approximately $30 million, $25 million and $23 million, respectively.</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Assumptions</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color w:val="auto"/>
        </w:rPr>
        <w:t>The assumed weighted-average rates used to determine benefit obligations at December 31 were: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400" w:type="dxa"/>
            <w:vAlign w:val="bottom"/>
            <w:gridSpan w:val="3"/>
            <w:vMerge w:val="restart"/>
          </w:tcPr>
          <w:p>
            <w:pPr>
              <w:ind w:left="820"/>
              <w:spacing w:after="0"/>
              <w:rPr>
                <w:sz w:val="20"/>
                <w:szCs w:val="20"/>
                <w:color w:val="auto"/>
              </w:rPr>
            </w:pPr>
            <w:r>
              <w:rPr>
                <w:rFonts w:ascii="Arial" w:cs="Arial" w:eastAsia="Arial" w:hAnsi="Arial"/>
                <w:sz w:val="14"/>
                <w:szCs w:val="14"/>
                <w:b w:val="1"/>
                <w:bCs w:val="1"/>
                <w:color w:val="auto"/>
              </w:rPr>
              <w:t>Pension</w:t>
            </w: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gridSpan w:val="3"/>
          </w:tcPr>
          <w:p>
            <w:pPr>
              <w:jc w:val="center"/>
              <w:ind w:left="500"/>
              <w:spacing w:after="0"/>
              <w:rPr>
                <w:sz w:val="20"/>
                <w:szCs w:val="20"/>
                <w:color w:val="auto"/>
              </w:rPr>
            </w:pPr>
            <w:r>
              <w:rPr>
                <w:rFonts w:ascii="Arial" w:cs="Arial" w:eastAsia="Arial" w:hAnsi="Arial"/>
                <w:sz w:val="14"/>
                <w:szCs w:val="14"/>
                <w:b w:val="1"/>
                <w:bCs w:val="1"/>
                <w:color w:val="auto"/>
                <w:w w:val="96"/>
              </w:rPr>
              <w:t>Other</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6740" w:type="dxa"/>
            <w:vAlign w:val="bottom"/>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00" w:type="dxa"/>
            <w:vAlign w:val="bottom"/>
            <w:gridSpan w:val="3"/>
          </w:tcPr>
          <w:p>
            <w:pPr>
              <w:jc w:val="center"/>
              <w:ind w:left="500"/>
              <w:spacing w:after="0" w:line="145" w:lineRule="exact"/>
              <w:rPr>
                <w:sz w:val="20"/>
                <w:szCs w:val="20"/>
                <w:color w:val="auto"/>
              </w:rPr>
            </w:pPr>
            <w:r>
              <w:rPr>
                <w:rFonts w:ascii="Arial" w:cs="Arial" w:eastAsia="Arial" w:hAnsi="Arial"/>
                <w:sz w:val="14"/>
                <w:szCs w:val="14"/>
                <w:b w:val="1"/>
                <w:bCs w:val="1"/>
                <w:color w:val="auto"/>
                <w:w w:val="89"/>
              </w:rPr>
              <w:t>Postretirement</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740" w:type="dxa"/>
            <w:vAlign w:val="bottom"/>
          </w:tcPr>
          <w:p>
            <w:pPr>
              <w:spacing w:after="0"/>
              <w:rPr>
                <w:sz w:val="14"/>
                <w:szCs w:val="14"/>
                <w:color w:val="auto"/>
              </w:rPr>
            </w:pPr>
          </w:p>
        </w:tc>
        <w:tc>
          <w:tcPr>
            <w:tcW w:w="1400" w:type="dxa"/>
            <w:vAlign w:val="bottom"/>
            <w:tcBorders>
              <w:bottom w:val="single" w:sz="8" w:color="auto"/>
            </w:tcBorders>
            <w:gridSpan w:val="3"/>
          </w:tcPr>
          <w:p>
            <w:pPr>
              <w:ind w:left="800"/>
              <w:spacing w:after="0"/>
              <w:rPr>
                <w:sz w:val="20"/>
                <w:szCs w:val="20"/>
                <w:color w:val="auto"/>
              </w:rPr>
            </w:pPr>
            <w:r>
              <w:rPr>
                <w:rFonts w:ascii="Arial" w:cs="Arial" w:eastAsia="Arial" w:hAnsi="Arial"/>
                <w:sz w:val="14"/>
                <w:szCs w:val="14"/>
                <w:b w:val="1"/>
                <w:bCs w:val="1"/>
                <w:color w:val="auto"/>
              </w:rPr>
              <w:t>Benefits</w:t>
            </w:r>
          </w:p>
        </w:tc>
        <w:tc>
          <w:tcPr>
            <w:tcW w:w="7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tcBorders>
              <w:bottom w:val="single" w:sz="8" w:color="auto"/>
            </w:tcBorders>
            <w:gridSpan w:val="3"/>
          </w:tcPr>
          <w:p>
            <w:pPr>
              <w:jc w:val="center"/>
              <w:ind w:left="500"/>
              <w:spacing w:after="0"/>
              <w:rPr>
                <w:sz w:val="20"/>
                <w:szCs w:val="20"/>
                <w:color w:val="auto"/>
              </w:rPr>
            </w:pPr>
            <w:r>
              <w:rPr>
                <w:rFonts w:ascii="Arial" w:cs="Arial" w:eastAsia="Arial" w:hAnsi="Arial"/>
                <w:sz w:val="14"/>
                <w:szCs w:val="14"/>
                <w:b w:val="1"/>
                <w:bCs w:val="1"/>
                <w:color w:val="auto"/>
                <w:w w:val="86"/>
              </w:rPr>
              <w:t>Benefits</w:t>
            </w:r>
          </w:p>
        </w:tc>
        <w:tc>
          <w:tcPr>
            <w:tcW w:w="6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6740" w:type="dxa"/>
            <w:vAlign w:val="bottom"/>
          </w:tcPr>
          <w:p>
            <w:pPr>
              <w:spacing w:after="0"/>
              <w:rPr>
                <w:sz w:val="13"/>
                <w:szCs w:val="13"/>
                <w:color w:val="auto"/>
              </w:rPr>
            </w:pPr>
          </w:p>
        </w:tc>
        <w:tc>
          <w:tcPr>
            <w:tcW w:w="920" w:type="dxa"/>
            <w:vAlign w:val="bottom"/>
            <w:tcBorders>
              <w:bottom w:val="single" w:sz="8" w:color="auto"/>
            </w:tcBorders>
          </w:tcPr>
          <w:p>
            <w:pPr>
              <w:jc w:val="right"/>
              <w:ind w:right="238"/>
              <w:spacing w:after="0" w:line="151" w:lineRule="exact"/>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30"/>
              <w:spacing w:after="0" w:line="151" w:lineRule="exact"/>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3"/>
                <w:szCs w:val="13"/>
                <w:color w:val="auto"/>
              </w:rPr>
            </w:pPr>
          </w:p>
        </w:tc>
        <w:tc>
          <w:tcPr>
            <w:tcW w:w="900" w:type="dxa"/>
            <w:vAlign w:val="bottom"/>
            <w:tcBorders>
              <w:bottom w:val="single" w:sz="8" w:color="auto"/>
            </w:tcBorders>
          </w:tcPr>
          <w:p>
            <w:pPr>
              <w:jc w:val="right"/>
              <w:ind w:right="240"/>
              <w:spacing w:after="0" w:line="151" w:lineRule="exact"/>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230"/>
              <w:spacing w:after="0" w:line="151" w:lineRule="exact"/>
              <w:rPr>
                <w:sz w:val="20"/>
                <w:szCs w:val="20"/>
                <w:color w:val="auto"/>
              </w:rPr>
            </w:pPr>
            <w:r>
              <w:rPr>
                <w:rFonts w:ascii="Arial" w:cs="Arial" w:eastAsia="Arial" w:hAnsi="Arial"/>
                <w:sz w:val="14"/>
                <w:szCs w:val="14"/>
                <w:b w:val="1"/>
                <w:bCs w:val="1"/>
                <w:color w:val="auto"/>
                <w:w w:val="83"/>
              </w:rPr>
              <w:t>2016</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0"/>
        </w:trPr>
        <w:tc>
          <w:tcPr>
            <w:tcW w:w="6740" w:type="dxa"/>
            <w:vAlign w:val="bottom"/>
          </w:tcPr>
          <w:p>
            <w:pPr>
              <w:spacing w:after="0"/>
              <w:rPr>
                <w:sz w:val="20"/>
                <w:szCs w:val="20"/>
                <w:color w:val="auto"/>
              </w:rPr>
            </w:pPr>
            <w:r>
              <w:rPr>
                <w:rFonts w:ascii="Arial" w:cs="Arial" w:eastAsia="Arial" w:hAnsi="Arial"/>
                <w:sz w:val="20"/>
                <w:szCs w:val="20"/>
                <w:color w:val="auto"/>
              </w:rPr>
              <w:t>Discount rate</w:t>
            </w:r>
          </w:p>
        </w:tc>
        <w:tc>
          <w:tcPr>
            <w:tcW w:w="1200" w:type="dxa"/>
            <w:vAlign w:val="bottom"/>
            <w:gridSpan w:val="2"/>
          </w:tcPr>
          <w:p>
            <w:pPr>
              <w:jc w:val="right"/>
              <w:ind w:right="120"/>
              <w:spacing w:after="0"/>
              <w:rPr>
                <w:sz w:val="20"/>
                <w:szCs w:val="20"/>
                <w:color w:val="auto"/>
              </w:rPr>
            </w:pPr>
            <w:r>
              <w:rPr>
                <w:rFonts w:ascii="Arial" w:cs="Arial" w:eastAsia="Arial" w:hAnsi="Arial"/>
                <w:sz w:val="20"/>
                <w:szCs w:val="20"/>
                <w:color w:val="auto"/>
              </w:rPr>
              <w:t>3.50%</w:t>
            </w:r>
          </w:p>
        </w:tc>
        <w:tc>
          <w:tcPr>
            <w:tcW w:w="200" w:type="dxa"/>
            <w:vAlign w:val="bottom"/>
          </w:tcPr>
          <w:p>
            <w:pPr>
              <w:spacing w:after="0"/>
              <w:rPr>
                <w:sz w:val="24"/>
                <w:szCs w:val="2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20"/>
                <w:szCs w:val="20"/>
                <w:color w:val="auto"/>
              </w:rPr>
              <w:t>4.00%</w:t>
            </w:r>
          </w:p>
        </w:tc>
        <w:tc>
          <w:tcPr>
            <w:tcW w:w="1200" w:type="dxa"/>
            <w:vAlign w:val="bottom"/>
            <w:gridSpan w:val="2"/>
          </w:tcPr>
          <w:p>
            <w:pPr>
              <w:jc w:val="right"/>
              <w:ind w:right="120"/>
              <w:spacing w:after="0"/>
              <w:rPr>
                <w:sz w:val="20"/>
                <w:szCs w:val="20"/>
                <w:color w:val="auto"/>
              </w:rPr>
            </w:pPr>
            <w:r>
              <w:rPr>
                <w:rFonts w:ascii="Arial" w:cs="Arial" w:eastAsia="Arial" w:hAnsi="Arial"/>
                <w:sz w:val="20"/>
                <w:szCs w:val="20"/>
                <w:color w:val="auto"/>
              </w:rPr>
              <w:t>3.50%</w:t>
            </w:r>
          </w:p>
        </w:tc>
        <w:tc>
          <w:tcPr>
            <w:tcW w:w="300" w:type="dxa"/>
            <w:vAlign w:val="bottom"/>
          </w:tcPr>
          <w:p>
            <w:pPr>
              <w:spacing w:after="0"/>
              <w:rPr>
                <w:sz w:val="24"/>
                <w:szCs w:val="24"/>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20"/>
                <w:szCs w:val="20"/>
                <w:color w:val="auto"/>
              </w:rPr>
              <w:t>4.00%</w:t>
            </w:r>
          </w:p>
        </w:tc>
        <w:tc>
          <w:tcPr>
            <w:tcW w:w="0" w:type="dxa"/>
            <w:vAlign w:val="bottom"/>
          </w:tcPr>
          <w:p>
            <w:pPr>
              <w:spacing w:after="0"/>
              <w:rPr>
                <w:sz w:val="1"/>
                <w:szCs w:val="1"/>
                <w:color w:val="auto"/>
              </w:rPr>
            </w:pPr>
          </w:p>
        </w:tc>
      </w:tr>
      <w:tr>
        <w:trPr>
          <w:trHeight w:val="250"/>
        </w:trPr>
        <w:tc>
          <w:tcPr>
            <w:tcW w:w="6740" w:type="dxa"/>
            <w:vAlign w:val="bottom"/>
            <w:shd w:val="clear" w:color="auto" w:fill="CFF0FC"/>
          </w:tcPr>
          <w:p>
            <w:pPr>
              <w:spacing w:after="0"/>
              <w:rPr>
                <w:sz w:val="20"/>
                <w:szCs w:val="20"/>
                <w:color w:val="auto"/>
              </w:rPr>
            </w:pPr>
            <w:r>
              <w:rPr>
                <w:rFonts w:ascii="Arial" w:cs="Arial" w:eastAsia="Arial" w:hAnsi="Arial"/>
                <w:sz w:val="20"/>
                <w:szCs w:val="20"/>
                <w:color w:val="auto"/>
              </w:rPr>
              <w:t>Rate of increase in future compensation levels</w:t>
            </w: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4.33%</w:t>
            </w:r>
          </w:p>
        </w:tc>
        <w:tc>
          <w:tcPr>
            <w:tcW w:w="20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4.39%</w:t>
            </w:r>
          </w:p>
        </w:tc>
        <w:tc>
          <w:tcPr>
            <w:tcW w:w="1500" w:type="dxa"/>
            <w:vAlign w:val="bottom"/>
            <w:gridSpan w:val="3"/>
            <w:shd w:val="clear" w:color="auto" w:fill="CFF0FC"/>
          </w:tcPr>
          <w:p>
            <w:pPr>
              <w:jc w:val="right"/>
              <w:ind w:right="600"/>
              <w:spacing w:after="0"/>
              <w:rPr>
                <w:sz w:val="20"/>
                <w:szCs w:val="20"/>
                <w:color w:val="auto"/>
              </w:rPr>
            </w:pPr>
            <w:r>
              <w:rPr>
                <w:rFonts w:ascii="Arial" w:cs="Arial" w:eastAsia="Arial" w:hAnsi="Arial"/>
                <w:sz w:val="20"/>
                <w:szCs w:val="20"/>
                <w:color w:val="auto"/>
              </w:rPr>
              <w:t>—</w:t>
            </w:r>
          </w:p>
        </w:tc>
        <w:tc>
          <w:tcPr>
            <w:tcW w:w="780" w:type="dxa"/>
            <w:vAlign w:val="bottom"/>
            <w:gridSpan w:val="2"/>
            <w:shd w:val="clear" w:color="auto" w:fill="CFF0FC"/>
          </w:tcPr>
          <w:p>
            <w:pPr>
              <w:jc w:val="right"/>
              <w:ind w:right="20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bl>
    <w:p>
      <w:pPr>
        <w:spacing w:after="0" w:line="223" w:lineRule="exact"/>
        <w:rPr>
          <w:sz w:val="20"/>
          <w:szCs w:val="20"/>
          <w:color w:val="auto"/>
        </w:rPr>
      </w:pPr>
    </w:p>
    <w:p>
      <w:pPr>
        <w:ind w:left="600"/>
        <w:spacing w:after="0"/>
        <w:rPr>
          <w:sz w:val="20"/>
          <w:szCs w:val="20"/>
          <w:color w:val="auto"/>
        </w:rPr>
      </w:pPr>
      <w:r>
        <w:rPr>
          <w:rFonts w:ascii="Arial" w:cs="Arial" w:eastAsia="Arial" w:hAnsi="Arial"/>
          <w:sz w:val="20"/>
          <w:szCs w:val="20"/>
          <w:color w:val="auto"/>
        </w:rPr>
        <w:t>The assumed weighted-average rates used to determine net benefit expense for the years ended December 31 were: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86"/>
              </w:rPr>
              <w:t>Pension Benefits</w:t>
            </w: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6"/>
              </w:rPr>
              <w:t>Other</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4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vMerge w:val="continue"/>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160" w:type="dxa"/>
            <w:vAlign w:val="bottom"/>
            <w:tcBorders>
              <w:bottom w:val="single" w:sz="8" w:color="auto"/>
            </w:tcBorders>
            <w:gridSpan w:val="5"/>
          </w:tcPr>
          <w:p>
            <w:pPr>
              <w:jc w:val="center"/>
              <w:ind w:left="492"/>
              <w:spacing w:after="0"/>
              <w:rPr>
                <w:sz w:val="20"/>
                <w:szCs w:val="20"/>
                <w:color w:val="auto"/>
              </w:rPr>
            </w:pPr>
            <w:r>
              <w:rPr>
                <w:rFonts w:ascii="Arial" w:cs="Arial" w:eastAsia="Arial" w:hAnsi="Arial"/>
                <w:sz w:val="14"/>
                <w:szCs w:val="14"/>
                <w:b w:val="1"/>
                <w:bCs w:val="1"/>
                <w:color w:val="auto"/>
                <w:w w:val="89"/>
              </w:rPr>
              <w:t>Postretirement Benefits</w:t>
            </w:r>
          </w:p>
        </w:tc>
        <w:tc>
          <w:tcPr>
            <w:tcW w:w="6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5420" w:type="dxa"/>
            <w:vAlign w:val="bottom"/>
          </w:tcPr>
          <w:p>
            <w:pPr>
              <w:spacing w:after="0"/>
              <w:rPr>
                <w:sz w:val="13"/>
                <w:szCs w:val="13"/>
                <w:color w:val="auto"/>
              </w:rPr>
            </w:pPr>
          </w:p>
        </w:tc>
        <w:tc>
          <w:tcPr>
            <w:tcW w:w="700" w:type="dxa"/>
            <w:vAlign w:val="bottom"/>
            <w:tcBorders>
              <w:bottom w:val="single" w:sz="8" w:color="auto"/>
            </w:tcBorders>
          </w:tcPr>
          <w:p>
            <w:pPr>
              <w:jc w:val="right"/>
              <w:ind w:right="127"/>
              <w:spacing w:after="0" w:line="151"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Borders>
              <w:bottom w:val="single" w:sz="8" w:color="auto"/>
            </w:tcBorders>
          </w:tcPr>
          <w:p>
            <w:pPr>
              <w:jc w:val="right"/>
              <w:ind w:right="150"/>
              <w:spacing w:after="0" w:line="151" w:lineRule="exact"/>
              <w:rPr>
                <w:sz w:val="20"/>
                <w:szCs w:val="20"/>
                <w:color w:val="auto"/>
              </w:rPr>
            </w:pPr>
            <w:r>
              <w:rPr>
                <w:rFonts w:ascii="Arial" w:cs="Arial" w:eastAsia="Arial" w:hAnsi="Arial"/>
                <w:sz w:val="14"/>
                <w:szCs w:val="14"/>
                <w:b w:val="1"/>
                <w:bCs w:val="1"/>
                <w:color w:val="auto"/>
              </w:rPr>
              <w:t>2016</w:t>
            </w:r>
          </w:p>
        </w:tc>
        <w:tc>
          <w:tcPr>
            <w:tcW w:w="320" w:type="dxa"/>
            <w:vAlign w:val="bottom"/>
          </w:tcPr>
          <w:p>
            <w:pPr>
              <w:spacing w:after="0"/>
              <w:rPr>
                <w:sz w:val="13"/>
                <w:szCs w:val="13"/>
                <w:color w:val="auto"/>
              </w:rPr>
            </w:pPr>
          </w:p>
        </w:tc>
        <w:tc>
          <w:tcPr>
            <w:tcW w:w="700" w:type="dxa"/>
            <w:vAlign w:val="bottom"/>
            <w:tcBorders>
              <w:bottom w:val="single" w:sz="8" w:color="auto"/>
            </w:tcBorders>
          </w:tcPr>
          <w:p>
            <w:pPr>
              <w:jc w:val="right"/>
              <w:ind w:right="127"/>
              <w:spacing w:after="0" w:line="151" w:lineRule="exact"/>
              <w:rPr>
                <w:sz w:val="20"/>
                <w:szCs w:val="20"/>
                <w:color w:val="auto"/>
              </w:rPr>
            </w:pPr>
            <w:r>
              <w:rPr>
                <w:rFonts w:ascii="Arial" w:cs="Arial" w:eastAsia="Arial" w:hAnsi="Arial"/>
                <w:sz w:val="14"/>
                <w:szCs w:val="14"/>
                <w:b w:val="1"/>
                <w:bCs w:val="1"/>
                <w:color w:val="auto"/>
              </w:rPr>
              <w:t>2015</w:t>
            </w:r>
          </w:p>
        </w:tc>
        <w:tc>
          <w:tcPr>
            <w:tcW w:w="320" w:type="dxa"/>
            <w:vAlign w:val="bottom"/>
          </w:tcPr>
          <w:p>
            <w:pPr>
              <w:spacing w:after="0"/>
              <w:rPr>
                <w:sz w:val="13"/>
                <w:szCs w:val="13"/>
                <w:color w:val="auto"/>
              </w:rPr>
            </w:pPr>
          </w:p>
        </w:tc>
        <w:tc>
          <w:tcPr>
            <w:tcW w:w="700" w:type="dxa"/>
            <w:vAlign w:val="bottom"/>
            <w:tcBorders>
              <w:bottom w:val="single" w:sz="8" w:color="auto"/>
            </w:tcBorders>
          </w:tcPr>
          <w:p>
            <w:pPr>
              <w:jc w:val="right"/>
              <w:ind w:right="132"/>
              <w:spacing w:after="0" w:line="151" w:lineRule="exact"/>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13"/>
                <w:szCs w:val="13"/>
                <w:color w:val="auto"/>
              </w:rPr>
            </w:pPr>
          </w:p>
        </w:tc>
        <w:tc>
          <w:tcPr>
            <w:tcW w:w="720" w:type="dxa"/>
            <w:vAlign w:val="bottom"/>
            <w:tcBorders>
              <w:bottom w:val="single" w:sz="8" w:color="auto"/>
            </w:tcBorders>
          </w:tcPr>
          <w:p>
            <w:pPr>
              <w:jc w:val="center"/>
              <w:spacing w:after="0" w:line="151" w:lineRule="exact"/>
              <w:rPr>
                <w:sz w:val="20"/>
                <w:szCs w:val="20"/>
                <w:color w:val="auto"/>
              </w:rPr>
            </w:pPr>
            <w:r>
              <w:rPr>
                <w:rFonts w:ascii="Arial" w:cs="Arial" w:eastAsia="Arial" w:hAnsi="Arial"/>
                <w:sz w:val="14"/>
                <w:szCs w:val="14"/>
                <w:b w:val="1"/>
                <w:bCs w:val="1"/>
                <w:color w:val="auto"/>
                <w:w w:val="89"/>
              </w:rPr>
              <w:t>2016</w:t>
            </w:r>
          </w:p>
        </w:tc>
        <w:tc>
          <w:tcPr>
            <w:tcW w:w="3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27"/>
              <w:spacing w:after="0" w:line="151" w:lineRule="exact"/>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0"/>
        </w:trPr>
        <w:tc>
          <w:tcPr>
            <w:tcW w:w="5420" w:type="dxa"/>
            <w:vAlign w:val="bottom"/>
          </w:tcPr>
          <w:p>
            <w:pPr>
              <w:spacing w:after="0"/>
              <w:rPr>
                <w:sz w:val="20"/>
                <w:szCs w:val="20"/>
                <w:color w:val="auto"/>
              </w:rPr>
            </w:pPr>
            <w:r>
              <w:rPr>
                <w:rFonts w:ascii="Arial" w:cs="Arial" w:eastAsia="Arial" w:hAnsi="Arial"/>
                <w:sz w:val="20"/>
                <w:szCs w:val="20"/>
                <w:color w:val="auto"/>
              </w:rPr>
              <w:t>Discount rate</w:t>
            </w:r>
          </w:p>
        </w:tc>
        <w:tc>
          <w:tcPr>
            <w:tcW w:w="860" w:type="dxa"/>
            <w:vAlign w:val="bottom"/>
            <w:gridSpan w:val="2"/>
          </w:tcPr>
          <w:p>
            <w:pPr>
              <w:jc w:val="right"/>
              <w:spacing w:after="0"/>
              <w:rPr>
                <w:sz w:val="20"/>
                <w:szCs w:val="20"/>
                <w:color w:val="auto"/>
              </w:rPr>
            </w:pPr>
            <w:r>
              <w:rPr>
                <w:rFonts w:ascii="Arial" w:cs="Arial" w:eastAsia="Arial" w:hAnsi="Arial"/>
                <w:sz w:val="20"/>
                <w:szCs w:val="20"/>
                <w:color w:val="auto"/>
              </w:rPr>
              <w:t>4.00%</w:t>
            </w:r>
          </w:p>
        </w:tc>
        <w:tc>
          <w:tcPr>
            <w:tcW w:w="1180" w:type="dxa"/>
            <w:vAlign w:val="bottom"/>
            <w:gridSpan w:val="3"/>
          </w:tcPr>
          <w:p>
            <w:pPr>
              <w:jc w:val="right"/>
              <w:ind w:right="160"/>
              <w:spacing w:after="0"/>
              <w:rPr>
                <w:sz w:val="20"/>
                <w:szCs w:val="20"/>
                <w:color w:val="auto"/>
              </w:rPr>
            </w:pPr>
            <w:r>
              <w:rPr>
                <w:rFonts w:ascii="Arial" w:cs="Arial" w:eastAsia="Arial" w:hAnsi="Arial"/>
                <w:sz w:val="20"/>
                <w:szCs w:val="20"/>
                <w:color w:val="auto"/>
              </w:rPr>
              <w:t>4.25%</w:t>
            </w:r>
          </w:p>
        </w:tc>
        <w:tc>
          <w:tcPr>
            <w:tcW w:w="1020" w:type="dxa"/>
            <w:vAlign w:val="bottom"/>
            <w:gridSpan w:val="2"/>
          </w:tcPr>
          <w:p>
            <w:pPr>
              <w:jc w:val="right"/>
              <w:ind w:right="140"/>
              <w:spacing w:after="0"/>
              <w:rPr>
                <w:sz w:val="20"/>
                <w:szCs w:val="20"/>
                <w:color w:val="auto"/>
              </w:rPr>
            </w:pPr>
            <w:r>
              <w:rPr>
                <w:rFonts w:ascii="Arial" w:cs="Arial" w:eastAsia="Arial" w:hAnsi="Arial"/>
                <w:sz w:val="20"/>
                <w:szCs w:val="20"/>
                <w:color w:val="auto"/>
              </w:rPr>
              <w:t>4.00%</w:t>
            </w:r>
          </w:p>
        </w:tc>
        <w:tc>
          <w:tcPr>
            <w:tcW w:w="1020" w:type="dxa"/>
            <w:vAlign w:val="bottom"/>
            <w:gridSpan w:val="2"/>
          </w:tcPr>
          <w:p>
            <w:pPr>
              <w:jc w:val="right"/>
              <w:ind w:right="140"/>
              <w:spacing w:after="0"/>
              <w:rPr>
                <w:sz w:val="20"/>
                <w:szCs w:val="20"/>
                <w:color w:val="auto"/>
              </w:rPr>
            </w:pPr>
            <w:r>
              <w:rPr>
                <w:rFonts w:ascii="Arial" w:cs="Arial" w:eastAsia="Arial" w:hAnsi="Arial"/>
                <w:sz w:val="20"/>
                <w:szCs w:val="20"/>
                <w:color w:val="auto"/>
              </w:rPr>
              <w:t>4.00%</w:t>
            </w:r>
          </w:p>
        </w:tc>
        <w:tc>
          <w:tcPr>
            <w:tcW w:w="1020" w:type="dxa"/>
            <w:vAlign w:val="bottom"/>
            <w:gridSpan w:val="2"/>
          </w:tcPr>
          <w:p>
            <w:pPr>
              <w:jc w:val="right"/>
              <w:ind w:right="140"/>
              <w:spacing w:after="0"/>
              <w:rPr>
                <w:sz w:val="20"/>
                <w:szCs w:val="20"/>
                <w:color w:val="auto"/>
              </w:rPr>
            </w:pPr>
            <w:r>
              <w:rPr>
                <w:rFonts w:ascii="Arial" w:cs="Arial" w:eastAsia="Arial" w:hAnsi="Arial"/>
                <w:sz w:val="20"/>
                <w:szCs w:val="20"/>
                <w:color w:val="auto"/>
              </w:rPr>
              <w:t>4.25%</w:t>
            </w:r>
          </w:p>
        </w:tc>
        <w:tc>
          <w:tcPr>
            <w:tcW w:w="120" w:type="dxa"/>
            <w:vAlign w:val="bottom"/>
          </w:tcPr>
          <w:p>
            <w:pPr>
              <w:spacing w:after="0"/>
              <w:rPr>
                <w:sz w:val="24"/>
                <w:szCs w:val="24"/>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20"/>
                <w:szCs w:val="20"/>
                <w:color w:val="auto"/>
              </w:rPr>
              <w:t>4.00%</w:t>
            </w:r>
          </w:p>
        </w:tc>
        <w:tc>
          <w:tcPr>
            <w:tcW w:w="0" w:type="dxa"/>
            <w:vAlign w:val="bottom"/>
          </w:tcPr>
          <w:p>
            <w:pPr>
              <w:spacing w:after="0"/>
              <w:rPr>
                <w:sz w:val="1"/>
                <w:szCs w:val="1"/>
                <w:color w:val="auto"/>
              </w:rPr>
            </w:pPr>
          </w:p>
        </w:tc>
      </w:tr>
      <w:tr>
        <w:trPr>
          <w:trHeight w:val="250"/>
        </w:trPr>
        <w:tc>
          <w:tcPr>
            <w:tcW w:w="5420" w:type="dxa"/>
            <w:vAlign w:val="bottom"/>
            <w:shd w:val="clear" w:color="auto" w:fill="CFF0FC"/>
          </w:tcPr>
          <w:p>
            <w:pPr>
              <w:spacing w:after="0"/>
              <w:rPr>
                <w:sz w:val="20"/>
                <w:szCs w:val="20"/>
                <w:color w:val="auto"/>
              </w:rPr>
            </w:pPr>
            <w:r>
              <w:rPr>
                <w:rFonts w:ascii="Arial" w:cs="Arial" w:eastAsia="Arial" w:hAnsi="Arial"/>
                <w:sz w:val="20"/>
                <w:szCs w:val="20"/>
                <w:color w:val="auto"/>
              </w:rPr>
              <w:t>Long-term rate of return on plan assets</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6.50%</w:t>
            </w:r>
          </w:p>
        </w:tc>
        <w:tc>
          <w:tcPr>
            <w:tcW w:w="1180" w:type="dxa"/>
            <w:vAlign w:val="bottom"/>
            <w:gridSpan w:val="3"/>
            <w:shd w:val="clear" w:color="auto" w:fill="CFF0FC"/>
          </w:tcPr>
          <w:p>
            <w:pPr>
              <w:jc w:val="right"/>
              <w:ind w:right="160"/>
              <w:spacing w:after="0"/>
              <w:rPr>
                <w:sz w:val="20"/>
                <w:szCs w:val="20"/>
                <w:color w:val="auto"/>
              </w:rPr>
            </w:pPr>
            <w:r>
              <w:rPr>
                <w:rFonts w:ascii="Arial" w:cs="Arial" w:eastAsia="Arial" w:hAnsi="Arial"/>
                <w:sz w:val="20"/>
                <w:szCs w:val="20"/>
                <w:color w:val="auto"/>
              </w:rPr>
              <w:t>6.50%</w:t>
            </w: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20"/>
                <w:szCs w:val="20"/>
                <w:color w:val="auto"/>
              </w:rPr>
              <w:t>6.50%</w:t>
            </w:r>
          </w:p>
        </w:tc>
        <w:tc>
          <w:tcPr>
            <w:tcW w:w="1020" w:type="dxa"/>
            <w:vAlign w:val="bottom"/>
            <w:gridSpan w:val="2"/>
            <w:shd w:val="clear" w:color="auto" w:fill="CFF0FC"/>
          </w:tcPr>
          <w:p>
            <w:pPr>
              <w:jc w:val="right"/>
              <w:ind w:right="320"/>
              <w:spacing w:after="0"/>
              <w:rPr>
                <w:sz w:val="20"/>
                <w:szCs w:val="20"/>
                <w:color w:val="auto"/>
              </w:rPr>
            </w:pPr>
            <w:r>
              <w:rPr>
                <w:rFonts w:ascii="Arial" w:cs="Arial" w:eastAsia="Arial" w:hAnsi="Arial"/>
                <w:sz w:val="20"/>
                <w:szCs w:val="20"/>
                <w:color w:val="auto"/>
              </w:rPr>
              <w:t>—</w:t>
            </w:r>
          </w:p>
        </w:tc>
        <w:tc>
          <w:tcPr>
            <w:tcW w:w="1140" w:type="dxa"/>
            <w:vAlign w:val="bottom"/>
            <w:gridSpan w:val="3"/>
            <w:shd w:val="clear" w:color="auto" w:fill="CFF0FC"/>
          </w:tcPr>
          <w:p>
            <w:pPr>
              <w:jc w:val="right"/>
              <w:ind w:right="440"/>
              <w:spacing w:after="0"/>
              <w:rPr>
                <w:sz w:val="20"/>
                <w:szCs w:val="20"/>
                <w:color w:val="auto"/>
              </w:rPr>
            </w:pPr>
            <w:r>
              <w:rPr>
                <w:rFonts w:ascii="Arial" w:cs="Arial" w:eastAsia="Arial" w:hAnsi="Arial"/>
                <w:sz w:val="20"/>
                <w:szCs w:val="20"/>
                <w:color w:val="auto"/>
              </w:rPr>
              <w:t>—</w:t>
            </w:r>
          </w:p>
        </w:tc>
        <w:tc>
          <w:tcPr>
            <w:tcW w:w="780" w:type="dxa"/>
            <w:vAlign w:val="bottom"/>
            <w:gridSpan w:val="2"/>
            <w:shd w:val="clear" w:color="auto" w:fill="CFF0FC"/>
          </w:tcPr>
          <w:p>
            <w:pPr>
              <w:jc w:val="right"/>
              <w:ind w:right="20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6"/>
        </w:trPr>
        <w:tc>
          <w:tcPr>
            <w:tcW w:w="5420" w:type="dxa"/>
            <w:vAlign w:val="bottom"/>
          </w:tcPr>
          <w:p>
            <w:pPr>
              <w:spacing w:after="0"/>
              <w:rPr>
                <w:sz w:val="20"/>
                <w:szCs w:val="20"/>
                <w:color w:val="auto"/>
              </w:rPr>
            </w:pPr>
            <w:r>
              <w:rPr>
                <w:rFonts w:ascii="Arial" w:cs="Arial" w:eastAsia="Arial" w:hAnsi="Arial"/>
                <w:sz w:val="20"/>
                <w:szCs w:val="20"/>
                <w:color w:val="auto"/>
              </w:rPr>
              <w:t>Rate of increase in future compensation</w:t>
            </w: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5420" w:type="dxa"/>
            <w:vAlign w:val="bottom"/>
          </w:tcPr>
          <w:p>
            <w:pPr>
              <w:ind w:left="160"/>
              <w:spacing w:after="0"/>
              <w:rPr>
                <w:sz w:val="20"/>
                <w:szCs w:val="20"/>
                <w:color w:val="auto"/>
              </w:rPr>
            </w:pPr>
            <w:r>
              <w:rPr>
                <w:rFonts w:ascii="Arial" w:cs="Arial" w:eastAsia="Arial" w:hAnsi="Arial"/>
                <w:sz w:val="20"/>
                <w:szCs w:val="20"/>
                <w:color w:val="auto"/>
              </w:rPr>
              <w:t>levels</w:t>
            </w:r>
          </w:p>
        </w:tc>
        <w:tc>
          <w:tcPr>
            <w:tcW w:w="860" w:type="dxa"/>
            <w:vAlign w:val="bottom"/>
            <w:gridSpan w:val="2"/>
          </w:tcPr>
          <w:p>
            <w:pPr>
              <w:jc w:val="right"/>
              <w:spacing w:after="0"/>
              <w:rPr>
                <w:sz w:val="20"/>
                <w:szCs w:val="20"/>
                <w:color w:val="auto"/>
              </w:rPr>
            </w:pPr>
            <w:r>
              <w:rPr>
                <w:rFonts w:ascii="Arial" w:cs="Arial" w:eastAsia="Arial" w:hAnsi="Arial"/>
                <w:sz w:val="20"/>
                <w:szCs w:val="20"/>
                <w:color w:val="auto"/>
              </w:rPr>
              <w:t>4.39%</w:t>
            </w:r>
          </w:p>
        </w:tc>
        <w:tc>
          <w:tcPr>
            <w:tcW w:w="1180" w:type="dxa"/>
            <w:vAlign w:val="bottom"/>
            <w:gridSpan w:val="3"/>
          </w:tcPr>
          <w:p>
            <w:pPr>
              <w:jc w:val="right"/>
              <w:ind w:right="160"/>
              <w:spacing w:after="0"/>
              <w:rPr>
                <w:sz w:val="20"/>
                <w:szCs w:val="20"/>
                <w:color w:val="auto"/>
              </w:rPr>
            </w:pPr>
            <w:r>
              <w:rPr>
                <w:rFonts w:ascii="Arial" w:cs="Arial" w:eastAsia="Arial" w:hAnsi="Arial"/>
                <w:sz w:val="20"/>
                <w:szCs w:val="20"/>
                <w:color w:val="auto"/>
              </w:rPr>
              <w:t>4.37%</w:t>
            </w:r>
          </w:p>
        </w:tc>
        <w:tc>
          <w:tcPr>
            <w:tcW w:w="1020" w:type="dxa"/>
            <w:vAlign w:val="bottom"/>
            <w:gridSpan w:val="2"/>
          </w:tcPr>
          <w:p>
            <w:pPr>
              <w:jc w:val="right"/>
              <w:ind w:right="140"/>
              <w:spacing w:after="0"/>
              <w:rPr>
                <w:sz w:val="20"/>
                <w:szCs w:val="20"/>
                <w:color w:val="auto"/>
              </w:rPr>
            </w:pPr>
            <w:r>
              <w:rPr>
                <w:rFonts w:ascii="Arial" w:cs="Arial" w:eastAsia="Arial" w:hAnsi="Arial"/>
                <w:sz w:val="20"/>
                <w:szCs w:val="20"/>
                <w:color w:val="auto"/>
              </w:rPr>
              <w:t>4.39%</w:t>
            </w:r>
          </w:p>
        </w:tc>
        <w:tc>
          <w:tcPr>
            <w:tcW w:w="1020" w:type="dxa"/>
            <w:vAlign w:val="bottom"/>
            <w:gridSpan w:val="2"/>
          </w:tcPr>
          <w:p>
            <w:pPr>
              <w:jc w:val="right"/>
              <w:ind w:right="320"/>
              <w:spacing w:after="0"/>
              <w:rPr>
                <w:sz w:val="20"/>
                <w:szCs w:val="20"/>
                <w:color w:val="auto"/>
              </w:rPr>
            </w:pPr>
            <w:r>
              <w:rPr>
                <w:rFonts w:ascii="Arial" w:cs="Arial" w:eastAsia="Arial" w:hAnsi="Arial"/>
                <w:sz w:val="20"/>
                <w:szCs w:val="20"/>
                <w:color w:val="auto"/>
              </w:rPr>
              <w:t>—</w:t>
            </w:r>
          </w:p>
        </w:tc>
        <w:tc>
          <w:tcPr>
            <w:tcW w:w="1140" w:type="dxa"/>
            <w:vAlign w:val="bottom"/>
            <w:gridSpan w:val="3"/>
          </w:tcPr>
          <w:p>
            <w:pPr>
              <w:jc w:val="right"/>
              <w:ind w:right="440"/>
              <w:spacing w:after="0"/>
              <w:rPr>
                <w:sz w:val="20"/>
                <w:szCs w:val="20"/>
                <w:color w:val="auto"/>
              </w:rPr>
            </w:pPr>
            <w:r>
              <w:rPr>
                <w:rFonts w:ascii="Arial" w:cs="Arial" w:eastAsia="Arial" w:hAnsi="Arial"/>
                <w:sz w:val="20"/>
                <w:szCs w:val="20"/>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260" w:firstLine="598"/>
        <w:spacing w:after="0" w:line="260" w:lineRule="auto"/>
        <w:rPr>
          <w:sz w:val="20"/>
          <w:szCs w:val="20"/>
          <w:color w:val="auto"/>
        </w:rPr>
      </w:pPr>
      <w:r>
        <w:rPr>
          <w:rFonts w:ascii="Arial" w:cs="Arial" w:eastAsia="Arial" w:hAnsi="Arial"/>
          <w:sz w:val="20"/>
          <w:szCs w:val="20"/>
          <w:color w:val="auto"/>
        </w:rPr>
        <w:t>The discount rate used by the Company to determine the present value of the Company’s future benefit obligations reflects specific market yields for a hypothetical portfolio of highly rated corporate bonds that would produce cash flows similar to the Company’s benefit plan obligations and the level of market interest rates in general as of the year-end.</w:t>
      </w:r>
    </w:p>
    <w:p>
      <w:pPr>
        <w:spacing w:after="0" w:line="1" w:lineRule="exact"/>
        <w:rPr>
          <w:sz w:val="20"/>
          <w:szCs w:val="20"/>
          <w:color w:val="auto"/>
        </w:rPr>
      </w:pPr>
    </w:p>
    <w:p>
      <w:pPr>
        <w:ind w:firstLine="598"/>
        <w:spacing w:after="0" w:line="253" w:lineRule="auto"/>
        <w:rPr>
          <w:sz w:val="20"/>
          <w:szCs w:val="20"/>
          <w:color w:val="auto"/>
        </w:rPr>
      </w:pPr>
      <w:r>
        <w:rPr>
          <w:rFonts w:ascii="Arial" w:cs="Arial" w:eastAsia="Arial" w:hAnsi="Arial"/>
          <w:sz w:val="20"/>
          <w:szCs w:val="20"/>
          <w:color w:val="auto"/>
        </w:rPr>
        <w:t>The expected long-term rate of return assumption as of each measurement date was developed through analysis of historical market returns, current market conditions, anticipated future asset allocations, the funds’ past experience, and expectations on potential future market returns. The expected rate of return assumption represents a long-term average view of the performance of the plan assets, a return that may or may not be achieved during any one calendar year.</w:t>
      </w:r>
    </w:p>
    <w:p>
      <w:pPr>
        <w:spacing w:after="0" w:line="3" w:lineRule="exact"/>
        <w:rPr>
          <w:sz w:val="20"/>
          <w:szCs w:val="20"/>
          <w:color w:val="auto"/>
        </w:rPr>
      </w:pPr>
    </w:p>
    <w:p>
      <w:pPr>
        <w:ind w:right="400" w:firstLine="598"/>
        <w:spacing w:after="0" w:line="285" w:lineRule="auto"/>
        <w:rPr>
          <w:sz w:val="20"/>
          <w:szCs w:val="20"/>
          <w:color w:val="auto"/>
        </w:rPr>
      </w:pPr>
      <w:r>
        <w:rPr>
          <w:rFonts w:ascii="Arial" w:cs="Arial" w:eastAsia="Arial" w:hAnsi="Arial"/>
          <w:sz w:val="18"/>
          <w:szCs w:val="18"/>
          <w:color w:val="auto"/>
        </w:rPr>
        <w:t>The company’s defined benefit pension plan is sensitive to the long-term rate of return on plan assets and the discount rate. To demonstrate the sensitivity of pension expense to changes in these assumptions, with all other assumptions held constant, 25 basis point increases in: the rate of return on plan assets would have resulted in a decrease in pension expense of approximately $4 million; and the discount rate would have resulted in a decrease in pension expense of approximately $7 million. Decreases of 25 basis points in those assumptions would have resulted in similar changes in amount, but in the opposite direction from the changes presented in the preceding sentence. Additionally, an increase of 25 basis points in the discount rate would have decreased the benefit obligation by</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76" w:right="239" w:bottom="1440" w:gutter="0" w:footer="0" w:header="0"/>
        </w:sectPr>
      </w:pPr>
    </w:p>
    <w:bookmarkStart w:id="150" w:name="page151"/>
    <w:bookmarkEnd w:id="150"/>
    <w:p>
      <w:pPr>
        <w:ind w:right="20"/>
        <w:spacing w:after="0" w:line="256" w:lineRule="auto"/>
        <w:rPr>
          <w:sz w:val="20"/>
          <w:szCs w:val="20"/>
          <w:color w:val="auto"/>
        </w:rPr>
      </w:pPr>
      <w:r>
        <w:rPr>
          <w:rFonts w:ascii="Arial" w:cs="Arial" w:eastAsia="Arial" w:hAnsi="Arial"/>
          <w:sz w:val="20"/>
          <w:szCs w:val="20"/>
          <w:color w:val="auto"/>
        </w:rPr>
        <w:t>$76 million and a decrease of 25 basis points in the discount rate would have increased the benefit obligation by $80 million at December 31, 2017.</w:t>
      </w:r>
    </w:p>
    <w:p>
      <w:pPr>
        <w:ind w:right="100" w:firstLine="598"/>
        <w:spacing w:after="0" w:line="251" w:lineRule="auto"/>
        <w:rPr>
          <w:sz w:val="20"/>
          <w:szCs w:val="20"/>
          <w:color w:val="auto"/>
        </w:rPr>
      </w:pPr>
      <w:r>
        <w:rPr>
          <w:rFonts w:ascii="Arial" w:cs="Arial" w:eastAsia="Arial" w:hAnsi="Arial"/>
          <w:sz w:val="20"/>
          <w:szCs w:val="20"/>
          <w:color w:val="auto"/>
        </w:rPr>
        <w:t>For measurement of other postretirement benefits, a 6.50% annual rate of increase in the per capita cost of covered health care benefits was assumed for 2018. The rate was assumed to decrease to 5.00% over 11 years. A one-percentage point change in assumed health care cost trend rates would have had the following effects: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5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+1%</w:t>
            </w:r>
          </w:p>
        </w:tc>
        <w:tc>
          <w:tcPr>
            <w:tcW w:w="4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b w:val="1"/>
                <w:bCs w:val="1"/>
                <w:color w:val="auto"/>
              </w:rPr>
              <w:t>-1%</w:t>
            </w:r>
          </w:p>
        </w:tc>
        <w:tc>
          <w:tcPr>
            <w:tcW w:w="120" w:type="dxa"/>
            <w:vAlign w:val="bottom"/>
          </w:tcPr>
          <w:p>
            <w:pPr>
              <w:spacing w:after="0"/>
              <w:rPr>
                <w:sz w:val="14"/>
                <w:szCs w:val="14"/>
                <w:color w:val="auto"/>
              </w:rPr>
            </w:pPr>
          </w:p>
        </w:tc>
      </w:tr>
      <w:tr>
        <w:trPr>
          <w:trHeight w:val="151"/>
        </w:trPr>
        <w:tc>
          <w:tcPr>
            <w:tcW w:w="65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2"/>
          </w:tcPr>
          <w:p>
            <w:pPr>
              <w:jc w:val="right"/>
              <w:spacing w:after="0" w:line="151" w:lineRule="exact"/>
              <w:rPr>
                <w:sz w:val="20"/>
                <w:szCs w:val="20"/>
                <w:color w:val="auto"/>
              </w:rPr>
            </w:pPr>
            <w:r>
              <w:rPr>
                <w:rFonts w:ascii="Arial" w:cs="Arial" w:eastAsia="Arial" w:hAnsi="Arial"/>
                <w:sz w:val="14"/>
                <w:szCs w:val="14"/>
                <w:b w:val="1"/>
                <w:bCs w:val="1"/>
                <w:color w:val="auto"/>
              </w:rPr>
              <w:t>(In thousands)</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50"/>
        </w:trPr>
        <w:tc>
          <w:tcPr>
            <w:tcW w:w="6520" w:type="dxa"/>
            <w:vAlign w:val="bottom"/>
            <w:shd w:val="clear" w:color="auto" w:fill="CFF0FC"/>
          </w:tcPr>
          <w:p>
            <w:pPr>
              <w:spacing w:after="0"/>
              <w:rPr>
                <w:sz w:val="20"/>
                <w:szCs w:val="20"/>
                <w:color w:val="auto"/>
              </w:rPr>
            </w:pPr>
            <w:r>
              <w:rPr>
                <w:rFonts w:ascii="Arial" w:cs="Arial" w:eastAsia="Arial" w:hAnsi="Arial"/>
                <w:sz w:val="20"/>
                <w:szCs w:val="20"/>
                <w:color w:val="auto"/>
              </w:rPr>
              <w:t>Increase (decrease) in:</w:t>
            </w:r>
          </w:p>
        </w:tc>
        <w:tc>
          <w:tcPr>
            <w:tcW w:w="27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50"/>
        </w:trPr>
        <w:tc>
          <w:tcPr>
            <w:tcW w:w="6520" w:type="dxa"/>
            <w:vAlign w:val="bottom"/>
          </w:tcPr>
          <w:p>
            <w:pPr>
              <w:spacing w:after="0"/>
              <w:rPr>
                <w:sz w:val="20"/>
                <w:szCs w:val="20"/>
                <w:color w:val="auto"/>
              </w:rPr>
            </w:pPr>
            <w:r>
              <w:rPr>
                <w:rFonts w:ascii="Arial" w:cs="Arial" w:eastAsia="Arial" w:hAnsi="Arial"/>
                <w:sz w:val="20"/>
                <w:szCs w:val="20"/>
                <w:color w:val="auto"/>
              </w:rPr>
              <w:t>Service and interest cost</w:t>
            </w:r>
          </w:p>
        </w:tc>
        <w:tc>
          <w:tcPr>
            <w:tcW w:w="296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800" w:type="dxa"/>
            <w:vAlign w:val="bottom"/>
          </w:tcPr>
          <w:p>
            <w:pPr>
              <w:jc w:val="right"/>
              <w:ind w:right="55"/>
              <w:spacing w:after="0"/>
              <w:rPr>
                <w:sz w:val="20"/>
                <w:szCs w:val="20"/>
                <w:color w:val="auto"/>
              </w:rPr>
            </w:pPr>
            <w:r>
              <w:rPr>
                <w:rFonts w:ascii="Arial" w:cs="Arial" w:eastAsia="Arial" w:hAnsi="Arial"/>
                <w:sz w:val="20"/>
                <w:szCs w:val="20"/>
                <w:color w:val="auto"/>
              </w:rPr>
              <w:t>63</w:t>
            </w:r>
          </w:p>
        </w:tc>
        <w:tc>
          <w:tcPr>
            <w:tcW w:w="460" w:type="dxa"/>
            <w:vAlign w:val="bottom"/>
          </w:tcPr>
          <w:p>
            <w:pPr>
              <w:jc w:val="right"/>
              <w:ind w:right="99"/>
              <w:spacing w:after="0"/>
              <w:rPr>
                <w:sz w:val="20"/>
                <w:szCs w:val="20"/>
                <w:color w:val="auto"/>
              </w:rPr>
            </w:pPr>
            <w:r>
              <w:rPr>
                <w:rFonts w:ascii="Arial" w:cs="Arial" w:eastAsia="Arial" w:hAnsi="Arial"/>
                <w:sz w:val="20"/>
                <w:szCs w:val="20"/>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20"/>
                <w:szCs w:val="20"/>
                <w:color w:val="auto"/>
              </w:rPr>
              <w:t>(57)</w:t>
            </w:r>
          </w:p>
        </w:tc>
      </w:tr>
      <w:tr>
        <w:trPr>
          <w:trHeight w:val="250"/>
        </w:trPr>
        <w:tc>
          <w:tcPr>
            <w:tcW w:w="6520" w:type="dxa"/>
            <w:vAlign w:val="bottom"/>
            <w:shd w:val="clear" w:color="auto" w:fill="CFF0FC"/>
          </w:tcPr>
          <w:p>
            <w:pPr>
              <w:spacing w:after="0"/>
              <w:rPr>
                <w:sz w:val="20"/>
                <w:szCs w:val="20"/>
                <w:color w:val="auto"/>
              </w:rPr>
            </w:pPr>
            <w:r>
              <w:rPr>
                <w:rFonts w:ascii="Arial" w:cs="Arial" w:eastAsia="Arial" w:hAnsi="Arial"/>
                <w:sz w:val="20"/>
                <w:szCs w:val="20"/>
                <w:color w:val="auto"/>
              </w:rPr>
              <w:t>Accumulated postretirement benefit obligation</w:t>
            </w:r>
          </w:p>
        </w:tc>
        <w:tc>
          <w:tcPr>
            <w:tcW w:w="27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jc w:val="right"/>
              <w:ind w:right="55"/>
              <w:spacing w:after="0"/>
              <w:rPr>
                <w:sz w:val="20"/>
                <w:szCs w:val="20"/>
                <w:color w:val="auto"/>
              </w:rPr>
            </w:pPr>
            <w:r>
              <w:rPr>
                <w:rFonts w:ascii="Arial" w:cs="Arial" w:eastAsia="Arial" w:hAnsi="Arial"/>
                <w:sz w:val="20"/>
                <w:szCs w:val="20"/>
                <w:color w:val="auto"/>
              </w:rPr>
              <w:t>1,454</w:t>
            </w:r>
          </w:p>
        </w:tc>
        <w:tc>
          <w:tcPr>
            <w:tcW w:w="460" w:type="dxa"/>
            <w:vAlign w:val="bottom"/>
            <w:shd w:val="clear" w:color="auto" w:fill="CFF0FC"/>
          </w:tcPr>
          <w:p>
            <w:pPr>
              <w:spacing w:after="0"/>
              <w:rPr>
                <w:sz w:val="21"/>
                <w:szCs w:val="21"/>
                <w:color w:val="auto"/>
              </w:rPr>
            </w:pPr>
          </w:p>
        </w:tc>
        <w:tc>
          <w:tcPr>
            <w:tcW w:w="68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w w:val="97"/>
              </w:rPr>
              <w:t>(1,316)</w:t>
            </w:r>
          </w:p>
        </w:tc>
      </w:tr>
    </w:tbl>
    <w:p>
      <w:pPr>
        <w:spacing w:after="0" w:line="32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Plan assets</w:t>
      </w:r>
    </w:p>
    <w:p>
      <w:pPr>
        <w:spacing w:after="0" w:line="112" w:lineRule="exact"/>
        <w:rPr>
          <w:sz w:val="20"/>
          <w:szCs w:val="20"/>
          <w:color w:val="auto"/>
        </w:rPr>
      </w:pPr>
    </w:p>
    <w:p>
      <w:pPr>
        <w:ind w:right="20"/>
        <w:spacing w:after="0" w:line="278" w:lineRule="auto"/>
        <w:rPr>
          <w:sz w:val="20"/>
          <w:szCs w:val="20"/>
          <w:color w:val="auto"/>
        </w:rPr>
      </w:pPr>
      <w:r>
        <w:rPr>
          <w:rFonts w:ascii="Arial" w:cs="Arial" w:eastAsia="Arial" w:hAnsi="Arial"/>
          <w:sz w:val="18"/>
          <w:szCs w:val="18"/>
          <w:color w:val="auto"/>
        </w:rPr>
        <w:t>The Company’s policy is to invest the pension plan assets in a prudent manner for the purpose of providing benefit payments to participants and mitigating reasonable expenses of administration. The Company’s investment strategy is designed to provide a total return that, over the long-term, places an emphasis on the preservation of capital. The strategy attempts to maximize investment returns on assets at a level of risk deemed appropriate by the Company while complying with applicable regulations and laws. The investment strategy utilizes asset diversification as a principal determinant for establishing an appropriate risk profile while emphasizing total return realized from capital appreciation, dividends and interest income. The target allocations for plan assets are generally 25 to 60 percent equity securities, 10 to 65 percent debt securities, and 10 to 85 percent money-market investments/cash equivalents and other investments, although holdings could be more or less than these general guidelines based on market conditions at the time and actions taken or recommended by the investment managers providing advice to the Company. Assets are managed by a combination of internal and external investment managers. Equity securities may include investments in domestic and international equities, through individual securities, mutual funds and exchange-traded funds. Debt securities may include investments in corporate bonds of companies from diversified industries, mortgage-backed securities guaranteed by government agencies and U.S. Treasury securities, through individual securities and mutual funds. Additionally, the Company’s defined benefit pension plan held $304,463,000 (15% of total assets) of real estate funds, private investments, hedge funds and other investments at December 31, 2017. Returns on invested assets are periodically compared with target market indices for each asset type to aid management in evaluating such returns. Furthermore, management regularly reviews the investment policy and may, if deemed appropriate, make changes to the target allocations noted above.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76" w:right="239" w:bottom="1440" w:gutter="0" w:footer="0" w:header="0"/>
        </w:sectPr>
      </w:pPr>
    </w:p>
    <w:bookmarkStart w:id="151" w:name="page152"/>
    <w:bookmarkEnd w:id="151"/>
    <w:p>
      <w:pPr>
        <w:ind w:left="600"/>
        <w:spacing w:after="0"/>
        <w:rPr>
          <w:sz w:val="20"/>
          <w:szCs w:val="20"/>
          <w:color w:val="auto"/>
        </w:rPr>
      </w:pPr>
      <w:r>
        <w:rPr>
          <w:rFonts w:ascii="Arial" w:cs="Arial" w:eastAsia="Arial" w:hAnsi="Arial"/>
          <w:sz w:val="19"/>
          <w:szCs w:val="19"/>
          <w:color w:val="auto"/>
        </w:rPr>
        <w:t>The fair values of the Company’s pension plan assets at December 31, 2017 and 2016, by asset category,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9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160" w:type="dxa"/>
            <w:vAlign w:val="bottom"/>
            <w:tcBorders>
              <w:bottom w:val="single" w:sz="8" w:color="auto"/>
            </w:tcBorders>
            <w:gridSpan w:val="10"/>
          </w:tcPr>
          <w:p>
            <w:pPr>
              <w:jc w:val="right"/>
              <w:ind w:right="745"/>
              <w:spacing w:after="0"/>
              <w:rPr>
                <w:sz w:val="20"/>
                <w:szCs w:val="20"/>
                <w:color w:val="auto"/>
              </w:rPr>
            </w:pPr>
            <w:r>
              <w:rPr>
                <w:rFonts w:ascii="Arial" w:cs="Arial" w:eastAsia="Arial" w:hAnsi="Arial"/>
                <w:sz w:val="14"/>
                <w:szCs w:val="14"/>
                <w:b w:val="1"/>
                <w:bCs w:val="1"/>
                <w:color w:val="auto"/>
              </w:rPr>
              <w:t>Fair Value Measurement of Plan Assets At December 31, 2017</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390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ind w:right="360"/>
              <w:spacing w:after="0" w:line="129" w:lineRule="exact"/>
              <w:rPr>
                <w:sz w:val="20"/>
                <w:szCs w:val="20"/>
                <w:color w:val="auto"/>
              </w:rPr>
            </w:pPr>
            <w:r>
              <w:rPr>
                <w:rFonts w:ascii="Arial" w:cs="Arial" w:eastAsia="Arial" w:hAnsi="Arial"/>
                <w:sz w:val="14"/>
                <w:szCs w:val="14"/>
                <w:b w:val="1"/>
                <w:bCs w:val="1"/>
                <w:color w:val="auto"/>
                <w:w w:val="88"/>
              </w:rPr>
              <w:t>Quoted Prices</w:t>
            </w:r>
          </w:p>
        </w:tc>
        <w:tc>
          <w:tcPr>
            <w:tcW w:w="180" w:type="dxa"/>
            <w:vAlign w:val="bottom"/>
          </w:tcPr>
          <w:p>
            <w:pPr>
              <w:spacing w:after="0"/>
              <w:rPr>
                <w:sz w:val="11"/>
                <w:szCs w:val="11"/>
                <w:color w:val="auto"/>
              </w:rPr>
            </w:pPr>
          </w:p>
        </w:tc>
        <w:tc>
          <w:tcPr>
            <w:tcW w:w="1000" w:type="dxa"/>
            <w:vAlign w:val="bottom"/>
            <w:vMerge w:val="restart"/>
          </w:tcPr>
          <w:p>
            <w:pPr>
              <w:jc w:val="center"/>
              <w:ind w:right="105"/>
              <w:spacing w:after="0"/>
              <w:rPr>
                <w:sz w:val="20"/>
                <w:szCs w:val="20"/>
                <w:color w:val="auto"/>
              </w:rPr>
            </w:pPr>
            <w:r>
              <w:rPr>
                <w:rFonts w:ascii="Arial" w:cs="Arial" w:eastAsia="Arial" w:hAnsi="Arial"/>
                <w:sz w:val="14"/>
                <w:szCs w:val="14"/>
                <w:b w:val="1"/>
                <w:bCs w:val="1"/>
                <w:color w:val="auto"/>
                <w:w w:val="89"/>
              </w:rPr>
              <w:t>Significant</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Significant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39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360"/>
              <w:spacing w:after="0" w:line="145" w:lineRule="exact"/>
              <w:rPr>
                <w:sz w:val="20"/>
                <w:szCs w:val="20"/>
                <w:color w:val="auto"/>
              </w:rPr>
            </w:pPr>
            <w:r>
              <w:rPr>
                <w:rFonts w:ascii="Arial" w:cs="Arial" w:eastAsia="Arial" w:hAnsi="Arial"/>
                <w:sz w:val="14"/>
                <w:szCs w:val="14"/>
                <w:b w:val="1"/>
                <w:bCs w:val="1"/>
                <w:color w:val="auto"/>
                <w:w w:val="89"/>
              </w:rPr>
              <w:t>in Active</w:t>
            </w:r>
          </w:p>
        </w:tc>
        <w:tc>
          <w:tcPr>
            <w:tcW w:w="1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9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380"/>
              <w:spacing w:after="0" w:line="145" w:lineRule="exact"/>
              <w:rPr>
                <w:sz w:val="20"/>
                <w:szCs w:val="20"/>
                <w:color w:val="auto"/>
              </w:rPr>
            </w:pPr>
            <w:r>
              <w:rPr>
                <w:rFonts w:ascii="Arial" w:cs="Arial" w:eastAsia="Arial" w:hAnsi="Arial"/>
                <w:sz w:val="14"/>
                <w:szCs w:val="14"/>
                <w:b w:val="1"/>
                <w:bCs w:val="1"/>
                <w:color w:val="auto"/>
                <w:w w:val="94"/>
              </w:rPr>
              <w:t>Markets</w:t>
            </w:r>
          </w:p>
        </w:tc>
        <w:tc>
          <w:tcPr>
            <w:tcW w:w="180" w:type="dxa"/>
            <w:vAlign w:val="bottom"/>
          </w:tcPr>
          <w:p>
            <w:pPr>
              <w:spacing w:after="0"/>
              <w:rPr>
                <w:sz w:val="12"/>
                <w:szCs w:val="12"/>
                <w:color w:val="auto"/>
              </w:rPr>
            </w:pPr>
          </w:p>
        </w:tc>
        <w:tc>
          <w:tcPr>
            <w:tcW w:w="1000" w:type="dxa"/>
            <w:vAlign w:val="bottom"/>
          </w:tcPr>
          <w:p>
            <w:pPr>
              <w:jc w:val="center"/>
              <w:ind w:right="105"/>
              <w:spacing w:after="0" w:line="145" w:lineRule="exact"/>
              <w:rPr>
                <w:sz w:val="20"/>
                <w:szCs w:val="20"/>
                <w:color w:val="auto"/>
              </w:rPr>
            </w:pPr>
            <w:r>
              <w:rPr>
                <w:rFonts w:ascii="Arial" w:cs="Arial" w:eastAsia="Arial" w:hAnsi="Arial"/>
                <w:sz w:val="14"/>
                <w:szCs w:val="14"/>
                <w:b w:val="1"/>
                <w:bCs w:val="1"/>
                <w:color w:val="auto"/>
                <w:w w:val="89"/>
              </w:rPr>
              <w:t>Observable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88"/>
              </w:rPr>
              <w:t>Unobservable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9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vMerge w:val="restart"/>
          </w:tcPr>
          <w:p>
            <w:pPr>
              <w:jc w:val="right"/>
              <w:ind w:right="342"/>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2"/>
                <w:szCs w:val="12"/>
                <w:color w:val="auto"/>
              </w:rPr>
            </w:pPr>
          </w:p>
        </w:tc>
        <w:tc>
          <w:tcPr>
            <w:tcW w:w="1400" w:type="dxa"/>
            <w:vAlign w:val="bottom"/>
            <w:gridSpan w:val="3"/>
          </w:tcPr>
          <w:p>
            <w:pPr>
              <w:jc w:val="center"/>
              <w:ind w:right="260"/>
              <w:spacing w:after="0" w:line="145" w:lineRule="exact"/>
              <w:rPr>
                <w:sz w:val="20"/>
                <w:szCs w:val="20"/>
                <w:color w:val="auto"/>
              </w:rPr>
            </w:pPr>
            <w:r>
              <w:rPr>
                <w:rFonts w:ascii="Arial" w:cs="Arial" w:eastAsia="Arial" w:hAnsi="Arial"/>
                <w:sz w:val="14"/>
                <w:szCs w:val="14"/>
                <w:b w:val="1"/>
                <w:bCs w:val="1"/>
                <w:color w:val="auto"/>
                <w:w w:val="88"/>
              </w:rPr>
              <w:t>for Identical Assets</w:t>
            </w:r>
          </w:p>
        </w:tc>
        <w:tc>
          <w:tcPr>
            <w:tcW w:w="180" w:type="dxa"/>
            <w:vAlign w:val="bottom"/>
          </w:tcPr>
          <w:p>
            <w:pPr>
              <w:spacing w:after="0"/>
              <w:rPr>
                <w:sz w:val="12"/>
                <w:szCs w:val="12"/>
                <w:color w:val="auto"/>
              </w:rPr>
            </w:pPr>
          </w:p>
        </w:tc>
        <w:tc>
          <w:tcPr>
            <w:tcW w:w="1000" w:type="dxa"/>
            <w:vAlign w:val="bottom"/>
          </w:tcPr>
          <w:p>
            <w:pPr>
              <w:jc w:val="center"/>
              <w:ind w:right="105"/>
              <w:spacing w:after="0" w:line="145" w:lineRule="exact"/>
              <w:rPr>
                <w:sz w:val="20"/>
                <w:szCs w:val="20"/>
                <w:color w:val="auto"/>
              </w:rPr>
            </w:pPr>
            <w:r>
              <w:rPr>
                <w:rFonts w:ascii="Arial" w:cs="Arial" w:eastAsia="Arial" w:hAnsi="Arial"/>
                <w:sz w:val="14"/>
                <w:szCs w:val="14"/>
                <w:b w:val="1"/>
                <w:bCs w:val="1"/>
                <w:color w:val="auto"/>
                <w:w w:val="95"/>
              </w:rPr>
              <w:t>Inputs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90"/>
              </w:rPr>
              <w:t>Inputs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9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(Level 1)</w:t>
            </w:r>
          </w:p>
        </w:tc>
        <w:tc>
          <w:tcPr>
            <w:tcW w:w="180" w:type="dxa"/>
            <w:vAlign w:val="bottom"/>
          </w:tcPr>
          <w:p>
            <w:pPr>
              <w:spacing w:after="0"/>
              <w:rPr>
                <w:sz w:val="14"/>
                <w:szCs w:val="14"/>
                <w:color w:val="auto"/>
              </w:rPr>
            </w:pPr>
          </w:p>
        </w:tc>
        <w:tc>
          <w:tcPr>
            <w:tcW w:w="1000" w:type="dxa"/>
            <w:vAlign w:val="bottom"/>
          </w:tcPr>
          <w:p>
            <w:pPr>
              <w:jc w:val="center"/>
              <w:ind w:right="105"/>
              <w:spacing w:after="0"/>
              <w:rPr>
                <w:sz w:val="20"/>
                <w:szCs w:val="20"/>
                <w:color w:val="auto"/>
              </w:rPr>
            </w:pPr>
            <w:r>
              <w:rPr>
                <w:rFonts w:ascii="Arial" w:cs="Arial" w:eastAsia="Arial" w:hAnsi="Arial"/>
                <w:sz w:val="14"/>
                <w:szCs w:val="14"/>
                <w:b w:val="1"/>
                <w:bCs w:val="1"/>
                <w:color w:val="auto"/>
                <w:w w:val="91"/>
              </w:rPr>
              <w:t>(Level 2)</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(Level 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390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460" w:type="dxa"/>
            <w:vAlign w:val="bottom"/>
            <w:tcBorders>
              <w:top w:val="single" w:sz="8" w:color="auto"/>
            </w:tcBorders>
            <w:gridSpan w:val="4"/>
          </w:tcPr>
          <w:p>
            <w:pPr>
              <w:jc w:val="right"/>
              <w:ind w:right="765"/>
              <w:spacing w:after="0" w:line="151" w:lineRule="exact"/>
              <w:rPr>
                <w:sz w:val="20"/>
                <w:szCs w:val="20"/>
                <w:color w:val="auto"/>
              </w:rPr>
            </w:pPr>
            <w:r>
              <w:rPr>
                <w:rFonts w:ascii="Arial" w:cs="Arial" w:eastAsia="Arial" w:hAnsi="Arial"/>
                <w:sz w:val="14"/>
                <w:szCs w:val="14"/>
                <w:b w:val="1"/>
                <w:bCs w:val="1"/>
                <w:color w:val="auto"/>
              </w:rPr>
              <w:t>(In thousands)</w:t>
            </w: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3900" w:type="dxa"/>
            <w:vAlign w:val="bottom"/>
            <w:shd w:val="clear" w:color="auto" w:fill="CFF0FC"/>
          </w:tcPr>
          <w:p>
            <w:pPr>
              <w:spacing w:after="0"/>
              <w:rPr>
                <w:sz w:val="20"/>
                <w:szCs w:val="20"/>
                <w:color w:val="auto"/>
              </w:rPr>
            </w:pPr>
            <w:r>
              <w:rPr>
                <w:rFonts w:ascii="Arial" w:cs="Arial" w:eastAsia="Arial" w:hAnsi="Arial"/>
                <w:sz w:val="20"/>
                <w:szCs w:val="20"/>
                <w:color w:val="auto"/>
              </w:rPr>
              <w:t>Asset category:</w:t>
            </w:r>
          </w:p>
        </w:tc>
        <w:tc>
          <w:tcPr>
            <w:tcW w:w="20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900" w:type="dxa"/>
            <w:vAlign w:val="bottom"/>
          </w:tcPr>
          <w:p>
            <w:pPr>
              <w:spacing w:after="0"/>
              <w:rPr>
                <w:sz w:val="20"/>
                <w:szCs w:val="20"/>
                <w:color w:val="auto"/>
              </w:rPr>
            </w:pPr>
            <w:r>
              <w:rPr>
                <w:rFonts w:ascii="Arial" w:cs="Arial" w:eastAsia="Arial" w:hAnsi="Arial"/>
                <w:sz w:val="20"/>
                <w:szCs w:val="20"/>
                <w:color w:val="auto"/>
              </w:rPr>
              <w:t>Money-market investments</w:t>
            </w:r>
          </w:p>
        </w:tc>
        <w:tc>
          <w:tcPr>
            <w:tcW w:w="2260" w:type="dxa"/>
            <w:vAlign w:val="bottom"/>
            <w:gridSpan w:val="2"/>
          </w:tcPr>
          <w:p>
            <w:pPr>
              <w:jc w:val="right"/>
              <w:ind w:right="19"/>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117,648</w:t>
            </w:r>
          </w:p>
        </w:tc>
        <w:tc>
          <w:tcPr>
            <w:tcW w:w="3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62,706</w:t>
            </w:r>
          </w:p>
        </w:tc>
        <w:tc>
          <w:tcPr>
            <w:tcW w:w="2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54,942</w:t>
            </w:r>
          </w:p>
        </w:tc>
        <w:tc>
          <w:tcPr>
            <w:tcW w:w="3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900" w:type="dxa"/>
            <w:vAlign w:val="bottom"/>
            <w:shd w:val="clear" w:color="auto" w:fill="CFF0FC"/>
          </w:tcPr>
          <w:p>
            <w:pPr>
              <w:spacing w:after="0"/>
              <w:rPr>
                <w:sz w:val="20"/>
                <w:szCs w:val="20"/>
                <w:color w:val="auto"/>
              </w:rPr>
            </w:pPr>
            <w:r>
              <w:rPr>
                <w:rFonts w:ascii="Arial" w:cs="Arial" w:eastAsia="Arial" w:hAnsi="Arial"/>
                <w:sz w:val="20"/>
                <w:szCs w:val="20"/>
                <w:color w:val="auto"/>
              </w:rPr>
              <w:t>Equity securities:</w:t>
            </w:r>
          </w:p>
        </w:tc>
        <w:tc>
          <w:tcPr>
            <w:tcW w:w="20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900" w:type="dxa"/>
            <w:vAlign w:val="bottom"/>
          </w:tcPr>
          <w:p>
            <w:pPr>
              <w:ind w:left="240"/>
              <w:spacing w:after="0"/>
              <w:rPr>
                <w:sz w:val="20"/>
                <w:szCs w:val="20"/>
                <w:color w:val="auto"/>
              </w:rPr>
            </w:pPr>
            <w:r>
              <w:rPr>
                <w:rFonts w:ascii="Arial" w:cs="Arial" w:eastAsia="Arial" w:hAnsi="Arial"/>
                <w:sz w:val="20"/>
                <w:szCs w:val="20"/>
                <w:color w:val="auto"/>
              </w:rPr>
              <w:t>M&amp;T</w:t>
            </w:r>
          </w:p>
        </w:tc>
        <w:tc>
          <w:tcPr>
            <w:tcW w:w="2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154,818</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154,818</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900" w:type="dxa"/>
            <w:vAlign w:val="bottom"/>
            <w:shd w:val="clear" w:color="auto" w:fill="CFF0FC"/>
          </w:tcPr>
          <w:p>
            <w:pPr>
              <w:ind w:left="240"/>
              <w:spacing w:after="0"/>
              <w:rPr>
                <w:sz w:val="20"/>
                <w:szCs w:val="20"/>
                <w:color w:val="auto"/>
              </w:rPr>
            </w:pPr>
            <w:r>
              <w:rPr>
                <w:rFonts w:ascii="Arial" w:cs="Arial" w:eastAsia="Arial" w:hAnsi="Arial"/>
                <w:sz w:val="20"/>
                <w:szCs w:val="20"/>
                <w:color w:val="auto"/>
              </w:rPr>
              <w:t>Domestic(a)</w:t>
            </w:r>
          </w:p>
        </w:tc>
        <w:tc>
          <w:tcPr>
            <w:tcW w:w="20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240,763</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240,763</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900" w:type="dxa"/>
            <w:vAlign w:val="bottom"/>
          </w:tcPr>
          <w:p>
            <w:pPr>
              <w:ind w:left="240"/>
              <w:spacing w:after="0"/>
              <w:rPr>
                <w:sz w:val="20"/>
                <w:szCs w:val="20"/>
                <w:color w:val="auto"/>
              </w:rPr>
            </w:pPr>
            <w:r>
              <w:rPr>
                <w:rFonts w:ascii="Arial" w:cs="Arial" w:eastAsia="Arial" w:hAnsi="Arial"/>
                <w:sz w:val="20"/>
                <w:szCs w:val="20"/>
                <w:color w:val="auto"/>
              </w:rPr>
              <w:t>International(b)</w:t>
            </w:r>
          </w:p>
        </w:tc>
        <w:tc>
          <w:tcPr>
            <w:tcW w:w="2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13,349</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13,349</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900" w:type="dxa"/>
            <w:vAlign w:val="bottom"/>
            <w:shd w:val="clear" w:color="auto" w:fill="CFF0FC"/>
          </w:tcPr>
          <w:p>
            <w:pPr>
              <w:ind w:left="240"/>
              <w:spacing w:after="0"/>
              <w:rPr>
                <w:sz w:val="20"/>
                <w:szCs w:val="20"/>
                <w:color w:val="auto"/>
              </w:rPr>
            </w:pPr>
            <w:r>
              <w:rPr>
                <w:rFonts w:ascii="Arial" w:cs="Arial" w:eastAsia="Arial" w:hAnsi="Arial"/>
                <w:sz w:val="20"/>
                <w:szCs w:val="20"/>
                <w:color w:val="auto"/>
              </w:rPr>
              <w:t>Mutual funds:</w:t>
            </w:r>
          </w:p>
        </w:tc>
        <w:tc>
          <w:tcPr>
            <w:tcW w:w="20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900" w:type="dxa"/>
            <w:vAlign w:val="bottom"/>
          </w:tcPr>
          <w:p>
            <w:pPr>
              <w:ind w:left="480"/>
              <w:spacing w:after="0"/>
              <w:rPr>
                <w:sz w:val="20"/>
                <w:szCs w:val="20"/>
                <w:color w:val="auto"/>
              </w:rPr>
            </w:pPr>
            <w:r>
              <w:rPr>
                <w:rFonts w:ascii="Arial" w:cs="Arial" w:eastAsia="Arial" w:hAnsi="Arial"/>
                <w:sz w:val="20"/>
                <w:szCs w:val="20"/>
                <w:color w:val="auto"/>
              </w:rPr>
              <w:t>Domestic(a)</w:t>
            </w:r>
          </w:p>
        </w:tc>
        <w:tc>
          <w:tcPr>
            <w:tcW w:w="2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205,509</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205,509</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900" w:type="dxa"/>
            <w:vAlign w:val="bottom"/>
            <w:shd w:val="clear" w:color="auto" w:fill="CFF0FC"/>
          </w:tcPr>
          <w:p>
            <w:pPr>
              <w:ind w:left="480"/>
              <w:spacing w:after="0"/>
              <w:rPr>
                <w:sz w:val="20"/>
                <w:szCs w:val="20"/>
                <w:color w:val="auto"/>
              </w:rPr>
            </w:pPr>
            <w:r>
              <w:rPr>
                <w:rFonts w:ascii="Arial" w:cs="Arial" w:eastAsia="Arial" w:hAnsi="Arial"/>
                <w:sz w:val="20"/>
                <w:szCs w:val="20"/>
                <w:color w:val="auto"/>
              </w:rPr>
              <w:t>International(b)</w:t>
            </w:r>
          </w:p>
        </w:tc>
        <w:tc>
          <w:tcPr>
            <w:tcW w:w="20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405,200</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405,200</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tcBorders>
              <w:bottom w:val="single" w:sz="8" w:color="CFF0FC"/>
            </w:tcBorders>
          </w:tcPr>
          <w:p>
            <w:pPr>
              <w:spacing w:after="0"/>
              <w:rPr>
                <w:sz w:val="21"/>
                <w:szCs w:val="21"/>
                <w:color w:val="auto"/>
              </w:rPr>
            </w:pPr>
          </w:p>
        </w:tc>
        <w:tc>
          <w:tcPr>
            <w:tcW w:w="2040" w:type="dxa"/>
            <w:vAlign w:val="bottom"/>
            <w:tcBorders>
              <w:bottom w:val="single" w:sz="8" w:color="CFF0FC"/>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1,019,639</w:t>
            </w:r>
          </w:p>
        </w:tc>
        <w:tc>
          <w:tcPr>
            <w:tcW w:w="24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1,019,639</w:t>
            </w:r>
          </w:p>
        </w:tc>
        <w:tc>
          <w:tcPr>
            <w:tcW w:w="240" w:type="dxa"/>
            <w:vAlign w:val="bottom"/>
            <w:tcBorders>
              <w:bottom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2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00" w:type="dxa"/>
            <w:vAlign w:val="bottom"/>
            <w:tcBorders>
              <w:bottom w:val="single" w:sz="8" w:color="CFF0F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shd w:val="clear" w:color="auto" w:fill="CFF0FC"/>
          </w:tcPr>
          <w:p>
            <w:pPr>
              <w:spacing w:after="0"/>
              <w:rPr>
                <w:sz w:val="20"/>
                <w:szCs w:val="20"/>
                <w:color w:val="auto"/>
              </w:rPr>
            </w:pPr>
            <w:r>
              <w:rPr>
                <w:rFonts w:ascii="Arial" w:cs="Arial" w:eastAsia="Arial" w:hAnsi="Arial"/>
                <w:sz w:val="20"/>
                <w:szCs w:val="20"/>
                <w:color w:val="auto"/>
              </w:rPr>
              <w:t>Debt securities:</w:t>
            </w:r>
          </w:p>
        </w:tc>
        <w:tc>
          <w:tcPr>
            <w:tcW w:w="20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900" w:type="dxa"/>
            <w:vAlign w:val="bottom"/>
          </w:tcPr>
          <w:p>
            <w:pPr>
              <w:ind w:left="240"/>
              <w:spacing w:after="0"/>
              <w:rPr>
                <w:sz w:val="20"/>
                <w:szCs w:val="20"/>
                <w:color w:val="auto"/>
              </w:rPr>
            </w:pPr>
            <w:r>
              <w:rPr>
                <w:rFonts w:ascii="Arial" w:cs="Arial" w:eastAsia="Arial" w:hAnsi="Arial"/>
                <w:sz w:val="20"/>
                <w:szCs w:val="20"/>
                <w:color w:val="auto"/>
              </w:rPr>
              <w:t>Corporate(c)</w:t>
            </w:r>
          </w:p>
        </w:tc>
        <w:tc>
          <w:tcPr>
            <w:tcW w:w="2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89,751</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89,751</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900" w:type="dxa"/>
            <w:vAlign w:val="bottom"/>
            <w:shd w:val="clear" w:color="auto" w:fill="CFF0FC"/>
          </w:tcPr>
          <w:p>
            <w:pPr>
              <w:ind w:left="240"/>
              <w:spacing w:after="0"/>
              <w:rPr>
                <w:sz w:val="20"/>
                <w:szCs w:val="20"/>
                <w:color w:val="auto"/>
              </w:rPr>
            </w:pPr>
            <w:r>
              <w:rPr>
                <w:rFonts w:ascii="Arial" w:cs="Arial" w:eastAsia="Arial" w:hAnsi="Arial"/>
                <w:sz w:val="20"/>
                <w:szCs w:val="20"/>
                <w:color w:val="auto"/>
              </w:rPr>
              <w:t>Government</w:t>
            </w:r>
          </w:p>
        </w:tc>
        <w:tc>
          <w:tcPr>
            <w:tcW w:w="20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235,984</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20"/>
                <w:szCs w:val="20"/>
                <w:color w:val="auto"/>
              </w:rPr>
              <w:t>—</w:t>
            </w:r>
          </w:p>
        </w:tc>
        <w:tc>
          <w:tcPr>
            <w:tcW w:w="1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235,984</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900" w:type="dxa"/>
            <w:vAlign w:val="bottom"/>
          </w:tcPr>
          <w:p>
            <w:pPr>
              <w:ind w:left="240"/>
              <w:spacing w:after="0"/>
              <w:rPr>
                <w:sz w:val="20"/>
                <w:szCs w:val="20"/>
                <w:color w:val="auto"/>
              </w:rPr>
            </w:pPr>
            <w:r>
              <w:rPr>
                <w:rFonts w:ascii="Arial" w:cs="Arial" w:eastAsia="Arial" w:hAnsi="Arial"/>
                <w:sz w:val="20"/>
                <w:szCs w:val="20"/>
                <w:color w:val="auto"/>
              </w:rPr>
              <w:t>International</w:t>
            </w:r>
          </w:p>
        </w:tc>
        <w:tc>
          <w:tcPr>
            <w:tcW w:w="2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2,176</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2,176</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900" w:type="dxa"/>
            <w:vAlign w:val="bottom"/>
            <w:shd w:val="clear" w:color="auto" w:fill="CFF0FC"/>
          </w:tcPr>
          <w:p>
            <w:pPr>
              <w:ind w:left="240"/>
              <w:spacing w:after="0"/>
              <w:rPr>
                <w:sz w:val="20"/>
                <w:szCs w:val="20"/>
                <w:color w:val="auto"/>
              </w:rPr>
            </w:pPr>
            <w:r>
              <w:rPr>
                <w:rFonts w:ascii="Arial" w:cs="Arial" w:eastAsia="Arial" w:hAnsi="Arial"/>
                <w:sz w:val="20"/>
                <w:szCs w:val="20"/>
                <w:color w:val="auto"/>
              </w:rPr>
              <w:t>Mutual funds:</w:t>
            </w:r>
          </w:p>
        </w:tc>
        <w:tc>
          <w:tcPr>
            <w:tcW w:w="20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900" w:type="dxa"/>
            <w:vAlign w:val="bottom"/>
          </w:tcPr>
          <w:p>
            <w:pPr>
              <w:ind w:left="480"/>
              <w:spacing w:after="0"/>
              <w:rPr>
                <w:sz w:val="20"/>
                <w:szCs w:val="20"/>
                <w:color w:val="auto"/>
              </w:rPr>
            </w:pPr>
            <w:r>
              <w:rPr>
                <w:rFonts w:ascii="Arial" w:cs="Arial" w:eastAsia="Arial" w:hAnsi="Arial"/>
                <w:sz w:val="20"/>
                <w:szCs w:val="20"/>
                <w:color w:val="auto"/>
              </w:rPr>
              <w:t>Domestic(d)</w:t>
            </w:r>
          </w:p>
        </w:tc>
        <w:tc>
          <w:tcPr>
            <w:tcW w:w="2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243,456</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243,456</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tcBorders>
              <w:top w:val="single" w:sz="8" w:color="CFF0FC"/>
            </w:tcBorders>
            <w:shd w:val="clear" w:color="auto" w:fill="CFF0FC"/>
          </w:tcPr>
          <w:p>
            <w:pPr>
              <w:spacing w:after="0"/>
              <w:rPr>
                <w:sz w:val="21"/>
                <w:szCs w:val="21"/>
                <w:color w:val="auto"/>
              </w:rPr>
            </w:pPr>
          </w:p>
        </w:tc>
        <w:tc>
          <w:tcPr>
            <w:tcW w:w="2040" w:type="dxa"/>
            <w:vAlign w:val="bottom"/>
            <w:tcBorders>
              <w:top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spacing w:after="0"/>
              <w:rPr>
                <w:sz w:val="21"/>
                <w:szCs w:val="21"/>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571,367</w:t>
            </w:r>
          </w:p>
        </w:tc>
        <w:tc>
          <w:tcPr>
            <w:tcW w:w="240" w:type="dxa"/>
            <w:vAlign w:val="bottom"/>
            <w:tcBorders>
              <w:top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spacing w:after="0"/>
              <w:rPr>
                <w:sz w:val="21"/>
                <w:szCs w:val="21"/>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243,456</w:t>
            </w:r>
          </w:p>
        </w:tc>
        <w:tc>
          <w:tcPr>
            <w:tcW w:w="240" w:type="dxa"/>
            <w:vAlign w:val="bottom"/>
            <w:tcBorders>
              <w:top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spacing w:after="0"/>
              <w:rPr>
                <w:sz w:val="21"/>
                <w:szCs w:val="21"/>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327,911</w:t>
            </w:r>
          </w:p>
        </w:tc>
        <w:tc>
          <w:tcPr>
            <w:tcW w:w="220" w:type="dxa"/>
            <w:vAlign w:val="bottom"/>
            <w:tcBorders>
              <w:top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spacing w:after="0"/>
              <w:rPr>
                <w:sz w:val="21"/>
                <w:szCs w:val="21"/>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00" w:type="dxa"/>
            <w:vAlign w:val="bottom"/>
            <w:tcBorders>
              <w:top w:val="single" w:sz="8" w:color="CFF0FC"/>
            </w:tcBorders>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tcPr>
          <w:p>
            <w:pPr>
              <w:spacing w:after="0"/>
              <w:rPr>
                <w:sz w:val="20"/>
                <w:szCs w:val="20"/>
                <w:color w:val="auto"/>
              </w:rPr>
            </w:pPr>
            <w:r>
              <w:rPr>
                <w:rFonts w:ascii="Arial" w:cs="Arial" w:eastAsia="Arial" w:hAnsi="Arial"/>
                <w:sz w:val="20"/>
                <w:szCs w:val="20"/>
                <w:color w:val="auto"/>
              </w:rPr>
              <w:t>Other:</w:t>
            </w:r>
          </w:p>
        </w:tc>
        <w:tc>
          <w:tcPr>
            <w:tcW w:w="2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900" w:type="dxa"/>
            <w:vAlign w:val="bottom"/>
            <w:shd w:val="clear" w:color="auto" w:fill="CFF0FC"/>
          </w:tcPr>
          <w:p>
            <w:pPr>
              <w:ind w:left="240"/>
              <w:spacing w:after="0"/>
              <w:rPr>
                <w:sz w:val="20"/>
                <w:szCs w:val="20"/>
                <w:color w:val="auto"/>
              </w:rPr>
            </w:pPr>
            <w:r>
              <w:rPr>
                <w:rFonts w:ascii="Arial" w:cs="Arial" w:eastAsia="Arial" w:hAnsi="Arial"/>
                <w:sz w:val="20"/>
                <w:szCs w:val="20"/>
                <w:color w:val="auto"/>
              </w:rPr>
              <w:t>Diversified mutual fund</w:t>
            </w:r>
          </w:p>
        </w:tc>
        <w:tc>
          <w:tcPr>
            <w:tcW w:w="20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80,227</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80,227</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900" w:type="dxa"/>
            <w:vAlign w:val="bottom"/>
          </w:tcPr>
          <w:p>
            <w:pPr>
              <w:ind w:left="240"/>
              <w:spacing w:after="0"/>
              <w:rPr>
                <w:sz w:val="20"/>
                <w:szCs w:val="20"/>
                <w:color w:val="auto"/>
              </w:rPr>
            </w:pPr>
            <w:r>
              <w:rPr>
                <w:rFonts w:ascii="Arial" w:cs="Arial" w:eastAsia="Arial" w:hAnsi="Arial"/>
                <w:sz w:val="20"/>
                <w:szCs w:val="20"/>
                <w:color w:val="auto"/>
              </w:rPr>
              <w:t>Real estate partnerships</w:t>
            </w:r>
          </w:p>
        </w:tc>
        <w:tc>
          <w:tcPr>
            <w:tcW w:w="2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3,747</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842</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2,905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900" w:type="dxa"/>
            <w:vAlign w:val="bottom"/>
            <w:shd w:val="clear" w:color="auto" w:fill="CFF0FC"/>
          </w:tcPr>
          <w:p>
            <w:pPr>
              <w:ind w:left="240"/>
              <w:spacing w:after="0"/>
              <w:rPr>
                <w:sz w:val="20"/>
                <w:szCs w:val="20"/>
                <w:color w:val="auto"/>
              </w:rPr>
            </w:pPr>
            <w:r>
              <w:rPr>
                <w:rFonts w:ascii="Arial" w:cs="Arial" w:eastAsia="Arial" w:hAnsi="Arial"/>
                <w:sz w:val="20"/>
                <w:szCs w:val="20"/>
                <w:color w:val="auto"/>
              </w:rPr>
              <w:t>Private equity</w:t>
            </w:r>
          </w:p>
        </w:tc>
        <w:tc>
          <w:tcPr>
            <w:tcW w:w="20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31,484</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20"/>
                <w:szCs w:val="20"/>
                <w:color w:val="auto"/>
              </w:rPr>
              <w:t>—</w:t>
            </w:r>
          </w:p>
        </w:tc>
        <w:tc>
          <w:tcPr>
            <w:tcW w:w="1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31,484</w:t>
            </w: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900" w:type="dxa"/>
            <w:vAlign w:val="bottom"/>
          </w:tcPr>
          <w:p>
            <w:pPr>
              <w:ind w:left="240"/>
              <w:spacing w:after="0"/>
              <w:rPr>
                <w:sz w:val="20"/>
                <w:szCs w:val="20"/>
                <w:color w:val="auto"/>
              </w:rPr>
            </w:pPr>
            <w:r>
              <w:rPr>
                <w:rFonts w:ascii="Arial" w:cs="Arial" w:eastAsia="Arial" w:hAnsi="Arial"/>
                <w:sz w:val="20"/>
                <w:szCs w:val="20"/>
                <w:color w:val="auto"/>
              </w:rPr>
              <w:t>Hedge funds</w:t>
            </w:r>
          </w:p>
        </w:tc>
        <w:tc>
          <w:tcPr>
            <w:tcW w:w="2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178,080</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125,966</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52,114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900" w:type="dxa"/>
            <w:vAlign w:val="bottom"/>
            <w:shd w:val="clear" w:color="auto" w:fill="CFF0FC"/>
          </w:tcPr>
          <w:p>
            <w:pPr>
              <w:ind w:left="240"/>
              <w:spacing w:after="0"/>
              <w:rPr>
                <w:sz w:val="20"/>
                <w:szCs w:val="20"/>
                <w:color w:val="auto"/>
              </w:rPr>
            </w:pPr>
            <w:r>
              <w:rPr>
                <w:rFonts w:ascii="Arial" w:cs="Arial" w:eastAsia="Arial" w:hAnsi="Arial"/>
                <w:sz w:val="20"/>
                <w:szCs w:val="20"/>
                <w:color w:val="auto"/>
              </w:rPr>
              <w:t>Guaranteed deposit fund</w:t>
            </w:r>
          </w:p>
        </w:tc>
        <w:tc>
          <w:tcPr>
            <w:tcW w:w="20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10,925</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20"/>
                <w:szCs w:val="20"/>
                <w:color w:val="auto"/>
              </w:rPr>
              <w:t>—</w:t>
            </w:r>
          </w:p>
        </w:tc>
        <w:tc>
          <w:tcPr>
            <w:tcW w:w="1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10,925</w:t>
            </w: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tcBorders>
              <w:bottom w:val="single" w:sz="8" w:color="CFF0FC"/>
            </w:tcBorders>
          </w:tcPr>
          <w:p>
            <w:pPr>
              <w:spacing w:after="0"/>
              <w:rPr>
                <w:sz w:val="21"/>
                <w:szCs w:val="21"/>
                <w:color w:val="auto"/>
              </w:rPr>
            </w:pPr>
          </w:p>
        </w:tc>
        <w:tc>
          <w:tcPr>
            <w:tcW w:w="2040" w:type="dxa"/>
            <w:vAlign w:val="bottom"/>
            <w:tcBorders>
              <w:bottom w:val="single" w:sz="8" w:color="CFF0FC"/>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304,463</w:t>
            </w:r>
          </w:p>
        </w:tc>
        <w:tc>
          <w:tcPr>
            <w:tcW w:w="24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207,035</w:t>
            </w:r>
          </w:p>
        </w:tc>
        <w:tc>
          <w:tcPr>
            <w:tcW w:w="240" w:type="dxa"/>
            <w:vAlign w:val="bottom"/>
            <w:tcBorders>
              <w:bottom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2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97,428</w:t>
            </w:r>
          </w:p>
        </w:tc>
        <w:tc>
          <w:tcPr>
            <w:tcW w:w="100" w:type="dxa"/>
            <w:vAlign w:val="bottom"/>
            <w:tcBorders>
              <w:bottom w:val="single" w:sz="8" w:color="CFF0F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Total(e)</w:t>
            </w:r>
          </w:p>
        </w:tc>
        <w:tc>
          <w:tcPr>
            <w:tcW w:w="20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20"/>
                <w:szCs w:val="20"/>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2,013,117</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1,532,836</w:t>
            </w: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382,853</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97,428</w:t>
            </w:r>
          </w:p>
        </w:tc>
        <w:tc>
          <w:tcPr>
            <w:tcW w:w="100" w:type="dxa"/>
            <w:vAlign w:val="bottom"/>
            <w:tcBorders>
              <w:bottom w:val="single" w:sz="8" w:color="CFF0FC"/>
            </w:tcBorders>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040" w:type="dxa"/>
            <w:vAlign w:val="bottom"/>
            <w:vMerge w:val="restart"/>
          </w:tcPr>
          <w:p>
            <w:pPr>
              <w:jc w:val="right"/>
              <w:ind w:right="6"/>
              <w:spacing w:after="0"/>
              <w:rPr>
                <w:sz w:val="20"/>
                <w:szCs w:val="20"/>
                <w:color w:val="auto"/>
              </w:rPr>
            </w:pPr>
            <w:r>
              <w:rPr>
                <w:rFonts w:ascii="Arial" w:cs="Arial" w:eastAsia="Arial" w:hAnsi="Arial"/>
                <w:sz w:val="18"/>
                <w:szCs w:val="18"/>
                <w:color w:val="auto"/>
              </w:rPr>
              <w:t>152</w:t>
            </w: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900" w:type="dxa"/>
            <w:vAlign w:val="bottom"/>
          </w:tcPr>
          <w:p>
            <w:pPr>
              <w:spacing w:after="0"/>
              <w:rPr>
                <w:sz w:val="24"/>
                <w:szCs w:val="24"/>
                <w:color w:val="auto"/>
              </w:rPr>
            </w:pPr>
          </w:p>
        </w:tc>
        <w:tc>
          <w:tcPr>
            <w:tcW w:w="20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3900" w:type="dxa"/>
            <w:vAlign w:val="bottom"/>
            <w:tcBorders>
              <w:bottom w:val="single" w:sz="8" w:color="9A9A9A"/>
            </w:tcBorders>
          </w:tcPr>
          <w:p>
            <w:pPr>
              <w:spacing w:after="0"/>
              <w:rPr>
                <w:sz w:val="9"/>
                <w:szCs w:val="9"/>
                <w:color w:val="auto"/>
              </w:rPr>
            </w:pPr>
          </w:p>
        </w:tc>
        <w:tc>
          <w:tcPr>
            <w:tcW w:w="20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336" w:right="219" w:bottom="1440" w:gutter="0" w:footer="0" w:header="0"/>
        </w:sectPr>
      </w:pPr>
    </w:p>
    <w:bookmarkStart w:id="152" w:name="page153"/>
    <w:bookmarkEnd w:id="152"/>
    <w:tbl>
      <w:tblPr>
        <w:tblLayout w:type="fixed"/>
        <w:tblInd w:w="0" w:type="dxa"/>
        <w:tblCellMar>
          <w:top w:w="0" w:type="dxa"/>
          <w:left w:w="0" w:type="dxa"/>
          <w:bottom w:w="0" w:type="dxa"/>
          <w:right w:w="0" w:type="dxa"/>
        </w:tblCellMar>
      </w:tblPr>
      <w:tr>
        <w:trPr>
          <w:trHeight w:val="167"/>
        </w:trPr>
        <w:tc>
          <w:tcPr>
            <w:tcW w:w="59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160" w:type="dxa"/>
            <w:vAlign w:val="bottom"/>
            <w:tcBorders>
              <w:bottom w:val="single" w:sz="8" w:color="auto"/>
            </w:tcBorders>
            <w:gridSpan w:val="10"/>
          </w:tcPr>
          <w:p>
            <w:pPr>
              <w:jc w:val="right"/>
              <w:ind w:right="745"/>
              <w:spacing w:after="0"/>
              <w:rPr>
                <w:sz w:val="20"/>
                <w:szCs w:val="20"/>
                <w:color w:val="auto"/>
              </w:rPr>
            </w:pPr>
            <w:r>
              <w:rPr>
                <w:rFonts w:ascii="Arial" w:cs="Arial" w:eastAsia="Arial" w:hAnsi="Arial"/>
                <w:sz w:val="14"/>
                <w:szCs w:val="14"/>
                <w:b w:val="1"/>
                <w:bCs w:val="1"/>
                <w:color w:val="auto"/>
              </w:rPr>
              <w:t>Fair Value Measurement of Plan Assets At December 31, 2016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5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ind w:right="360"/>
              <w:spacing w:after="0" w:line="129" w:lineRule="exact"/>
              <w:rPr>
                <w:sz w:val="20"/>
                <w:szCs w:val="20"/>
                <w:color w:val="auto"/>
              </w:rPr>
            </w:pPr>
            <w:r>
              <w:rPr>
                <w:rFonts w:ascii="Arial" w:cs="Arial" w:eastAsia="Arial" w:hAnsi="Arial"/>
                <w:sz w:val="14"/>
                <w:szCs w:val="14"/>
                <w:b w:val="1"/>
                <w:bCs w:val="1"/>
                <w:color w:val="auto"/>
                <w:w w:val="88"/>
              </w:rPr>
              <w:t>Quoted Prices</w:t>
            </w:r>
          </w:p>
        </w:tc>
        <w:tc>
          <w:tcPr>
            <w:tcW w:w="180" w:type="dxa"/>
            <w:vAlign w:val="bottom"/>
          </w:tcPr>
          <w:p>
            <w:pPr>
              <w:spacing w:after="0"/>
              <w:rPr>
                <w:sz w:val="11"/>
                <w:szCs w:val="11"/>
                <w:color w:val="auto"/>
              </w:rPr>
            </w:pPr>
          </w:p>
        </w:tc>
        <w:tc>
          <w:tcPr>
            <w:tcW w:w="1000" w:type="dxa"/>
            <w:vAlign w:val="bottom"/>
            <w:vMerge w:val="restart"/>
          </w:tcPr>
          <w:p>
            <w:pPr>
              <w:jc w:val="center"/>
              <w:ind w:right="105"/>
              <w:spacing w:after="0"/>
              <w:rPr>
                <w:sz w:val="20"/>
                <w:szCs w:val="20"/>
                <w:color w:val="auto"/>
              </w:rPr>
            </w:pPr>
            <w:r>
              <w:rPr>
                <w:rFonts w:ascii="Arial" w:cs="Arial" w:eastAsia="Arial" w:hAnsi="Arial"/>
                <w:sz w:val="14"/>
                <w:szCs w:val="14"/>
                <w:b w:val="1"/>
                <w:bCs w:val="1"/>
                <w:color w:val="auto"/>
                <w:w w:val="89"/>
              </w:rPr>
              <w:t>Significant</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Significant</w:t>
            </w:r>
          </w:p>
        </w:tc>
        <w:tc>
          <w:tcPr>
            <w:tcW w:w="0" w:type="dxa"/>
            <w:vAlign w:val="bottom"/>
          </w:tcPr>
          <w:p>
            <w:pPr>
              <w:spacing w:after="0"/>
              <w:rPr>
                <w:sz w:val="1"/>
                <w:szCs w:val="1"/>
                <w:color w:val="auto"/>
              </w:rPr>
            </w:pPr>
          </w:p>
        </w:tc>
      </w:tr>
      <w:tr>
        <w:trPr>
          <w:trHeight w:val="145"/>
        </w:trPr>
        <w:tc>
          <w:tcPr>
            <w:tcW w:w="5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360"/>
              <w:spacing w:after="0" w:line="145" w:lineRule="exact"/>
              <w:rPr>
                <w:sz w:val="20"/>
                <w:szCs w:val="20"/>
                <w:color w:val="auto"/>
              </w:rPr>
            </w:pPr>
            <w:r>
              <w:rPr>
                <w:rFonts w:ascii="Arial" w:cs="Arial" w:eastAsia="Arial" w:hAnsi="Arial"/>
                <w:sz w:val="14"/>
                <w:szCs w:val="14"/>
                <w:b w:val="1"/>
                <w:bCs w:val="1"/>
                <w:color w:val="auto"/>
                <w:w w:val="89"/>
              </w:rPr>
              <w:t>in Active</w:t>
            </w:r>
          </w:p>
        </w:tc>
        <w:tc>
          <w:tcPr>
            <w:tcW w:w="1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380"/>
              <w:spacing w:after="0" w:line="145" w:lineRule="exact"/>
              <w:rPr>
                <w:sz w:val="20"/>
                <w:szCs w:val="20"/>
                <w:color w:val="auto"/>
              </w:rPr>
            </w:pPr>
            <w:r>
              <w:rPr>
                <w:rFonts w:ascii="Arial" w:cs="Arial" w:eastAsia="Arial" w:hAnsi="Arial"/>
                <w:sz w:val="14"/>
                <w:szCs w:val="14"/>
                <w:b w:val="1"/>
                <w:bCs w:val="1"/>
                <w:color w:val="auto"/>
                <w:w w:val="94"/>
              </w:rPr>
              <w:t>Markets</w:t>
            </w:r>
          </w:p>
        </w:tc>
        <w:tc>
          <w:tcPr>
            <w:tcW w:w="180" w:type="dxa"/>
            <w:vAlign w:val="bottom"/>
          </w:tcPr>
          <w:p>
            <w:pPr>
              <w:spacing w:after="0"/>
              <w:rPr>
                <w:sz w:val="12"/>
                <w:szCs w:val="12"/>
                <w:color w:val="auto"/>
              </w:rPr>
            </w:pPr>
          </w:p>
        </w:tc>
        <w:tc>
          <w:tcPr>
            <w:tcW w:w="1000" w:type="dxa"/>
            <w:vAlign w:val="bottom"/>
          </w:tcPr>
          <w:p>
            <w:pPr>
              <w:jc w:val="center"/>
              <w:ind w:right="105"/>
              <w:spacing w:after="0" w:line="145" w:lineRule="exact"/>
              <w:rPr>
                <w:sz w:val="20"/>
                <w:szCs w:val="20"/>
                <w:color w:val="auto"/>
              </w:rPr>
            </w:pPr>
            <w:r>
              <w:rPr>
                <w:rFonts w:ascii="Arial" w:cs="Arial" w:eastAsia="Arial" w:hAnsi="Arial"/>
                <w:sz w:val="14"/>
                <w:szCs w:val="14"/>
                <w:b w:val="1"/>
                <w:bCs w:val="1"/>
                <w:color w:val="auto"/>
                <w:w w:val="89"/>
              </w:rPr>
              <w:t>Observable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88"/>
              </w:rPr>
              <w:t>Unobservable</w:t>
            </w:r>
          </w:p>
        </w:tc>
        <w:tc>
          <w:tcPr>
            <w:tcW w:w="0" w:type="dxa"/>
            <w:vAlign w:val="bottom"/>
          </w:tcPr>
          <w:p>
            <w:pPr>
              <w:spacing w:after="0"/>
              <w:rPr>
                <w:sz w:val="1"/>
                <w:szCs w:val="1"/>
                <w:color w:val="auto"/>
              </w:rPr>
            </w:pPr>
          </w:p>
        </w:tc>
      </w:tr>
      <w:tr>
        <w:trPr>
          <w:trHeight w:val="145"/>
        </w:trPr>
        <w:tc>
          <w:tcPr>
            <w:tcW w:w="5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vMerge w:val="restart"/>
          </w:tcPr>
          <w:p>
            <w:pPr>
              <w:jc w:val="right"/>
              <w:ind w:right="342"/>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2"/>
                <w:szCs w:val="12"/>
                <w:color w:val="auto"/>
              </w:rPr>
            </w:pPr>
          </w:p>
        </w:tc>
        <w:tc>
          <w:tcPr>
            <w:tcW w:w="1400" w:type="dxa"/>
            <w:vAlign w:val="bottom"/>
            <w:gridSpan w:val="3"/>
          </w:tcPr>
          <w:p>
            <w:pPr>
              <w:jc w:val="center"/>
              <w:ind w:right="260"/>
              <w:spacing w:after="0" w:line="145" w:lineRule="exact"/>
              <w:rPr>
                <w:sz w:val="20"/>
                <w:szCs w:val="20"/>
                <w:color w:val="auto"/>
              </w:rPr>
            </w:pPr>
            <w:r>
              <w:rPr>
                <w:rFonts w:ascii="Arial" w:cs="Arial" w:eastAsia="Arial" w:hAnsi="Arial"/>
                <w:sz w:val="14"/>
                <w:szCs w:val="14"/>
                <w:b w:val="1"/>
                <w:bCs w:val="1"/>
                <w:color w:val="auto"/>
                <w:w w:val="88"/>
              </w:rPr>
              <w:t>for Identical Assets</w:t>
            </w:r>
          </w:p>
        </w:tc>
        <w:tc>
          <w:tcPr>
            <w:tcW w:w="180" w:type="dxa"/>
            <w:vAlign w:val="bottom"/>
          </w:tcPr>
          <w:p>
            <w:pPr>
              <w:spacing w:after="0"/>
              <w:rPr>
                <w:sz w:val="12"/>
                <w:szCs w:val="12"/>
                <w:color w:val="auto"/>
              </w:rPr>
            </w:pPr>
          </w:p>
        </w:tc>
        <w:tc>
          <w:tcPr>
            <w:tcW w:w="1000" w:type="dxa"/>
            <w:vAlign w:val="bottom"/>
          </w:tcPr>
          <w:p>
            <w:pPr>
              <w:jc w:val="center"/>
              <w:ind w:right="105"/>
              <w:spacing w:after="0" w:line="145" w:lineRule="exact"/>
              <w:rPr>
                <w:sz w:val="20"/>
                <w:szCs w:val="20"/>
                <w:color w:val="auto"/>
              </w:rPr>
            </w:pPr>
            <w:r>
              <w:rPr>
                <w:rFonts w:ascii="Arial" w:cs="Arial" w:eastAsia="Arial" w:hAnsi="Arial"/>
                <w:sz w:val="14"/>
                <w:szCs w:val="14"/>
                <w:b w:val="1"/>
                <w:bCs w:val="1"/>
                <w:color w:val="auto"/>
                <w:w w:val="95"/>
              </w:rPr>
              <w:t>Inputs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67"/>
        </w:trPr>
        <w:tc>
          <w:tcPr>
            <w:tcW w:w="5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(Level 1)</w:t>
            </w:r>
          </w:p>
        </w:tc>
        <w:tc>
          <w:tcPr>
            <w:tcW w:w="180" w:type="dxa"/>
            <w:vAlign w:val="bottom"/>
          </w:tcPr>
          <w:p>
            <w:pPr>
              <w:spacing w:after="0"/>
              <w:rPr>
                <w:sz w:val="14"/>
                <w:szCs w:val="14"/>
                <w:color w:val="auto"/>
              </w:rPr>
            </w:pPr>
          </w:p>
        </w:tc>
        <w:tc>
          <w:tcPr>
            <w:tcW w:w="1000" w:type="dxa"/>
            <w:vAlign w:val="bottom"/>
          </w:tcPr>
          <w:p>
            <w:pPr>
              <w:jc w:val="center"/>
              <w:ind w:right="105"/>
              <w:spacing w:after="0"/>
              <w:rPr>
                <w:sz w:val="20"/>
                <w:szCs w:val="20"/>
                <w:color w:val="auto"/>
              </w:rPr>
            </w:pPr>
            <w:r>
              <w:rPr>
                <w:rFonts w:ascii="Arial" w:cs="Arial" w:eastAsia="Arial" w:hAnsi="Arial"/>
                <w:sz w:val="14"/>
                <w:szCs w:val="14"/>
                <w:b w:val="1"/>
                <w:bCs w:val="1"/>
                <w:color w:val="auto"/>
                <w:w w:val="91"/>
              </w:rPr>
              <w:t>(Level 2)</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(Level 3)</w:t>
            </w:r>
          </w:p>
        </w:tc>
        <w:tc>
          <w:tcPr>
            <w:tcW w:w="0" w:type="dxa"/>
            <w:vAlign w:val="bottom"/>
          </w:tcPr>
          <w:p>
            <w:pPr>
              <w:spacing w:after="0"/>
              <w:rPr>
                <w:sz w:val="1"/>
                <w:szCs w:val="1"/>
                <w:color w:val="auto"/>
              </w:rPr>
            </w:pPr>
          </w:p>
        </w:tc>
      </w:tr>
      <w:tr>
        <w:trPr>
          <w:trHeight w:val="151"/>
        </w:trPr>
        <w:tc>
          <w:tcPr>
            <w:tcW w:w="59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460" w:type="dxa"/>
            <w:vAlign w:val="bottom"/>
            <w:tcBorders>
              <w:top w:val="single" w:sz="8" w:color="auto"/>
            </w:tcBorders>
            <w:gridSpan w:val="4"/>
          </w:tcPr>
          <w:p>
            <w:pPr>
              <w:jc w:val="right"/>
              <w:ind w:right="765"/>
              <w:spacing w:after="0" w:line="151" w:lineRule="exact"/>
              <w:rPr>
                <w:sz w:val="20"/>
                <w:szCs w:val="20"/>
                <w:color w:val="auto"/>
              </w:rPr>
            </w:pPr>
            <w:r>
              <w:rPr>
                <w:rFonts w:ascii="Arial" w:cs="Arial" w:eastAsia="Arial" w:hAnsi="Arial"/>
                <w:sz w:val="14"/>
                <w:szCs w:val="14"/>
                <w:b w:val="1"/>
                <w:bCs w:val="1"/>
                <w:color w:val="auto"/>
              </w:rPr>
              <w:t>(In thousands)</w:t>
            </w: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5940" w:type="dxa"/>
            <w:vAlign w:val="bottom"/>
            <w:shd w:val="clear" w:color="auto" w:fill="CFF0FC"/>
          </w:tcPr>
          <w:p>
            <w:pPr>
              <w:spacing w:after="0"/>
              <w:rPr>
                <w:sz w:val="20"/>
                <w:szCs w:val="20"/>
                <w:color w:val="auto"/>
              </w:rPr>
            </w:pPr>
            <w:r>
              <w:rPr>
                <w:rFonts w:ascii="Arial" w:cs="Arial" w:eastAsia="Arial" w:hAnsi="Arial"/>
                <w:sz w:val="20"/>
                <w:szCs w:val="20"/>
                <w:color w:val="auto"/>
              </w:rPr>
              <w:t>Asset category:</w:t>
            </w: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40" w:type="dxa"/>
            <w:vAlign w:val="bottom"/>
          </w:tcPr>
          <w:p>
            <w:pPr>
              <w:spacing w:after="0"/>
              <w:rPr>
                <w:sz w:val="20"/>
                <w:szCs w:val="20"/>
                <w:color w:val="auto"/>
              </w:rPr>
            </w:pPr>
            <w:r>
              <w:rPr>
                <w:rFonts w:ascii="Arial" w:cs="Arial" w:eastAsia="Arial" w:hAnsi="Arial"/>
                <w:sz w:val="20"/>
                <w:szCs w:val="20"/>
                <w:color w:val="auto"/>
              </w:rPr>
              <w:t>Money-market investments</w:t>
            </w:r>
          </w:p>
        </w:tc>
        <w:tc>
          <w:tcPr>
            <w:tcW w:w="220" w:type="dxa"/>
            <w:vAlign w:val="bottom"/>
          </w:tcPr>
          <w:p>
            <w:pPr>
              <w:jc w:val="right"/>
              <w:ind w:right="19"/>
              <w:spacing w:after="0"/>
              <w:rPr>
                <w:sz w:val="20"/>
                <w:szCs w:val="20"/>
                <w:color w:val="auto"/>
              </w:rPr>
            </w:pPr>
            <w:r>
              <w:rPr>
                <w:rFonts w:ascii="Arial" w:cs="Arial" w:eastAsia="Arial" w:hAnsi="Arial"/>
                <w:sz w:val="20"/>
                <w:szCs w:val="20"/>
                <w:color w:val="auto"/>
                <w:w w:val="71"/>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39,556</w:t>
            </w:r>
          </w:p>
        </w:tc>
        <w:tc>
          <w:tcPr>
            <w:tcW w:w="3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35,562</w:t>
            </w:r>
          </w:p>
        </w:tc>
        <w:tc>
          <w:tcPr>
            <w:tcW w:w="2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3,994</w:t>
            </w:r>
          </w:p>
        </w:tc>
        <w:tc>
          <w:tcPr>
            <w:tcW w:w="3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0"/>
        </w:trPr>
        <w:tc>
          <w:tcPr>
            <w:tcW w:w="5940" w:type="dxa"/>
            <w:vAlign w:val="bottom"/>
            <w:shd w:val="clear" w:color="auto" w:fill="CFF0FC"/>
          </w:tcPr>
          <w:p>
            <w:pPr>
              <w:spacing w:after="0"/>
              <w:rPr>
                <w:sz w:val="20"/>
                <w:szCs w:val="20"/>
                <w:color w:val="auto"/>
              </w:rPr>
            </w:pPr>
            <w:r>
              <w:rPr>
                <w:rFonts w:ascii="Arial" w:cs="Arial" w:eastAsia="Arial" w:hAnsi="Arial"/>
                <w:sz w:val="20"/>
                <w:szCs w:val="20"/>
                <w:color w:val="auto"/>
              </w:rPr>
              <w:t>Equity securities:</w:t>
            </w: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40" w:type="dxa"/>
            <w:vAlign w:val="bottom"/>
          </w:tcPr>
          <w:p>
            <w:pPr>
              <w:ind w:left="240"/>
              <w:spacing w:after="0"/>
              <w:rPr>
                <w:sz w:val="20"/>
                <w:szCs w:val="20"/>
                <w:color w:val="auto"/>
              </w:rPr>
            </w:pPr>
            <w:r>
              <w:rPr>
                <w:rFonts w:ascii="Arial" w:cs="Arial" w:eastAsia="Arial" w:hAnsi="Arial"/>
                <w:sz w:val="20"/>
                <w:szCs w:val="20"/>
                <w:color w:val="auto"/>
              </w:rPr>
              <w:t>M&amp;T</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164,474</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164,474</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0"/>
        </w:trPr>
        <w:tc>
          <w:tcPr>
            <w:tcW w:w="59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Domestic(a)</w:t>
            </w: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200,595</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200,595</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0"/>
        </w:trPr>
        <w:tc>
          <w:tcPr>
            <w:tcW w:w="5940" w:type="dxa"/>
            <w:vAlign w:val="bottom"/>
          </w:tcPr>
          <w:p>
            <w:pPr>
              <w:ind w:left="240"/>
              <w:spacing w:after="0"/>
              <w:rPr>
                <w:sz w:val="20"/>
                <w:szCs w:val="20"/>
                <w:color w:val="auto"/>
              </w:rPr>
            </w:pPr>
            <w:r>
              <w:rPr>
                <w:rFonts w:ascii="Arial" w:cs="Arial" w:eastAsia="Arial" w:hAnsi="Arial"/>
                <w:sz w:val="20"/>
                <w:szCs w:val="20"/>
                <w:color w:val="auto"/>
              </w:rPr>
              <w:t>International(b)</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14,364</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14,364</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0"/>
        </w:trPr>
        <w:tc>
          <w:tcPr>
            <w:tcW w:w="59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Mutual funds:</w:t>
            </w: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40" w:type="dxa"/>
            <w:vAlign w:val="bottom"/>
          </w:tcPr>
          <w:p>
            <w:pPr>
              <w:ind w:left="480"/>
              <w:spacing w:after="0"/>
              <w:rPr>
                <w:sz w:val="20"/>
                <w:szCs w:val="20"/>
                <w:color w:val="auto"/>
              </w:rPr>
            </w:pPr>
            <w:r>
              <w:rPr>
                <w:rFonts w:ascii="Arial" w:cs="Arial" w:eastAsia="Arial" w:hAnsi="Arial"/>
                <w:sz w:val="20"/>
                <w:szCs w:val="20"/>
                <w:color w:val="auto"/>
              </w:rPr>
              <w:t>Domestic(a)</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250,472</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250,472</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0"/>
        </w:trPr>
        <w:tc>
          <w:tcPr>
            <w:tcW w:w="5940" w:type="dxa"/>
            <w:vAlign w:val="bottom"/>
            <w:shd w:val="clear" w:color="auto" w:fill="CFF0FC"/>
          </w:tcPr>
          <w:p>
            <w:pPr>
              <w:ind w:left="480"/>
              <w:spacing w:after="0"/>
              <w:rPr>
                <w:sz w:val="20"/>
                <w:szCs w:val="20"/>
                <w:color w:val="auto"/>
              </w:rPr>
            </w:pPr>
            <w:r>
              <w:rPr>
                <w:rFonts w:ascii="Arial" w:cs="Arial" w:eastAsia="Arial" w:hAnsi="Arial"/>
                <w:sz w:val="20"/>
                <w:szCs w:val="20"/>
                <w:color w:val="auto"/>
              </w:rPr>
              <w:t>International(b)</w:t>
            </w: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290,172</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290,172</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3"/>
        </w:trPr>
        <w:tc>
          <w:tcPr>
            <w:tcW w:w="5940" w:type="dxa"/>
            <w:vAlign w:val="bottom"/>
            <w:tcBorders>
              <w:bottom w:val="single" w:sz="8" w:color="CFF0FC"/>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920,077</w:t>
            </w:r>
          </w:p>
        </w:tc>
        <w:tc>
          <w:tcPr>
            <w:tcW w:w="24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920,077</w:t>
            </w:r>
          </w:p>
        </w:tc>
        <w:tc>
          <w:tcPr>
            <w:tcW w:w="240" w:type="dxa"/>
            <w:vAlign w:val="bottom"/>
            <w:tcBorders>
              <w:bottom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2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40" w:type="dxa"/>
            <w:vAlign w:val="bottom"/>
            <w:shd w:val="clear" w:color="auto" w:fill="CFF0FC"/>
          </w:tcPr>
          <w:p>
            <w:pPr>
              <w:spacing w:after="0"/>
              <w:rPr>
                <w:sz w:val="20"/>
                <w:szCs w:val="20"/>
                <w:color w:val="auto"/>
              </w:rPr>
            </w:pPr>
            <w:r>
              <w:rPr>
                <w:rFonts w:ascii="Arial" w:cs="Arial" w:eastAsia="Arial" w:hAnsi="Arial"/>
                <w:sz w:val="20"/>
                <w:szCs w:val="20"/>
                <w:color w:val="auto"/>
              </w:rPr>
              <w:t>Debt securities:</w:t>
            </w: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40" w:type="dxa"/>
            <w:vAlign w:val="bottom"/>
          </w:tcPr>
          <w:p>
            <w:pPr>
              <w:ind w:left="240"/>
              <w:spacing w:after="0"/>
              <w:rPr>
                <w:sz w:val="20"/>
                <w:szCs w:val="20"/>
                <w:color w:val="auto"/>
              </w:rPr>
            </w:pPr>
            <w:r>
              <w:rPr>
                <w:rFonts w:ascii="Arial" w:cs="Arial" w:eastAsia="Arial" w:hAnsi="Arial"/>
                <w:sz w:val="20"/>
                <w:szCs w:val="20"/>
                <w:color w:val="auto"/>
              </w:rPr>
              <w:t>Corporate(c)</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104,909</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104,909</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0"/>
        </w:trPr>
        <w:tc>
          <w:tcPr>
            <w:tcW w:w="59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Government</w:t>
            </w: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121,869</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20"/>
                <w:szCs w:val="20"/>
                <w:color w:val="auto"/>
              </w:rPr>
              <w:t>—</w:t>
            </w:r>
          </w:p>
        </w:tc>
        <w:tc>
          <w:tcPr>
            <w:tcW w:w="1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121,869</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0"/>
        </w:trPr>
        <w:tc>
          <w:tcPr>
            <w:tcW w:w="5940" w:type="dxa"/>
            <w:vAlign w:val="bottom"/>
          </w:tcPr>
          <w:p>
            <w:pPr>
              <w:ind w:left="240"/>
              <w:spacing w:after="0"/>
              <w:rPr>
                <w:sz w:val="20"/>
                <w:szCs w:val="20"/>
                <w:color w:val="auto"/>
              </w:rPr>
            </w:pPr>
            <w:r>
              <w:rPr>
                <w:rFonts w:ascii="Arial" w:cs="Arial" w:eastAsia="Arial" w:hAnsi="Arial"/>
                <w:sz w:val="20"/>
                <w:szCs w:val="20"/>
                <w:color w:val="auto"/>
              </w:rPr>
              <w:t>International</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13,073</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13,073</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0"/>
        </w:trPr>
        <w:tc>
          <w:tcPr>
            <w:tcW w:w="59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Mutual funds:</w:t>
            </w: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40" w:type="dxa"/>
            <w:vAlign w:val="bottom"/>
          </w:tcPr>
          <w:p>
            <w:pPr>
              <w:ind w:left="480"/>
              <w:spacing w:after="0"/>
              <w:rPr>
                <w:sz w:val="20"/>
                <w:szCs w:val="20"/>
                <w:color w:val="auto"/>
              </w:rPr>
            </w:pPr>
            <w:r>
              <w:rPr>
                <w:rFonts w:ascii="Arial" w:cs="Arial" w:eastAsia="Arial" w:hAnsi="Arial"/>
                <w:sz w:val="20"/>
                <w:szCs w:val="20"/>
                <w:color w:val="auto"/>
              </w:rPr>
              <w:t>Domestic(d)</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205,847</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205,847</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3"/>
        </w:trPr>
        <w:tc>
          <w:tcPr>
            <w:tcW w:w="5940" w:type="dxa"/>
            <w:vAlign w:val="bottom"/>
            <w:tcBorders>
              <w:top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spacing w:after="0"/>
              <w:rPr>
                <w:sz w:val="21"/>
                <w:szCs w:val="21"/>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445,698</w:t>
            </w:r>
          </w:p>
        </w:tc>
        <w:tc>
          <w:tcPr>
            <w:tcW w:w="240" w:type="dxa"/>
            <w:vAlign w:val="bottom"/>
            <w:tcBorders>
              <w:top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spacing w:after="0"/>
              <w:rPr>
                <w:sz w:val="21"/>
                <w:szCs w:val="21"/>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205,847</w:t>
            </w:r>
          </w:p>
        </w:tc>
        <w:tc>
          <w:tcPr>
            <w:tcW w:w="240" w:type="dxa"/>
            <w:vAlign w:val="bottom"/>
            <w:tcBorders>
              <w:top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spacing w:after="0"/>
              <w:rPr>
                <w:sz w:val="21"/>
                <w:szCs w:val="21"/>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239,851</w:t>
            </w:r>
          </w:p>
        </w:tc>
        <w:tc>
          <w:tcPr>
            <w:tcW w:w="220" w:type="dxa"/>
            <w:vAlign w:val="bottom"/>
            <w:tcBorders>
              <w:top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spacing w:after="0"/>
              <w:rPr>
                <w:sz w:val="21"/>
                <w:szCs w:val="21"/>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00" w:type="dxa"/>
            <w:vAlign w:val="bottom"/>
            <w:tcBorders>
              <w:top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40" w:type="dxa"/>
            <w:vAlign w:val="bottom"/>
          </w:tcPr>
          <w:p>
            <w:pPr>
              <w:spacing w:after="0"/>
              <w:rPr>
                <w:sz w:val="20"/>
                <w:szCs w:val="20"/>
                <w:color w:val="auto"/>
              </w:rPr>
            </w:pPr>
            <w:r>
              <w:rPr>
                <w:rFonts w:ascii="Arial" w:cs="Arial" w:eastAsia="Arial" w:hAnsi="Arial"/>
                <w:sz w:val="20"/>
                <w:szCs w:val="20"/>
                <w:color w:val="auto"/>
              </w:rPr>
              <w:t>Other:</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Diversified mutual fund</w:t>
            </w: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92,691</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92,691</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0"/>
        </w:trPr>
        <w:tc>
          <w:tcPr>
            <w:tcW w:w="5940" w:type="dxa"/>
            <w:vAlign w:val="bottom"/>
          </w:tcPr>
          <w:p>
            <w:pPr>
              <w:ind w:left="240"/>
              <w:spacing w:after="0"/>
              <w:rPr>
                <w:sz w:val="20"/>
                <w:szCs w:val="20"/>
                <w:color w:val="auto"/>
              </w:rPr>
            </w:pPr>
            <w:r>
              <w:rPr>
                <w:rFonts w:ascii="Arial" w:cs="Arial" w:eastAsia="Arial" w:hAnsi="Arial"/>
                <w:sz w:val="20"/>
                <w:szCs w:val="20"/>
                <w:color w:val="auto"/>
              </w:rPr>
              <w:t>Real estate partnerships</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3,112</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768</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2,344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Private equity</w:t>
            </w: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21,924</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20"/>
                <w:szCs w:val="20"/>
                <w:color w:val="auto"/>
              </w:rPr>
              <w:t>—</w:t>
            </w:r>
          </w:p>
        </w:tc>
        <w:tc>
          <w:tcPr>
            <w:tcW w:w="1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21,924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40" w:type="dxa"/>
            <w:vAlign w:val="bottom"/>
          </w:tcPr>
          <w:p>
            <w:pPr>
              <w:ind w:left="240"/>
              <w:spacing w:after="0"/>
              <w:rPr>
                <w:sz w:val="20"/>
                <w:szCs w:val="20"/>
                <w:color w:val="auto"/>
              </w:rPr>
            </w:pPr>
            <w:r>
              <w:rPr>
                <w:rFonts w:ascii="Arial" w:cs="Arial" w:eastAsia="Arial" w:hAnsi="Arial"/>
                <w:sz w:val="20"/>
                <w:szCs w:val="20"/>
                <w:color w:val="auto"/>
              </w:rPr>
              <w:t>Hedge funds</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106,250</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85,270</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20,980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Guaranteed deposit fund</w:t>
            </w: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10,992</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20"/>
                <w:szCs w:val="20"/>
                <w:color w:val="auto"/>
              </w:rPr>
              <w:t>—</w:t>
            </w:r>
          </w:p>
        </w:tc>
        <w:tc>
          <w:tcPr>
            <w:tcW w:w="1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10,992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40" w:type="dxa"/>
            <w:vAlign w:val="bottom"/>
            <w:tcBorders>
              <w:bottom w:val="single" w:sz="8" w:color="CFF0FC"/>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234,969</w:t>
            </w:r>
          </w:p>
        </w:tc>
        <w:tc>
          <w:tcPr>
            <w:tcW w:w="24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178,729</w:t>
            </w:r>
          </w:p>
        </w:tc>
        <w:tc>
          <w:tcPr>
            <w:tcW w:w="240" w:type="dxa"/>
            <w:vAlign w:val="bottom"/>
            <w:tcBorders>
              <w:bottom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2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56,240</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Total(e)</w:t>
            </w:r>
          </w:p>
        </w:tc>
        <w:tc>
          <w:tcPr>
            <w:tcW w:w="2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20"/>
                <w:szCs w:val="20"/>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1,640,300</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1,340,215</w:t>
            </w: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243,845</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56,240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136017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150" w:lineRule="exact"/>
        <w:rPr>
          <w:sz w:val="20"/>
          <w:szCs w:val="20"/>
          <w:color w:val="auto"/>
        </w:rPr>
      </w:pPr>
    </w:p>
    <w:p>
      <w:pPr>
        <w:ind w:left="600" w:right="200" w:hanging="595"/>
        <w:spacing w:after="0" w:line="257" w:lineRule="auto"/>
        <w:tabs>
          <w:tab w:leader="none" w:pos="600" w:val="left"/>
        </w:tabs>
        <w:numPr>
          <w:ilvl w:val="0"/>
          <w:numId w:val="48"/>
        </w:numPr>
        <w:rPr>
          <w:rFonts w:ascii="Arial" w:cs="Arial" w:eastAsia="Arial" w:hAnsi="Arial"/>
          <w:sz w:val="20"/>
          <w:szCs w:val="20"/>
          <w:i w:val="1"/>
          <w:iCs w:val="1"/>
          <w:color w:val="auto"/>
        </w:rPr>
      </w:pPr>
      <w:r>
        <w:rPr>
          <w:rFonts w:ascii="Arial" w:cs="Arial" w:eastAsia="Arial" w:hAnsi="Arial"/>
          <w:sz w:val="20"/>
          <w:szCs w:val="20"/>
          <w:i w:val="1"/>
          <w:iCs w:val="1"/>
          <w:color w:val="auto"/>
        </w:rPr>
        <w:t>This category is mainly comprised of equities of companies primarily within the mid-cap and large-cap sectors of the U.S. economy and range across diverse industries.</w:t>
      </w:r>
    </w:p>
    <w:p>
      <w:pPr>
        <w:spacing w:after="0" w:line="1" w:lineRule="exact"/>
        <w:rPr>
          <w:rFonts w:ascii="Arial" w:cs="Arial" w:eastAsia="Arial" w:hAnsi="Arial"/>
          <w:sz w:val="20"/>
          <w:szCs w:val="20"/>
          <w:i w:val="1"/>
          <w:iCs w:val="1"/>
          <w:color w:val="auto"/>
        </w:rPr>
      </w:pPr>
    </w:p>
    <w:p>
      <w:pPr>
        <w:ind w:left="600" w:right="480" w:hanging="595"/>
        <w:spacing w:after="0" w:line="252" w:lineRule="auto"/>
        <w:tabs>
          <w:tab w:leader="none" w:pos="600" w:val="left"/>
        </w:tabs>
        <w:numPr>
          <w:ilvl w:val="0"/>
          <w:numId w:val="48"/>
        </w:numPr>
        <w:rPr>
          <w:rFonts w:ascii="Arial" w:cs="Arial" w:eastAsia="Arial" w:hAnsi="Arial"/>
          <w:sz w:val="20"/>
          <w:szCs w:val="20"/>
          <w:i w:val="1"/>
          <w:iCs w:val="1"/>
          <w:color w:val="auto"/>
        </w:rPr>
      </w:pPr>
      <w:r>
        <w:rPr>
          <w:rFonts w:ascii="Arial" w:cs="Arial" w:eastAsia="Arial" w:hAnsi="Arial"/>
          <w:sz w:val="20"/>
          <w:szCs w:val="20"/>
          <w:i w:val="1"/>
          <w:iCs w:val="1"/>
          <w:color w:val="auto"/>
        </w:rPr>
        <w:t>This category is comprised of equities in companies primarily within the mid-cap and large-cap sectors of international markets mainly in developed markets in Europe and the Pacific Rim.</w:t>
      </w:r>
    </w:p>
    <w:p>
      <w:pPr>
        <w:ind w:left="600" w:hanging="595"/>
        <w:spacing w:after="0"/>
        <w:tabs>
          <w:tab w:leader="none" w:pos="600" w:val="left"/>
        </w:tabs>
        <w:numPr>
          <w:ilvl w:val="0"/>
          <w:numId w:val="48"/>
        </w:numPr>
        <w:rPr>
          <w:rFonts w:ascii="Arial" w:cs="Arial" w:eastAsia="Arial" w:hAnsi="Arial"/>
          <w:sz w:val="20"/>
          <w:szCs w:val="20"/>
          <w:i w:val="1"/>
          <w:iCs w:val="1"/>
          <w:color w:val="auto"/>
        </w:rPr>
      </w:pPr>
      <w:r>
        <w:rPr>
          <w:rFonts w:ascii="Arial" w:cs="Arial" w:eastAsia="Arial" w:hAnsi="Arial"/>
          <w:sz w:val="20"/>
          <w:szCs w:val="20"/>
          <w:i w:val="1"/>
          <w:iCs w:val="1"/>
          <w:color w:val="auto"/>
        </w:rPr>
        <w:t>This category represents investment grade bonds of U.S. issuers from diverse industries.</w:t>
      </w:r>
    </w:p>
    <w:p>
      <w:pPr>
        <w:spacing w:after="0" w:line="6" w:lineRule="exact"/>
        <w:rPr>
          <w:rFonts w:ascii="Arial" w:cs="Arial" w:eastAsia="Arial" w:hAnsi="Arial"/>
          <w:sz w:val="20"/>
          <w:szCs w:val="20"/>
          <w:i w:val="1"/>
          <w:iCs w:val="1"/>
          <w:color w:val="auto"/>
        </w:rPr>
      </w:pPr>
    </w:p>
    <w:p>
      <w:pPr>
        <w:ind w:left="600" w:right="280" w:hanging="595"/>
        <w:spacing w:after="0" w:line="246" w:lineRule="auto"/>
        <w:tabs>
          <w:tab w:leader="none" w:pos="600" w:val="left"/>
        </w:tabs>
        <w:numPr>
          <w:ilvl w:val="0"/>
          <w:numId w:val="48"/>
        </w:numPr>
        <w:rPr>
          <w:rFonts w:ascii="Arial" w:cs="Arial" w:eastAsia="Arial" w:hAnsi="Arial"/>
          <w:sz w:val="20"/>
          <w:szCs w:val="20"/>
          <w:i w:val="1"/>
          <w:iCs w:val="1"/>
          <w:color w:val="auto"/>
        </w:rPr>
      </w:pPr>
      <w:r>
        <w:rPr>
          <w:rFonts w:ascii="Arial" w:cs="Arial" w:eastAsia="Arial" w:hAnsi="Arial"/>
          <w:sz w:val="20"/>
          <w:szCs w:val="20"/>
          <w:i w:val="1"/>
          <w:iCs w:val="1"/>
          <w:color w:val="auto"/>
        </w:rPr>
        <w:t>Approximately 77% of the mutual funds were invested in investment grade bonds and 23% in high-yielding bonds at December 31, 2017. Approximately 75% of the mutual funds were invested in investment grade bonds and 25% in high-yielding bonds at December 31, 2016. The holdings within the funds were spread across diverse industries.</w:t>
      </w:r>
    </w:p>
    <w:p>
      <w:pPr>
        <w:spacing w:after="0" w:line="2" w:lineRule="exact"/>
        <w:rPr>
          <w:rFonts w:ascii="Arial" w:cs="Arial" w:eastAsia="Arial" w:hAnsi="Arial"/>
          <w:sz w:val="20"/>
          <w:szCs w:val="20"/>
          <w:i w:val="1"/>
          <w:iCs w:val="1"/>
          <w:color w:val="auto"/>
        </w:rPr>
      </w:pPr>
    </w:p>
    <w:p>
      <w:pPr>
        <w:ind w:left="600" w:hanging="595"/>
        <w:spacing w:after="0"/>
        <w:tabs>
          <w:tab w:leader="none" w:pos="600" w:val="left"/>
        </w:tabs>
        <w:numPr>
          <w:ilvl w:val="0"/>
          <w:numId w:val="48"/>
        </w:numPr>
        <w:rPr>
          <w:rFonts w:ascii="Arial" w:cs="Arial" w:eastAsia="Arial" w:hAnsi="Arial"/>
          <w:sz w:val="19"/>
          <w:szCs w:val="19"/>
          <w:i w:val="1"/>
          <w:iCs w:val="1"/>
          <w:color w:val="auto"/>
        </w:rPr>
      </w:pPr>
      <w:r>
        <w:rPr>
          <w:rFonts w:ascii="Arial" w:cs="Arial" w:eastAsia="Arial" w:hAnsi="Arial"/>
          <w:sz w:val="19"/>
          <w:szCs w:val="19"/>
          <w:i w:val="1"/>
          <w:iCs w:val="1"/>
          <w:color w:val="auto"/>
        </w:rPr>
        <w:t>Excludes dividends and interest receivable totaling $1,774,000 and $1,831,000 at December 31, 2017 and 2016, respectively.</w:t>
      </w:r>
    </w:p>
    <w:p>
      <w:pPr>
        <w:spacing w:after="0" w:line="210" w:lineRule="exact"/>
        <w:rPr>
          <w:sz w:val="20"/>
          <w:szCs w:val="20"/>
          <w:color w:val="auto"/>
        </w:rPr>
      </w:pPr>
    </w:p>
    <w:p>
      <w:pPr>
        <w:ind w:right="300" w:firstLine="598"/>
        <w:spacing w:after="0" w:line="261" w:lineRule="auto"/>
        <w:rPr>
          <w:sz w:val="20"/>
          <w:szCs w:val="20"/>
          <w:color w:val="auto"/>
        </w:rPr>
      </w:pPr>
      <w:r>
        <w:rPr>
          <w:rFonts w:ascii="Arial" w:cs="Arial" w:eastAsia="Arial" w:hAnsi="Arial"/>
          <w:sz w:val="20"/>
          <w:szCs w:val="20"/>
          <w:color w:val="auto"/>
        </w:rPr>
        <w:t>Pension plan assets included common stock of M&amp;T with a fair value of $154,818,000 (7.7% of total plan assets) at December 31, 2017 and $164,474,000 (10.0% of total plan assets) at December 31, 2016. No investment in securities of a non-U.S. Government or government agency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153" w:name="page154"/>
    <w:bookmarkEnd w:id="153"/>
    <w:p>
      <w:pPr>
        <w:ind w:right="120"/>
        <w:spacing w:after="0" w:line="256" w:lineRule="auto"/>
        <w:rPr>
          <w:sz w:val="20"/>
          <w:szCs w:val="20"/>
          <w:color w:val="auto"/>
        </w:rPr>
      </w:pPr>
      <w:r>
        <w:rPr>
          <w:rFonts w:ascii="Arial" w:cs="Arial" w:eastAsia="Arial" w:hAnsi="Arial"/>
          <w:sz w:val="20"/>
          <w:szCs w:val="20"/>
          <w:color w:val="auto"/>
        </w:rPr>
        <w:t>issuer exceeded ten percent of plan assets at December 31, 2017. Assets subject to Level 3 valuations did not constitute a significant portion of plan assets at December 31, 2017 or December 31, 2016.</w:t>
      </w:r>
    </w:p>
    <w:p>
      <w:pPr>
        <w:ind w:right="80" w:firstLine="598"/>
        <w:spacing w:after="0" w:line="256" w:lineRule="auto"/>
        <w:rPr>
          <w:sz w:val="20"/>
          <w:szCs w:val="20"/>
          <w:color w:val="auto"/>
        </w:rPr>
      </w:pPr>
      <w:r>
        <w:rPr>
          <w:rFonts w:ascii="Arial" w:cs="Arial" w:eastAsia="Arial" w:hAnsi="Arial"/>
          <w:sz w:val="20"/>
          <w:szCs w:val="20"/>
          <w:color w:val="auto"/>
        </w:rPr>
        <w:t>The changes in Level 3 pension plan assets measured at estimated fair value on a recurring basis during the year ended December 31, 2017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Total</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46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vMerge w:val="restart"/>
          </w:tcPr>
          <w:p>
            <w:pPr>
              <w:jc w:val="center"/>
              <w:ind w:right="111"/>
              <w:spacing w:after="0"/>
              <w:rPr>
                <w:sz w:val="20"/>
                <w:szCs w:val="20"/>
                <w:color w:val="auto"/>
              </w:rPr>
            </w:pPr>
            <w:r>
              <w:rPr>
                <w:rFonts w:ascii="Arial" w:cs="Arial" w:eastAsia="Arial" w:hAnsi="Arial"/>
                <w:sz w:val="14"/>
                <w:szCs w:val="14"/>
                <w:b w:val="1"/>
                <w:bCs w:val="1"/>
                <w:color w:val="auto"/>
                <w:w w:val="88"/>
              </w:rPr>
              <w:t>Balance –</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center"/>
              <w:ind w:right="420"/>
              <w:spacing w:after="0" w:line="145" w:lineRule="exact"/>
              <w:rPr>
                <w:sz w:val="20"/>
                <w:szCs w:val="20"/>
                <w:color w:val="auto"/>
              </w:rPr>
            </w:pPr>
            <w:r>
              <w:rPr>
                <w:rFonts w:ascii="Arial" w:cs="Arial" w:eastAsia="Arial" w:hAnsi="Arial"/>
                <w:sz w:val="14"/>
                <w:szCs w:val="14"/>
                <w:b w:val="1"/>
                <w:bCs w:val="1"/>
                <w:color w:val="auto"/>
                <w:w w:val="92"/>
              </w:rPr>
              <w:t>Realized/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8"/>
              </w:rPr>
              <w:t>Balance –</w:t>
            </w:r>
          </w:p>
        </w:tc>
        <w:tc>
          <w:tcPr>
            <w:tcW w:w="0" w:type="dxa"/>
            <w:vAlign w:val="bottom"/>
          </w:tcPr>
          <w:p>
            <w:pPr>
              <w:spacing w:after="0"/>
              <w:rPr>
                <w:sz w:val="1"/>
                <w:szCs w:val="1"/>
                <w:color w:val="auto"/>
              </w:rPr>
            </w:pPr>
          </w:p>
        </w:tc>
      </w:tr>
      <w:tr>
        <w:trPr>
          <w:trHeight w:val="145"/>
        </w:trPr>
        <w:tc>
          <w:tcPr>
            <w:tcW w:w="46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84"/>
              </w:rPr>
              <w:t>Purchases</w:t>
            </w:r>
          </w:p>
        </w:tc>
        <w:tc>
          <w:tcPr>
            <w:tcW w:w="180" w:type="dxa"/>
            <w:vAlign w:val="bottom"/>
          </w:tcPr>
          <w:p>
            <w:pPr>
              <w:spacing w:after="0"/>
              <w:rPr>
                <w:sz w:val="12"/>
                <w:szCs w:val="12"/>
                <w:color w:val="auto"/>
              </w:rPr>
            </w:pPr>
          </w:p>
        </w:tc>
        <w:tc>
          <w:tcPr>
            <w:tcW w:w="1220" w:type="dxa"/>
            <w:vAlign w:val="bottom"/>
            <w:gridSpan w:val="2"/>
          </w:tcPr>
          <w:p>
            <w:pPr>
              <w:jc w:val="center"/>
              <w:ind w:right="420"/>
              <w:spacing w:after="0" w:line="145" w:lineRule="exact"/>
              <w:rPr>
                <w:sz w:val="20"/>
                <w:szCs w:val="20"/>
                <w:color w:val="auto"/>
              </w:rPr>
            </w:pPr>
            <w:r>
              <w:rPr>
                <w:rFonts w:ascii="Arial" w:cs="Arial" w:eastAsia="Arial" w:hAnsi="Arial"/>
                <w:sz w:val="14"/>
                <w:szCs w:val="14"/>
                <w:b w:val="1"/>
                <w:bCs w:val="1"/>
                <w:color w:val="auto"/>
                <w:w w:val="90"/>
              </w:rPr>
              <w:t>Unrealized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6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center"/>
              <w:ind w:right="91"/>
              <w:spacing w:after="0" w:line="145" w:lineRule="exact"/>
              <w:rPr>
                <w:sz w:val="20"/>
                <w:szCs w:val="20"/>
                <w:color w:val="auto"/>
              </w:rPr>
            </w:pPr>
            <w:r>
              <w:rPr>
                <w:rFonts w:ascii="Arial" w:cs="Arial" w:eastAsia="Arial" w:hAnsi="Arial"/>
                <w:sz w:val="14"/>
                <w:szCs w:val="14"/>
                <w:b w:val="1"/>
                <w:bCs w:val="1"/>
                <w:color w:val="auto"/>
                <w:w w:val="92"/>
              </w:rPr>
              <w:t>January 1,</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center"/>
              <w:ind w:right="420"/>
              <w:spacing w:after="0" w:line="145" w:lineRule="exact"/>
              <w:rPr>
                <w:sz w:val="20"/>
                <w:szCs w:val="20"/>
                <w:color w:val="auto"/>
              </w:rPr>
            </w:pPr>
            <w:r>
              <w:rPr>
                <w:rFonts w:ascii="Arial" w:cs="Arial" w:eastAsia="Arial" w:hAnsi="Arial"/>
                <w:sz w:val="14"/>
                <w:szCs w:val="14"/>
                <w:b w:val="1"/>
                <w:bCs w:val="1"/>
                <w:color w:val="auto"/>
                <w:w w:val="92"/>
              </w:rPr>
              <w:t>Gains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67"/>
        </w:trPr>
        <w:tc>
          <w:tcPr>
            <w:tcW w:w="46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91"/>
              <w:spacing w:after="0"/>
              <w:rPr>
                <w:sz w:val="20"/>
                <w:szCs w:val="20"/>
                <w:color w:val="auto"/>
              </w:rPr>
            </w:pPr>
            <w:r>
              <w:rPr>
                <w:rFonts w:ascii="Arial" w:cs="Arial" w:eastAsia="Arial" w:hAnsi="Arial"/>
                <w:sz w:val="14"/>
                <w:szCs w:val="14"/>
                <w:b w:val="1"/>
                <w:bCs w:val="1"/>
                <w:color w:val="auto"/>
                <w:w w:val="89"/>
              </w:rPr>
              <w:t>2017</w:t>
            </w: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87"/>
              </w:rPr>
              <w:t>(Sales)</w:t>
            </w: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83"/>
              </w:rPr>
              <w:t>(Losses)</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71"/>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5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20" w:type="dxa"/>
            <w:vAlign w:val="bottom"/>
            <w:gridSpan w:val="5"/>
          </w:tcPr>
          <w:p>
            <w:pPr>
              <w:jc w:val="right"/>
              <w:ind w:right="1080"/>
              <w:spacing w:after="0" w:line="151" w:lineRule="exact"/>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5940" w:type="dxa"/>
            <w:vAlign w:val="bottom"/>
            <w:gridSpan w:val="2"/>
            <w:shd w:val="clear" w:color="auto" w:fill="CFF0FC"/>
          </w:tcPr>
          <w:p>
            <w:pPr>
              <w:spacing w:after="0" w:line="210" w:lineRule="exact"/>
              <w:rPr>
                <w:sz w:val="20"/>
                <w:szCs w:val="20"/>
                <w:color w:val="auto"/>
              </w:rPr>
            </w:pPr>
            <w:r>
              <w:rPr>
                <w:rFonts w:ascii="Arial" w:cs="Arial" w:eastAsia="Arial" w:hAnsi="Arial"/>
                <w:sz w:val="20"/>
                <w:szCs w:val="20"/>
                <w:color w:val="auto"/>
              </w:rPr>
              <w:t>Other</w:t>
            </w: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9"/>
        </w:trPr>
        <w:tc>
          <w:tcPr>
            <w:tcW w:w="460" w:type="dxa"/>
            <w:vAlign w:val="bottom"/>
            <w:shd w:val="clear" w:color="auto" w:fill="000000"/>
          </w:tcPr>
          <w:p>
            <w:pPr>
              <w:spacing w:after="0"/>
              <w:rPr>
                <w:sz w:val="3"/>
                <w:szCs w:val="3"/>
                <w:color w:val="auto"/>
              </w:rPr>
            </w:pPr>
          </w:p>
        </w:tc>
        <w:tc>
          <w:tcPr>
            <w:tcW w:w="5480" w:type="dxa"/>
            <w:vAlign w:val="bottom"/>
            <w:shd w:val="clear" w:color="auto" w:fill="CFF0FC"/>
          </w:tcPr>
          <w:p>
            <w:pPr>
              <w:spacing w:after="0"/>
              <w:rPr>
                <w:sz w:val="3"/>
                <w:szCs w:val="3"/>
                <w:color w:val="auto"/>
              </w:rPr>
            </w:pPr>
          </w:p>
        </w:tc>
        <w:tc>
          <w:tcPr>
            <w:tcW w:w="180" w:type="dxa"/>
            <w:vAlign w:val="bottom"/>
            <w:shd w:val="clear" w:color="auto" w:fill="CFF0FC"/>
          </w:tcPr>
          <w:p>
            <w:pPr>
              <w:spacing w:after="0"/>
              <w:rPr>
                <w:sz w:val="3"/>
                <w:szCs w:val="3"/>
                <w:color w:val="auto"/>
              </w:rPr>
            </w:pPr>
          </w:p>
        </w:tc>
        <w:tc>
          <w:tcPr>
            <w:tcW w:w="980" w:type="dxa"/>
            <w:vAlign w:val="bottom"/>
            <w:shd w:val="clear" w:color="auto" w:fill="CFF0FC"/>
          </w:tcPr>
          <w:p>
            <w:pPr>
              <w:spacing w:after="0"/>
              <w:rPr>
                <w:sz w:val="3"/>
                <w:szCs w:val="3"/>
                <w:color w:val="auto"/>
              </w:rPr>
            </w:pPr>
          </w:p>
        </w:tc>
        <w:tc>
          <w:tcPr>
            <w:tcW w:w="240" w:type="dxa"/>
            <w:vAlign w:val="bottom"/>
            <w:shd w:val="clear" w:color="auto" w:fill="CFF0FC"/>
          </w:tcPr>
          <w:p>
            <w:pPr>
              <w:spacing w:after="0"/>
              <w:rPr>
                <w:sz w:val="3"/>
                <w:szCs w:val="3"/>
                <w:color w:val="auto"/>
              </w:rPr>
            </w:pPr>
          </w:p>
        </w:tc>
        <w:tc>
          <w:tcPr>
            <w:tcW w:w="180" w:type="dxa"/>
            <w:vAlign w:val="bottom"/>
            <w:shd w:val="clear" w:color="auto" w:fill="CFF0FC"/>
          </w:tcPr>
          <w:p>
            <w:pPr>
              <w:spacing w:after="0"/>
              <w:rPr>
                <w:sz w:val="3"/>
                <w:szCs w:val="3"/>
                <w:color w:val="auto"/>
              </w:rPr>
            </w:pPr>
          </w:p>
        </w:tc>
        <w:tc>
          <w:tcPr>
            <w:tcW w:w="980" w:type="dxa"/>
            <w:vAlign w:val="bottom"/>
            <w:shd w:val="clear" w:color="auto" w:fill="CFF0FC"/>
          </w:tcPr>
          <w:p>
            <w:pPr>
              <w:spacing w:after="0"/>
              <w:rPr>
                <w:sz w:val="3"/>
                <w:szCs w:val="3"/>
                <w:color w:val="auto"/>
              </w:rPr>
            </w:pPr>
          </w:p>
        </w:tc>
        <w:tc>
          <w:tcPr>
            <w:tcW w:w="240" w:type="dxa"/>
            <w:vAlign w:val="bottom"/>
            <w:shd w:val="clear" w:color="auto" w:fill="CFF0FC"/>
          </w:tcPr>
          <w:p>
            <w:pPr>
              <w:spacing w:after="0"/>
              <w:rPr>
                <w:sz w:val="3"/>
                <w:szCs w:val="3"/>
                <w:color w:val="auto"/>
              </w:rPr>
            </w:pPr>
          </w:p>
        </w:tc>
        <w:tc>
          <w:tcPr>
            <w:tcW w:w="180" w:type="dxa"/>
            <w:vAlign w:val="bottom"/>
            <w:shd w:val="clear" w:color="auto" w:fill="CFF0FC"/>
          </w:tcPr>
          <w:p>
            <w:pPr>
              <w:spacing w:after="0"/>
              <w:rPr>
                <w:sz w:val="3"/>
                <w:szCs w:val="3"/>
                <w:color w:val="auto"/>
              </w:rPr>
            </w:pPr>
          </w:p>
        </w:tc>
        <w:tc>
          <w:tcPr>
            <w:tcW w:w="1000" w:type="dxa"/>
            <w:vAlign w:val="bottom"/>
            <w:shd w:val="clear" w:color="auto" w:fill="CFF0FC"/>
          </w:tcPr>
          <w:p>
            <w:pPr>
              <w:spacing w:after="0"/>
              <w:rPr>
                <w:sz w:val="3"/>
                <w:szCs w:val="3"/>
                <w:color w:val="auto"/>
              </w:rPr>
            </w:pPr>
          </w:p>
        </w:tc>
        <w:tc>
          <w:tcPr>
            <w:tcW w:w="220" w:type="dxa"/>
            <w:vAlign w:val="bottom"/>
            <w:shd w:val="clear" w:color="auto" w:fill="CFF0FC"/>
          </w:tcPr>
          <w:p>
            <w:pPr>
              <w:spacing w:after="0"/>
              <w:rPr>
                <w:sz w:val="3"/>
                <w:szCs w:val="3"/>
                <w:color w:val="auto"/>
              </w:rPr>
            </w:pPr>
          </w:p>
        </w:tc>
        <w:tc>
          <w:tcPr>
            <w:tcW w:w="20" w:type="dxa"/>
            <w:vAlign w:val="bottom"/>
            <w:shd w:val="clear" w:color="auto" w:fill="CFF0FC"/>
          </w:tcPr>
          <w:p>
            <w:pPr>
              <w:spacing w:after="0"/>
              <w:rPr>
                <w:sz w:val="3"/>
                <w:szCs w:val="3"/>
                <w:color w:val="auto"/>
              </w:rPr>
            </w:pPr>
          </w:p>
        </w:tc>
        <w:tc>
          <w:tcPr>
            <w:tcW w:w="120" w:type="dxa"/>
            <w:vAlign w:val="bottom"/>
            <w:shd w:val="clear" w:color="auto" w:fill="CFF0FC"/>
          </w:tcPr>
          <w:p>
            <w:pPr>
              <w:spacing w:after="0"/>
              <w:rPr>
                <w:sz w:val="3"/>
                <w:szCs w:val="3"/>
                <w:color w:val="auto"/>
              </w:rPr>
            </w:pPr>
          </w:p>
        </w:tc>
        <w:tc>
          <w:tcPr>
            <w:tcW w:w="1040" w:type="dxa"/>
            <w:vAlign w:val="bottom"/>
            <w:shd w:val="clear" w:color="auto" w:fill="CFF0FC"/>
          </w:tcPr>
          <w:p>
            <w:pPr>
              <w:spacing w:after="0"/>
              <w:rPr>
                <w:sz w:val="3"/>
                <w:szCs w:val="3"/>
                <w:color w:val="auto"/>
              </w:rPr>
            </w:pPr>
          </w:p>
        </w:tc>
        <w:tc>
          <w:tcPr>
            <w:tcW w:w="100" w:type="dxa"/>
            <w:vAlign w:val="bottom"/>
            <w:shd w:val="clear" w:color="auto" w:fill="CFF0FC"/>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940" w:type="dxa"/>
            <w:vAlign w:val="bottom"/>
            <w:gridSpan w:val="2"/>
          </w:tcPr>
          <w:p>
            <w:pPr>
              <w:spacing w:after="0"/>
              <w:rPr>
                <w:sz w:val="20"/>
                <w:szCs w:val="20"/>
                <w:color w:val="auto"/>
              </w:rPr>
            </w:pPr>
            <w:r>
              <w:rPr>
                <w:rFonts w:ascii="Arial" w:cs="Arial" w:eastAsia="Arial" w:hAnsi="Arial"/>
                <w:sz w:val="20"/>
                <w:szCs w:val="20"/>
                <w:color w:val="auto"/>
              </w:rPr>
              <w:t>Real estate partnerships</w:t>
            </w:r>
          </w:p>
        </w:tc>
        <w:tc>
          <w:tcPr>
            <w:tcW w:w="18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2,344</w:t>
            </w:r>
          </w:p>
        </w:tc>
        <w:tc>
          <w:tcPr>
            <w:tcW w:w="4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365</w:t>
            </w:r>
          </w:p>
        </w:tc>
        <w:tc>
          <w:tcPr>
            <w:tcW w:w="2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196</w:t>
            </w:r>
          </w:p>
        </w:tc>
        <w:tc>
          <w:tcPr>
            <w:tcW w:w="220" w:type="dxa"/>
            <w:vAlign w:val="bottom"/>
          </w:tcPr>
          <w:p>
            <w:pPr>
              <w:spacing w:after="0"/>
              <w:rPr>
                <w:sz w:val="21"/>
                <w:szCs w:val="21"/>
                <w:color w:val="auto"/>
              </w:rPr>
            </w:pPr>
          </w:p>
        </w:tc>
        <w:tc>
          <w:tcPr>
            <w:tcW w:w="140" w:type="dxa"/>
            <w:vAlign w:val="bottom"/>
            <w:gridSpan w:val="2"/>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2,905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4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Private equity</w:t>
            </w: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21,924</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6,821</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2,739</w:t>
            </w:r>
          </w:p>
        </w:tc>
        <w:tc>
          <w:tcPr>
            <w:tcW w:w="2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31,484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40" w:type="dxa"/>
            <w:vAlign w:val="bottom"/>
            <w:gridSpan w:val="2"/>
          </w:tcPr>
          <w:p>
            <w:pPr>
              <w:spacing w:after="0"/>
              <w:rPr>
                <w:sz w:val="20"/>
                <w:szCs w:val="20"/>
                <w:color w:val="auto"/>
              </w:rPr>
            </w:pPr>
            <w:r>
              <w:rPr>
                <w:rFonts w:ascii="Arial" w:cs="Arial" w:eastAsia="Arial" w:hAnsi="Arial"/>
                <w:sz w:val="20"/>
                <w:szCs w:val="20"/>
                <w:color w:val="auto"/>
              </w:rPr>
              <w:t>Hedge funds</w:t>
            </w: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20,980</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29,839</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1,295</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52,114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4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Guaranteed deposit fund</w:t>
            </w: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10,992</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20"/>
                <w:szCs w:val="20"/>
                <w:color w:val="auto"/>
              </w:rPr>
              <w:t>—</w:t>
            </w:r>
          </w:p>
        </w:tc>
        <w:tc>
          <w:tcPr>
            <w:tcW w:w="18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20"/>
                <w:szCs w:val="20"/>
                <w:color w:val="auto"/>
              </w:rPr>
              <w:t>(67)</w:t>
            </w: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10,925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40" w:type="dxa"/>
            <w:vAlign w:val="bottom"/>
            <w:gridSpan w:val="2"/>
          </w:tcPr>
          <w:p>
            <w:pPr>
              <w:ind w:left="240"/>
              <w:spacing w:after="0"/>
              <w:rPr>
                <w:sz w:val="20"/>
                <w:szCs w:val="20"/>
                <w:color w:val="auto"/>
              </w:rPr>
            </w:pPr>
            <w:r>
              <w:rPr>
                <w:rFonts w:ascii="Arial" w:cs="Arial" w:eastAsia="Arial" w:hAnsi="Arial"/>
                <w:sz w:val="20"/>
                <w:szCs w:val="20"/>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56,240</w:t>
            </w:r>
          </w:p>
        </w:tc>
        <w:tc>
          <w:tcPr>
            <w:tcW w:w="24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37,025</w:t>
            </w:r>
          </w:p>
        </w:tc>
        <w:tc>
          <w:tcPr>
            <w:tcW w:w="24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4,163</w:t>
            </w:r>
          </w:p>
        </w:tc>
        <w:tc>
          <w:tcPr>
            <w:tcW w:w="2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97,428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right="20" w:firstLine="598"/>
        <w:spacing w:after="0" w:line="276" w:lineRule="auto"/>
        <w:rPr>
          <w:sz w:val="20"/>
          <w:szCs w:val="20"/>
          <w:color w:val="auto"/>
        </w:rPr>
      </w:pPr>
      <w:r>
        <w:rPr>
          <w:rFonts w:ascii="Arial" w:cs="Arial" w:eastAsia="Arial" w:hAnsi="Arial"/>
          <w:sz w:val="18"/>
          <w:szCs w:val="18"/>
          <w:color w:val="auto"/>
        </w:rPr>
        <w:t>The Company makes contributions to its funded qualified defined benefit pension plan as required by government regulation or as deemed appropriate by management after considering factors such as the fair value of plan assets, expected returns on such assets, and the present value of benefit obligations of the plan. The Company made voluntary contributions of $200 million to the qualified defined benefit pension plan in 2017. The Company did not make any contributions to the plan in 2016 or 2015. The Company is not required to make contributions to the qualified defined benefit plan in 2018, however, subject to the impact of actual events and circumstances that may occur in 2018, the Company may make contributions, but the amount of any such contributions has not been determined. The Company regularly funds the payment of benefit obligations for the supplemental defined benefit pension and postretirement benefit plans because such plans do not hold assets for investment. Payments made by the Company for supplemental pension benefits were $11,444,000 and $10,772,000 in 2017 and 2016, respectively. Payments made by the Company for postretirement benefits were $7,574,000 and $7,588,000 in 2017 and 2016, respectively. Payments for supplemental pension and other postretirement benefits for 2018 are not expected to differ from those made in 2017 by an amount that will be material to the Company’s consolidated financial position.</w:t>
      </w:r>
    </w:p>
    <w:p>
      <w:pPr>
        <w:spacing w:after="0" w:line="1" w:lineRule="exact"/>
        <w:rPr>
          <w:sz w:val="20"/>
          <w:szCs w:val="20"/>
          <w:color w:val="auto"/>
        </w:rPr>
      </w:pPr>
    </w:p>
    <w:p>
      <w:pPr>
        <w:ind w:right="480" w:firstLine="598"/>
        <w:spacing w:after="0" w:line="256" w:lineRule="auto"/>
        <w:rPr>
          <w:sz w:val="20"/>
          <w:szCs w:val="20"/>
          <w:color w:val="auto"/>
        </w:rPr>
      </w:pPr>
      <w:r>
        <w:rPr>
          <w:rFonts w:ascii="Arial" w:cs="Arial" w:eastAsia="Arial" w:hAnsi="Arial"/>
          <w:sz w:val="20"/>
          <w:szCs w:val="20"/>
          <w:color w:val="auto"/>
        </w:rPr>
        <w:t>Estimated benefits expected to be paid in future years related to the Company’s defined benefit pension and other postretirement benefits plans are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vMerge w:val="restart"/>
          </w:tcPr>
          <w:p>
            <w:pPr>
              <w:jc w:val="right"/>
              <w:ind w:right="490"/>
              <w:spacing w:after="0"/>
              <w:rPr>
                <w:sz w:val="20"/>
                <w:szCs w:val="20"/>
                <w:color w:val="auto"/>
              </w:rPr>
            </w:pPr>
            <w:r>
              <w:rPr>
                <w:rFonts w:ascii="Arial" w:cs="Arial" w:eastAsia="Arial" w:hAnsi="Arial"/>
                <w:sz w:val="14"/>
                <w:szCs w:val="14"/>
                <w:b w:val="1"/>
                <w:bCs w:val="1"/>
                <w:color w:val="auto"/>
              </w:rPr>
              <w:t>Pension</w:t>
            </w:r>
          </w:p>
        </w:tc>
        <w:tc>
          <w:tcPr>
            <w:tcW w:w="30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5"/>
        </w:trPr>
        <w:tc>
          <w:tcPr>
            <w:tcW w:w="8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89"/>
              </w:rPr>
              <w:t>Postretirement</w:t>
            </w:r>
          </w:p>
        </w:tc>
        <w:tc>
          <w:tcPr>
            <w:tcW w:w="0" w:type="dxa"/>
            <w:vAlign w:val="bottom"/>
          </w:tcPr>
          <w:p>
            <w:pPr>
              <w:spacing w:after="0"/>
              <w:rPr>
                <w:sz w:val="1"/>
                <w:szCs w:val="1"/>
                <w:color w:val="auto"/>
              </w:rPr>
            </w:pPr>
          </w:p>
        </w:tc>
      </w:tr>
      <w:tr>
        <w:trPr>
          <w:trHeight w:val="167"/>
        </w:trPr>
        <w:tc>
          <w:tcPr>
            <w:tcW w:w="8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jc w:val="right"/>
              <w:ind w:right="490"/>
              <w:spacing w:after="0"/>
              <w:rPr>
                <w:sz w:val="20"/>
                <w:szCs w:val="20"/>
                <w:color w:val="auto"/>
              </w:rPr>
            </w:pPr>
            <w:r>
              <w:rPr>
                <w:rFonts w:ascii="Arial" w:cs="Arial" w:eastAsia="Arial" w:hAnsi="Arial"/>
                <w:sz w:val="14"/>
                <w:szCs w:val="14"/>
                <w:b w:val="1"/>
                <w:bCs w:val="1"/>
                <w:color w:val="auto"/>
              </w:rPr>
              <w:t>Benefits</w:t>
            </w:r>
          </w:p>
        </w:tc>
        <w:tc>
          <w:tcPr>
            <w:tcW w:w="30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Benefits</w:t>
            </w:r>
          </w:p>
        </w:tc>
        <w:tc>
          <w:tcPr>
            <w:tcW w:w="0" w:type="dxa"/>
            <w:vAlign w:val="bottom"/>
          </w:tcPr>
          <w:p>
            <w:pPr>
              <w:spacing w:after="0"/>
              <w:rPr>
                <w:sz w:val="1"/>
                <w:szCs w:val="1"/>
                <w:color w:val="auto"/>
              </w:rPr>
            </w:pPr>
          </w:p>
        </w:tc>
      </w:tr>
      <w:tr>
        <w:trPr>
          <w:trHeight w:val="151"/>
        </w:trPr>
        <w:tc>
          <w:tcPr>
            <w:tcW w:w="83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740" w:type="dxa"/>
            <w:vAlign w:val="bottom"/>
            <w:tcBorders>
              <w:top w:val="single" w:sz="8" w:color="auto"/>
            </w:tcBorders>
            <w:gridSpan w:val="3"/>
          </w:tcPr>
          <w:p>
            <w:pPr>
              <w:jc w:val="right"/>
              <w:ind w:right="990"/>
              <w:spacing w:after="0" w:line="151"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8300" w:type="dxa"/>
            <w:vAlign w:val="bottom"/>
            <w:shd w:val="clear" w:color="auto" w:fill="CFF0FC"/>
          </w:tcPr>
          <w:p>
            <w:pPr>
              <w:spacing w:after="0"/>
              <w:rPr>
                <w:sz w:val="20"/>
                <w:szCs w:val="20"/>
                <w:color w:val="auto"/>
              </w:rPr>
            </w:pPr>
            <w:r>
              <w:rPr>
                <w:rFonts w:ascii="Arial" w:cs="Arial" w:eastAsia="Arial" w:hAnsi="Arial"/>
                <w:sz w:val="20"/>
                <w:szCs w:val="20"/>
                <w:color w:val="auto"/>
              </w:rPr>
              <w:t>Year ending December 31:</w:t>
            </w:r>
          </w:p>
        </w:tc>
        <w:tc>
          <w:tcPr>
            <w:tcW w:w="28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300" w:type="dxa"/>
            <w:vAlign w:val="bottom"/>
          </w:tcPr>
          <w:p>
            <w:pPr>
              <w:ind w:left="240"/>
              <w:spacing w:after="0"/>
              <w:rPr>
                <w:sz w:val="20"/>
                <w:szCs w:val="20"/>
                <w:color w:val="auto"/>
              </w:rPr>
            </w:pPr>
            <w:r>
              <w:rPr>
                <w:rFonts w:ascii="Arial" w:cs="Arial" w:eastAsia="Arial" w:hAnsi="Arial"/>
                <w:sz w:val="20"/>
                <w:szCs w:val="20"/>
                <w:color w:val="auto"/>
              </w:rPr>
              <w:t>2018</w:t>
            </w:r>
          </w:p>
        </w:tc>
        <w:tc>
          <w:tcPr>
            <w:tcW w:w="280" w:type="dxa"/>
            <w:vAlign w:val="bottom"/>
          </w:tcPr>
          <w:p>
            <w:pPr>
              <w:jc w:val="right"/>
              <w:ind w:right="79"/>
              <w:spacing w:after="0"/>
              <w:rPr>
                <w:sz w:val="20"/>
                <w:szCs w:val="20"/>
                <w:color w:val="auto"/>
              </w:rPr>
            </w:pPr>
            <w:r>
              <w:rPr>
                <w:rFonts w:ascii="Arial" w:cs="Arial" w:eastAsia="Arial" w:hAnsi="Arial"/>
                <w:sz w:val="20"/>
                <w:szCs w:val="20"/>
                <w:color w:val="auto"/>
                <w:w w:val="71"/>
              </w:rPr>
              <w:t>$</w:t>
            </w:r>
          </w:p>
        </w:tc>
        <w:tc>
          <w:tcPr>
            <w:tcW w:w="1220" w:type="dxa"/>
            <w:vAlign w:val="bottom"/>
          </w:tcPr>
          <w:p>
            <w:pPr>
              <w:jc w:val="right"/>
              <w:ind w:right="50"/>
              <w:spacing w:after="0"/>
              <w:rPr>
                <w:sz w:val="20"/>
                <w:szCs w:val="20"/>
                <w:color w:val="auto"/>
              </w:rPr>
            </w:pPr>
            <w:r>
              <w:rPr>
                <w:rFonts w:ascii="Arial" w:cs="Arial" w:eastAsia="Arial" w:hAnsi="Arial"/>
                <w:sz w:val="20"/>
                <w:szCs w:val="20"/>
                <w:color w:val="auto"/>
              </w:rPr>
              <w:t>88,407</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1220" w:type="dxa"/>
            <w:vAlign w:val="bottom"/>
          </w:tcPr>
          <w:p>
            <w:pPr>
              <w:jc w:val="right"/>
              <w:spacing w:after="0"/>
              <w:rPr>
                <w:sz w:val="20"/>
                <w:szCs w:val="20"/>
                <w:color w:val="auto"/>
              </w:rPr>
            </w:pPr>
            <w:r>
              <w:rPr>
                <w:rFonts w:ascii="Arial" w:cs="Arial" w:eastAsia="Arial" w:hAnsi="Arial"/>
                <w:sz w:val="20"/>
                <w:szCs w:val="20"/>
                <w:color w:val="auto"/>
              </w:rPr>
              <w:t>7,318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300" w:type="dxa"/>
            <w:vAlign w:val="bottom"/>
            <w:shd w:val="clear" w:color="auto" w:fill="CFF0FC"/>
          </w:tcPr>
          <w:p>
            <w:pPr>
              <w:ind w:left="240"/>
              <w:spacing w:after="0"/>
              <w:rPr>
                <w:sz w:val="20"/>
                <w:szCs w:val="20"/>
                <w:color w:val="auto"/>
              </w:rPr>
            </w:pPr>
            <w:r>
              <w:rPr>
                <w:rFonts w:ascii="Arial" w:cs="Arial" w:eastAsia="Arial" w:hAnsi="Arial"/>
                <w:sz w:val="20"/>
                <w:szCs w:val="20"/>
                <w:color w:val="auto"/>
              </w:rPr>
              <w:t>2019</w:t>
            </w:r>
          </w:p>
        </w:tc>
        <w:tc>
          <w:tcPr>
            <w:tcW w:w="28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50"/>
              <w:spacing w:after="0"/>
              <w:rPr>
                <w:sz w:val="20"/>
                <w:szCs w:val="20"/>
                <w:color w:val="auto"/>
              </w:rPr>
            </w:pPr>
            <w:r>
              <w:rPr>
                <w:rFonts w:ascii="Arial" w:cs="Arial" w:eastAsia="Arial" w:hAnsi="Arial"/>
                <w:sz w:val="20"/>
                <w:szCs w:val="20"/>
                <w:color w:val="auto"/>
              </w:rPr>
              <w:t>94,317</w:t>
            </w:r>
          </w:p>
        </w:tc>
        <w:tc>
          <w:tcPr>
            <w:tcW w:w="30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7,207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300" w:type="dxa"/>
            <w:vAlign w:val="bottom"/>
          </w:tcPr>
          <w:p>
            <w:pPr>
              <w:ind w:left="240"/>
              <w:spacing w:after="0"/>
              <w:rPr>
                <w:sz w:val="20"/>
                <w:szCs w:val="20"/>
                <w:color w:val="auto"/>
              </w:rPr>
            </w:pPr>
            <w:r>
              <w:rPr>
                <w:rFonts w:ascii="Arial" w:cs="Arial" w:eastAsia="Arial" w:hAnsi="Arial"/>
                <w:sz w:val="20"/>
                <w:szCs w:val="20"/>
                <w:color w:val="auto"/>
              </w:rPr>
              <w:t>2020</w:t>
            </w:r>
          </w:p>
        </w:tc>
        <w:tc>
          <w:tcPr>
            <w:tcW w:w="280" w:type="dxa"/>
            <w:vAlign w:val="bottom"/>
          </w:tcPr>
          <w:p>
            <w:pPr>
              <w:spacing w:after="0"/>
              <w:rPr>
                <w:sz w:val="21"/>
                <w:szCs w:val="21"/>
                <w:color w:val="auto"/>
              </w:rPr>
            </w:pPr>
          </w:p>
        </w:tc>
        <w:tc>
          <w:tcPr>
            <w:tcW w:w="1220" w:type="dxa"/>
            <w:vAlign w:val="bottom"/>
          </w:tcPr>
          <w:p>
            <w:pPr>
              <w:jc w:val="right"/>
              <w:ind w:right="50"/>
              <w:spacing w:after="0"/>
              <w:rPr>
                <w:sz w:val="20"/>
                <w:szCs w:val="20"/>
                <w:color w:val="auto"/>
              </w:rPr>
            </w:pPr>
            <w:r>
              <w:rPr>
                <w:rFonts w:ascii="Arial" w:cs="Arial" w:eastAsia="Arial" w:hAnsi="Arial"/>
                <w:sz w:val="20"/>
                <w:szCs w:val="20"/>
                <w:color w:val="auto"/>
              </w:rPr>
              <w:t>98,753</w:t>
            </w: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7,055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300" w:type="dxa"/>
            <w:vAlign w:val="bottom"/>
            <w:shd w:val="clear" w:color="auto" w:fill="CFF0FC"/>
          </w:tcPr>
          <w:p>
            <w:pPr>
              <w:ind w:left="240"/>
              <w:spacing w:after="0"/>
              <w:rPr>
                <w:sz w:val="20"/>
                <w:szCs w:val="20"/>
                <w:color w:val="auto"/>
              </w:rPr>
            </w:pPr>
            <w:r>
              <w:rPr>
                <w:rFonts w:ascii="Arial" w:cs="Arial" w:eastAsia="Arial" w:hAnsi="Arial"/>
                <w:sz w:val="20"/>
                <w:szCs w:val="20"/>
                <w:color w:val="auto"/>
              </w:rPr>
              <w:t>2021</w:t>
            </w:r>
          </w:p>
        </w:tc>
        <w:tc>
          <w:tcPr>
            <w:tcW w:w="28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50"/>
              <w:spacing w:after="0"/>
              <w:rPr>
                <w:sz w:val="20"/>
                <w:szCs w:val="20"/>
                <w:color w:val="auto"/>
              </w:rPr>
            </w:pPr>
            <w:r>
              <w:rPr>
                <w:rFonts w:ascii="Arial" w:cs="Arial" w:eastAsia="Arial" w:hAnsi="Arial"/>
                <w:sz w:val="20"/>
                <w:szCs w:val="20"/>
                <w:color w:val="auto"/>
              </w:rPr>
              <w:t>103,968</w:t>
            </w:r>
          </w:p>
        </w:tc>
        <w:tc>
          <w:tcPr>
            <w:tcW w:w="30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4,402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300" w:type="dxa"/>
            <w:vAlign w:val="bottom"/>
          </w:tcPr>
          <w:p>
            <w:pPr>
              <w:ind w:left="240"/>
              <w:spacing w:after="0"/>
              <w:rPr>
                <w:sz w:val="20"/>
                <w:szCs w:val="20"/>
                <w:color w:val="auto"/>
              </w:rPr>
            </w:pPr>
            <w:r>
              <w:rPr>
                <w:rFonts w:ascii="Arial" w:cs="Arial" w:eastAsia="Arial" w:hAnsi="Arial"/>
                <w:sz w:val="20"/>
                <w:szCs w:val="20"/>
                <w:color w:val="auto"/>
              </w:rPr>
              <w:t>2022</w:t>
            </w:r>
          </w:p>
        </w:tc>
        <w:tc>
          <w:tcPr>
            <w:tcW w:w="280" w:type="dxa"/>
            <w:vAlign w:val="bottom"/>
          </w:tcPr>
          <w:p>
            <w:pPr>
              <w:spacing w:after="0"/>
              <w:rPr>
                <w:sz w:val="21"/>
                <w:szCs w:val="21"/>
                <w:color w:val="auto"/>
              </w:rPr>
            </w:pPr>
          </w:p>
        </w:tc>
        <w:tc>
          <w:tcPr>
            <w:tcW w:w="1220" w:type="dxa"/>
            <w:vAlign w:val="bottom"/>
          </w:tcPr>
          <w:p>
            <w:pPr>
              <w:jc w:val="right"/>
              <w:ind w:right="50"/>
              <w:spacing w:after="0"/>
              <w:rPr>
                <w:sz w:val="20"/>
                <w:szCs w:val="20"/>
                <w:color w:val="auto"/>
              </w:rPr>
            </w:pPr>
            <w:r>
              <w:rPr>
                <w:rFonts w:ascii="Arial" w:cs="Arial" w:eastAsia="Arial" w:hAnsi="Arial"/>
                <w:sz w:val="20"/>
                <w:szCs w:val="20"/>
                <w:color w:val="auto"/>
              </w:rPr>
              <w:t>107,298</w:t>
            </w: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4,302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300" w:type="dxa"/>
            <w:vAlign w:val="bottom"/>
            <w:shd w:val="clear" w:color="auto" w:fill="CFF0FC"/>
          </w:tcPr>
          <w:p>
            <w:pPr>
              <w:ind w:left="240"/>
              <w:spacing w:after="0"/>
              <w:rPr>
                <w:sz w:val="20"/>
                <w:szCs w:val="20"/>
                <w:color w:val="auto"/>
              </w:rPr>
            </w:pPr>
            <w:r>
              <w:rPr>
                <w:rFonts w:ascii="Arial" w:cs="Arial" w:eastAsia="Arial" w:hAnsi="Arial"/>
                <w:sz w:val="20"/>
                <w:szCs w:val="20"/>
                <w:color w:val="auto"/>
              </w:rPr>
              <w:t>2023 through 2027</w:t>
            </w:r>
          </w:p>
        </w:tc>
        <w:tc>
          <w:tcPr>
            <w:tcW w:w="28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50"/>
              <w:spacing w:after="0"/>
              <w:rPr>
                <w:sz w:val="20"/>
                <w:szCs w:val="20"/>
                <w:color w:val="auto"/>
              </w:rPr>
            </w:pPr>
            <w:r>
              <w:rPr>
                <w:rFonts w:ascii="Arial" w:cs="Arial" w:eastAsia="Arial" w:hAnsi="Arial"/>
                <w:sz w:val="20"/>
                <w:szCs w:val="20"/>
                <w:color w:val="auto"/>
              </w:rPr>
              <w:t>594,900</w:t>
            </w:r>
          </w:p>
        </w:tc>
        <w:tc>
          <w:tcPr>
            <w:tcW w:w="30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19,830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ind w:right="140" w:firstLine="598"/>
        <w:spacing w:after="0" w:line="275" w:lineRule="auto"/>
        <w:rPr>
          <w:sz w:val="20"/>
          <w:szCs w:val="20"/>
          <w:color w:val="auto"/>
        </w:rPr>
      </w:pPr>
      <w:r>
        <w:rPr>
          <w:rFonts w:ascii="Arial" w:cs="Arial" w:eastAsia="Arial" w:hAnsi="Arial"/>
          <w:sz w:val="20"/>
          <w:szCs w:val="20"/>
          <w:color w:val="auto"/>
        </w:rPr>
        <w:t>The Company has a retirement savings plan (“RSP”) that is a defined contribution plan in which eligible employees of the Company may defer up to 50% of qualified compensation via</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47" w:right="239" w:bottom="1440" w:gutter="0" w:footer="0" w:header="0"/>
        </w:sectPr>
      </w:pPr>
    </w:p>
    <w:bookmarkStart w:id="154" w:name="page155"/>
    <w:bookmarkEnd w:id="154"/>
    <w:p>
      <w:pPr>
        <w:ind w:right="20"/>
        <w:spacing w:after="0" w:line="293" w:lineRule="auto"/>
        <w:rPr>
          <w:sz w:val="20"/>
          <w:szCs w:val="20"/>
          <w:color w:val="auto"/>
        </w:rPr>
      </w:pPr>
      <w:r>
        <w:rPr>
          <w:rFonts w:ascii="Arial" w:cs="Arial" w:eastAsia="Arial" w:hAnsi="Arial"/>
          <w:sz w:val="18"/>
          <w:szCs w:val="18"/>
          <w:color w:val="auto"/>
        </w:rPr>
        <w:t>contributions to the plan. The Company makes an employer matching contribution in an amount equal to 75% of an employee’s contribution, up to 4.5% of the employee’s qualified compensation. Employees’ accounts, including employee contributions, employer matching contributions and accumulated earnings thereon, are at all times fully vested and nonforfeitable. Employee benefits expense resulting from the Company’s contributions to the RSP totaled $38,229,000, $36,766,000 and $34,145,000 in 2017, 2016 and 2015, respectively.</w:t>
      </w:r>
    </w:p>
    <w:p>
      <w:pPr>
        <w:spacing w:after="0" w:line="325"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13.</w:t>
      </w:r>
      <w:r>
        <w:rPr>
          <w:sz w:val="20"/>
          <w:szCs w:val="20"/>
          <w:color w:val="auto"/>
        </w:rPr>
        <w:tab/>
      </w:r>
      <w:r>
        <w:rPr>
          <w:rFonts w:ascii="Arial" w:cs="Arial" w:eastAsia="Arial" w:hAnsi="Arial"/>
          <w:sz w:val="17"/>
          <w:szCs w:val="17"/>
          <w:b w:val="1"/>
          <w:bCs w:val="1"/>
          <w:color w:val="auto"/>
        </w:rPr>
        <w:t>Income taxes</w:t>
      </w:r>
    </w:p>
    <w:p>
      <w:pPr>
        <w:spacing w:after="0" w:line="29" w:lineRule="exact"/>
        <w:rPr>
          <w:sz w:val="20"/>
          <w:szCs w:val="20"/>
          <w:color w:val="auto"/>
        </w:rPr>
      </w:pPr>
    </w:p>
    <w:p>
      <w:pPr>
        <w:spacing w:after="0"/>
        <w:rPr>
          <w:sz w:val="20"/>
          <w:szCs w:val="20"/>
          <w:color w:val="auto"/>
        </w:rPr>
      </w:pPr>
      <w:r>
        <w:rPr>
          <w:rFonts w:ascii="Arial" w:cs="Arial" w:eastAsia="Arial" w:hAnsi="Arial"/>
          <w:sz w:val="20"/>
          <w:szCs w:val="20"/>
          <w:color w:val="auto"/>
        </w:rPr>
        <w:t>The components of income tax expense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0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6"/>
          </w:tcPr>
          <w:p>
            <w:pPr>
              <w:jc w:val="center"/>
              <w:ind w:left="449"/>
              <w:spacing w:after="0"/>
              <w:rPr>
                <w:sz w:val="20"/>
                <w:szCs w:val="20"/>
                <w:color w:val="auto"/>
              </w:rPr>
            </w:pPr>
            <w:r>
              <w:rPr>
                <w:rFonts w:ascii="Arial" w:cs="Arial" w:eastAsia="Arial" w:hAnsi="Arial"/>
                <w:sz w:val="14"/>
                <w:szCs w:val="14"/>
                <w:b w:val="1"/>
                <w:bCs w:val="1"/>
                <w:color w:val="auto"/>
                <w:w w:val="89"/>
              </w:rPr>
              <w:t>Year Ended December 31</w:t>
            </w:r>
          </w:p>
        </w:tc>
        <w:tc>
          <w:tcPr>
            <w:tcW w:w="7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1"/>
        </w:trPr>
        <w:tc>
          <w:tcPr>
            <w:tcW w:w="80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29"/>
              <w:spacing w:after="0" w:line="151"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107"/>
              <w:spacing w:after="0" w:line="151" w:lineRule="exact"/>
              <w:rPr>
                <w:sz w:val="20"/>
                <w:szCs w:val="20"/>
                <w:color w:val="auto"/>
              </w:rPr>
            </w:pPr>
            <w:r>
              <w:rPr>
                <w:rFonts w:ascii="Arial" w:cs="Arial" w:eastAsia="Arial" w:hAnsi="Arial"/>
                <w:sz w:val="14"/>
                <w:szCs w:val="14"/>
                <w:b w:val="1"/>
                <w:bCs w:val="1"/>
                <w:color w:val="auto"/>
                <w:w w:val="89"/>
              </w:rPr>
              <w:t>2016</w:t>
            </w:r>
          </w:p>
        </w:tc>
        <w:tc>
          <w:tcPr>
            <w:tcW w:w="2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27"/>
              <w:spacing w:after="0" w:line="151"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3"/>
                <w:szCs w:val="13"/>
                <w:color w:val="auto"/>
              </w:rPr>
            </w:pPr>
          </w:p>
        </w:tc>
      </w:tr>
      <w:tr>
        <w:trPr>
          <w:trHeight w:val="151"/>
        </w:trPr>
        <w:tc>
          <w:tcPr>
            <w:tcW w:w="8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gridSpan w:val="3"/>
          </w:tcPr>
          <w:p>
            <w:pPr>
              <w:jc w:val="center"/>
              <w:ind w:right="260"/>
              <w:spacing w:after="0" w:line="151" w:lineRule="exact"/>
              <w:rPr>
                <w:sz w:val="20"/>
                <w:szCs w:val="20"/>
                <w:color w:val="auto"/>
              </w:rPr>
            </w:pPr>
            <w:r>
              <w:rPr>
                <w:rFonts w:ascii="Arial" w:cs="Arial" w:eastAsia="Arial" w:hAnsi="Arial"/>
                <w:sz w:val="14"/>
                <w:szCs w:val="14"/>
                <w:b w:val="1"/>
                <w:bCs w:val="1"/>
                <w:color w:val="auto"/>
                <w:w w:val="89"/>
              </w:rPr>
              <w:t>(In thousands)</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7"/>
        </w:trPr>
        <w:tc>
          <w:tcPr>
            <w:tcW w:w="8000" w:type="dxa"/>
            <w:vAlign w:val="bottom"/>
            <w:shd w:val="clear" w:color="auto" w:fill="CFF0FC"/>
          </w:tcPr>
          <w:p>
            <w:pPr>
              <w:spacing w:after="0"/>
              <w:rPr>
                <w:sz w:val="20"/>
                <w:szCs w:val="20"/>
                <w:color w:val="auto"/>
              </w:rPr>
            </w:pPr>
            <w:r>
              <w:rPr>
                <w:rFonts w:ascii="Arial" w:cs="Arial" w:eastAsia="Arial" w:hAnsi="Arial"/>
                <w:sz w:val="19"/>
                <w:szCs w:val="19"/>
                <w:color w:val="auto"/>
              </w:rPr>
              <w:t>Current</w:t>
            </w:r>
          </w:p>
        </w:tc>
        <w:tc>
          <w:tcPr>
            <w:tcW w:w="2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37"/>
        </w:trPr>
        <w:tc>
          <w:tcPr>
            <w:tcW w:w="8000" w:type="dxa"/>
            <w:vAlign w:val="bottom"/>
          </w:tcPr>
          <w:p>
            <w:pPr>
              <w:ind w:left="240"/>
              <w:spacing w:after="0"/>
              <w:rPr>
                <w:sz w:val="20"/>
                <w:szCs w:val="20"/>
                <w:color w:val="auto"/>
              </w:rPr>
            </w:pPr>
            <w:r>
              <w:rPr>
                <w:rFonts w:ascii="Arial" w:cs="Arial" w:eastAsia="Arial" w:hAnsi="Arial"/>
                <w:sz w:val="19"/>
                <w:szCs w:val="19"/>
                <w:color w:val="auto"/>
              </w:rPr>
              <w:t>Federal</w:t>
            </w:r>
          </w:p>
        </w:tc>
        <w:tc>
          <w:tcPr>
            <w:tcW w:w="200" w:type="dxa"/>
            <w:vAlign w:val="bottom"/>
          </w:tcPr>
          <w:p>
            <w:pPr>
              <w:jc w:val="right"/>
              <w:ind w:right="4"/>
              <w:spacing w:after="0"/>
              <w:rPr>
                <w:sz w:val="20"/>
                <w:szCs w:val="20"/>
                <w:color w:val="auto"/>
              </w:rPr>
            </w:pPr>
            <w:r>
              <w:rPr>
                <w:rFonts w:ascii="Arial" w:cs="Arial" w:eastAsia="Arial" w:hAnsi="Arial"/>
                <w:sz w:val="19"/>
                <w:szCs w:val="19"/>
                <w:color w:val="auto"/>
                <w:w w:val="75"/>
              </w:rPr>
              <w:t>$</w:t>
            </w:r>
          </w:p>
        </w:tc>
        <w:tc>
          <w:tcPr>
            <w:tcW w:w="720" w:type="dxa"/>
            <w:vAlign w:val="bottom"/>
          </w:tcPr>
          <w:p>
            <w:pPr>
              <w:jc w:val="right"/>
              <w:spacing w:after="0"/>
              <w:rPr>
                <w:sz w:val="20"/>
                <w:szCs w:val="20"/>
                <w:color w:val="auto"/>
              </w:rPr>
            </w:pPr>
            <w:r>
              <w:rPr>
                <w:rFonts w:ascii="Arial" w:cs="Arial" w:eastAsia="Arial" w:hAnsi="Arial"/>
                <w:sz w:val="19"/>
                <w:szCs w:val="19"/>
                <w:color w:val="auto"/>
              </w:rPr>
              <w:t>363,043</w:t>
            </w:r>
          </w:p>
        </w:tc>
        <w:tc>
          <w:tcPr>
            <w:tcW w:w="460" w:type="dxa"/>
            <w:vAlign w:val="bottom"/>
            <w:gridSpan w:val="2"/>
          </w:tcPr>
          <w:p>
            <w:pPr>
              <w:jc w:val="right"/>
              <w:ind w:right="17"/>
              <w:spacing w:after="0"/>
              <w:rPr>
                <w:sz w:val="20"/>
                <w:szCs w:val="20"/>
                <w:color w:val="auto"/>
              </w:rPr>
            </w:pPr>
            <w:r>
              <w:rPr>
                <w:rFonts w:ascii="Arial" w:cs="Arial" w:eastAsia="Arial" w:hAnsi="Arial"/>
                <w:sz w:val="19"/>
                <w:szCs w:val="19"/>
                <w:color w:val="auto"/>
              </w:rPr>
              <w:t>$</w:t>
            </w:r>
          </w:p>
        </w:tc>
        <w:tc>
          <w:tcPr>
            <w:tcW w:w="720" w:type="dxa"/>
            <w:vAlign w:val="bottom"/>
          </w:tcPr>
          <w:p>
            <w:pPr>
              <w:jc w:val="right"/>
              <w:spacing w:after="0"/>
              <w:rPr>
                <w:sz w:val="20"/>
                <w:szCs w:val="20"/>
                <w:color w:val="auto"/>
              </w:rPr>
            </w:pPr>
            <w:r>
              <w:rPr>
                <w:rFonts w:ascii="Arial" w:cs="Arial" w:eastAsia="Arial" w:hAnsi="Arial"/>
                <w:sz w:val="19"/>
                <w:szCs w:val="19"/>
                <w:color w:val="auto"/>
              </w:rPr>
              <w:t>428,750</w:t>
            </w:r>
          </w:p>
        </w:tc>
        <w:tc>
          <w:tcPr>
            <w:tcW w:w="280" w:type="dxa"/>
            <w:vAlign w:val="bottom"/>
          </w:tcPr>
          <w:p>
            <w:pPr>
              <w:spacing w:after="0"/>
              <w:rPr>
                <w:sz w:val="20"/>
                <w:szCs w:val="20"/>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9"/>
                <w:szCs w:val="19"/>
                <w:color w:val="auto"/>
              </w:rPr>
              <w:t>130,349</w:t>
            </w:r>
          </w:p>
        </w:tc>
        <w:tc>
          <w:tcPr>
            <w:tcW w:w="120" w:type="dxa"/>
            <w:vAlign w:val="bottom"/>
          </w:tcPr>
          <w:p>
            <w:pPr>
              <w:spacing w:after="0"/>
              <w:rPr>
                <w:sz w:val="20"/>
                <w:szCs w:val="20"/>
                <w:color w:val="auto"/>
              </w:rPr>
            </w:pPr>
          </w:p>
        </w:tc>
      </w:tr>
      <w:tr>
        <w:trPr>
          <w:trHeight w:val="237"/>
        </w:trPr>
        <w:tc>
          <w:tcPr>
            <w:tcW w:w="8000" w:type="dxa"/>
            <w:vAlign w:val="bottom"/>
            <w:shd w:val="clear" w:color="auto" w:fill="CFF0FC"/>
          </w:tcPr>
          <w:p>
            <w:pPr>
              <w:ind w:left="240"/>
              <w:spacing w:after="0"/>
              <w:rPr>
                <w:sz w:val="20"/>
                <w:szCs w:val="20"/>
                <w:color w:val="auto"/>
              </w:rPr>
            </w:pPr>
            <w:r>
              <w:rPr>
                <w:rFonts w:ascii="Arial" w:cs="Arial" w:eastAsia="Arial" w:hAnsi="Arial"/>
                <w:sz w:val="19"/>
                <w:szCs w:val="19"/>
                <w:color w:val="auto"/>
              </w:rPr>
              <w:t>State and local</w:t>
            </w:r>
          </w:p>
        </w:tc>
        <w:tc>
          <w:tcPr>
            <w:tcW w:w="20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94,714</w:t>
            </w:r>
          </w:p>
        </w:tc>
        <w:tc>
          <w:tcPr>
            <w:tcW w:w="26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95,426</w:t>
            </w:r>
          </w:p>
        </w:tc>
        <w:tc>
          <w:tcPr>
            <w:tcW w:w="28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21,549</w:t>
            </w:r>
          </w:p>
        </w:tc>
        <w:tc>
          <w:tcPr>
            <w:tcW w:w="120" w:type="dxa"/>
            <w:vAlign w:val="bottom"/>
            <w:shd w:val="clear" w:color="auto" w:fill="CFF0FC"/>
          </w:tcPr>
          <w:p>
            <w:pPr>
              <w:spacing w:after="0"/>
              <w:rPr>
                <w:sz w:val="20"/>
                <w:szCs w:val="20"/>
                <w:color w:val="auto"/>
              </w:rPr>
            </w:pPr>
          </w:p>
        </w:tc>
      </w:tr>
      <w:tr>
        <w:trPr>
          <w:trHeight w:val="230"/>
        </w:trPr>
        <w:tc>
          <w:tcPr>
            <w:tcW w:w="8000" w:type="dxa"/>
            <w:vAlign w:val="bottom"/>
            <w:tcBorders>
              <w:bottom w:val="single" w:sz="8" w:color="CFF0FC"/>
            </w:tcBorders>
          </w:tcPr>
          <w:p>
            <w:pPr>
              <w:ind w:left="480"/>
              <w:spacing w:after="0"/>
              <w:rPr>
                <w:sz w:val="20"/>
                <w:szCs w:val="20"/>
                <w:color w:val="auto"/>
              </w:rPr>
            </w:pPr>
            <w:r>
              <w:rPr>
                <w:rFonts w:ascii="Arial" w:cs="Arial" w:eastAsia="Arial" w:hAnsi="Arial"/>
                <w:sz w:val="19"/>
                <w:szCs w:val="19"/>
                <w:color w:val="auto"/>
              </w:rPr>
              <w:t>Total current</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457,757</w:t>
            </w:r>
          </w:p>
        </w:tc>
        <w:tc>
          <w:tcPr>
            <w:tcW w:w="2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524,176</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151,898</w:t>
            </w:r>
          </w:p>
        </w:tc>
        <w:tc>
          <w:tcPr>
            <w:tcW w:w="120" w:type="dxa"/>
            <w:vAlign w:val="bottom"/>
            <w:tcBorders>
              <w:bottom w:val="single" w:sz="8" w:color="CFF0FC"/>
            </w:tcBorders>
          </w:tcPr>
          <w:p>
            <w:pPr>
              <w:spacing w:after="0"/>
              <w:rPr>
                <w:sz w:val="19"/>
                <w:szCs w:val="19"/>
                <w:color w:val="auto"/>
              </w:rPr>
            </w:pPr>
          </w:p>
        </w:tc>
      </w:tr>
      <w:tr>
        <w:trPr>
          <w:trHeight w:val="230"/>
        </w:trPr>
        <w:tc>
          <w:tcPr>
            <w:tcW w:w="8000" w:type="dxa"/>
            <w:vAlign w:val="bottom"/>
            <w:shd w:val="clear" w:color="auto" w:fill="CFF0FC"/>
          </w:tcPr>
          <w:p>
            <w:pPr>
              <w:spacing w:after="0"/>
              <w:rPr>
                <w:sz w:val="20"/>
                <w:szCs w:val="20"/>
                <w:color w:val="auto"/>
              </w:rPr>
            </w:pPr>
            <w:r>
              <w:rPr>
                <w:rFonts w:ascii="Arial" w:cs="Arial" w:eastAsia="Arial" w:hAnsi="Arial"/>
                <w:sz w:val="19"/>
                <w:szCs w:val="19"/>
                <w:color w:val="auto"/>
              </w:rPr>
              <w:t>Deferred</w:t>
            </w: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7"/>
        </w:trPr>
        <w:tc>
          <w:tcPr>
            <w:tcW w:w="8000" w:type="dxa"/>
            <w:vAlign w:val="bottom"/>
          </w:tcPr>
          <w:p>
            <w:pPr>
              <w:ind w:left="240"/>
              <w:spacing w:after="0"/>
              <w:rPr>
                <w:sz w:val="20"/>
                <w:szCs w:val="20"/>
                <w:color w:val="auto"/>
              </w:rPr>
            </w:pPr>
            <w:r>
              <w:rPr>
                <w:rFonts w:ascii="Arial" w:cs="Arial" w:eastAsia="Arial" w:hAnsi="Arial"/>
                <w:sz w:val="19"/>
                <w:szCs w:val="19"/>
                <w:color w:val="auto"/>
              </w:rPr>
              <w:t>Federal</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367,308</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147,662</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324,317</w:t>
            </w:r>
          </w:p>
        </w:tc>
        <w:tc>
          <w:tcPr>
            <w:tcW w:w="120" w:type="dxa"/>
            <w:vAlign w:val="bottom"/>
          </w:tcPr>
          <w:p>
            <w:pPr>
              <w:spacing w:after="0"/>
              <w:rPr>
                <w:sz w:val="20"/>
                <w:szCs w:val="20"/>
                <w:color w:val="auto"/>
              </w:rPr>
            </w:pPr>
          </w:p>
        </w:tc>
      </w:tr>
      <w:tr>
        <w:trPr>
          <w:trHeight w:val="237"/>
        </w:trPr>
        <w:tc>
          <w:tcPr>
            <w:tcW w:w="8000" w:type="dxa"/>
            <w:vAlign w:val="bottom"/>
            <w:shd w:val="clear" w:color="auto" w:fill="CFF0FC"/>
          </w:tcPr>
          <w:p>
            <w:pPr>
              <w:ind w:left="240"/>
              <w:spacing w:after="0"/>
              <w:rPr>
                <w:sz w:val="20"/>
                <w:szCs w:val="20"/>
                <w:color w:val="auto"/>
              </w:rPr>
            </w:pPr>
            <w:r>
              <w:rPr>
                <w:rFonts w:ascii="Arial" w:cs="Arial" w:eastAsia="Arial" w:hAnsi="Arial"/>
                <w:sz w:val="19"/>
                <w:szCs w:val="19"/>
                <w:color w:val="auto"/>
              </w:rPr>
              <w:t>State and local</w:t>
            </w:r>
          </w:p>
        </w:tc>
        <w:tc>
          <w:tcPr>
            <w:tcW w:w="20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33,482</w:t>
            </w:r>
          </w:p>
        </w:tc>
        <w:tc>
          <w:tcPr>
            <w:tcW w:w="26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26,351</w:t>
            </w:r>
          </w:p>
        </w:tc>
        <w:tc>
          <w:tcPr>
            <w:tcW w:w="28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72,279</w:t>
            </w:r>
          </w:p>
        </w:tc>
        <w:tc>
          <w:tcPr>
            <w:tcW w:w="120" w:type="dxa"/>
            <w:vAlign w:val="bottom"/>
            <w:shd w:val="clear" w:color="auto" w:fill="CFF0FC"/>
          </w:tcPr>
          <w:p>
            <w:pPr>
              <w:spacing w:after="0"/>
              <w:rPr>
                <w:sz w:val="20"/>
                <w:szCs w:val="20"/>
                <w:color w:val="auto"/>
              </w:rPr>
            </w:pPr>
          </w:p>
        </w:tc>
      </w:tr>
      <w:tr>
        <w:trPr>
          <w:trHeight w:val="230"/>
        </w:trPr>
        <w:tc>
          <w:tcPr>
            <w:tcW w:w="8000" w:type="dxa"/>
            <w:vAlign w:val="bottom"/>
            <w:tcBorders>
              <w:bottom w:val="single" w:sz="8" w:color="CFF0FC"/>
            </w:tcBorders>
          </w:tcPr>
          <w:p>
            <w:pPr>
              <w:ind w:left="480"/>
              <w:spacing w:after="0"/>
              <w:rPr>
                <w:sz w:val="20"/>
                <w:szCs w:val="20"/>
                <w:color w:val="auto"/>
              </w:rPr>
            </w:pPr>
            <w:r>
              <w:rPr>
                <w:rFonts w:ascii="Arial" w:cs="Arial" w:eastAsia="Arial" w:hAnsi="Arial"/>
                <w:sz w:val="19"/>
                <w:szCs w:val="19"/>
                <w:color w:val="auto"/>
              </w:rPr>
              <w:t>Total deferred</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400,790</w:t>
            </w:r>
          </w:p>
        </w:tc>
        <w:tc>
          <w:tcPr>
            <w:tcW w:w="2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174,013</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396,596</w:t>
            </w:r>
          </w:p>
        </w:tc>
        <w:tc>
          <w:tcPr>
            <w:tcW w:w="120" w:type="dxa"/>
            <w:vAlign w:val="bottom"/>
            <w:tcBorders>
              <w:bottom w:val="single" w:sz="8" w:color="CFF0FC"/>
            </w:tcBorders>
          </w:tcPr>
          <w:p>
            <w:pPr>
              <w:spacing w:after="0"/>
              <w:rPr>
                <w:sz w:val="19"/>
                <w:szCs w:val="19"/>
                <w:color w:val="auto"/>
              </w:rPr>
            </w:pPr>
          </w:p>
        </w:tc>
      </w:tr>
      <w:tr>
        <w:trPr>
          <w:trHeight w:val="230"/>
        </w:trPr>
        <w:tc>
          <w:tcPr>
            <w:tcW w:w="8000" w:type="dxa"/>
            <w:vAlign w:val="bottom"/>
            <w:shd w:val="clear" w:color="auto" w:fill="CFF0FC"/>
          </w:tcPr>
          <w:p>
            <w:pPr>
              <w:spacing w:after="0"/>
              <w:rPr>
                <w:sz w:val="20"/>
                <w:szCs w:val="20"/>
                <w:color w:val="auto"/>
              </w:rPr>
            </w:pPr>
            <w:r>
              <w:rPr>
                <w:rFonts w:ascii="Arial" w:cs="Arial" w:eastAsia="Arial" w:hAnsi="Arial"/>
                <w:sz w:val="19"/>
                <w:szCs w:val="19"/>
                <w:color w:val="auto"/>
              </w:rPr>
              <w:t>Amortization of investments in qualified affordable housing projects</w:t>
            </w:r>
          </w:p>
        </w:tc>
        <w:tc>
          <w:tcPr>
            <w:tcW w:w="2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57,009</w:t>
            </w:r>
          </w:p>
        </w:tc>
        <w:tc>
          <w:tcPr>
            <w:tcW w:w="2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45,095</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46,531</w:t>
            </w:r>
          </w:p>
        </w:tc>
        <w:tc>
          <w:tcPr>
            <w:tcW w:w="120" w:type="dxa"/>
            <w:vAlign w:val="bottom"/>
            <w:shd w:val="clear" w:color="auto" w:fill="CFF0FC"/>
          </w:tcPr>
          <w:p>
            <w:pPr>
              <w:spacing w:after="0"/>
              <w:rPr>
                <w:sz w:val="19"/>
                <w:szCs w:val="19"/>
                <w:color w:val="auto"/>
              </w:rPr>
            </w:pPr>
          </w:p>
        </w:tc>
      </w:tr>
      <w:tr>
        <w:trPr>
          <w:trHeight w:val="230"/>
        </w:trPr>
        <w:tc>
          <w:tcPr>
            <w:tcW w:w="8000" w:type="dxa"/>
            <w:vAlign w:val="bottom"/>
          </w:tcPr>
          <w:p>
            <w:pPr>
              <w:ind w:left="480"/>
              <w:spacing w:after="0"/>
              <w:rPr>
                <w:sz w:val="20"/>
                <w:szCs w:val="20"/>
                <w:color w:val="auto"/>
              </w:rPr>
            </w:pPr>
            <w:r>
              <w:rPr>
                <w:rFonts w:ascii="Arial" w:cs="Arial" w:eastAsia="Arial" w:hAnsi="Arial"/>
                <w:sz w:val="19"/>
                <w:szCs w:val="19"/>
                <w:color w:val="auto"/>
              </w:rPr>
              <w:t>Total income taxes applicable to pre-tax income</w:t>
            </w:r>
          </w:p>
        </w:tc>
        <w:tc>
          <w:tcPr>
            <w:tcW w:w="200" w:type="dxa"/>
            <w:vAlign w:val="bottom"/>
            <w:tcBorders>
              <w:bottom w:val="single" w:sz="8" w:color="auto"/>
            </w:tcBorders>
          </w:tcPr>
          <w:p>
            <w:pPr>
              <w:jc w:val="right"/>
              <w:ind w:right="4"/>
              <w:spacing w:after="0"/>
              <w:rPr>
                <w:sz w:val="20"/>
                <w:szCs w:val="20"/>
                <w:color w:val="auto"/>
              </w:rPr>
            </w:pPr>
            <w:r>
              <w:rPr>
                <w:rFonts w:ascii="Arial" w:cs="Arial" w:eastAsia="Arial" w:hAnsi="Arial"/>
                <w:sz w:val="19"/>
                <w:szCs w:val="19"/>
                <w:color w:val="auto"/>
                <w:w w:val="75"/>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915,556</w:t>
            </w:r>
          </w:p>
        </w:tc>
        <w:tc>
          <w:tcPr>
            <w:tcW w:w="260" w:type="dxa"/>
            <w:vAlign w:val="bottom"/>
          </w:tcPr>
          <w:p>
            <w:pPr>
              <w:spacing w:after="0"/>
              <w:rPr>
                <w:sz w:val="19"/>
                <w:szCs w:val="19"/>
                <w:color w:val="auto"/>
              </w:rPr>
            </w:pPr>
          </w:p>
        </w:tc>
        <w:tc>
          <w:tcPr>
            <w:tcW w:w="200" w:type="dxa"/>
            <w:vAlign w:val="bottom"/>
            <w:tcBorders>
              <w:bottom w:val="single" w:sz="8" w:color="auto"/>
            </w:tcBorders>
          </w:tcPr>
          <w:p>
            <w:pPr>
              <w:jc w:val="right"/>
              <w:ind w:right="17"/>
              <w:spacing w:after="0"/>
              <w:rPr>
                <w:sz w:val="20"/>
                <w:szCs w:val="20"/>
                <w:color w:val="auto"/>
              </w:rPr>
            </w:pPr>
            <w:r>
              <w:rPr>
                <w:rFonts w:ascii="Arial" w:cs="Arial" w:eastAsia="Arial" w:hAnsi="Arial"/>
                <w:sz w:val="19"/>
                <w:szCs w:val="19"/>
                <w:color w:val="auto"/>
                <w:w w:val="75"/>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743,284</w:t>
            </w:r>
          </w:p>
        </w:tc>
        <w:tc>
          <w:tcPr>
            <w:tcW w:w="28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595,025</w:t>
            </w:r>
          </w:p>
        </w:tc>
        <w:tc>
          <w:tcPr>
            <w:tcW w:w="120" w:type="dxa"/>
            <w:vAlign w:val="bottom"/>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3" w:lineRule="exact"/>
        <w:rPr>
          <w:sz w:val="20"/>
          <w:szCs w:val="20"/>
          <w:color w:val="auto"/>
        </w:rPr>
      </w:pPr>
    </w:p>
    <w:p>
      <w:pPr>
        <w:ind w:right="140" w:firstLine="598"/>
        <w:spacing w:after="0" w:line="277" w:lineRule="auto"/>
        <w:rPr>
          <w:sz w:val="20"/>
          <w:szCs w:val="20"/>
          <w:color w:val="auto"/>
        </w:rPr>
      </w:pPr>
      <w:r>
        <w:rPr>
          <w:rFonts w:ascii="Arial" w:cs="Arial" w:eastAsia="Arial" w:hAnsi="Arial"/>
          <w:sz w:val="18"/>
          <w:szCs w:val="18"/>
          <w:color w:val="auto"/>
        </w:rPr>
        <w:t>The Company files a consolidated federal income tax return reflecting taxable income earned by all domestic subsidiaries. In prior years, applicable federal tax law allowed certain financial institutions the option of deducting as bad debt expense for tax purposes amounts in excess of actual losses. In accordance with GAAP, such financial institutions were not required to provide deferred income taxes on such excess. Recapture of the excess tax bad debt reserve established under the previously allowed method will result in taxable income if M&amp;T Bank fails to maintain bank status as defined in the Internal Revenue Code or charges are made to the reserve for other than bad debt losses. At December 31, 2017, M&amp;T Bank’s tax bad debt reserve for which no federal income taxes have been provided was $137,121,000. No actions are planned that would cause this reserve to become wholly or partially taxable.</w:t>
      </w:r>
    </w:p>
    <w:p>
      <w:pPr>
        <w:spacing w:after="0" w:line="1" w:lineRule="exact"/>
        <w:rPr>
          <w:sz w:val="20"/>
          <w:szCs w:val="20"/>
          <w:color w:val="auto"/>
        </w:rPr>
      </w:pPr>
    </w:p>
    <w:p>
      <w:pPr>
        <w:jc w:val="both"/>
        <w:ind w:right="100" w:firstLine="598"/>
        <w:spacing w:after="0" w:line="246" w:lineRule="auto"/>
        <w:rPr>
          <w:sz w:val="20"/>
          <w:szCs w:val="20"/>
          <w:color w:val="auto"/>
        </w:rPr>
      </w:pPr>
      <w:r>
        <w:rPr>
          <w:rFonts w:ascii="Arial" w:cs="Arial" w:eastAsia="Arial" w:hAnsi="Arial"/>
          <w:sz w:val="20"/>
          <w:szCs w:val="20"/>
          <w:color w:val="auto"/>
        </w:rPr>
        <w:t>Income taxes attributable to gains or losses on bank investment securities were an expense of $7,195,000 in 2017 and $11,925,000 in 2016. There were no significant gains or losses on bank investment securities in 2015. No alternative minimum tax expense was recognized in 2017, 2016 or 2015.</w:t>
      </w:r>
    </w:p>
    <w:p>
      <w:pPr>
        <w:spacing w:after="0" w:line="2" w:lineRule="exact"/>
        <w:rPr>
          <w:sz w:val="20"/>
          <w:szCs w:val="20"/>
          <w:color w:val="auto"/>
        </w:rPr>
      </w:pPr>
    </w:p>
    <w:p>
      <w:pPr>
        <w:ind w:right="60" w:firstLine="598"/>
        <w:spacing w:after="0" w:line="248" w:lineRule="auto"/>
        <w:rPr>
          <w:sz w:val="20"/>
          <w:szCs w:val="20"/>
          <w:color w:val="auto"/>
        </w:rPr>
      </w:pPr>
      <w:r>
        <w:rPr>
          <w:rFonts w:ascii="Arial" w:cs="Arial" w:eastAsia="Arial" w:hAnsi="Arial"/>
          <w:sz w:val="20"/>
          <w:szCs w:val="20"/>
          <w:color w:val="auto"/>
        </w:rPr>
        <w:t>The Tax Cuts and Jobs Act (“Tax Act”) was signed into law on December 22, 2017, reducing the corporate Federal income tax rate from 35% to 21% effective January 1, 2018 and making other changes to U.S. corporate income tax laws. GAAP requires that the impact of the provisions of the Tax Act be accounted for in the period of enactment. Accordingly, the estimated incremental income tax expense recorded by the Company in the fourth quarter of 2017 related to the Tax Act was $85 million. That additional expense was largely attributable to the reduction in carrying value of net deferred tax assets reflecting lower future tax benefits resulting from the lower corporate income tax rate. During preparation of the Company’s 2017 income tax returns in 2018, additional adjustments related to enactment of the Tax Act may be identified. Any such adjustments are not expected to be material, but will be recognized in accordance with guidance contained in Staff Accounting Bulletin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76" w:right="239" w:bottom="1440" w:gutter="0" w:footer="0" w:header="0"/>
        </w:sectPr>
      </w:pPr>
    </w:p>
    <w:bookmarkStart w:id="155" w:name="page156"/>
    <w:bookmarkEnd w:id="155"/>
    <w:p>
      <w:pPr>
        <w:ind w:right="320"/>
        <w:spacing w:after="0" w:line="278" w:lineRule="auto"/>
        <w:rPr>
          <w:sz w:val="20"/>
          <w:szCs w:val="20"/>
          <w:color w:val="auto"/>
        </w:rPr>
      </w:pPr>
      <w:r>
        <w:rPr>
          <w:rFonts w:ascii="Arial" w:cs="Arial" w:eastAsia="Arial" w:hAnsi="Arial"/>
          <w:sz w:val="18"/>
          <w:szCs w:val="18"/>
          <w:color w:val="auto"/>
        </w:rPr>
        <w:t>No. 118 from the U.S. Securities and Exchange Commission. The Company also adopted new accounting guidance for share-based transactions during the first quarter of 2017. That guidance requires that all excess tax benefits and tax deficiencies associated with share-based compensation be recognized as a component of income tax expense in the income statement. Previously, tax effects resulting from changes in M&amp;T’s share price subsequent to the grant date were recorded through shareholders’ equity at the time of vesting or exercise. The adoption of the amended accounting guidance resulted in a $22 million reduction of income tax expense in 2017.</w:t>
      </w:r>
    </w:p>
    <w:p>
      <w:pPr>
        <w:spacing w:after="0" w:line="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Total income taxes differed from the amount computed by applying the statutory federal income tax rate to pre-tax income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10"/>
          </w:tcPr>
          <w:p>
            <w:pPr>
              <w:jc w:val="center"/>
              <w:ind w:left="370"/>
              <w:spacing w:after="0"/>
              <w:rPr>
                <w:sz w:val="20"/>
                <w:szCs w:val="20"/>
                <w:color w:val="auto"/>
              </w:rPr>
            </w:pPr>
            <w:r>
              <w:rPr>
                <w:rFonts w:ascii="Arial" w:cs="Arial" w:eastAsia="Arial" w:hAnsi="Arial"/>
                <w:sz w:val="14"/>
                <w:szCs w:val="14"/>
                <w:b w:val="1"/>
                <w:bCs w:val="1"/>
                <w:color w:val="auto"/>
                <w:w w:val="89"/>
              </w:rPr>
              <w:t>Year Ended December 31</w:t>
            </w:r>
          </w:p>
        </w:tc>
        <w:tc>
          <w:tcPr>
            <w:tcW w:w="8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59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2"/>
          </w:tcPr>
          <w:p>
            <w:pPr>
              <w:jc w:val="right"/>
              <w:ind w:right="230"/>
              <w:spacing w:after="0" w:line="151"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gridSpan w:val="2"/>
          </w:tcPr>
          <w:p>
            <w:pPr>
              <w:jc w:val="center"/>
              <w:spacing w:after="0" w:line="151" w:lineRule="exact"/>
              <w:rPr>
                <w:sz w:val="20"/>
                <w:szCs w:val="20"/>
                <w:color w:val="auto"/>
              </w:rPr>
            </w:pPr>
            <w:r>
              <w:rPr>
                <w:rFonts w:ascii="Arial" w:cs="Arial" w:eastAsia="Arial" w:hAnsi="Arial"/>
                <w:sz w:val="14"/>
                <w:szCs w:val="14"/>
                <w:b w:val="1"/>
                <w:bCs w:val="1"/>
                <w:color w:val="auto"/>
                <w:w w:val="89"/>
              </w:rPr>
              <w:t>2016</w:t>
            </w: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22"/>
              <w:spacing w:after="0" w:line="151" w:lineRule="exact"/>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5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89"/>
              </w:rPr>
              <w:t>(In thousands)</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2"/>
        </w:trPr>
        <w:tc>
          <w:tcPr>
            <w:tcW w:w="5960" w:type="dxa"/>
            <w:vAlign w:val="bottom"/>
          </w:tcPr>
          <w:p>
            <w:pPr>
              <w:spacing w:after="0"/>
              <w:rPr>
                <w:sz w:val="20"/>
                <w:szCs w:val="20"/>
                <w:color w:val="auto"/>
              </w:rPr>
            </w:pPr>
            <w:r>
              <w:rPr>
                <w:rFonts w:ascii="Arial" w:cs="Arial" w:eastAsia="Arial" w:hAnsi="Arial"/>
                <w:sz w:val="20"/>
                <w:szCs w:val="20"/>
                <w:color w:val="auto"/>
              </w:rPr>
              <w:t>Income taxes at statutory federal income tax rate</w:t>
            </w: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20"/>
                <w:szCs w:val="20"/>
                <w:color w:val="auto"/>
                <w:w w:val="94"/>
              </w:rPr>
              <w:t>813,352</w:t>
            </w:r>
          </w:p>
        </w:tc>
        <w:tc>
          <w:tcPr>
            <w:tcW w:w="10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740" w:type="dxa"/>
            <w:vAlign w:val="bottom"/>
            <w:gridSpan w:val="4"/>
          </w:tcPr>
          <w:p>
            <w:pPr>
              <w:jc w:val="right"/>
              <w:spacing w:after="0"/>
              <w:rPr>
                <w:sz w:val="20"/>
                <w:szCs w:val="20"/>
                <w:color w:val="auto"/>
              </w:rPr>
            </w:pPr>
            <w:r>
              <w:rPr>
                <w:rFonts w:ascii="Arial" w:cs="Arial" w:eastAsia="Arial" w:hAnsi="Arial"/>
                <w:sz w:val="20"/>
                <w:szCs w:val="20"/>
                <w:color w:val="auto"/>
                <w:w w:val="99"/>
              </w:rPr>
              <w:t>720,439</w:t>
            </w:r>
          </w:p>
        </w:tc>
        <w:tc>
          <w:tcPr>
            <w:tcW w:w="2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586,142</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960" w:type="dxa"/>
            <w:vAlign w:val="bottom"/>
            <w:shd w:val="clear" w:color="auto" w:fill="CFF0FC"/>
          </w:tcPr>
          <w:p>
            <w:pPr>
              <w:spacing w:after="0"/>
              <w:rPr>
                <w:sz w:val="20"/>
                <w:szCs w:val="20"/>
                <w:color w:val="auto"/>
              </w:rPr>
            </w:pPr>
            <w:r>
              <w:rPr>
                <w:rFonts w:ascii="Arial" w:cs="Arial" w:eastAsia="Arial" w:hAnsi="Arial"/>
                <w:sz w:val="20"/>
                <w:szCs w:val="20"/>
                <w:color w:val="auto"/>
              </w:rPr>
              <w:t>Increase (decrease) in taxes:</w:t>
            </w:r>
          </w:p>
        </w:tc>
        <w:tc>
          <w:tcPr>
            <w:tcW w:w="8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60" w:type="dxa"/>
            <w:vAlign w:val="bottom"/>
          </w:tcPr>
          <w:p>
            <w:pPr>
              <w:ind w:left="240"/>
              <w:spacing w:after="0"/>
              <w:rPr>
                <w:sz w:val="20"/>
                <w:szCs w:val="20"/>
                <w:color w:val="auto"/>
              </w:rPr>
            </w:pPr>
            <w:r>
              <w:rPr>
                <w:rFonts w:ascii="Arial" w:cs="Arial" w:eastAsia="Arial" w:hAnsi="Arial"/>
                <w:sz w:val="20"/>
                <w:szCs w:val="20"/>
                <w:color w:val="auto"/>
              </w:rPr>
              <w:t>Tax-exempt income</w:t>
            </w: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20"/>
                <w:szCs w:val="20"/>
                <w:color w:val="auto"/>
              </w:rPr>
              <w:t>(40,778)</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5"/>
          </w:tcPr>
          <w:p>
            <w:pPr>
              <w:jc w:val="right"/>
              <w:ind w:right="200"/>
              <w:spacing w:after="0"/>
              <w:rPr>
                <w:sz w:val="20"/>
                <w:szCs w:val="20"/>
                <w:color w:val="auto"/>
              </w:rPr>
            </w:pPr>
            <w:r>
              <w:rPr>
                <w:rFonts w:ascii="Arial" w:cs="Arial" w:eastAsia="Arial" w:hAnsi="Arial"/>
                <w:sz w:val="20"/>
                <w:szCs w:val="20"/>
                <w:color w:val="auto"/>
              </w:rPr>
              <w:t>(35,364)</w:t>
            </w:r>
          </w:p>
        </w:tc>
        <w:tc>
          <w:tcPr>
            <w:tcW w:w="100" w:type="dxa"/>
            <w:vAlign w:val="bottom"/>
          </w:tcPr>
          <w:p>
            <w:pPr>
              <w:spacing w:after="0"/>
              <w:rPr>
                <w:sz w:val="21"/>
                <w:szCs w:val="21"/>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20"/>
                <w:szCs w:val="20"/>
                <w:color w:val="auto"/>
              </w:rPr>
              <w:t>(33,102)</w:t>
            </w:r>
          </w:p>
        </w:tc>
        <w:tc>
          <w:tcPr>
            <w:tcW w:w="0" w:type="dxa"/>
            <w:vAlign w:val="bottom"/>
          </w:tcPr>
          <w:p>
            <w:pPr>
              <w:spacing w:after="0"/>
              <w:rPr>
                <w:sz w:val="1"/>
                <w:szCs w:val="1"/>
                <w:color w:val="auto"/>
              </w:rPr>
            </w:pPr>
          </w:p>
        </w:tc>
      </w:tr>
      <w:tr>
        <w:trPr>
          <w:trHeight w:val="250"/>
        </w:trPr>
        <w:tc>
          <w:tcPr>
            <w:tcW w:w="5960" w:type="dxa"/>
            <w:vAlign w:val="bottom"/>
            <w:shd w:val="clear" w:color="auto" w:fill="CFF0FC"/>
          </w:tcPr>
          <w:p>
            <w:pPr>
              <w:ind w:left="240"/>
              <w:spacing w:after="0"/>
              <w:rPr>
                <w:sz w:val="20"/>
                <w:szCs w:val="20"/>
                <w:color w:val="auto"/>
              </w:rPr>
            </w:pPr>
            <w:r>
              <w:rPr>
                <w:rFonts w:ascii="Arial" w:cs="Arial" w:eastAsia="Arial" w:hAnsi="Arial"/>
                <w:sz w:val="20"/>
                <w:szCs w:val="20"/>
                <w:color w:val="auto"/>
              </w:rPr>
              <w:t>State and local income taxes, net of federal income tax effect</w:t>
            </w:r>
          </w:p>
        </w:tc>
        <w:tc>
          <w:tcPr>
            <w:tcW w:w="8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83,327</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40" w:type="dxa"/>
            <w:vAlign w:val="bottom"/>
            <w:gridSpan w:val="4"/>
            <w:shd w:val="clear" w:color="auto" w:fill="CFF0FC"/>
          </w:tcPr>
          <w:p>
            <w:pPr>
              <w:jc w:val="right"/>
              <w:spacing w:after="0"/>
              <w:rPr>
                <w:sz w:val="20"/>
                <w:szCs w:val="20"/>
                <w:color w:val="auto"/>
              </w:rPr>
            </w:pPr>
            <w:r>
              <w:rPr>
                <w:rFonts w:ascii="Arial" w:cs="Arial" w:eastAsia="Arial" w:hAnsi="Arial"/>
                <w:sz w:val="20"/>
                <w:szCs w:val="20"/>
                <w:color w:val="auto"/>
              </w:rPr>
              <w:t>79,155</w:t>
            </w: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60,988</w:t>
            </w: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60" w:type="dxa"/>
            <w:vAlign w:val="bottom"/>
          </w:tcPr>
          <w:p>
            <w:pPr>
              <w:ind w:left="240"/>
              <w:spacing w:after="0"/>
              <w:rPr>
                <w:sz w:val="20"/>
                <w:szCs w:val="20"/>
                <w:color w:val="auto"/>
              </w:rPr>
            </w:pPr>
            <w:r>
              <w:rPr>
                <w:rFonts w:ascii="Arial" w:cs="Arial" w:eastAsia="Arial" w:hAnsi="Arial"/>
                <w:sz w:val="20"/>
                <w:szCs w:val="20"/>
                <w:color w:val="auto"/>
              </w:rPr>
              <w:t>Qualified affordable housing project federal tax credits, net</w:t>
            </w: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20"/>
                <w:szCs w:val="20"/>
                <w:color w:val="auto"/>
              </w:rPr>
              <w:t>(16,015)</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5"/>
          </w:tcPr>
          <w:p>
            <w:pPr>
              <w:jc w:val="right"/>
              <w:ind w:right="200"/>
              <w:spacing w:after="0"/>
              <w:rPr>
                <w:sz w:val="20"/>
                <w:szCs w:val="20"/>
                <w:color w:val="auto"/>
              </w:rPr>
            </w:pPr>
            <w:r>
              <w:rPr>
                <w:rFonts w:ascii="Arial" w:cs="Arial" w:eastAsia="Arial" w:hAnsi="Arial"/>
                <w:sz w:val="20"/>
                <w:szCs w:val="20"/>
                <w:color w:val="auto"/>
              </w:rPr>
              <w:t>(15,091)</w:t>
            </w:r>
          </w:p>
        </w:tc>
        <w:tc>
          <w:tcPr>
            <w:tcW w:w="100" w:type="dxa"/>
            <w:vAlign w:val="bottom"/>
          </w:tcPr>
          <w:p>
            <w:pPr>
              <w:spacing w:after="0"/>
              <w:rPr>
                <w:sz w:val="21"/>
                <w:szCs w:val="21"/>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20"/>
                <w:szCs w:val="20"/>
                <w:color w:val="auto"/>
              </w:rPr>
              <w:t>(15,297)</w:t>
            </w:r>
          </w:p>
        </w:tc>
        <w:tc>
          <w:tcPr>
            <w:tcW w:w="0" w:type="dxa"/>
            <w:vAlign w:val="bottom"/>
          </w:tcPr>
          <w:p>
            <w:pPr>
              <w:spacing w:after="0"/>
              <w:rPr>
                <w:sz w:val="1"/>
                <w:szCs w:val="1"/>
                <w:color w:val="auto"/>
              </w:rPr>
            </w:pPr>
          </w:p>
        </w:tc>
      </w:tr>
      <w:tr>
        <w:trPr>
          <w:trHeight w:val="250"/>
        </w:trPr>
        <w:tc>
          <w:tcPr>
            <w:tcW w:w="5960" w:type="dxa"/>
            <w:vAlign w:val="bottom"/>
            <w:shd w:val="clear" w:color="auto" w:fill="CFF0FC"/>
          </w:tcPr>
          <w:p>
            <w:pPr>
              <w:ind w:left="240"/>
              <w:spacing w:after="0"/>
              <w:rPr>
                <w:sz w:val="20"/>
                <w:szCs w:val="20"/>
                <w:color w:val="auto"/>
              </w:rPr>
            </w:pPr>
            <w:r>
              <w:rPr>
                <w:rFonts w:ascii="Arial" w:cs="Arial" w:eastAsia="Arial" w:hAnsi="Arial"/>
                <w:sz w:val="20"/>
                <w:szCs w:val="20"/>
                <w:color w:val="auto"/>
              </w:rPr>
              <w:t>Initial impact of enactment of Tax Act</w:t>
            </w:r>
          </w:p>
        </w:tc>
        <w:tc>
          <w:tcPr>
            <w:tcW w:w="8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85,431</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40" w:type="dxa"/>
            <w:vAlign w:val="bottom"/>
            <w:gridSpan w:val="3"/>
            <w:shd w:val="clear" w:color="auto" w:fill="CFF0FC"/>
          </w:tcPr>
          <w:p>
            <w:pPr>
              <w:jc w:val="right"/>
              <w:ind w:right="280"/>
              <w:spacing w:after="0"/>
              <w:rPr>
                <w:sz w:val="20"/>
                <w:szCs w:val="20"/>
                <w:color w:val="auto"/>
              </w:rPr>
            </w:pPr>
            <w:r>
              <w:rPr>
                <w:rFonts w:ascii="Arial" w:cs="Arial" w:eastAsia="Arial" w:hAnsi="Arial"/>
                <w:sz w:val="20"/>
                <w:szCs w:val="20"/>
                <w:color w:val="auto"/>
              </w:rPr>
              <w:t>—</w:t>
            </w:r>
          </w:p>
        </w:tc>
        <w:tc>
          <w:tcPr>
            <w:tcW w:w="100" w:type="dxa"/>
            <w:vAlign w:val="bottom"/>
            <w:shd w:val="clear" w:color="auto" w:fill="CFF0FC"/>
          </w:tcPr>
          <w:p>
            <w:pPr>
              <w:spacing w:after="0"/>
              <w:rPr>
                <w:sz w:val="21"/>
                <w:szCs w:val="21"/>
                <w:color w:val="auto"/>
              </w:rPr>
            </w:pPr>
          </w:p>
        </w:tc>
        <w:tc>
          <w:tcPr>
            <w:tcW w:w="940" w:type="dxa"/>
            <w:vAlign w:val="bottom"/>
            <w:gridSpan w:val="3"/>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0"/>
        </w:trPr>
        <w:tc>
          <w:tcPr>
            <w:tcW w:w="5960" w:type="dxa"/>
            <w:vAlign w:val="bottom"/>
          </w:tcPr>
          <w:p>
            <w:pPr>
              <w:ind w:left="240"/>
              <w:spacing w:after="0"/>
              <w:rPr>
                <w:sz w:val="20"/>
                <w:szCs w:val="20"/>
                <w:color w:val="auto"/>
              </w:rPr>
            </w:pPr>
            <w:r>
              <w:rPr>
                <w:rFonts w:ascii="Arial" w:cs="Arial" w:eastAsia="Arial" w:hAnsi="Arial"/>
                <w:sz w:val="20"/>
                <w:szCs w:val="20"/>
                <w:color w:val="auto"/>
              </w:rPr>
              <w:t>Other</w:t>
            </w: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20"/>
                <w:szCs w:val="20"/>
                <w:color w:val="auto"/>
              </w:rPr>
              <w:t>(9,761)</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5"/>
          </w:tcPr>
          <w:p>
            <w:pPr>
              <w:jc w:val="right"/>
              <w:ind w:right="200"/>
              <w:spacing w:after="0"/>
              <w:rPr>
                <w:sz w:val="20"/>
                <w:szCs w:val="20"/>
                <w:color w:val="auto"/>
              </w:rPr>
            </w:pPr>
            <w:r>
              <w:rPr>
                <w:rFonts w:ascii="Arial" w:cs="Arial" w:eastAsia="Arial" w:hAnsi="Arial"/>
                <w:sz w:val="20"/>
                <w:szCs w:val="20"/>
                <w:color w:val="auto"/>
              </w:rPr>
              <w:t>(5,855)</w:t>
            </w:r>
          </w:p>
        </w:tc>
        <w:tc>
          <w:tcPr>
            <w:tcW w:w="100" w:type="dxa"/>
            <w:vAlign w:val="bottom"/>
          </w:tcPr>
          <w:p>
            <w:pPr>
              <w:spacing w:after="0"/>
              <w:rPr>
                <w:sz w:val="21"/>
                <w:szCs w:val="21"/>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20"/>
                <w:szCs w:val="20"/>
                <w:color w:val="auto"/>
              </w:rPr>
              <w:t>(3,706)</w:t>
            </w:r>
          </w:p>
        </w:tc>
        <w:tc>
          <w:tcPr>
            <w:tcW w:w="0" w:type="dxa"/>
            <w:vAlign w:val="bottom"/>
          </w:tcPr>
          <w:p>
            <w:pPr>
              <w:spacing w:after="0"/>
              <w:rPr>
                <w:sz w:val="1"/>
                <w:szCs w:val="1"/>
                <w:color w:val="auto"/>
              </w:rPr>
            </w:pPr>
          </w:p>
        </w:tc>
      </w:tr>
      <w:tr>
        <w:trPr>
          <w:trHeight w:val="243"/>
        </w:trPr>
        <w:tc>
          <w:tcPr>
            <w:tcW w:w="5960" w:type="dxa"/>
            <w:vAlign w:val="bottom"/>
            <w:tcBorders>
              <w:top w:val="single" w:sz="8" w:color="CFF0FC"/>
              <w:bottom w:val="single" w:sz="8" w:color="CFF0FC"/>
            </w:tcBorders>
            <w:shd w:val="clear" w:color="auto" w:fill="CFF0FC"/>
          </w:tcPr>
          <w:p>
            <w:pPr>
              <w:spacing w:after="0"/>
              <w:rPr>
                <w:sz w:val="21"/>
                <w:szCs w:val="21"/>
                <w:color w:val="auto"/>
              </w:rPr>
            </w:pPr>
          </w:p>
        </w:tc>
        <w:tc>
          <w:tcPr>
            <w:tcW w:w="820" w:type="dxa"/>
            <w:vAlign w:val="bottom"/>
            <w:tcBorders>
              <w:top w:val="single" w:sz="8" w:color="CFF0FC"/>
              <w:bottom w:val="single" w:sz="8" w:color="CFF0FC"/>
            </w:tcBorders>
            <w:shd w:val="clear" w:color="auto" w:fill="CFF0FC"/>
          </w:tcPr>
          <w:p>
            <w:pPr>
              <w:spacing w:after="0"/>
              <w:rPr>
                <w:sz w:val="21"/>
                <w:szCs w:val="21"/>
                <w:color w:val="auto"/>
              </w:rPr>
            </w:pPr>
          </w:p>
        </w:tc>
        <w:tc>
          <w:tcPr>
            <w:tcW w:w="440" w:type="dxa"/>
            <w:vAlign w:val="bottom"/>
            <w:tcBorders>
              <w:top w:val="single" w:sz="8" w:color="CFF0FC"/>
              <w:bottom w:val="single" w:sz="8" w:color="CFF0FC"/>
            </w:tcBorders>
            <w:shd w:val="clear" w:color="auto" w:fill="CFF0FC"/>
          </w:tcPr>
          <w:p>
            <w:pPr>
              <w:spacing w:after="0"/>
              <w:rPr>
                <w:sz w:val="21"/>
                <w:szCs w:val="21"/>
                <w:color w:val="auto"/>
              </w:rPr>
            </w:pPr>
          </w:p>
        </w:tc>
        <w:tc>
          <w:tcPr>
            <w:tcW w:w="780" w:type="dxa"/>
            <w:vAlign w:val="bottom"/>
            <w:tcBorders>
              <w:top w:val="single" w:sz="8" w:color="CFF0FC"/>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0" w:type="dxa"/>
            <w:vAlign w:val="bottom"/>
            <w:tcBorders>
              <w:top w:val="single" w:sz="8" w:color="auto"/>
              <w:bottom w:val="single" w:sz="8" w:color="auto"/>
            </w:tcBorders>
            <w:shd w:val="clear" w:color="auto" w:fill="CFF0FC"/>
          </w:tcPr>
          <w:p>
            <w:pPr>
              <w:spacing w:after="0"/>
              <w:rPr>
                <w:sz w:val="21"/>
                <w:szCs w:val="21"/>
                <w:color w:val="auto"/>
              </w:rPr>
            </w:pPr>
          </w:p>
        </w:tc>
        <w:tc>
          <w:tcPr>
            <w:tcW w:w="7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20"/>
                <w:szCs w:val="20"/>
                <w:color w:val="auto"/>
                <w:w w:val="94"/>
              </w:rPr>
              <w:t>915,556</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160" w:type="dxa"/>
            <w:vAlign w:val="bottom"/>
            <w:tcBorders>
              <w:top w:val="single" w:sz="8" w:color="CFF0FC"/>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89"/>
              </w:rPr>
              <w:t>$</w:t>
            </w:r>
          </w:p>
        </w:tc>
        <w:tc>
          <w:tcPr>
            <w:tcW w:w="740" w:type="dxa"/>
            <w:vAlign w:val="bottom"/>
            <w:tcBorders>
              <w:top w:val="single" w:sz="8" w:color="auto"/>
              <w:bottom w:val="single" w:sz="8" w:color="auto"/>
            </w:tcBorders>
            <w:gridSpan w:val="4"/>
            <w:shd w:val="clear" w:color="auto" w:fill="CFF0FC"/>
          </w:tcPr>
          <w:p>
            <w:pPr>
              <w:jc w:val="right"/>
              <w:spacing w:after="0"/>
              <w:rPr>
                <w:sz w:val="20"/>
                <w:szCs w:val="20"/>
                <w:color w:val="auto"/>
              </w:rPr>
            </w:pPr>
            <w:r>
              <w:rPr>
                <w:rFonts w:ascii="Arial" w:cs="Arial" w:eastAsia="Arial" w:hAnsi="Arial"/>
                <w:sz w:val="20"/>
                <w:szCs w:val="20"/>
                <w:color w:val="auto"/>
                <w:w w:val="99"/>
              </w:rPr>
              <w:t>743,284</w:t>
            </w:r>
          </w:p>
        </w:tc>
        <w:tc>
          <w:tcPr>
            <w:tcW w:w="280" w:type="dxa"/>
            <w:vAlign w:val="bottom"/>
            <w:tcBorders>
              <w:top w:val="single" w:sz="8" w:color="CFF0FC"/>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595,025</w:t>
            </w:r>
          </w:p>
        </w:tc>
        <w:tc>
          <w:tcPr>
            <w:tcW w:w="20" w:type="dxa"/>
            <w:vAlign w:val="bottom"/>
            <w:tcBorders>
              <w:top w:val="single" w:sz="8" w:color="CFF0FC"/>
              <w:bottom w:val="single" w:sz="8" w:color="CFF0FC"/>
            </w:tcBorders>
            <w:shd w:val="clear" w:color="auto" w:fill="CFF0FC"/>
          </w:tcPr>
          <w:p>
            <w:pPr>
              <w:spacing w:after="0"/>
              <w:rPr>
                <w:sz w:val="21"/>
                <w:szCs w:val="21"/>
                <w:color w:val="auto"/>
              </w:rPr>
            </w:pP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220" w:type="dxa"/>
            <w:vAlign w:val="bottom"/>
            <w:gridSpan w:val="3"/>
            <w:vMerge w:val="restart"/>
          </w:tcPr>
          <w:p>
            <w:pPr>
              <w:ind w:left="600"/>
              <w:spacing w:after="0"/>
              <w:rPr>
                <w:sz w:val="20"/>
                <w:szCs w:val="20"/>
                <w:color w:val="auto"/>
              </w:rPr>
            </w:pPr>
            <w:r>
              <w:rPr>
                <w:rFonts w:ascii="Arial" w:cs="Arial" w:eastAsia="Arial" w:hAnsi="Arial"/>
                <w:sz w:val="20"/>
                <w:szCs w:val="20"/>
                <w:color w:val="auto"/>
                <w:w w:val="93"/>
              </w:rPr>
              <w:t>Deferred tax assets (liabilities) were comprised of the following at December 31:</w:t>
            </w:r>
          </w:p>
        </w:tc>
        <w:tc>
          <w:tcPr>
            <w:tcW w:w="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7220" w:type="dxa"/>
            <w:vAlign w:val="bottom"/>
            <w:gridSpan w:val="3"/>
            <w:vMerge w:val="continue"/>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59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w w:val="89"/>
              </w:rPr>
              <w:t>2015</w:t>
            </w: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1"/>
              </w:rPr>
              <w:t>(In thousands)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2"/>
        </w:trPr>
        <w:tc>
          <w:tcPr>
            <w:tcW w:w="5960" w:type="dxa"/>
            <w:vAlign w:val="bottom"/>
          </w:tcPr>
          <w:p>
            <w:pPr>
              <w:spacing w:after="0"/>
              <w:rPr>
                <w:sz w:val="20"/>
                <w:szCs w:val="20"/>
                <w:color w:val="auto"/>
              </w:rPr>
            </w:pPr>
            <w:r>
              <w:rPr>
                <w:rFonts w:ascii="Arial" w:cs="Arial" w:eastAsia="Arial" w:hAnsi="Arial"/>
                <w:sz w:val="20"/>
                <w:szCs w:val="20"/>
                <w:color w:val="auto"/>
              </w:rPr>
              <w:t>Losses on loans and other assets</w:t>
            </w:r>
          </w:p>
        </w:tc>
        <w:tc>
          <w:tcPr>
            <w:tcW w:w="1260" w:type="dxa"/>
            <w:vAlign w:val="bottom"/>
            <w:gridSpan w:val="2"/>
          </w:tcPr>
          <w:p>
            <w:pPr>
              <w:jc w:val="right"/>
              <w:ind w:right="239"/>
              <w:spacing w:after="0"/>
              <w:rPr>
                <w:sz w:val="20"/>
                <w:szCs w:val="20"/>
                <w:color w:val="auto"/>
              </w:rPr>
            </w:pPr>
            <w:r>
              <w:rPr>
                <w:rFonts w:ascii="Arial" w:cs="Arial" w:eastAsia="Arial" w:hAnsi="Arial"/>
                <w:sz w:val="20"/>
                <w:szCs w:val="20"/>
                <w:color w:val="auto"/>
              </w:rPr>
              <w:t>$</w:t>
            </w:r>
          </w:p>
        </w:tc>
        <w:tc>
          <w:tcPr>
            <w:tcW w:w="900" w:type="dxa"/>
            <w:vAlign w:val="bottom"/>
            <w:gridSpan w:val="2"/>
          </w:tcPr>
          <w:p>
            <w:pPr>
              <w:jc w:val="right"/>
              <w:spacing w:after="0"/>
              <w:rPr>
                <w:sz w:val="20"/>
                <w:szCs w:val="20"/>
                <w:color w:val="auto"/>
              </w:rPr>
            </w:pPr>
            <w:r>
              <w:rPr>
                <w:rFonts w:ascii="Arial" w:cs="Arial" w:eastAsia="Arial" w:hAnsi="Arial"/>
                <w:sz w:val="20"/>
                <w:szCs w:val="20"/>
                <w:color w:val="auto"/>
              </w:rPr>
              <w:t>345,609</w:t>
            </w:r>
          </w:p>
        </w:tc>
        <w:tc>
          <w:tcPr>
            <w:tcW w:w="100" w:type="dxa"/>
            <w:vAlign w:val="bottom"/>
          </w:tcPr>
          <w:p>
            <w:pPr>
              <w:spacing w:after="0"/>
              <w:rPr>
                <w:sz w:val="24"/>
                <w:szCs w:val="24"/>
                <w:color w:val="auto"/>
              </w:rPr>
            </w:pPr>
          </w:p>
        </w:tc>
        <w:tc>
          <w:tcPr>
            <w:tcW w:w="700" w:type="dxa"/>
            <w:vAlign w:val="bottom"/>
            <w:gridSpan w:val="2"/>
          </w:tcPr>
          <w:p>
            <w:pPr>
              <w:jc w:val="right"/>
              <w:ind w:right="370"/>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4"/>
                <w:szCs w:val="24"/>
                <w:color w:val="auto"/>
              </w:rPr>
            </w:pPr>
          </w:p>
        </w:tc>
        <w:tc>
          <w:tcPr>
            <w:tcW w:w="700" w:type="dxa"/>
            <w:vAlign w:val="bottom"/>
            <w:gridSpan w:val="3"/>
          </w:tcPr>
          <w:p>
            <w:pPr>
              <w:jc w:val="right"/>
              <w:spacing w:after="0"/>
              <w:rPr>
                <w:sz w:val="20"/>
                <w:szCs w:val="20"/>
                <w:color w:val="auto"/>
              </w:rPr>
            </w:pPr>
            <w:r>
              <w:rPr>
                <w:rFonts w:ascii="Arial" w:cs="Arial" w:eastAsia="Arial" w:hAnsi="Arial"/>
                <w:sz w:val="20"/>
                <w:szCs w:val="20"/>
                <w:color w:val="auto"/>
                <w:w w:val="91"/>
              </w:rPr>
              <w:t>590,288</w:t>
            </w:r>
          </w:p>
        </w:tc>
        <w:tc>
          <w:tcPr>
            <w:tcW w:w="12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20"/>
                <w:szCs w:val="20"/>
                <w:color w:val="auto"/>
              </w:rPr>
              <w:t>637,955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960" w:type="dxa"/>
            <w:vAlign w:val="bottom"/>
            <w:shd w:val="clear" w:color="auto" w:fill="CFF0FC"/>
          </w:tcPr>
          <w:p>
            <w:pPr>
              <w:spacing w:after="0"/>
              <w:rPr>
                <w:sz w:val="20"/>
                <w:szCs w:val="20"/>
                <w:color w:val="auto"/>
              </w:rPr>
            </w:pPr>
            <w:r>
              <w:rPr>
                <w:rFonts w:ascii="Arial" w:cs="Arial" w:eastAsia="Arial" w:hAnsi="Arial"/>
                <w:sz w:val="20"/>
                <w:szCs w:val="20"/>
                <w:color w:val="auto"/>
              </w:rPr>
              <w:t>Retirement benefits</w:t>
            </w:r>
          </w:p>
        </w:tc>
        <w:tc>
          <w:tcPr>
            <w:tcW w:w="8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45,322</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00" w:type="dxa"/>
            <w:vAlign w:val="bottom"/>
            <w:gridSpan w:val="3"/>
            <w:shd w:val="clear" w:color="auto" w:fill="CFF0FC"/>
          </w:tcPr>
          <w:p>
            <w:pPr>
              <w:jc w:val="right"/>
              <w:spacing w:after="0"/>
              <w:rPr>
                <w:sz w:val="20"/>
                <w:szCs w:val="20"/>
                <w:color w:val="auto"/>
              </w:rPr>
            </w:pPr>
            <w:r>
              <w:rPr>
                <w:rFonts w:ascii="Arial" w:cs="Arial" w:eastAsia="Arial" w:hAnsi="Arial"/>
                <w:sz w:val="20"/>
                <w:szCs w:val="20"/>
                <w:color w:val="auto"/>
                <w:w w:val="91"/>
              </w:rPr>
              <w:t>143,067</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148,722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60" w:type="dxa"/>
            <w:vAlign w:val="bottom"/>
          </w:tcPr>
          <w:p>
            <w:pPr>
              <w:spacing w:after="0"/>
              <w:rPr>
                <w:sz w:val="20"/>
                <w:szCs w:val="20"/>
                <w:color w:val="auto"/>
              </w:rPr>
            </w:pPr>
            <w:r>
              <w:rPr>
                <w:rFonts w:ascii="Arial" w:cs="Arial" w:eastAsia="Arial" w:hAnsi="Arial"/>
                <w:sz w:val="20"/>
                <w:szCs w:val="20"/>
                <w:color w:val="auto"/>
              </w:rPr>
              <w:t>Postretirement and other employee benefits</w:t>
            </w: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20"/>
                <w:szCs w:val="20"/>
                <w:color w:val="auto"/>
              </w:rPr>
              <w:t>26,009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3"/>
          </w:tcPr>
          <w:p>
            <w:pPr>
              <w:jc w:val="right"/>
              <w:spacing w:after="0"/>
              <w:rPr>
                <w:sz w:val="20"/>
                <w:szCs w:val="20"/>
                <w:color w:val="auto"/>
              </w:rPr>
            </w:pPr>
            <w:r>
              <w:rPr>
                <w:rFonts w:ascii="Arial" w:cs="Arial" w:eastAsia="Arial" w:hAnsi="Arial"/>
                <w:sz w:val="20"/>
                <w:szCs w:val="20"/>
                <w:color w:val="auto"/>
              </w:rPr>
              <w:t>52,512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20"/>
                <w:szCs w:val="20"/>
                <w:color w:val="auto"/>
              </w:rPr>
              <w:t>55,962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60" w:type="dxa"/>
            <w:vAlign w:val="bottom"/>
            <w:shd w:val="clear" w:color="auto" w:fill="CFF0FC"/>
          </w:tcPr>
          <w:p>
            <w:pPr>
              <w:spacing w:after="0"/>
              <w:rPr>
                <w:sz w:val="20"/>
                <w:szCs w:val="20"/>
                <w:color w:val="auto"/>
              </w:rPr>
            </w:pPr>
            <w:r>
              <w:rPr>
                <w:rFonts w:ascii="Arial" w:cs="Arial" w:eastAsia="Arial" w:hAnsi="Arial"/>
                <w:sz w:val="20"/>
                <w:szCs w:val="20"/>
                <w:color w:val="auto"/>
              </w:rPr>
              <w:t>Incentive and other compensation plans</w:t>
            </w:r>
          </w:p>
        </w:tc>
        <w:tc>
          <w:tcPr>
            <w:tcW w:w="8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25,050</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00" w:type="dxa"/>
            <w:vAlign w:val="bottom"/>
            <w:gridSpan w:val="3"/>
            <w:shd w:val="clear" w:color="auto" w:fill="CFF0FC"/>
          </w:tcPr>
          <w:p>
            <w:pPr>
              <w:jc w:val="right"/>
              <w:spacing w:after="0"/>
              <w:rPr>
                <w:sz w:val="20"/>
                <w:szCs w:val="20"/>
                <w:color w:val="auto"/>
              </w:rPr>
            </w:pPr>
            <w:r>
              <w:rPr>
                <w:rFonts w:ascii="Arial" w:cs="Arial" w:eastAsia="Arial" w:hAnsi="Arial"/>
                <w:sz w:val="20"/>
                <w:szCs w:val="20"/>
                <w:color w:val="auto"/>
              </w:rPr>
              <w:t>36,616</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60,337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60" w:type="dxa"/>
            <w:vAlign w:val="bottom"/>
          </w:tcPr>
          <w:p>
            <w:pPr>
              <w:spacing w:after="0"/>
              <w:rPr>
                <w:sz w:val="20"/>
                <w:szCs w:val="20"/>
                <w:color w:val="auto"/>
              </w:rPr>
            </w:pPr>
            <w:r>
              <w:rPr>
                <w:rFonts w:ascii="Arial" w:cs="Arial" w:eastAsia="Arial" w:hAnsi="Arial"/>
                <w:sz w:val="20"/>
                <w:szCs w:val="20"/>
                <w:color w:val="auto"/>
              </w:rPr>
              <w:t>Interest on loans</w:t>
            </w: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20"/>
                <w:szCs w:val="20"/>
                <w:color w:val="auto"/>
              </w:rPr>
              <w:t>37,900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3"/>
          </w:tcPr>
          <w:p>
            <w:pPr>
              <w:jc w:val="right"/>
              <w:spacing w:after="0"/>
              <w:rPr>
                <w:sz w:val="20"/>
                <w:szCs w:val="20"/>
                <w:color w:val="auto"/>
              </w:rPr>
            </w:pPr>
            <w:r>
              <w:rPr>
                <w:rFonts w:ascii="Arial" w:cs="Arial" w:eastAsia="Arial" w:hAnsi="Arial"/>
                <w:sz w:val="20"/>
                <w:szCs w:val="20"/>
                <w:color w:val="auto"/>
              </w:rPr>
              <w:t>61,266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20"/>
                <w:szCs w:val="20"/>
                <w:color w:val="auto"/>
              </w:rPr>
              <w:t>57,640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60" w:type="dxa"/>
            <w:vAlign w:val="bottom"/>
            <w:shd w:val="clear" w:color="auto" w:fill="CFF0FC"/>
          </w:tcPr>
          <w:p>
            <w:pPr>
              <w:spacing w:after="0"/>
              <w:rPr>
                <w:sz w:val="20"/>
                <w:szCs w:val="20"/>
                <w:color w:val="auto"/>
              </w:rPr>
            </w:pPr>
            <w:r>
              <w:rPr>
                <w:rFonts w:ascii="Arial" w:cs="Arial" w:eastAsia="Arial" w:hAnsi="Arial"/>
                <w:sz w:val="20"/>
                <w:szCs w:val="20"/>
                <w:color w:val="auto"/>
              </w:rPr>
              <w:t>Stock-based compensation</w:t>
            </w:r>
          </w:p>
        </w:tc>
        <w:tc>
          <w:tcPr>
            <w:tcW w:w="8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26,676</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00" w:type="dxa"/>
            <w:vAlign w:val="bottom"/>
            <w:gridSpan w:val="3"/>
            <w:shd w:val="clear" w:color="auto" w:fill="CFF0FC"/>
          </w:tcPr>
          <w:p>
            <w:pPr>
              <w:jc w:val="right"/>
              <w:spacing w:after="0"/>
              <w:rPr>
                <w:sz w:val="20"/>
                <w:szCs w:val="20"/>
                <w:color w:val="auto"/>
              </w:rPr>
            </w:pPr>
            <w:r>
              <w:rPr>
                <w:rFonts w:ascii="Arial" w:cs="Arial" w:eastAsia="Arial" w:hAnsi="Arial"/>
                <w:sz w:val="20"/>
                <w:szCs w:val="20"/>
                <w:color w:val="auto"/>
              </w:rPr>
              <w:t>52,181</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72,090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60" w:type="dxa"/>
            <w:vAlign w:val="bottom"/>
          </w:tcPr>
          <w:p>
            <w:pPr>
              <w:spacing w:after="0"/>
              <w:rPr>
                <w:sz w:val="20"/>
                <w:szCs w:val="20"/>
                <w:color w:val="auto"/>
              </w:rPr>
            </w:pPr>
            <w:r>
              <w:rPr>
                <w:rFonts w:ascii="Arial" w:cs="Arial" w:eastAsia="Arial" w:hAnsi="Arial"/>
                <w:sz w:val="20"/>
                <w:szCs w:val="20"/>
                <w:color w:val="auto"/>
              </w:rPr>
              <w:t>Unrealized losses</w:t>
            </w: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gridSpan w:val="3"/>
          </w:tcPr>
          <w:p>
            <w:pPr>
              <w:jc w:val="right"/>
              <w:ind w:right="120"/>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3"/>
          </w:tcPr>
          <w:p>
            <w:pPr>
              <w:jc w:val="right"/>
              <w:spacing w:after="0"/>
              <w:rPr>
                <w:sz w:val="20"/>
                <w:szCs w:val="20"/>
                <w:color w:val="auto"/>
              </w:rPr>
            </w:pPr>
            <w:r>
              <w:rPr>
                <w:rFonts w:ascii="Arial" w:cs="Arial" w:eastAsia="Arial" w:hAnsi="Arial"/>
                <w:sz w:val="20"/>
                <w:szCs w:val="20"/>
                <w:color w:val="auto"/>
              </w:rPr>
              <w:t>10,741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0"/>
        </w:trPr>
        <w:tc>
          <w:tcPr>
            <w:tcW w:w="5960" w:type="dxa"/>
            <w:vAlign w:val="bottom"/>
            <w:shd w:val="clear" w:color="auto" w:fill="CFF0FC"/>
          </w:tcPr>
          <w:p>
            <w:pPr>
              <w:spacing w:after="0"/>
              <w:rPr>
                <w:sz w:val="20"/>
                <w:szCs w:val="20"/>
                <w:color w:val="auto"/>
              </w:rPr>
            </w:pPr>
            <w:r>
              <w:rPr>
                <w:rFonts w:ascii="Arial" w:cs="Arial" w:eastAsia="Arial" w:hAnsi="Arial"/>
                <w:sz w:val="20"/>
                <w:szCs w:val="20"/>
                <w:color w:val="auto"/>
              </w:rPr>
              <w:t>Other</w:t>
            </w:r>
          </w:p>
        </w:tc>
        <w:tc>
          <w:tcPr>
            <w:tcW w:w="820" w:type="dxa"/>
            <w:vAlign w:val="bottom"/>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20"/>
                <w:szCs w:val="20"/>
                <w:color w:val="auto"/>
              </w:rPr>
              <w:t>66,247</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20"/>
                <w:szCs w:val="20"/>
                <w:color w:val="auto"/>
                <w:w w:val="91"/>
              </w:rPr>
              <w:t>106,876</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162,086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60" w:type="dxa"/>
            <w:vAlign w:val="bottom"/>
            <w:tcBorders>
              <w:bottom w:val="single" w:sz="8" w:color="CFF0FC"/>
            </w:tcBorders>
          </w:tcPr>
          <w:p>
            <w:pPr>
              <w:ind w:left="240"/>
              <w:spacing w:after="0"/>
              <w:rPr>
                <w:sz w:val="20"/>
                <w:szCs w:val="20"/>
                <w:color w:val="auto"/>
              </w:rPr>
            </w:pPr>
            <w:r>
              <w:rPr>
                <w:rFonts w:ascii="Arial" w:cs="Arial" w:eastAsia="Arial" w:hAnsi="Arial"/>
                <w:sz w:val="20"/>
                <w:szCs w:val="20"/>
                <w:color w:val="auto"/>
              </w:rPr>
              <w:t>Gross deferred tax assets</w:t>
            </w:r>
          </w:p>
        </w:tc>
        <w:tc>
          <w:tcPr>
            <w:tcW w:w="820" w:type="dxa"/>
            <w:vAlign w:val="bottom"/>
            <w:tcBorders>
              <w:bottom w:val="single" w:sz="8" w:color="CFF0FC"/>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572,813</w:t>
            </w:r>
          </w:p>
        </w:tc>
        <w:tc>
          <w:tcPr>
            <w:tcW w:w="10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1360" w:type="dxa"/>
            <w:vAlign w:val="bottom"/>
            <w:tcBorders>
              <w:bottom w:val="single" w:sz="8" w:color="auto"/>
            </w:tcBorders>
            <w:gridSpan w:val="5"/>
          </w:tcPr>
          <w:p>
            <w:pPr>
              <w:jc w:val="right"/>
              <w:spacing w:after="0"/>
              <w:rPr>
                <w:sz w:val="20"/>
                <w:szCs w:val="20"/>
                <w:color w:val="auto"/>
              </w:rPr>
            </w:pPr>
            <w:r>
              <w:rPr>
                <w:rFonts w:ascii="Arial" w:cs="Arial" w:eastAsia="Arial" w:hAnsi="Arial"/>
                <w:sz w:val="20"/>
                <w:szCs w:val="20"/>
                <w:color w:val="auto"/>
              </w:rPr>
              <w:t>1,053,547</w:t>
            </w:r>
          </w:p>
        </w:tc>
        <w:tc>
          <w:tcPr>
            <w:tcW w:w="12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1,194,792</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60" w:type="dxa"/>
            <w:vAlign w:val="bottom"/>
            <w:shd w:val="clear" w:color="auto" w:fill="CFF0FC"/>
          </w:tcPr>
          <w:p>
            <w:pPr>
              <w:spacing w:after="0"/>
              <w:rPr>
                <w:sz w:val="20"/>
                <w:szCs w:val="20"/>
                <w:color w:val="auto"/>
              </w:rPr>
            </w:pPr>
            <w:r>
              <w:rPr>
                <w:rFonts w:ascii="Arial" w:cs="Arial" w:eastAsia="Arial" w:hAnsi="Arial"/>
                <w:sz w:val="20"/>
                <w:szCs w:val="20"/>
                <w:color w:val="auto"/>
              </w:rPr>
              <w:t>Leasing transactions</w:t>
            </w:r>
          </w:p>
        </w:tc>
        <w:tc>
          <w:tcPr>
            <w:tcW w:w="8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(181,159)</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60" w:type="dxa"/>
            <w:vAlign w:val="bottom"/>
            <w:gridSpan w:val="5"/>
            <w:shd w:val="clear" w:color="auto" w:fill="CFF0FC"/>
          </w:tcPr>
          <w:p>
            <w:pPr>
              <w:jc w:val="right"/>
              <w:spacing w:after="0"/>
              <w:rPr>
                <w:sz w:val="20"/>
                <w:szCs w:val="20"/>
                <w:color w:val="auto"/>
              </w:rPr>
            </w:pPr>
            <w:r>
              <w:rPr>
                <w:rFonts w:ascii="Arial" w:cs="Arial" w:eastAsia="Arial" w:hAnsi="Arial"/>
                <w:sz w:val="20"/>
                <w:szCs w:val="20"/>
                <w:color w:val="auto"/>
              </w:rPr>
              <w:t>(266,268)</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w w:val="95"/>
              </w:rPr>
              <w:t>(285,074)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60" w:type="dxa"/>
            <w:vAlign w:val="bottom"/>
          </w:tcPr>
          <w:p>
            <w:pPr>
              <w:spacing w:after="0"/>
              <w:rPr>
                <w:sz w:val="20"/>
                <w:szCs w:val="20"/>
                <w:color w:val="auto"/>
              </w:rPr>
            </w:pPr>
            <w:r>
              <w:rPr>
                <w:rFonts w:ascii="Arial" w:cs="Arial" w:eastAsia="Arial" w:hAnsi="Arial"/>
                <w:sz w:val="20"/>
                <w:szCs w:val="20"/>
                <w:color w:val="auto"/>
              </w:rPr>
              <w:t>Unrealized gains</w:t>
            </w: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20"/>
                <w:szCs w:val="20"/>
                <w:color w:val="auto"/>
              </w:rPr>
              <w:t>(94,285)</w:t>
            </w: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20"/>
                <w:szCs w:val="20"/>
                <w:color w:val="auto"/>
              </w:rPr>
              <w:t>(31,121)</w:t>
            </w:r>
          </w:p>
        </w:tc>
        <w:tc>
          <w:tcPr>
            <w:tcW w:w="0" w:type="dxa"/>
            <w:vAlign w:val="bottom"/>
          </w:tcPr>
          <w:p>
            <w:pPr>
              <w:spacing w:after="0"/>
              <w:rPr>
                <w:sz w:val="1"/>
                <w:szCs w:val="1"/>
                <w:color w:val="auto"/>
              </w:rPr>
            </w:pPr>
          </w:p>
        </w:tc>
      </w:tr>
      <w:tr>
        <w:trPr>
          <w:trHeight w:val="250"/>
        </w:trPr>
        <w:tc>
          <w:tcPr>
            <w:tcW w:w="5960" w:type="dxa"/>
            <w:vAlign w:val="bottom"/>
            <w:shd w:val="clear" w:color="auto" w:fill="CFF0FC"/>
          </w:tcPr>
          <w:p>
            <w:pPr>
              <w:spacing w:after="0"/>
              <w:rPr>
                <w:sz w:val="20"/>
                <w:szCs w:val="20"/>
                <w:color w:val="auto"/>
              </w:rPr>
            </w:pPr>
            <w:r>
              <w:rPr>
                <w:rFonts w:ascii="Arial" w:cs="Arial" w:eastAsia="Arial" w:hAnsi="Arial"/>
                <w:sz w:val="20"/>
                <w:szCs w:val="20"/>
                <w:color w:val="auto"/>
              </w:rPr>
              <w:t>Capitalized servicing rights</w:t>
            </w:r>
          </w:p>
        </w:tc>
        <w:tc>
          <w:tcPr>
            <w:tcW w:w="8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000" w:type="dxa"/>
            <w:vAlign w:val="bottom"/>
            <w:gridSpan w:val="3"/>
            <w:shd w:val="clear" w:color="auto" w:fill="CFF0FC"/>
          </w:tcPr>
          <w:p>
            <w:pPr>
              <w:jc w:val="right"/>
              <w:ind w:right="40"/>
              <w:spacing w:after="0"/>
              <w:rPr>
                <w:sz w:val="20"/>
                <w:szCs w:val="20"/>
                <w:color w:val="auto"/>
              </w:rPr>
            </w:pPr>
            <w:r>
              <w:rPr>
                <w:rFonts w:ascii="Arial" w:cs="Arial" w:eastAsia="Arial" w:hAnsi="Arial"/>
                <w:sz w:val="20"/>
                <w:szCs w:val="20"/>
                <w:color w:val="auto"/>
              </w:rPr>
              <w:t>(51,781)</w:t>
            </w:r>
          </w:p>
        </w:tc>
        <w:tc>
          <w:tcPr>
            <w:tcW w:w="14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20" w:type="dxa"/>
            <w:vAlign w:val="bottom"/>
            <w:gridSpan w:val="4"/>
            <w:shd w:val="clear" w:color="auto" w:fill="CFF0FC"/>
          </w:tcPr>
          <w:p>
            <w:pPr>
              <w:jc w:val="right"/>
              <w:ind w:right="60"/>
              <w:spacing w:after="0"/>
              <w:rPr>
                <w:sz w:val="20"/>
                <w:szCs w:val="20"/>
                <w:color w:val="auto"/>
              </w:rPr>
            </w:pPr>
            <w:r>
              <w:rPr>
                <w:rFonts w:ascii="Arial" w:cs="Arial" w:eastAsia="Arial" w:hAnsi="Arial"/>
                <w:sz w:val="20"/>
                <w:szCs w:val="20"/>
                <w:color w:val="auto"/>
                <w:w w:val="99"/>
              </w:rPr>
              <w:t>(71,108)</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40" w:type="dxa"/>
            <w:vAlign w:val="bottom"/>
            <w:gridSpan w:val="3"/>
            <w:shd w:val="clear" w:color="auto" w:fill="CFF0FC"/>
          </w:tcPr>
          <w:p>
            <w:pPr>
              <w:jc w:val="right"/>
              <w:ind w:right="40"/>
              <w:spacing w:after="0"/>
              <w:rPr>
                <w:sz w:val="20"/>
                <w:szCs w:val="20"/>
                <w:color w:val="auto"/>
              </w:rPr>
            </w:pPr>
            <w:r>
              <w:rPr>
                <w:rFonts w:ascii="Arial" w:cs="Arial" w:eastAsia="Arial" w:hAnsi="Arial"/>
                <w:sz w:val="20"/>
                <w:szCs w:val="20"/>
                <w:color w:val="auto"/>
              </w:rPr>
              <w:t>(59,171)</w:t>
            </w:r>
          </w:p>
        </w:tc>
        <w:tc>
          <w:tcPr>
            <w:tcW w:w="0" w:type="dxa"/>
            <w:vAlign w:val="bottom"/>
          </w:tcPr>
          <w:p>
            <w:pPr>
              <w:spacing w:after="0"/>
              <w:rPr>
                <w:sz w:val="1"/>
                <w:szCs w:val="1"/>
                <w:color w:val="auto"/>
              </w:rPr>
            </w:pPr>
          </w:p>
        </w:tc>
      </w:tr>
      <w:tr>
        <w:trPr>
          <w:trHeight w:val="250"/>
        </w:trPr>
        <w:tc>
          <w:tcPr>
            <w:tcW w:w="5960" w:type="dxa"/>
            <w:vAlign w:val="bottom"/>
          </w:tcPr>
          <w:p>
            <w:pPr>
              <w:spacing w:after="0"/>
              <w:rPr>
                <w:sz w:val="20"/>
                <w:szCs w:val="20"/>
                <w:color w:val="auto"/>
              </w:rPr>
            </w:pPr>
            <w:r>
              <w:rPr>
                <w:rFonts w:ascii="Arial" w:cs="Arial" w:eastAsia="Arial" w:hAnsi="Arial"/>
                <w:sz w:val="20"/>
                <w:szCs w:val="20"/>
                <w:color w:val="auto"/>
              </w:rPr>
              <w:t>Depreciation and amortization</w:t>
            </w: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20"/>
                <w:szCs w:val="20"/>
                <w:color w:val="auto"/>
              </w:rPr>
              <w:t>(52,733)</w:t>
            </w: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4"/>
          </w:tcPr>
          <w:p>
            <w:pPr>
              <w:jc w:val="right"/>
              <w:ind w:right="60"/>
              <w:spacing w:after="0"/>
              <w:rPr>
                <w:sz w:val="20"/>
                <w:szCs w:val="20"/>
                <w:color w:val="auto"/>
              </w:rPr>
            </w:pPr>
            <w:r>
              <w:rPr>
                <w:rFonts w:ascii="Arial" w:cs="Arial" w:eastAsia="Arial" w:hAnsi="Arial"/>
                <w:sz w:val="20"/>
                <w:szCs w:val="20"/>
                <w:color w:val="auto"/>
                <w:w w:val="99"/>
              </w:rPr>
              <w:t>(63,959)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20"/>
                <w:szCs w:val="20"/>
                <w:color w:val="auto"/>
              </w:rPr>
              <w:t>(56,731)</w:t>
            </w:r>
          </w:p>
        </w:tc>
        <w:tc>
          <w:tcPr>
            <w:tcW w:w="0" w:type="dxa"/>
            <w:vAlign w:val="bottom"/>
          </w:tcPr>
          <w:p>
            <w:pPr>
              <w:spacing w:after="0"/>
              <w:rPr>
                <w:sz w:val="1"/>
                <w:szCs w:val="1"/>
                <w:color w:val="auto"/>
              </w:rPr>
            </w:pPr>
          </w:p>
        </w:tc>
      </w:tr>
      <w:tr>
        <w:trPr>
          <w:trHeight w:val="250"/>
        </w:trPr>
        <w:tc>
          <w:tcPr>
            <w:tcW w:w="5960" w:type="dxa"/>
            <w:vAlign w:val="bottom"/>
            <w:shd w:val="clear" w:color="auto" w:fill="CFF0FC"/>
          </w:tcPr>
          <w:p>
            <w:pPr>
              <w:spacing w:after="0"/>
              <w:rPr>
                <w:sz w:val="20"/>
                <w:szCs w:val="20"/>
                <w:color w:val="auto"/>
              </w:rPr>
            </w:pPr>
            <w:r>
              <w:rPr>
                <w:rFonts w:ascii="Arial" w:cs="Arial" w:eastAsia="Arial" w:hAnsi="Arial"/>
                <w:sz w:val="20"/>
                <w:szCs w:val="20"/>
                <w:color w:val="auto"/>
              </w:rPr>
              <w:t>Other</w:t>
            </w:r>
          </w:p>
        </w:tc>
        <w:tc>
          <w:tcPr>
            <w:tcW w:w="8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000" w:type="dxa"/>
            <w:vAlign w:val="bottom"/>
            <w:gridSpan w:val="3"/>
            <w:shd w:val="clear" w:color="auto" w:fill="CFF0FC"/>
          </w:tcPr>
          <w:p>
            <w:pPr>
              <w:jc w:val="right"/>
              <w:ind w:right="40"/>
              <w:spacing w:after="0"/>
              <w:rPr>
                <w:sz w:val="20"/>
                <w:szCs w:val="20"/>
                <w:color w:val="auto"/>
              </w:rPr>
            </w:pPr>
            <w:r>
              <w:rPr>
                <w:rFonts w:ascii="Arial" w:cs="Arial" w:eastAsia="Arial" w:hAnsi="Arial"/>
                <w:sz w:val="20"/>
                <w:szCs w:val="20"/>
                <w:color w:val="auto"/>
              </w:rPr>
              <w:t>(21,599)</w:t>
            </w:r>
          </w:p>
        </w:tc>
        <w:tc>
          <w:tcPr>
            <w:tcW w:w="14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20" w:type="dxa"/>
            <w:vAlign w:val="bottom"/>
            <w:gridSpan w:val="4"/>
            <w:shd w:val="clear" w:color="auto" w:fill="CFF0FC"/>
          </w:tcPr>
          <w:p>
            <w:pPr>
              <w:jc w:val="right"/>
              <w:ind w:right="60"/>
              <w:spacing w:after="0"/>
              <w:rPr>
                <w:sz w:val="20"/>
                <w:szCs w:val="20"/>
                <w:color w:val="auto"/>
              </w:rPr>
            </w:pPr>
            <w:r>
              <w:rPr>
                <w:rFonts w:ascii="Arial" w:cs="Arial" w:eastAsia="Arial" w:hAnsi="Arial"/>
                <w:sz w:val="20"/>
                <w:szCs w:val="20"/>
                <w:color w:val="auto"/>
                <w:w w:val="99"/>
              </w:rPr>
              <w:t>(87,200)</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40" w:type="dxa"/>
            <w:vAlign w:val="bottom"/>
            <w:gridSpan w:val="3"/>
            <w:shd w:val="clear" w:color="auto" w:fill="CFF0FC"/>
          </w:tcPr>
          <w:p>
            <w:pPr>
              <w:jc w:val="right"/>
              <w:ind w:right="40"/>
              <w:spacing w:after="0"/>
              <w:rPr>
                <w:sz w:val="20"/>
                <w:szCs w:val="20"/>
                <w:color w:val="auto"/>
              </w:rPr>
            </w:pPr>
            <w:r>
              <w:rPr>
                <w:rFonts w:ascii="Arial" w:cs="Arial" w:eastAsia="Arial" w:hAnsi="Arial"/>
                <w:sz w:val="20"/>
                <w:szCs w:val="20"/>
                <w:color w:val="auto"/>
              </w:rPr>
              <w:t>(55,611)</w:t>
            </w:r>
          </w:p>
        </w:tc>
        <w:tc>
          <w:tcPr>
            <w:tcW w:w="0" w:type="dxa"/>
            <w:vAlign w:val="bottom"/>
          </w:tcPr>
          <w:p>
            <w:pPr>
              <w:spacing w:after="0"/>
              <w:rPr>
                <w:sz w:val="1"/>
                <w:szCs w:val="1"/>
                <w:color w:val="auto"/>
              </w:rPr>
            </w:pPr>
          </w:p>
        </w:tc>
      </w:tr>
      <w:tr>
        <w:trPr>
          <w:trHeight w:val="243"/>
        </w:trPr>
        <w:tc>
          <w:tcPr>
            <w:tcW w:w="5960" w:type="dxa"/>
            <w:vAlign w:val="bottom"/>
            <w:tcBorders>
              <w:bottom w:val="single" w:sz="8" w:color="CFF0FC"/>
            </w:tcBorders>
          </w:tcPr>
          <w:p>
            <w:pPr>
              <w:ind w:left="240"/>
              <w:spacing w:after="0"/>
              <w:rPr>
                <w:sz w:val="20"/>
                <w:szCs w:val="20"/>
                <w:color w:val="auto"/>
              </w:rPr>
            </w:pPr>
            <w:r>
              <w:rPr>
                <w:rFonts w:ascii="Arial" w:cs="Arial" w:eastAsia="Arial" w:hAnsi="Arial"/>
                <w:sz w:val="20"/>
                <w:szCs w:val="20"/>
                <w:color w:val="auto"/>
              </w:rPr>
              <w:t>Gross deferred tax liabilities</w:t>
            </w:r>
          </w:p>
        </w:tc>
        <w:tc>
          <w:tcPr>
            <w:tcW w:w="820" w:type="dxa"/>
            <w:vAlign w:val="bottom"/>
            <w:tcBorders>
              <w:bottom w:val="single" w:sz="8" w:color="CFF0FC"/>
            </w:tcBorders>
          </w:tcPr>
          <w:p>
            <w:pPr>
              <w:spacing w:after="0"/>
              <w:rPr>
                <w:sz w:val="21"/>
                <w:szCs w:val="21"/>
                <w:color w:val="auto"/>
              </w:rPr>
            </w:pPr>
          </w:p>
        </w:tc>
        <w:tc>
          <w:tcPr>
            <w:tcW w:w="4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20"/>
                <w:szCs w:val="20"/>
                <w:color w:val="auto"/>
              </w:rPr>
              <w:t>(401,557)</w:t>
            </w:r>
          </w:p>
        </w:tc>
        <w:tc>
          <w:tcPr>
            <w:tcW w:w="10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1360" w:type="dxa"/>
            <w:vAlign w:val="bottom"/>
            <w:tcBorders>
              <w:top w:val="single" w:sz="8" w:color="auto"/>
              <w:bottom w:val="single" w:sz="8" w:color="auto"/>
            </w:tcBorders>
            <w:gridSpan w:val="5"/>
          </w:tcPr>
          <w:p>
            <w:pPr>
              <w:jc w:val="right"/>
              <w:spacing w:after="0"/>
              <w:rPr>
                <w:sz w:val="20"/>
                <w:szCs w:val="20"/>
                <w:color w:val="auto"/>
              </w:rPr>
            </w:pPr>
            <w:r>
              <w:rPr>
                <w:rFonts w:ascii="Arial" w:cs="Arial" w:eastAsia="Arial" w:hAnsi="Arial"/>
                <w:sz w:val="20"/>
                <w:szCs w:val="20"/>
                <w:color w:val="auto"/>
              </w:rPr>
              <w:t>(488,535)</w:t>
            </w:r>
          </w:p>
        </w:tc>
        <w:tc>
          <w:tcPr>
            <w:tcW w:w="12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20"/>
                <w:szCs w:val="20"/>
                <w:color w:val="auto"/>
                <w:w w:val="95"/>
              </w:rPr>
              <w:t>(487,708)</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Net deferred tax asset</w:t>
            </w:r>
          </w:p>
        </w:tc>
        <w:tc>
          <w:tcPr>
            <w:tcW w:w="82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jc w:val="right"/>
              <w:ind w:right="239"/>
              <w:spacing w:after="0"/>
              <w:rPr>
                <w:sz w:val="20"/>
                <w:szCs w:val="20"/>
                <w:color w:val="auto"/>
              </w:rPr>
            </w:pPr>
            <w:r>
              <w:rPr>
                <w:rFonts w:ascii="Arial" w:cs="Arial" w:eastAsia="Arial" w:hAnsi="Arial"/>
                <w:sz w:val="20"/>
                <w:szCs w:val="20"/>
                <w:color w:val="auto"/>
                <w:w w:val="71"/>
              </w:rPr>
              <w:t>$</w:t>
            </w:r>
          </w:p>
        </w:tc>
        <w:tc>
          <w:tcPr>
            <w:tcW w:w="9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20"/>
                <w:szCs w:val="20"/>
                <w:color w:val="auto"/>
              </w:rPr>
              <w:t>171,256</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ind w:right="370"/>
              <w:spacing w:after="0"/>
              <w:rPr>
                <w:sz w:val="20"/>
                <w:szCs w:val="20"/>
                <w:color w:val="auto"/>
              </w:rPr>
            </w:pPr>
            <w:r>
              <w:rPr>
                <w:rFonts w:ascii="Arial" w:cs="Arial" w:eastAsia="Arial" w:hAnsi="Arial"/>
                <w:sz w:val="20"/>
                <w:szCs w:val="20"/>
                <w:color w:val="auto"/>
                <w:w w:val="71"/>
              </w:rPr>
              <w:t>$</w:t>
            </w:r>
          </w:p>
        </w:tc>
        <w:tc>
          <w:tcPr>
            <w:tcW w:w="10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20"/>
                <w:szCs w:val="20"/>
                <w:color w:val="auto"/>
                <w:w w:val="91"/>
              </w:rPr>
              <w:t>565,012</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28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707,084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ind w:right="840" w:firstLine="598"/>
        <w:spacing w:after="0" w:line="256" w:lineRule="auto"/>
        <w:rPr>
          <w:sz w:val="20"/>
          <w:szCs w:val="20"/>
          <w:color w:val="auto"/>
        </w:rPr>
      </w:pPr>
      <w:r>
        <w:rPr>
          <w:rFonts w:ascii="Arial" w:cs="Arial" w:eastAsia="Arial" w:hAnsi="Arial"/>
          <w:sz w:val="20"/>
          <w:szCs w:val="20"/>
          <w:color w:val="auto"/>
        </w:rPr>
        <w:t>The Company believes that it is more likely than not that the deferred tax assets will be realized through taxable earnings or alternative tax strategies.</w:t>
      </w:r>
    </w:p>
    <w:p>
      <w:pPr>
        <w:ind w:right="100" w:firstLine="598"/>
        <w:spacing w:after="0" w:line="256" w:lineRule="auto"/>
        <w:rPr>
          <w:sz w:val="20"/>
          <w:szCs w:val="20"/>
          <w:color w:val="auto"/>
        </w:rPr>
      </w:pPr>
      <w:r>
        <w:rPr>
          <w:rFonts w:ascii="Arial" w:cs="Arial" w:eastAsia="Arial" w:hAnsi="Arial"/>
          <w:sz w:val="20"/>
          <w:szCs w:val="20"/>
          <w:color w:val="auto"/>
        </w:rPr>
        <w:t>The income tax credits shown in the statement of income of M&amp;T in note 25 arise principally from operating losses before dividends from subsidiaries.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56" w:name="page157"/>
    <w:bookmarkEnd w:id="156"/>
    <w:p>
      <w:pPr>
        <w:ind w:left="600"/>
        <w:spacing w:after="0"/>
        <w:rPr>
          <w:sz w:val="20"/>
          <w:szCs w:val="20"/>
          <w:color w:val="auto"/>
        </w:rPr>
      </w:pPr>
      <w:r>
        <w:rPr>
          <w:rFonts w:ascii="Arial" w:cs="Arial" w:eastAsia="Arial" w:hAnsi="Arial"/>
          <w:sz w:val="20"/>
          <w:szCs w:val="20"/>
          <w:color w:val="auto"/>
        </w:rPr>
        <w:t>A reconciliation of the beginning and ending amount of unrecognized tax benefits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Federal,</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89"/>
              </w:rPr>
              <w:t>Accrued</w:t>
            </w:r>
          </w:p>
        </w:tc>
        <w:tc>
          <w:tcPr>
            <w:tcW w:w="10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Unrecognized</w:t>
            </w:r>
          </w:p>
        </w:tc>
        <w:tc>
          <w:tcPr>
            <w:tcW w:w="0" w:type="dxa"/>
            <w:vAlign w:val="bottom"/>
          </w:tcPr>
          <w:p>
            <w:pPr>
              <w:spacing w:after="0"/>
              <w:rPr>
                <w:sz w:val="1"/>
                <w:szCs w:val="1"/>
                <w:color w:val="auto"/>
              </w:rPr>
            </w:pPr>
          </w:p>
        </w:tc>
      </w:tr>
      <w:tr>
        <w:trPr>
          <w:trHeight w:val="145"/>
        </w:trPr>
        <w:tc>
          <w:tcPr>
            <w:tcW w:w="63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340"/>
              <w:spacing w:after="0" w:line="145" w:lineRule="exact"/>
              <w:rPr>
                <w:sz w:val="20"/>
                <w:szCs w:val="20"/>
                <w:color w:val="auto"/>
              </w:rPr>
            </w:pPr>
            <w:r>
              <w:rPr>
                <w:rFonts w:ascii="Arial" w:cs="Arial" w:eastAsia="Arial" w:hAnsi="Arial"/>
                <w:sz w:val="14"/>
                <w:szCs w:val="14"/>
                <w:b w:val="1"/>
                <w:bCs w:val="1"/>
                <w:color w:val="auto"/>
                <w:w w:val="91"/>
              </w:rPr>
              <w:t>State and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0"/>
              </w:rPr>
              <w:t>Income Tax</w:t>
            </w:r>
          </w:p>
        </w:tc>
        <w:tc>
          <w:tcPr>
            <w:tcW w:w="0" w:type="dxa"/>
            <w:vAlign w:val="bottom"/>
          </w:tcPr>
          <w:p>
            <w:pPr>
              <w:spacing w:after="0"/>
              <w:rPr>
                <w:sz w:val="1"/>
                <w:szCs w:val="1"/>
                <w:color w:val="auto"/>
              </w:rPr>
            </w:pPr>
          </w:p>
        </w:tc>
      </w:tr>
      <w:tr>
        <w:trPr>
          <w:trHeight w:val="167"/>
        </w:trPr>
        <w:tc>
          <w:tcPr>
            <w:tcW w:w="63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Local Tax</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Interest</w:t>
            </w:r>
          </w:p>
        </w:tc>
        <w:tc>
          <w:tcPr>
            <w:tcW w:w="12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Benefits</w:t>
            </w:r>
          </w:p>
        </w:tc>
        <w:tc>
          <w:tcPr>
            <w:tcW w:w="0" w:type="dxa"/>
            <w:vAlign w:val="bottom"/>
          </w:tcPr>
          <w:p>
            <w:pPr>
              <w:spacing w:after="0"/>
              <w:rPr>
                <w:sz w:val="1"/>
                <w:szCs w:val="1"/>
                <w:color w:val="auto"/>
              </w:rPr>
            </w:pPr>
          </w:p>
        </w:tc>
      </w:tr>
      <w:tr>
        <w:trPr>
          <w:trHeight w:val="176"/>
        </w:trPr>
        <w:tc>
          <w:tcPr>
            <w:tcW w:w="63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gridSpan w:val="3"/>
          </w:tcPr>
          <w:p>
            <w:pPr>
              <w:jc w:val="center"/>
              <w:ind w:right="280"/>
              <w:spacing w:after="0"/>
              <w:rPr>
                <w:sz w:val="20"/>
                <w:szCs w:val="20"/>
                <w:color w:val="auto"/>
              </w:rPr>
            </w:pPr>
            <w:r>
              <w:rPr>
                <w:rFonts w:ascii="Arial" w:cs="Arial" w:eastAsia="Arial" w:hAnsi="Arial"/>
                <w:sz w:val="14"/>
                <w:szCs w:val="14"/>
                <w:b w:val="1"/>
                <w:bCs w:val="1"/>
                <w:color w:val="auto"/>
                <w:w w:val="91"/>
              </w:rPr>
              <w:t>(In thousands)</w:t>
            </w:r>
          </w:p>
        </w:tc>
        <w:tc>
          <w:tcPr>
            <w:tcW w:w="1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2"/>
        </w:trPr>
        <w:tc>
          <w:tcPr>
            <w:tcW w:w="6380" w:type="dxa"/>
            <w:vAlign w:val="bottom"/>
          </w:tcPr>
          <w:p>
            <w:pPr>
              <w:spacing w:after="0"/>
              <w:rPr>
                <w:sz w:val="20"/>
                <w:szCs w:val="20"/>
                <w:color w:val="auto"/>
              </w:rPr>
            </w:pPr>
            <w:r>
              <w:rPr>
                <w:rFonts w:ascii="Arial" w:cs="Arial" w:eastAsia="Arial" w:hAnsi="Arial"/>
                <w:sz w:val="20"/>
                <w:szCs w:val="20"/>
                <w:color w:val="auto"/>
              </w:rPr>
              <w:t>Gross unrecognized tax benefits at January 1, 2015</w:t>
            </w:r>
          </w:p>
        </w:tc>
        <w:tc>
          <w:tcPr>
            <w:tcW w:w="16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10,712</w:t>
            </w:r>
          </w:p>
        </w:tc>
        <w:tc>
          <w:tcPr>
            <w:tcW w:w="18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800" w:type="dxa"/>
            <w:vAlign w:val="bottom"/>
          </w:tcPr>
          <w:p>
            <w:pPr>
              <w:jc w:val="right"/>
              <w:spacing w:after="0"/>
              <w:rPr>
                <w:sz w:val="20"/>
                <w:szCs w:val="20"/>
                <w:color w:val="auto"/>
              </w:rPr>
            </w:pPr>
            <w:r>
              <w:rPr>
                <w:rFonts w:ascii="Arial" w:cs="Arial" w:eastAsia="Arial" w:hAnsi="Arial"/>
                <w:sz w:val="20"/>
                <w:szCs w:val="20"/>
                <w:color w:val="auto"/>
              </w:rPr>
              <w:t>3,869</w:t>
            </w:r>
          </w:p>
        </w:tc>
        <w:tc>
          <w:tcPr>
            <w:tcW w:w="2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14,581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380" w:type="dxa"/>
            <w:vAlign w:val="bottom"/>
            <w:shd w:val="clear" w:color="auto" w:fill="CFF0FC"/>
          </w:tcPr>
          <w:p>
            <w:pPr>
              <w:ind w:left="160"/>
              <w:spacing w:after="0"/>
              <w:rPr>
                <w:sz w:val="20"/>
                <w:szCs w:val="20"/>
                <w:color w:val="auto"/>
              </w:rPr>
            </w:pPr>
            <w:r>
              <w:rPr>
                <w:rFonts w:ascii="Arial" w:cs="Arial" w:eastAsia="Arial" w:hAnsi="Arial"/>
                <w:sz w:val="20"/>
                <w:szCs w:val="20"/>
                <w:color w:val="auto"/>
              </w:rPr>
              <w:t>Increases as a result of tax positions taken during 2015</w:t>
            </w:r>
          </w:p>
        </w:tc>
        <w:tc>
          <w:tcPr>
            <w:tcW w:w="14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8,108</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80"/>
              <w:spacing w:after="0"/>
              <w:rPr>
                <w:sz w:val="20"/>
                <w:szCs w:val="20"/>
                <w:color w:val="auto"/>
              </w:rPr>
            </w:pPr>
            <w:r>
              <w:rPr>
                <w:rFonts w:ascii="Arial" w:cs="Arial" w:eastAsia="Arial" w:hAnsi="Arial"/>
                <w:sz w:val="20"/>
                <w:szCs w:val="20"/>
                <w:color w:val="auto"/>
              </w:rPr>
              <w:t>—</w:t>
            </w:r>
          </w:p>
        </w:tc>
        <w:tc>
          <w:tcPr>
            <w:tcW w:w="1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8,108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380" w:type="dxa"/>
            <w:vAlign w:val="bottom"/>
          </w:tcPr>
          <w:p>
            <w:pPr>
              <w:ind w:left="160"/>
              <w:spacing w:after="0"/>
              <w:rPr>
                <w:sz w:val="20"/>
                <w:szCs w:val="20"/>
                <w:color w:val="auto"/>
              </w:rPr>
            </w:pPr>
            <w:r>
              <w:rPr>
                <w:rFonts w:ascii="Arial" w:cs="Arial" w:eastAsia="Arial" w:hAnsi="Arial"/>
                <w:sz w:val="20"/>
                <w:szCs w:val="20"/>
                <w:color w:val="auto"/>
              </w:rPr>
              <w:t>Increases as a result of tax positions taken in prior years</w:t>
            </w:r>
          </w:p>
        </w:tc>
        <w:tc>
          <w:tcPr>
            <w:tcW w:w="1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807</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807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380" w:type="dxa"/>
            <w:vAlign w:val="bottom"/>
            <w:shd w:val="clear" w:color="auto" w:fill="CFF0FC"/>
          </w:tcPr>
          <w:p>
            <w:pPr>
              <w:ind w:left="160"/>
              <w:spacing w:after="0"/>
              <w:rPr>
                <w:sz w:val="20"/>
                <w:szCs w:val="20"/>
                <w:color w:val="auto"/>
              </w:rPr>
            </w:pPr>
            <w:r>
              <w:rPr>
                <w:rFonts w:ascii="Arial" w:cs="Arial" w:eastAsia="Arial" w:hAnsi="Arial"/>
                <w:sz w:val="20"/>
                <w:szCs w:val="20"/>
                <w:color w:val="auto"/>
              </w:rPr>
              <w:t>Decreases as a result of settlements with taxing authorities</w:t>
            </w:r>
          </w:p>
        </w:tc>
        <w:tc>
          <w:tcPr>
            <w:tcW w:w="14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(1,515)</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20"/>
                <w:szCs w:val="20"/>
                <w:color w:val="auto"/>
              </w:rPr>
              <w:t>(274)</w:t>
            </w:r>
          </w:p>
        </w:tc>
        <w:tc>
          <w:tcPr>
            <w:tcW w:w="12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(1,789)</w:t>
            </w:r>
          </w:p>
        </w:tc>
        <w:tc>
          <w:tcPr>
            <w:tcW w:w="0" w:type="dxa"/>
            <w:vAlign w:val="bottom"/>
          </w:tcPr>
          <w:p>
            <w:pPr>
              <w:spacing w:after="0"/>
              <w:rPr>
                <w:sz w:val="1"/>
                <w:szCs w:val="1"/>
                <w:color w:val="auto"/>
              </w:rPr>
            </w:pPr>
          </w:p>
        </w:tc>
      </w:tr>
      <w:tr>
        <w:trPr>
          <w:trHeight w:val="250"/>
        </w:trPr>
        <w:tc>
          <w:tcPr>
            <w:tcW w:w="6380" w:type="dxa"/>
            <w:vAlign w:val="bottom"/>
            <w:tcBorders>
              <w:bottom w:val="single" w:sz="8" w:color="CFF0FC"/>
            </w:tcBorders>
          </w:tcPr>
          <w:p>
            <w:pPr>
              <w:ind w:left="160"/>
              <w:spacing w:after="0"/>
              <w:rPr>
                <w:sz w:val="20"/>
                <w:szCs w:val="20"/>
                <w:color w:val="auto"/>
              </w:rPr>
            </w:pPr>
            <w:r>
              <w:rPr>
                <w:rFonts w:ascii="Arial" w:cs="Arial" w:eastAsia="Arial" w:hAnsi="Arial"/>
                <w:sz w:val="20"/>
                <w:szCs w:val="20"/>
                <w:color w:val="auto"/>
              </w:rPr>
              <w:t>Unrealized tax benefits acquired in a business combination</w:t>
            </w:r>
          </w:p>
        </w:tc>
        <w:tc>
          <w:tcPr>
            <w:tcW w:w="146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7,232</w:t>
            </w:r>
          </w:p>
        </w:tc>
        <w:tc>
          <w:tcPr>
            <w:tcW w:w="18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3,567</w:t>
            </w:r>
          </w:p>
        </w:tc>
        <w:tc>
          <w:tcPr>
            <w:tcW w:w="28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10,799</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80" w:type="dxa"/>
            <w:vAlign w:val="bottom"/>
            <w:shd w:val="clear" w:color="auto" w:fill="CFF0FC"/>
          </w:tcPr>
          <w:p>
            <w:pPr>
              <w:spacing w:after="0"/>
              <w:rPr>
                <w:sz w:val="20"/>
                <w:szCs w:val="20"/>
                <w:color w:val="auto"/>
              </w:rPr>
            </w:pPr>
            <w:r>
              <w:rPr>
                <w:rFonts w:ascii="Arial" w:cs="Arial" w:eastAsia="Arial" w:hAnsi="Arial"/>
                <w:sz w:val="20"/>
                <w:szCs w:val="20"/>
                <w:color w:val="auto"/>
              </w:rPr>
              <w:t>Gross unrecognized tax benefits at December 31, 2015</w:t>
            </w:r>
          </w:p>
        </w:tc>
        <w:tc>
          <w:tcPr>
            <w:tcW w:w="14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24,537</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7,969</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32,506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380" w:type="dxa"/>
            <w:vAlign w:val="bottom"/>
          </w:tcPr>
          <w:p>
            <w:pPr>
              <w:ind w:left="160"/>
              <w:spacing w:after="0"/>
              <w:rPr>
                <w:sz w:val="20"/>
                <w:szCs w:val="20"/>
                <w:color w:val="auto"/>
              </w:rPr>
            </w:pPr>
            <w:r>
              <w:rPr>
                <w:rFonts w:ascii="Arial" w:cs="Arial" w:eastAsia="Arial" w:hAnsi="Arial"/>
                <w:sz w:val="20"/>
                <w:szCs w:val="20"/>
                <w:color w:val="auto"/>
              </w:rPr>
              <w:t>Increases as a result of tax positions taken during 2016</w:t>
            </w:r>
          </w:p>
        </w:tc>
        <w:tc>
          <w:tcPr>
            <w:tcW w:w="1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12,237</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12,237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380" w:type="dxa"/>
            <w:vAlign w:val="bottom"/>
            <w:shd w:val="clear" w:color="auto" w:fill="CFF0FC"/>
          </w:tcPr>
          <w:p>
            <w:pPr>
              <w:ind w:left="160"/>
              <w:spacing w:after="0"/>
              <w:rPr>
                <w:sz w:val="20"/>
                <w:szCs w:val="20"/>
                <w:color w:val="auto"/>
              </w:rPr>
            </w:pPr>
            <w:r>
              <w:rPr>
                <w:rFonts w:ascii="Arial" w:cs="Arial" w:eastAsia="Arial" w:hAnsi="Arial"/>
                <w:sz w:val="20"/>
                <w:szCs w:val="20"/>
                <w:color w:val="auto"/>
              </w:rPr>
              <w:t>Increases as a result of tax positions taken in prior years</w:t>
            </w:r>
          </w:p>
        </w:tc>
        <w:tc>
          <w:tcPr>
            <w:tcW w:w="14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20"/>
                <w:szCs w:val="20"/>
                <w:color w:val="auto"/>
              </w:rPr>
              <w:t>—</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656</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656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380" w:type="dxa"/>
            <w:vAlign w:val="bottom"/>
          </w:tcPr>
          <w:p>
            <w:pPr>
              <w:ind w:left="160"/>
              <w:spacing w:after="0"/>
              <w:rPr>
                <w:sz w:val="20"/>
                <w:szCs w:val="20"/>
                <w:color w:val="auto"/>
              </w:rPr>
            </w:pPr>
            <w:r>
              <w:rPr>
                <w:rFonts w:ascii="Arial" w:cs="Arial" w:eastAsia="Arial" w:hAnsi="Arial"/>
                <w:sz w:val="20"/>
                <w:szCs w:val="20"/>
                <w:color w:val="auto"/>
              </w:rPr>
              <w:t>Decreases as a result of tax positions in prior years</w:t>
            </w:r>
          </w:p>
        </w:tc>
        <w:tc>
          <w:tcPr>
            <w:tcW w:w="1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20"/>
                <w:szCs w:val="20"/>
                <w:color w:val="auto"/>
              </w:rPr>
              <w:t>(885)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20"/>
                <w:szCs w:val="20"/>
                <w:color w:val="auto"/>
              </w:rPr>
              <w:t>(710)</w:t>
            </w:r>
          </w:p>
        </w:tc>
        <w:tc>
          <w:tcPr>
            <w:tcW w:w="120" w:type="dxa"/>
            <w:vAlign w:val="bottom"/>
          </w:tcPr>
          <w:p>
            <w:pPr>
              <w:spacing w:after="0"/>
              <w:rPr>
                <w:sz w:val="21"/>
                <w:szCs w:val="21"/>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20"/>
                <w:szCs w:val="20"/>
                <w:color w:val="auto"/>
              </w:rPr>
              <w:t>(1,595)</w:t>
            </w:r>
          </w:p>
        </w:tc>
        <w:tc>
          <w:tcPr>
            <w:tcW w:w="0" w:type="dxa"/>
            <w:vAlign w:val="bottom"/>
          </w:tcPr>
          <w:p>
            <w:pPr>
              <w:spacing w:after="0"/>
              <w:rPr>
                <w:sz w:val="1"/>
                <w:szCs w:val="1"/>
                <w:color w:val="auto"/>
              </w:rPr>
            </w:pPr>
          </w:p>
        </w:tc>
      </w:tr>
      <w:tr>
        <w:trPr>
          <w:trHeight w:val="243"/>
        </w:trPr>
        <w:tc>
          <w:tcPr>
            <w:tcW w:w="6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20"/>
                <w:szCs w:val="20"/>
                <w:color w:val="auto"/>
              </w:rPr>
              <w:t>Gross unrecognized tax benefits at December 31, 2016</w:t>
            </w:r>
          </w:p>
        </w:tc>
        <w:tc>
          <w:tcPr>
            <w:tcW w:w="1460" w:type="dxa"/>
            <w:vAlign w:val="bottom"/>
            <w:tcBorders>
              <w:top w:val="single" w:sz="8" w:color="CFF0FC"/>
            </w:tcBorders>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35,889</w:t>
            </w:r>
          </w:p>
        </w:tc>
        <w:tc>
          <w:tcPr>
            <w:tcW w:w="180" w:type="dxa"/>
            <w:vAlign w:val="bottom"/>
            <w:tcBorders>
              <w:top w:val="single" w:sz="8" w:color="CFF0FC"/>
            </w:tcBorders>
            <w:shd w:val="clear" w:color="auto" w:fill="CFF0FC"/>
          </w:tcPr>
          <w:p>
            <w:pPr>
              <w:spacing w:after="0"/>
              <w:rPr>
                <w:sz w:val="21"/>
                <w:szCs w:val="21"/>
                <w:color w:val="auto"/>
              </w:rPr>
            </w:pPr>
          </w:p>
        </w:tc>
        <w:tc>
          <w:tcPr>
            <w:tcW w:w="100" w:type="dxa"/>
            <w:vAlign w:val="bottom"/>
            <w:tcBorders>
              <w:top w:val="single" w:sz="8" w:color="CFF0FC"/>
            </w:tcBorders>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7,915</w:t>
            </w:r>
          </w:p>
        </w:tc>
        <w:tc>
          <w:tcPr>
            <w:tcW w:w="280" w:type="dxa"/>
            <w:vAlign w:val="bottom"/>
            <w:tcBorders>
              <w:top w:val="single" w:sz="8" w:color="CFF0FC"/>
            </w:tcBorders>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43,804</w:t>
            </w:r>
          </w:p>
        </w:tc>
        <w:tc>
          <w:tcPr>
            <w:tcW w:w="100" w:type="dxa"/>
            <w:vAlign w:val="bottom"/>
            <w:tcBorders>
              <w:top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380" w:type="dxa"/>
            <w:vAlign w:val="bottom"/>
          </w:tcPr>
          <w:p>
            <w:pPr>
              <w:ind w:left="160"/>
              <w:spacing w:after="0"/>
              <w:rPr>
                <w:sz w:val="20"/>
                <w:szCs w:val="20"/>
                <w:color w:val="auto"/>
              </w:rPr>
            </w:pPr>
            <w:r>
              <w:rPr>
                <w:rFonts w:ascii="Arial" w:cs="Arial" w:eastAsia="Arial" w:hAnsi="Arial"/>
                <w:sz w:val="20"/>
                <w:szCs w:val="20"/>
                <w:color w:val="auto"/>
              </w:rPr>
              <w:t>Increases as a result of tax positions taken during 2017</w:t>
            </w:r>
          </w:p>
        </w:tc>
        <w:tc>
          <w:tcPr>
            <w:tcW w:w="1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13,019</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13,019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380" w:type="dxa"/>
            <w:vAlign w:val="bottom"/>
            <w:shd w:val="clear" w:color="auto" w:fill="CFF0FC"/>
          </w:tcPr>
          <w:p>
            <w:pPr>
              <w:ind w:left="160"/>
              <w:spacing w:after="0"/>
              <w:rPr>
                <w:sz w:val="20"/>
                <w:szCs w:val="20"/>
                <w:color w:val="auto"/>
              </w:rPr>
            </w:pPr>
            <w:r>
              <w:rPr>
                <w:rFonts w:ascii="Arial" w:cs="Arial" w:eastAsia="Arial" w:hAnsi="Arial"/>
                <w:sz w:val="20"/>
                <w:szCs w:val="20"/>
                <w:color w:val="auto"/>
              </w:rPr>
              <w:t>Increases as a result of tax positions taken in prior years</w:t>
            </w:r>
          </w:p>
        </w:tc>
        <w:tc>
          <w:tcPr>
            <w:tcW w:w="14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20"/>
                <w:szCs w:val="20"/>
                <w:color w:val="auto"/>
              </w:rPr>
              <w:t>—</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1,379</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1,379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380" w:type="dxa"/>
            <w:vAlign w:val="bottom"/>
          </w:tcPr>
          <w:p>
            <w:pPr>
              <w:ind w:left="160"/>
              <w:spacing w:after="0"/>
              <w:rPr>
                <w:sz w:val="20"/>
                <w:szCs w:val="20"/>
                <w:color w:val="auto"/>
              </w:rPr>
            </w:pPr>
            <w:r>
              <w:rPr>
                <w:rFonts w:ascii="Arial" w:cs="Arial" w:eastAsia="Arial" w:hAnsi="Arial"/>
                <w:sz w:val="20"/>
                <w:szCs w:val="20"/>
                <w:color w:val="auto"/>
              </w:rPr>
              <w:t>Decreases as a result of settlements with taxing authorities</w:t>
            </w:r>
          </w:p>
        </w:tc>
        <w:tc>
          <w:tcPr>
            <w:tcW w:w="1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20"/>
                <w:szCs w:val="20"/>
                <w:color w:val="auto"/>
              </w:rPr>
              <w:t>(332)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20"/>
                <w:szCs w:val="20"/>
                <w:color w:val="auto"/>
              </w:rPr>
              <w:t>(168)</w:t>
            </w:r>
          </w:p>
        </w:tc>
        <w:tc>
          <w:tcPr>
            <w:tcW w:w="120" w:type="dxa"/>
            <w:vAlign w:val="bottom"/>
          </w:tcPr>
          <w:p>
            <w:pPr>
              <w:spacing w:after="0"/>
              <w:rPr>
                <w:sz w:val="21"/>
                <w:szCs w:val="21"/>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20"/>
                <w:szCs w:val="20"/>
                <w:color w:val="auto"/>
              </w:rPr>
              <w:t>(500)</w:t>
            </w:r>
          </w:p>
        </w:tc>
        <w:tc>
          <w:tcPr>
            <w:tcW w:w="0" w:type="dxa"/>
            <w:vAlign w:val="bottom"/>
          </w:tcPr>
          <w:p>
            <w:pPr>
              <w:spacing w:after="0"/>
              <w:rPr>
                <w:sz w:val="1"/>
                <w:szCs w:val="1"/>
                <w:color w:val="auto"/>
              </w:rPr>
            </w:pPr>
          </w:p>
        </w:tc>
      </w:tr>
      <w:tr>
        <w:trPr>
          <w:trHeight w:val="250"/>
        </w:trPr>
        <w:tc>
          <w:tcPr>
            <w:tcW w:w="6380" w:type="dxa"/>
            <w:vAlign w:val="bottom"/>
            <w:shd w:val="clear" w:color="auto" w:fill="CFF0FC"/>
          </w:tcPr>
          <w:p>
            <w:pPr>
              <w:ind w:left="160"/>
              <w:spacing w:after="0"/>
              <w:rPr>
                <w:sz w:val="20"/>
                <w:szCs w:val="20"/>
                <w:color w:val="auto"/>
              </w:rPr>
            </w:pPr>
            <w:r>
              <w:rPr>
                <w:rFonts w:ascii="Arial" w:cs="Arial" w:eastAsia="Arial" w:hAnsi="Arial"/>
                <w:sz w:val="20"/>
                <w:szCs w:val="20"/>
                <w:color w:val="auto"/>
              </w:rPr>
              <w:t>Decreases as a result of tax positions taken in prior years</w:t>
            </w:r>
          </w:p>
        </w:tc>
        <w:tc>
          <w:tcPr>
            <w:tcW w:w="14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(3,144)</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20"/>
                <w:szCs w:val="20"/>
                <w:color w:val="auto"/>
              </w:rPr>
              <w:t>(3,475)</w:t>
            </w:r>
          </w:p>
        </w:tc>
        <w:tc>
          <w:tcPr>
            <w:tcW w:w="12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(6,619)</w:t>
            </w:r>
          </w:p>
        </w:tc>
        <w:tc>
          <w:tcPr>
            <w:tcW w:w="0" w:type="dxa"/>
            <w:vAlign w:val="bottom"/>
          </w:tcPr>
          <w:p>
            <w:pPr>
              <w:spacing w:after="0"/>
              <w:rPr>
                <w:sz w:val="1"/>
                <w:szCs w:val="1"/>
                <w:color w:val="auto"/>
              </w:rPr>
            </w:pPr>
          </w:p>
        </w:tc>
      </w:tr>
      <w:tr>
        <w:trPr>
          <w:trHeight w:val="283"/>
        </w:trPr>
        <w:tc>
          <w:tcPr>
            <w:tcW w:w="638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Gross unrecognized tax benefits at December 31, 2017</w:t>
            </w:r>
          </w:p>
        </w:tc>
        <w:tc>
          <w:tcPr>
            <w:tcW w:w="1460" w:type="dxa"/>
            <w:vAlign w:val="bottom"/>
            <w:tcBorders>
              <w:bottom w:val="single" w:sz="8" w:color="CFF0FC"/>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45,432</w:t>
            </w:r>
          </w:p>
        </w:tc>
        <w:tc>
          <w:tcPr>
            <w:tcW w:w="18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5,651</w:t>
            </w:r>
          </w:p>
        </w:tc>
        <w:tc>
          <w:tcPr>
            <w:tcW w:w="280" w:type="dxa"/>
            <w:vAlign w:val="bottom"/>
            <w:tcBorders>
              <w:bottom w:val="single" w:sz="8" w:color="CFF0FC"/>
            </w:tcBorders>
          </w:tcPr>
          <w:p>
            <w:pPr>
              <w:spacing w:after="0"/>
              <w:rPr>
                <w:sz w:val="24"/>
                <w:szCs w:val="24"/>
                <w:color w:val="auto"/>
              </w:rPr>
            </w:pPr>
          </w:p>
        </w:tc>
        <w:tc>
          <w:tcPr>
            <w:tcW w:w="120" w:type="dxa"/>
            <w:vAlign w:val="bottom"/>
            <w:tcBorders>
              <w:top w:val="single" w:sz="8" w:color="auto"/>
              <w:bottom w:val="single" w:sz="8" w:color="CFF0FC"/>
            </w:tcBorders>
          </w:tcPr>
          <w:p>
            <w:pPr>
              <w:spacing w:after="0"/>
              <w:rPr>
                <w:sz w:val="24"/>
                <w:szCs w:val="24"/>
                <w:color w:val="auto"/>
              </w:rPr>
            </w:pPr>
          </w:p>
        </w:tc>
        <w:tc>
          <w:tcPr>
            <w:tcW w:w="860" w:type="dxa"/>
            <w:vAlign w:val="bottom"/>
            <w:tcBorders>
              <w:top w:val="single" w:sz="8" w:color="auto"/>
              <w:bottom w:val="single" w:sz="8" w:color="CFF0FC"/>
            </w:tcBorders>
          </w:tcPr>
          <w:p>
            <w:pPr>
              <w:jc w:val="right"/>
              <w:spacing w:after="0"/>
              <w:rPr>
                <w:sz w:val="20"/>
                <w:szCs w:val="20"/>
                <w:color w:val="auto"/>
              </w:rPr>
            </w:pPr>
            <w:r>
              <w:rPr>
                <w:rFonts w:ascii="Arial" w:cs="Arial" w:eastAsia="Arial" w:hAnsi="Arial"/>
                <w:sz w:val="20"/>
                <w:szCs w:val="20"/>
                <w:color w:val="auto"/>
              </w:rPr>
              <w:t>51,083</w:t>
            </w:r>
          </w:p>
        </w:tc>
        <w:tc>
          <w:tcPr>
            <w:tcW w:w="10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380" w:type="dxa"/>
            <w:vAlign w:val="bottom"/>
            <w:shd w:val="clear" w:color="auto" w:fill="CFF0FC"/>
          </w:tcPr>
          <w:p>
            <w:pPr>
              <w:spacing w:after="0"/>
              <w:rPr>
                <w:sz w:val="20"/>
                <w:szCs w:val="20"/>
                <w:color w:val="auto"/>
              </w:rPr>
            </w:pPr>
            <w:r>
              <w:rPr>
                <w:rFonts w:ascii="Arial" w:cs="Arial" w:eastAsia="Arial" w:hAnsi="Arial"/>
                <w:sz w:val="20"/>
                <w:szCs w:val="20"/>
                <w:color w:val="auto"/>
              </w:rPr>
              <w:t>Less: Federal, state and local income tax benefits</w:t>
            </w:r>
          </w:p>
        </w:tc>
        <w:tc>
          <w:tcPr>
            <w:tcW w:w="1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(10,727)</w:t>
            </w:r>
          </w:p>
        </w:tc>
        <w:tc>
          <w:tcPr>
            <w:tcW w:w="0" w:type="dxa"/>
            <w:vAlign w:val="bottom"/>
          </w:tcPr>
          <w:p>
            <w:pPr>
              <w:spacing w:after="0"/>
              <w:rPr>
                <w:sz w:val="1"/>
                <w:szCs w:val="1"/>
                <w:color w:val="auto"/>
              </w:rPr>
            </w:pPr>
          </w:p>
        </w:tc>
      </w:tr>
      <w:tr>
        <w:trPr>
          <w:trHeight w:val="229"/>
        </w:trPr>
        <w:tc>
          <w:tcPr>
            <w:tcW w:w="6380" w:type="dxa"/>
            <w:vAlign w:val="bottom"/>
          </w:tcPr>
          <w:p>
            <w:pPr>
              <w:spacing w:after="0"/>
              <w:rPr>
                <w:sz w:val="20"/>
                <w:szCs w:val="20"/>
                <w:color w:val="auto"/>
              </w:rPr>
            </w:pPr>
            <w:r>
              <w:rPr>
                <w:rFonts w:ascii="Arial" w:cs="Arial" w:eastAsia="Arial" w:hAnsi="Arial"/>
                <w:sz w:val="20"/>
                <w:szCs w:val="20"/>
                <w:color w:val="auto"/>
              </w:rPr>
              <w:t>Net unrecognized tax benefits at December 31, 2017 that,</w:t>
            </w:r>
          </w:p>
        </w:tc>
        <w:tc>
          <w:tcPr>
            <w:tcW w:w="1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380" w:type="dxa"/>
            <w:vAlign w:val="bottom"/>
          </w:tcPr>
          <w:p>
            <w:pPr>
              <w:ind w:left="160"/>
              <w:spacing w:after="0"/>
              <w:rPr>
                <w:sz w:val="20"/>
                <w:szCs w:val="20"/>
                <w:color w:val="auto"/>
              </w:rPr>
            </w:pPr>
            <w:r>
              <w:rPr>
                <w:rFonts w:ascii="Arial" w:cs="Arial" w:eastAsia="Arial" w:hAnsi="Arial"/>
                <w:sz w:val="20"/>
                <w:szCs w:val="20"/>
                <w:color w:val="auto"/>
              </w:rPr>
              <w:t>if recognized, would impact the effective income tax rate</w:t>
            </w:r>
          </w:p>
        </w:tc>
        <w:tc>
          <w:tcPr>
            <w:tcW w:w="1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40,356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right="60" w:firstLine="598"/>
        <w:spacing w:after="0" w:line="264" w:lineRule="auto"/>
        <w:rPr>
          <w:sz w:val="20"/>
          <w:szCs w:val="20"/>
          <w:color w:val="auto"/>
        </w:rPr>
      </w:pPr>
      <w:r>
        <w:rPr>
          <w:rFonts w:ascii="Arial" w:cs="Arial" w:eastAsia="Arial" w:hAnsi="Arial"/>
          <w:sz w:val="19"/>
          <w:szCs w:val="19"/>
          <w:color w:val="auto"/>
        </w:rPr>
        <w:t>The Company’s policy is to recognize interest and penalties, if any, related to unrecognized tax benefits in income taxes in the consolidated statement of income. The balance of accrued interest at December 31, 2017 is included in the table above. The Company’s federal, state and local income tax returns are routinely subject to examinations from various governmental taxing authorities. Such examinations may result in challenges to the tax return treatment applied by the Company to specific transactions. Management believes that the assumptions and judgment used to record tax-related assets or liabilities have been appropriate. Should determinations rendered by tax authorities ultimately indicate that management’s assumptions were inappropriate, the result and adjustments required could have a material effect on the Company’s results of operations. Examinations by the Internal Revenue Service of the Company’s federal income tax returns have been largely concluded through 2016, although under statute the income tax returns from 2014 through 2016 could be adjusted. The Company also files income tax returns in over forty states and numerous local jurisdictions. Substantially all material state and local matters have been concluded for years through 2013. It is not reasonably possible to estimate when examinations for any subsequent years will be completed.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57" w:name="page158"/>
    <w:bookmarkEnd w:id="157"/>
    <w:p>
      <w:pPr>
        <w:spacing w:after="0"/>
        <w:tabs>
          <w:tab w:leader="none" w:pos="440" w:val="left"/>
        </w:tabs>
        <w:rPr>
          <w:sz w:val="20"/>
          <w:szCs w:val="20"/>
          <w:color w:val="auto"/>
        </w:rPr>
      </w:pPr>
      <w:r>
        <w:rPr>
          <w:rFonts w:ascii="Arial" w:cs="Arial" w:eastAsia="Arial" w:hAnsi="Arial"/>
          <w:sz w:val="20"/>
          <w:szCs w:val="20"/>
          <w:b w:val="1"/>
          <w:bCs w:val="1"/>
          <w:color w:val="auto"/>
        </w:rPr>
        <w:t>14.</w:t>
      </w:r>
      <w:r>
        <w:rPr>
          <w:sz w:val="20"/>
          <w:szCs w:val="20"/>
          <w:color w:val="auto"/>
        </w:rPr>
        <w:tab/>
      </w:r>
      <w:r>
        <w:rPr>
          <w:rFonts w:ascii="Arial" w:cs="Arial" w:eastAsia="Arial" w:hAnsi="Arial"/>
          <w:sz w:val="17"/>
          <w:szCs w:val="17"/>
          <w:b w:val="1"/>
          <w:bCs w:val="1"/>
          <w:color w:val="auto"/>
        </w:rPr>
        <w:t>Earnings per common share</w:t>
      </w:r>
    </w:p>
    <w:p>
      <w:pPr>
        <w:spacing w:after="0" w:line="29" w:lineRule="exact"/>
        <w:rPr>
          <w:sz w:val="20"/>
          <w:szCs w:val="20"/>
          <w:color w:val="auto"/>
        </w:rPr>
      </w:pPr>
    </w:p>
    <w:p>
      <w:pPr>
        <w:spacing w:after="0"/>
        <w:rPr>
          <w:sz w:val="20"/>
          <w:szCs w:val="20"/>
          <w:color w:val="auto"/>
        </w:rPr>
      </w:pPr>
      <w:r>
        <w:rPr>
          <w:rFonts w:ascii="Arial" w:cs="Arial" w:eastAsia="Arial" w:hAnsi="Arial"/>
          <w:sz w:val="20"/>
          <w:szCs w:val="20"/>
          <w:color w:val="auto"/>
        </w:rPr>
        <w:t>The computations of basic earnings per common share follow:</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6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0"/>
              </w:rPr>
              <w:t>Year Ended December 31</w:t>
            </w: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1"/>
        </w:trPr>
        <w:tc>
          <w:tcPr>
            <w:tcW w:w="76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56"/>
              <w:spacing w:after="0" w:line="151"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74"/>
              <w:spacing w:after="0" w:line="151" w:lineRule="exact"/>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74"/>
              <w:spacing w:after="0" w:line="151"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r>
      <w:tr>
        <w:trPr>
          <w:trHeight w:val="151"/>
        </w:trPr>
        <w:tc>
          <w:tcPr>
            <w:tcW w:w="7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740" w:type="dxa"/>
            <w:vAlign w:val="bottom"/>
            <w:gridSpan w:val="7"/>
          </w:tcPr>
          <w:p>
            <w:pPr>
              <w:jc w:val="right"/>
              <w:ind w:right="23"/>
              <w:spacing w:after="0" w:line="151" w:lineRule="exact"/>
              <w:rPr>
                <w:sz w:val="20"/>
                <w:szCs w:val="20"/>
                <w:color w:val="auto"/>
              </w:rPr>
            </w:pPr>
            <w:r>
              <w:rPr>
                <w:rFonts w:ascii="Arial" w:cs="Arial" w:eastAsia="Arial" w:hAnsi="Arial"/>
                <w:sz w:val="14"/>
                <w:szCs w:val="14"/>
                <w:b w:val="1"/>
                <w:bCs w:val="1"/>
                <w:color w:val="auto"/>
              </w:rPr>
              <w:t>(In thousands, except per share)</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3"/>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Income available to common shareholders:</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3"/>
        </w:trPr>
        <w:tc>
          <w:tcPr>
            <w:tcW w:w="7620" w:type="dxa"/>
            <w:vAlign w:val="bottom"/>
          </w:tcPr>
          <w:p>
            <w:pPr>
              <w:ind w:left="240"/>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1,408,306</w:t>
            </w:r>
          </w:p>
        </w:tc>
        <w:tc>
          <w:tcPr>
            <w:tcW w:w="10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7"/>
              </w:rPr>
              <w:t>1,315,114</w:t>
            </w:r>
          </w:p>
        </w:tc>
        <w:tc>
          <w:tcPr>
            <w:tcW w:w="380" w:type="dxa"/>
            <w:vAlign w:val="bottom"/>
          </w:tcPr>
          <w:p>
            <w:pPr>
              <w:spacing w:after="0"/>
              <w:rPr>
                <w:sz w:val="19"/>
                <w:szCs w:val="19"/>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4"/>
              </w:rPr>
              <w:t>1,079,667</w:t>
            </w:r>
          </w:p>
        </w:tc>
        <w:tc>
          <w:tcPr>
            <w:tcW w:w="100" w:type="dxa"/>
            <w:vAlign w:val="bottom"/>
          </w:tcPr>
          <w:p>
            <w:pPr>
              <w:spacing w:after="0"/>
              <w:rPr>
                <w:sz w:val="19"/>
                <w:szCs w:val="19"/>
                <w:color w:val="auto"/>
              </w:rPr>
            </w:pPr>
          </w:p>
        </w:tc>
      </w:tr>
      <w:tr>
        <w:trPr>
          <w:trHeight w:val="224"/>
        </w:trPr>
        <w:tc>
          <w:tcPr>
            <w:tcW w:w="7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Less: Preferred stock dividends(a)</w:t>
            </w: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(72,734)</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(81,270)</w:t>
            </w: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(81,270)</w:t>
            </w:r>
          </w:p>
        </w:tc>
      </w:tr>
      <w:tr>
        <w:trPr>
          <w:trHeight w:val="216"/>
        </w:trPr>
        <w:tc>
          <w:tcPr>
            <w:tcW w:w="7620" w:type="dxa"/>
            <w:vAlign w:val="bottom"/>
          </w:tcPr>
          <w:p>
            <w:pPr>
              <w:ind w:left="240"/>
              <w:spacing w:after="0"/>
              <w:rPr>
                <w:sz w:val="20"/>
                <w:szCs w:val="20"/>
                <w:color w:val="auto"/>
              </w:rPr>
            </w:pPr>
            <w:r>
              <w:rPr>
                <w:rFonts w:ascii="Arial" w:cs="Arial" w:eastAsia="Arial" w:hAnsi="Arial"/>
                <w:sz w:val="18"/>
                <w:szCs w:val="18"/>
                <w:color w:val="auto"/>
              </w:rPr>
              <w:t>Net income available to common equity</w:t>
            </w: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1,335,572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1,233,844</w:t>
            </w:r>
          </w:p>
        </w:tc>
        <w:tc>
          <w:tcPr>
            <w:tcW w:w="3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998,397</w:t>
            </w:r>
          </w:p>
        </w:tc>
        <w:tc>
          <w:tcPr>
            <w:tcW w:w="100" w:type="dxa"/>
            <w:vAlign w:val="bottom"/>
          </w:tcPr>
          <w:p>
            <w:pPr>
              <w:spacing w:after="0"/>
              <w:rPr>
                <w:sz w:val="18"/>
                <w:szCs w:val="18"/>
                <w:color w:val="auto"/>
              </w:rPr>
            </w:pPr>
          </w:p>
        </w:tc>
      </w:tr>
      <w:tr>
        <w:trPr>
          <w:trHeight w:val="211"/>
        </w:trPr>
        <w:tc>
          <w:tcPr>
            <w:tcW w:w="7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Less: Income attributable to unvested stock-based</w:t>
            </w: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3"/>
        </w:trPr>
        <w:tc>
          <w:tcPr>
            <w:tcW w:w="76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compensation awards</w:t>
            </w: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(8,069)</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(10,385)</w:t>
            </w: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(10,708)</w:t>
            </w: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Net income available to common shareholders</w:t>
            </w: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1,327,503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1,223,459</w:t>
            </w:r>
          </w:p>
        </w:tc>
        <w:tc>
          <w:tcPr>
            <w:tcW w:w="380" w:type="dxa"/>
            <w:vAlign w:val="bottom"/>
          </w:tcPr>
          <w:p>
            <w:pPr>
              <w:spacing w:after="0"/>
              <w:rPr>
                <w:sz w:val="18"/>
                <w:szCs w:val="18"/>
                <w:color w:val="auto"/>
              </w:rPr>
            </w:pPr>
          </w:p>
        </w:tc>
        <w:tc>
          <w:tcPr>
            <w:tcW w:w="18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987,689</w:t>
            </w:r>
          </w:p>
        </w:tc>
        <w:tc>
          <w:tcPr>
            <w:tcW w:w="100" w:type="dxa"/>
            <w:vAlign w:val="bottom"/>
          </w:tcPr>
          <w:p>
            <w:pPr>
              <w:spacing w:after="0"/>
              <w:rPr>
                <w:sz w:val="18"/>
                <w:szCs w:val="18"/>
                <w:color w:val="auto"/>
              </w:rPr>
            </w:pPr>
          </w:p>
        </w:tc>
      </w:tr>
      <w:tr>
        <w:trPr>
          <w:trHeight w:val="224"/>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shares outstanding:</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1"/>
        </w:trPr>
        <w:tc>
          <w:tcPr>
            <w:tcW w:w="7620" w:type="dxa"/>
            <w:vAlign w:val="bottom"/>
          </w:tcPr>
          <w:p>
            <w:pPr>
              <w:ind w:left="240"/>
              <w:spacing w:after="0"/>
              <w:rPr>
                <w:sz w:val="20"/>
                <w:szCs w:val="20"/>
                <w:color w:val="auto"/>
              </w:rPr>
            </w:pPr>
            <w:r>
              <w:rPr>
                <w:rFonts w:ascii="Arial" w:cs="Arial" w:eastAsia="Arial" w:hAnsi="Arial"/>
                <w:sz w:val="18"/>
                <w:szCs w:val="18"/>
                <w:color w:val="auto"/>
              </w:rPr>
              <w:t>Common shares outstanding (including common stock</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7620" w:type="dxa"/>
            <w:vAlign w:val="bottom"/>
          </w:tcPr>
          <w:p>
            <w:pPr>
              <w:ind w:left="380"/>
              <w:spacing w:after="0"/>
              <w:rPr>
                <w:sz w:val="20"/>
                <w:szCs w:val="20"/>
                <w:color w:val="auto"/>
              </w:rPr>
            </w:pPr>
            <w:r>
              <w:rPr>
                <w:rFonts w:ascii="Arial" w:cs="Arial" w:eastAsia="Arial" w:hAnsi="Arial"/>
                <w:sz w:val="18"/>
                <w:szCs w:val="18"/>
                <w:color w:val="auto"/>
              </w:rPr>
              <w:t>issuable) and unvested stock-based compensation awards</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153,092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158,121</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138,285</w:t>
            </w:r>
          </w:p>
        </w:tc>
        <w:tc>
          <w:tcPr>
            <w:tcW w:w="100" w:type="dxa"/>
            <w:vAlign w:val="bottom"/>
          </w:tcPr>
          <w:p>
            <w:pPr>
              <w:spacing w:after="0"/>
              <w:rPr>
                <w:sz w:val="19"/>
                <w:szCs w:val="19"/>
                <w:color w:val="auto"/>
              </w:rPr>
            </w:pPr>
          </w:p>
        </w:tc>
      </w:tr>
      <w:tr>
        <w:trPr>
          <w:trHeight w:val="224"/>
        </w:trPr>
        <w:tc>
          <w:tcPr>
            <w:tcW w:w="7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Less: Unvested stock-based compensation awards</w:t>
            </w: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(933)</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(1,341)</w:t>
            </w: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(1,482)</w:t>
            </w: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Weighted-average shares outstanding</w:t>
            </w: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152,159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156,780</w:t>
            </w:r>
          </w:p>
        </w:tc>
        <w:tc>
          <w:tcPr>
            <w:tcW w:w="3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136,803</w:t>
            </w:r>
          </w:p>
        </w:tc>
        <w:tc>
          <w:tcPr>
            <w:tcW w:w="100" w:type="dxa"/>
            <w:vAlign w:val="bottom"/>
          </w:tcPr>
          <w:p>
            <w:pPr>
              <w:spacing w:after="0"/>
              <w:rPr>
                <w:sz w:val="18"/>
                <w:szCs w:val="18"/>
                <w:color w:val="auto"/>
              </w:rPr>
            </w:pPr>
          </w:p>
        </w:tc>
      </w:tr>
      <w:tr>
        <w:trPr>
          <w:trHeight w:val="224"/>
        </w:trPr>
        <w:tc>
          <w:tcPr>
            <w:tcW w:w="7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3"/>
        </w:trPr>
        <w:tc>
          <w:tcPr>
            <w:tcW w:w="7620" w:type="dxa"/>
            <w:vAlign w:val="bottom"/>
          </w:tcPr>
          <w:p>
            <w:pPr>
              <w:spacing w:after="0"/>
              <w:rPr>
                <w:sz w:val="20"/>
                <w:szCs w:val="20"/>
                <w:color w:val="auto"/>
              </w:rPr>
            </w:pPr>
            <w:r>
              <w:rPr>
                <w:rFonts w:ascii="Arial" w:cs="Arial" w:eastAsia="Arial" w:hAnsi="Arial"/>
                <w:sz w:val="18"/>
                <w:szCs w:val="18"/>
                <w:color w:val="auto"/>
              </w:rPr>
              <w:t>Basic earnings per common share</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8.72</w:t>
            </w:r>
          </w:p>
        </w:tc>
        <w:tc>
          <w:tcPr>
            <w:tcW w:w="10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7.80</w:t>
            </w:r>
          </w:p>
        </w:tc>
        <w:tc>
          <w:tcPr>
            <w:tcW w:w="380" w:type="dxa"/>
            <w:vAlign w:val="bottom"/>
          </w:tcPr>
          <w:p>
            <w:pPr>
              <w:spacing w:after="0"/>
              <w:rPr>
                <w:sz w:val="19"/>
                <w:szCs w:val="19"/>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7.22</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136017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151" w:lineRule="exact"/>
        <w:rPr>
          <w:sz w:val="20"/>
          <w:szCs w:val="20"/>
          <w:color w:val="auto"/>
        </w:rPr>
      </w:pPr>
    </w:p>
    <w:p>
      <w:pPr>
        <w:ind w:left="600" w:right="5640" w:hanging="595"/>
        <w:spacing w:after="0" w:line="535" w:lineRule="auto"/>
        <w:tabs>
          <w:tab w:leader="none" w:pos="593" w:val="left"/>
        </w:tabs>
        <w:numPr>
          <w:ilvl w:val="0"/>
          <w:numId w:val="4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Including impact of not as yet declared cumulative dividends. </w:t>
      </w:r>
      <w:r>
        <w:rPr>
          <w:rFonts w:ascii="Arial" w:cs="Arial" w:eastAsia="Arial" w:hAnsi="Arial"/>
          <w:sz w:val="18"/>
          <w:szCs w:val="18"/>
          <w:color w:val="auto"/>
        </w:rPr>
        <w:t>The computations of diluted earnings per common share follow:</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6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0"/>
              </w:rPr>
              <w:t>Year Ended December 31</w:t>
            </w: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1"/>
        </w:trPr>
        <w:tc>
          <w:tcPr>
            <w:tcW w:w="76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56"/>
              <w:spacing w:after="0" w:line="151"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74"/>
              <w:spacing w:after="0" w:line="151" w:lineRule="exact"/>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4"/>
              <w:spacing w:after="0" w:line="151"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r>
      <w:tr>
        <w:trPr>
          <w:trHeight w:val="176"/>
        </w:trPr>
        <w:tc>
          <w:tcPr>
            <w:tcW w:w="7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60" w:type="dxa"/>
            <w:vAlign w:val="bottom"/>
            <w:gridSpan w:val="7"/>
          </w:tcPr>
          <w:p>
            <w:pPr>
              <w:jc w:val="right"/>
              <w:ind w:right="43"/>
              <w:spacing w:after="0"/>
              <w:rPr>
                <w:sz w:val="20"/>
                <w:szCs w:val="20"/>
                <w:color w:val="auto"/>
              </w:rPr>
            </w:pPr>
            <w:r>
              <w:rPr>
                <w:rFonts w:ascii="Arial" w:cs="Arial" w:eastAsia="Arial" w:hAnsi="Arial"/>
                <w:sz w:val="14"/>
                <w:szCs w:val="14"/>
                <w:b w:val="1"/>
                <w:bCs w:val="1"/>
                <w:color w:val="auto"/>
              </w:rPr>
              <w:t>(In thousands, except per share)</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421"/>
        </w:trPr>
        <w:tc>
          <w:tcPr>
            <w:tcW w:w="7620" w:type="dxa"/>
            <w:vAlign w:val="bottom"/>
          </w:tcPr>
          <w:p>
            <w:pPr>
              <w:spacing w:after="0"/>
              <w:rPr>
                <w:sz w:val="20"/>
                <w:szCs w:val="20"/>
                <w:color w:val="auto"/>
              </w:rPr>
            </w:pPr>
            <w:r>
              <w:rPr>
                <w:rFonts w:ascii="Arial" w:cs="Arial" w:eastAsia="Arial" w:hAnsi="Arial"/>
                <w:sz w:val="18"/>
                <w:szCs w:val="18"/>
                <w:color w:val="auto"/>
              </w:rPr>
              <w:t>Net income available to common equity</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1,335,572</w:t>
            </w:r>
          </w:p>
        </w:tc>
        <w:tc>
          <w:tcPr>
            <w:tcW w:w="10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7"/>
              </w:rPr>
              <w:t>1,233,844</w:t>
            </w:r>
          </w:p>
        </w:tc>
        <w:tc>
          <w:tcPr>
            <w:tcW w:w="380" w:type="dxa"/>
            <w:vAlign w:val="bottom"/>
          </w:tcPr>
          <w:p>
            <w:pPr>
              <w:spacing w:after="0"/>
              <w:rPr>
                <w:sz w:val="24"/>
                <w:szCs w:val="24"/>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998,397</w:t>
            </w:r>
          </w:p>
        </w:tc>
        <w:tc>
          <w:tcPr>
            <w:tcW w:w="100" w:type="dxa"/>
            <w:vAlign w:val="bottom"/>
          </w:tcPr>
          <w:p>
            <w:pPr>
              <w:spacing w:after="0"/>
              <w:rPr>
                <w:sz w:val="24"/>
                <w:szCs w:val="24"/>
                <w:color w:val="auto"/>
              </w:rPr>
            </w:pPr>
          </w:p>
        </w:tc>
      </w:tr>
      <w:tr>
        <w:trPr>
          <w:trHeight w:val="211"/>
        </w:trPr>
        <w:tc>
          <w:tcPr>
            <w:tcW w:w="7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Less: Income attributable to unvested stock-based</w:t>
            </w: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3"/>
        </w:trPr>
        <w:tc>
          <w:tcPr>
            <w:tcW w:w="76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compensation awards</w:t>
            </w: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(8,055)</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(10,363)</w:t>
            </w: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(10,673)</w:t>
            </w: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Net income available to common shareholders</w:t>
            </w: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1,327,517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1,223,481</w:t>
            </w:r>
          </w:p>
        </w:tc>
        <w:tc>
          <w:tcPr>
            <w:tcW w:w="380" w:type="dxa"/>
            <w:vAlign w:val="bottom"/>
          </w:tcPr>
          <w:p>
            <w:pPr>
              <w:spacing w:after="0"/>
              <w:rPr>
                <w:sz w:val="18"/>
                <w:szCs w:val="18"/>
                <w:color w:val="auto"/>
              </w:rPr>
            </w:pPr>
          </w:p>
        </w:tc>
        <w:tc>
          <w:tcPr>
            <w:tcW w:w="20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987,724</w:t>
            </w:r>
          </w:p>
        </w:tc>
        <w:tc>
          <w:tcPr>
            <w:tcW w:w="100" w:type="dxa"/>
            <w:vAlign w:val="bottom"/>
          </w:tcPr>
          <w:p>
            <w:pPr>
              <w:spacing w:after="0"/>
              <w:rPr>
                <w:sz w:val="18"/>
                <w:szCs w:val="18"/>
                <w:color w:val="auto"/>
              </w:rPr>
            </w:pPr>
          </w:p>
        </w:tc>
      </w:tr>
      <w:tr>
        <w:trPr>
          <w:trHeight w:val="224"/>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Adjusted weighted-average shares outstanding:</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3"/>
        </w:trPr>
        <w:tc>
          <w:tcPr>
            <w:tcW w:w="7620" w:type="dxa"/>
            <w:vAlign w:val="bottom"/>
          </w:tcPr>
          <w:p>
            <w:pPr>
              <w:ind w:left="240"/>
              <w:spacing w:after="0"/>
              <w:rPr>
                <w:sz w:val="20"/>
                <w:szCs w:val="20"/>
                <w:color w:val="auto"/>
              </w:rPr>
            </w:pPr>
            <w:r>
              <w:rPr>
                <w:rFonts w:ascii="Arial" w:cs="Arial" w:eastAsia="Arial" w:hAnsi="Arial"/>
                <w:sz w:val="18"/>
                <w:szCs w:val="18"/>
                <w:color w:val="auto"/>
              </w:rPr>
              <w:t>Common and unvested stock-based compensation awards</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153,092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158,121</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138,285</w:t>
            </w:r>
          </w:p>
        </w:tc>
        <w:tc>
          <w:tcPr>
            <w:tcW w:w="100" w:type="dxa"/>
            <w:vAlign w:val="bottom"/>
          </w:tcPr>
          <w:p>
            <w:pPr>
              <w:spacing w:after="0"/>
              <w:rPr>
                <w:sz w:val="19"/>
                <w:szCs w:val="19"/>
                <w:color w:val="auto"/>
              </w:rPr>
            </w:pPr>
          </w:p>
        </w:tc>
      </w:tr>
      <w:tr>
        <w:trPr>
          <w:trHeight w:val="224"/>
        </w:trPr>
        <w:tc>
          <w:tcPr>
            <w:tcW w:w="7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Less: Unvested stock-based compensation awards</w:t>
            </w: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(933)</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(1,341)</w:t>
            </w: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(1,482)</w:t>
            </w:r>
          </w:p>
        </w:tc>
      </w:tr>
      <w:tr>
        <w:trPr>
          <w:trHeight w:val="211"/>
        </w:trPr>
        <w:tc>
          <w:tcPr>
            <w:tcW w:w="7620" w:type="dxa"/>
            <w:vAlign w:val="bottom"/>
          </w:tcPr>
          <w:p>
            <w:pPr>
              <w:ind w:left="240"/>
              <w:spacing w:after="0"/>
              <w:rPr>
                <w:sz w:val="20"/>
                <w:szCs w:val="20"/>
                <w:color w:val="auto"/>
              </w:rPr>
            </w:pPr>
            <w:r>
              <w:rPr>
                <w:rFonts w:ascii="Arial" w:cs="Arial" w:eastAsia="Arial" w:hAnsi="Arial"/>
                <w:sz w:val="18"/>
                <w:szCs w:val="18"/>
                <w:color w:val="auto"/>
              </w:rPr>
              <w:t>Plus: Incremental shares from assumed conversion of</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7620" w:type="dxa"/>
            <w:vAlign w:val="bottom"/>
          </w:tcPr>
          <w:p>
            <w:pPr>
              <w:ind w:left="380"/>
              <w:spacing w:after="0"/>
              <w:rPr>
                <w:sz w:val="20"/>
                <w:szCs w:val="20"/>
                <w:color w:val="auto"/>
              </w:rPr>
            </w:pPr>
            <w:r>
              <w:rPr>
                <w:rFonts w:ascii="Arial" w:cs="Arial" w:eastAsia="Arial" w:hAnsi="Arial"/>
                <w:sz w:val="18"/>
                <w:szCs w:val="18"/>
                <w:color w:val="auto"/>
              </w:rPr>
              <w:t>stock-based compensation awards and warrants to</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762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purchase common stock</w:t>
            </w: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w:t>
            </w: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w:t>
            </w:r>
          </w:p>
        </w:tc>
        <w:tc>
          <w:tcPr>
            <w:tcW w:w="3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w:t>
            </w:r>
          </w:p>
        </w:tc>
        <w:tc>
          <w:tcPr>
            <w:tcW w:w="100" w:type="dxa"/>
            <w:vAlign w:val="bottom"/>
            <w:tcBorders>
              <w:bottom w:val="single" w:sz="8" w:color="CFF0FC"/>
            </w:tcBorders>
          </w:tcPr>
          <w:p>
            <w:pPr>
              <w:spacing w:after="0"/>
              <w:rPr>
                <w:sz w:val="19"/>
                <w:szCs w:val="19"/>
                <w:color w:val="auto"/>
              </w:rPr>
            </w:pPr>
          </w:p>
        </w:tc>
      </w:tr>
      <w:tr>
        <w:trPr>
          <w:trHeight w:val="217"/>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Adjusted weighted-average shares outstanding</w:t>
            </w: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152,551</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157,304</w:t>
            </w:r>
          </w:p>
        </w:tc>
        <w:tc>
          <w:tcPr>
            <w:tcW w:w="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137,533</w:t>
            </w:r>
          </w:p>
        </w:tc>
        <w:tc>
          <w:tcPr>
            <w:tcW w:w="100" w:type="dxa"/>
            <w:vAlign w:val="bottom"/>
            <w:shd w:val="clear" w:color="auto" w:fill="CFF0FC"/>
          </w:tcPr>
          <w:p>
            <w:pPr>
              <w:spacing w:after="0"/>
              <w:rPr>
                <w:sz w:val="18"/>
                <w:szCs w:val="18"/>
                <w:color w:val="auto"/>
              </w:rPr>
            </w:pPr>
          </w:p>
        </w:tc>
      </w:tr>
      <w:tr>
        <w:trPr>
          <w:trHeight w:val="223"/>
        </w:trPr>
        <w:tc>
          <w:tcPr>
            <w:tcW w:w="7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Diluted earnings per common share</w:t>
            </w:r>
          </w:p>
        </w:tc>
        <w:tc>
          <w:tcPr>
            <w:tcW w:w="160" w:type="dxa"/>
            <w:vAlign w:val="bottom"/>
            <w:shd w:val="clear" w:color="auto" w:fill="CFF0FC"/>
          </w:tcPr>
          <w:p>
            <w:pPr>
              <w:jc w:val="right"/>
              <w:ind w:right="3"/>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8.70</w:t>
            </w:r>
          </w:p>
        </w:tc>
        <w:tc>
          <w:tcPr>
            <w:tcW w:w="1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7.78</w:t>
            </w:r>
          </w:p>
        </w:tc>
        <w:tc>
          <w:tcPr>
            <w:tcW w:w="3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7.18</w:t>
            </w:r>
          </w:p>
        </w:tc>
        <w:tc>
          <w:tcPr>
            <w:tcW w:w="100" w:type="dxa"/>
            <w:vAlign w:val="bottom"/>
            <w:shd w:val="clear" w:color="auto" w:fill="CFF0FC"/>
          </w:tcPr>
          <w:p>
            <w:pPr>
              <w:spacing w:after="0"/>
              <w:rPr>
                <w:sz w:val="19"/>
                <w:szCs w:val="19"/>
                <w:color w:val="auto"/>
              </w:rPr>
            </w:pPr>
          </w:p>
        </w:tc>
      </w:tr>
    </w:tbl>
    <w:p>
      <w:pPr>
        <w:spacing w:after="0" w:line="197" w:lineRule="exact"/>
        <w:rPr>
          <w:sz w:val="20"/>
          <w:szCs w:val="20"/>
          <w:color w:val="auto"/>
        </w:rPr>
      </w:pPr>
    </w:p>
    <w:p>
      <w:pPr>
        <w:ind w:right="120" w:firstLine="598"/>
        <w:spacing w:after="0" w:line="251" w:lineRule="auto"/>
        <w:rPr>
          <w:sz w:val="20"/>
          <w:szCs w:val="20"/>
          <w:color w:val="auto"/>
        </w:rPr>
      </w:pPr>
      <w:r>
        <w:rPr>
          <w:rFonts w:ascii="Arial" w:cs="Arial" w:eastAsia="Arial" w:hAnsi="Arial"/>
          <w:sz w:val="20"/>
          <w:szCs w:val="20"/>
          <w:color w:val="auto"/>
        </w:rPr>
        <w:t>GAAP defines unvested share-based awards that contain nonforfeitable rights to dividends or dividend equivalents (whether paid or unpaid) as participating securities that shall be included in the computation of earnings per common share pursuant to the two-class method. The Company has issued stock-based compensation awards in the form of restricted stock and restricted stock units, which, in accordance with GAAP, are considered participating securities.</w:t>
      </w:r>
    </w:p>
    <w:p>
      <w:pPr>
        <w:spacing w:after="0" w:line="2" w:lineRule="exact"/>
        <w:rPr>
          <w:sz w:val="20"/>
          <w:szCs w:val="20"/>
          <w:color w:val="auto"/>
        </w:rPr>
      </w:pPr>
    </w:p>
    <w:p>
      <w:pPr>
        <w:jc w:val="both"/>
        <w:ind w:right="40" w:firstLine="598"/>
        <w:spacing w:after="0" w:line="251" w:lineRule="auto"/>
        <w:rPr>
          <w:sz w:val="20"/>
          <w:szCs w:val="20"/>
          <w:color w:val="auto"/>
        </w:rPr>
      </w:pPr>
      <w:r>
        <w:rPr>
          <w:rFonts w:ascii="Arial" w:cs="Arial" w:eastAsia="Arial" w:hAnsi="Arial"/>
          <w:sz w:val="20"/>
          <w:szCs w:val="20"/>
          <w:color w:val="auto"/>
        </w:rPr>
        <w:t>Stock-based compensation awards and warrants to purchase common stock of M&amp;T representing common shares of 401,000 in 2017, 2,171,000 in 2016 and 2,268,000 in 2015 were not included in the computations of diluted earnings per common share because the effect on those years would have been antidilutive.</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158" w:name="page159"/>
    <w:bookmarkEnd w:id="158"/>
    <w:p>
      <w:pPr>
        <w:spacing w:after="0"/>
        <w:tabs>
          <w:tab w:leader="none" w:pos="440" w:val="left"/>
        </w:tabs>
        <w:rPr>
          <w:sz w:val="20"/>
          <w:szCs w:val="20"/>
          <w:color w:val="auto"/>
        </w:rPr>
      </w:pPr>
      <w:r>
        <w:rPr>
          <w:rFonts w:ascii="Arial" w:cs="Arial" w:eastAsia="Arial" w:hAnsi="Arial"/>
          <w:sz w:val="20"/>
          <w:szCs w:val="20"/>
          <w:b w:val="1"/>
          <w:bCs w:val="1"/>
          <w:color w:val="auto"/>
        </w:rPr>
        <w:t>15.</w:t>
      </w:r>
      <w:r>
        <w:rPr>
          <w:sz w:val="20"/>
          <w:szCs w:val="20"/>
          <w:color w:val="auto"/>
        </w:rPr>
        <w:tab/>
      </w:r>
      <w:r>
        <w:rPr>
          <w:rFonts w:ascii="Arial" w:cs="Arial" w:eastAsia="Arial" w:hAnsi="Arial"/>
          <w:sz w:val="17"/>
          <w:szCs w:val="17"/>
          <w:b w:val="1"/>
          <w:bCs w:val="1"/>
          <w:color w:val="auto"/>
        </w:rPr>
        <w:t>Comprehensive income</w:t>
      </w:r>
    </w:p>
    <w:p>
      <w:pPr>
        <w:spacing w:after="0" w:line="29" w:lineRule="exact"/>
        <w:rPr>
          <w:sz w:val="20"/>
          <w:szCs w:val="20"/>
          <w:color w:val="auto"/>
        </w:rPr>
      </w:pPr>
    </w:p>
    <w:p>
      <w:pPr>
        <w:spacing w:after="0" w:line="265" w:lineRule="auto"/>
        <w:rPr>
          <w:sz w:val="20"/>
          <w:szCs w:val="20"/>
          <w:color w:val="auto"/>
        </w:rPr>
      </w:pPr>
      <w:r>
        <w:rPr>
          <w:rFonts w:ascii="Arial" w:cs="Arial" w:eastAsia="Arial" w:hAnsi="Arial"/>
          <w:sz w:val="19"/>
          <w:szCs w:val="19"/>
          <w:color w:val="auto"/>
        </w:rPr>
        <w:t>In February 2018, the Financial Accounting Standards Board issued accounting guidance related to reclassification of certain tax effects from AOCI so that following enactment of the Tax Act the tax effects of items within AOCI reflect the appropriate tax. The guidance provided for a reclassification from AOCI to retained earnings for the effect of remeasuring deferred tax assets and liabilities related to items within AOCI at the 21 percent corporate tax rate established by the Tax Act. The impact of that reclassification was an increase in retained earnings as of December 31, 2017 resulting from items remaining in AOCI as of that date as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gridSpan w:val="2"/>
          </w:tcPr>
          <w:p>
            <w:pPr>
              <w:ind w:left="160"/>
              <w:spacing w:after="0"/>
              <w:rPr>
                <w:sz w:val="20"/>
                <w:szCs w:val="20"/>
                <w:color w:val="auto"/>
              </w:rPr>
            </w:pPr>
            <w:r>
              <w:rPr>
                <w:rFonts w:ascii="Arial" w:cs="Arial" w:eastAsia="Arial" w:hAnsi="Arial"/>
                <w:sz w:val="14"/>
                <w:szCs w:val="14"/>
                <w:b w:val="1"/>
                <w:bCs w:val="1"/>
                <w:color w:val="auto"/>
              </w:rPr>
              <w:t>(In thousands)</w:t>
            </w:r>
          </w:p>
        </w:tc>
      </w:tr>
      <w:tr>
        <w:trPr>
          <w:trHeight w:val="250"/>
        </w:trPr>
        <w:tc>
          <w:tcPr>
            <w:tcW w:w="99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50"/>
        </w:trPr>
        <w:tc>
          <w:tcPr>
            <w:tcW w:w="9980" w:type="dxa"/>
            <w:vAlign w:val="bottom"/>
          </w:tcPr>
          <w:p>
            <w:pPr>
              <w:spacing w:after="0"/>
              <w:rPr>
                <w:sz w:val="20"/>
                <w:szCs w:val="20"/>
                <w:color w:val="auto"/>
              </w:rPr>
            </w:pPr>
            <w:r>
              <w:rPr>
                <w:rFonts w:ascii="Arial" w:cs="Arial" w:eastAsia="Arial" w:hAnsi="Arial"/>
                <w:sz w:val="20"/>
                <w:szCs w:val="20"/>
                <w:color w:val="auto"/>
              </w:rPr>
              <w:t>Net unrealized losses on investment securities</w:t>
            </w:r>
          </w:p>
        </w:tc>
        <w:tc>
          <w:tcPr>
            <w:tcW w:w="280" w:type="dxa"/>
            <w:vAlign w:val="bottom"/>
          </w:tcPr>
          <w:p>
            <w:pPr>
              <w:jc w:val="right"/>
              <w:ind w:right="79"/>
              <w:spacing w:after="0"/>
              <w:rPr>
                <w:sz w:val="20"/>
                <w:szCs w:val="20"/>
                <w:color w:val="auto"/>
              </w:rPr>
            </w:pPr>
            <w:r>
              <w:rPr>
                <w:rFonts w:ascii="Arial" w:cs="Arial" w:eastAsia="Arial" w:hAnsi="Arial"/>
                <w:sz w:val="20"/>
                <w:szCs w:val="20"/>
                <w:color w:val="auto"/>
                <w:w w:val="71"/>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8,065</w:t>
            </w:r>
          </w:p>
        </w:tc>
        <w:tc>
          <w:tcPr>
            <w:tcW w:w="120" w:type="dxa"/>
            <w:vAlign w:val="bottom"/>
          </w:tcPr>
          <w:p>
            <w:pPr>
              <w:spacing w:after="0"/>
              <w:rPr>
                <w:sz w:val="21"/>
                <w:szCs w:val="21"/>
                <w:color w:val="auto"/>
              </w:rPr>
            </w:pPr>
          </w:p>
        </w:tc>
      </w:tr>
      <w:tr>
        <w:trPr>
          <w:trHeight w:val="250"/>
        </w:trPr>
        <w:tc>
          <w:tcPr>
            <w:tcW w:w="9980" w:type="dxa"/>
            <w:vAlign w:val="bottom"/>
            <w:shd w:val="clear" w:color="auto" w:fill="CFF0FC"/>
          </w:tcPr>
          <w:p>
            <w:pPr>
              <w:spacing w:after="0"/>
              <w:rPr>
                <w:sz w:val="20"/>
                <w:szCs w:val="20"/>
                <w:color w:val="auto"/>
              </w:rPr>
            </w:pPr>
            <w:r>
              <w:rPr>
                <w:rFonts w:ascii="Arial" w:cs="Arial" w:eastAsia="Arial" w:hAnsi="Arial"/>
                <w:sz w:val="20"/>
                <w:szCs w:val="20"/>
                <w:color w:val="auto"/>
              </w:rPr>
              <w:t>Defined benefit plans liability adjustments</w:t>
            </w: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53,960</w:t>
            </w:r>
          </w:p>
        </w:tc>
        <w:tc>
          <w:tcPr>
            <w:tcW w:w="120" w:type="dxa"/>
            <w:vAlign w:val="bottom"/>
            <w:shd w:val="clear" w:color="auto" w:fill="CFF0FC"/>
          </w:tcPr>
          <w:p>
            <w:pPr>
              <w:spacing w:after="0"/>
              <w:rPr>
                <w:sz w:val="21"/>
                <w:szCs w:val="21"/>
                <w:color w:val="auto"/>
              </w:rPr>
            </w:pPr>
          </w:p>
        </w:tc>
      </w:tr>
      <w:tr>
        <w:trPr>
          <w:trHeight w:val="250"/>
        </w:trPr>
        <w:tc>
          <w:tcPr>
            <w:tcW w:w="998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Cash flow hedges and other</w:t>
            </w: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2,004</w:t>
            </w:r>
          </w:p>
        </w:tc>
        <w:tc>
          <w:tcPr>
            <w:tcW w:w="120" w:type="dxa"/>
            <w:vAlign w:val="bottom"/>
            <w:tcBorders>
              <w:bottom w:val="single" w:sz="8" w:color="CFF0FC"/>
            </w:tcBorders>
          </w:tcPr>
          <w:p>
            <w:pPr>
              <w:spacing w:after="0"/>
              <w:rPr>
                <w:sz w:val="21"/>
                <w:szCs w:val="21"/>
                <w:color w:val="auto"/>
              </w:rPr>
            </w:pPr>
          </w:p>
        </w:tc>
      </w:tr>
      <w:tr>
        <w:trPr>
          <w:trHeight w:val="243"/>
        </w:trPr>
        <w:tc>
          <w:tcPr>
            <w:tcW w:w="9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Increase to retained earnings</w:t>
            </w:r>
          </w:p>
        </w:tc>
        <w:tc>
          <w:tcPr>
            <w:tcW w:w="28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20"/>
                <w:szCs w:val="20"/>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64,029</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20"/>
        </w:trPr>
        <w:tc>
          <w:tcPr>
            <w:tcW w:w="9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3" w:lineRule="exact"/>
        <w:rPr>
          <w:sz w:val="20"/>
          <w:szCs w:val="20"/>
          <w:color w:val="auto"/>
        </w:rPr>
      </w:pPr>
    </w:p>
    <w:p>
      <w:pPr>
        <w:ind w:right="280" w:firstLine="878"/>
        <w:spacing w:after="0" w:line="275" w:lineRule="auto"/>
        <w:rPr>
          <w:sz w:val="20"/>
          <w:szCs w:val="20"/>
          <w:color w:val="auto"/>
        </w:rPr>
      </w:pPr>
      <w:r>
        <w:rPr>
          <w:rFonts w:ascii="Arial" w:cs="Arial" w:eastAsia="Arial" w:hAnsi="Arial"/>
          <w:sz w:val="20"/>
          <w:szCs w:val="20"/>
          <w:color w:val="auto"/>
        </w:rPr>
        <w:t>The following tables display the components of other comprehensive income (loss) and amounts reclassified from accumulated other comprehensive income (loss) to net income:</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center"/>
              <w:ind w:right="130"/>
              <w:spacing w:after="0"/>
              <w:rPr>
                <w:sz w:val="20"/>
                <w:szCs w:val="20"/>
                <w:color w:val="auto"/>
              </w:rPr>
            </w:pPr>
            <w:r>
              <w:rPr>
                <w:rFonts w:ascii="Arial" w:cs="Arial" w:eastAsia="Arial" w:hAnsi="Arial"/>
                <w:sz w:val="13"/>
                <w:szCs w:val="13"/>
                <w:b w:val="1"/>
                <w:bCs w:val="1"/>
                <w:color w:val="auto"/>
                <w:w w:val="89"/>
              </w:rPr>
              <w:t>Total</w:t>
            </w: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8"/>
        </w:trPr>
        <w:tc>
          <w:tcPr>
            <w:tcW w:w="3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Defined</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center"/>
              <w:ind w:right="150"/>
              <w:spacing w:after="0"/>
              <w:rPr>
                <w:sz w:val="20"/>
                <w:szCs w:val="20"/>
                <w:color w:val="auto"/>
              </w:rPr>
            </w:pPr>
            <w:r>
              <w:rPr>
                <w:rFonts w:ascii="Arial" w:cs="Arial" w:eastAsia="Arial" w:hAnsi="Arial"/>
                <w:sz w:val="13"/>
                <w:szCs w:val="13"/>
                <w:b w:val="1"/>
                <w:bCs w:val="1"/>
                <w:color w:val="auto"/>
                <w:w w:val="93"/>
              </w:rPr>
              <w:t>Amount</w:t>
            </w: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7"/>
        </w:trPr>
        <w:tc>
          <w:tcPr>
            <w:tcW w:w="3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3"/>
                <w:szCs w:val="13"/>
                <w:b w:val="1"/>
                <w:bCs w:val="1"/>
                <w:color w:val="auto"/>
                <w:w w:val="98"/>
              </w:rPr>
              <w:t>Investment Securities</w:t>
            </w:r>
          </w:p>
        </w:tc>
        <w:tc>
          <w:tcPr>
            <w:tcW w:w="220" w:type="dxa"/>
            <w:vAlign w:val="bottom"/>
          </w:tcPr>
          <w:p>
            <w:pPr>
              <w:spacing w:after="0"/>
              <w:rPr>
                <w:sz w:val="13"/>
                <w:szCs w:val="13"/>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0"/>
              </w:rPr>
              <w:t>Benefit</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center"/>
              <w:ind w:right="150"/>
              <w:spacing w:after="0"/>
              <w:rPr>
                <w:sz w:val="20"/>
                <w:szCs w:val="20"/>
                <w:color w:val="auto"/>
              </w:rPr>
            </w:pPr>
            <w:r>
              <w:rPr>
                <w:rFonts w:ascii="Arial" w:cs="Arial" w:eastAsia="Arial" w:hAnsi="Arial"/>
                <w:sz w:val="13"/>
                <w:szCs w:val="13"/>
                <w:b w:val="1"/>
                <w:bCs w:val="1"/>
                <w:color w:val="auto"/>
                <w:w w:val="92"/>
              </w:rPr>
              <w:t>Before</w:t>
            </w:r>
          </w:p>
        </w:tc>
        <w:tc>
          <w:tcPr>
            <w:tcW w:w="320" w:type="dxa"/>
            <w:vAlign w:val="bottom"/>
          </w:tcPr>
          <w:p>
            <w:pPr>
              <w:spacing w:after="0"/>
              <w:rPr>
                <w:sz w:val="13"/>
                <w:szCs w:val="13"/>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Income</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1"/>
        </w:trPr>
        <w:tc>
          <w:tcPr>
            <w:tcW w:w="3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0" w:type="dxa"/>
            <w:vAlign w:val="bottom"/>
            <w:gridSpan w:val="3"/>
          </w:tcPr>
          <w:p>
            <w:pPr>
              <w:jc w:val="right"/>
              <w:ind w:right="300"/>
              <w:spacing w:after="0"/>
              <w:rPr>
                <w:sz w:val="20"/>
                <w:szCs w:val="20"/>
                <w:color w:val="auto"/>
              </w:rPr>
            </w:pPr>
            <w:r>
              <w:rPr>
                <w:rFonts w:ascii="Arial" w:cs="Arial" w:eastAsia="Arial" w:hAnsi="Arial"/>
                <w:sz w:val="13"/>
                <w:szCs w:val="13"/>
                <w:b w:val="1"/>
                <w:bCs w:val="1"/>
                <w:color w:val="auto"/>
              </w:rPr>
              <w:t>With OTTI (a)</w:t>
            </w:r>
          </w:p>
        </w:tc>
        <w:tc>
          <w:tcPr>
            <w:tcW w:w="88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All Other</w:t>
            </w:r>
          </w:p>
        </w:tc>
        <w:tc>
          <w:tcPr>
            <w:tcW w:w="7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6"/>
              </w:rPr>
              <w:t>Plans</w:t>
            </w:r>
          </w:p>
        </w:tc>
        <w:tc>
          <w:tcPr>
            <w:tcW w:w="12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Other</w:t>
            </w:r>
          </w:p>
        </w:tc>
        <w:tc>
          <w:tcPr>
            <w:tcW w:w="100" w:type="dxa"/>
            <w:vAlign w:val="bottom"/>
          </w:tcPr>
          <w:p>
            <w:pPr>
              <w:spacing w:after="0"/>
              <w:rPr>
                <w:sz w:val="13"/>
                <w:szCs w:val="13"/>
                <w:color w:val="auto"/>
              </w:rPr>
            </w:pPr>
          </w:p>
        </w:tc>
        <w:tc>
          <w:tcPr>
            <w:tcW w:w="720" w:type="dxa"/>
            <w:vAlign w:val="bottom"/>
            <w:gridSpan w:val="2"/>
          </w:tcPr>
          <w:p>
            <w:pPr>
              <w:jc w:val="center"/>
              <w:ind w:right="130"/>
              <w:spacing w:after="0"/>
              <w:rPr>
                <w:sz w:val="20"/>
                <w:szCs w:val="20"/>
                <w:color w:val="auto"/>
              </w:rPr>
            </w:pPr>
            <w:r>
              <w:rPr>
                <w:rFonts w:ascii="Arial" w:cs="Arial" w:eastAsia="Arial" w:hAnsi="Arial"/>
                <w:sz w:val="13"/>
                <w:szCs w:val="13"/>
                <w:b w:val="1"/>
                <w:bCs w:val="1"/>
                <w:color w:val="auto"/>
                <w:w w:val="89"/>
              </w:rPr>
              <w:t>Tax</w:t>
            </w:r>
          </w:p>
        </w:tc>
        <w:tc>
          <w:tcPr>
            <w:tcW w:w="320" w:type="dxa"/>
            <w:vAlign w:val="bottom"/>
          </w:tcPr>
          <w:p>
            <w:pPr>
              <w:spacing w:after="0"/>
              <w:rPr>
                <w:sz w:val="13"/>
                <w:szCs w:val="13"/>
                <w:color w:val="auto"/>
              </w:rPr>
            </w:pPr>
          </w:p>
        </w:tc>
        <w:tc>
          <w:tcPr>
            <w:tcW w:w="92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Tax</w:t>
            </w:r>
          </w:p>
        </w:tc>
        <w:tc>
          <w:tcPr>
            <w:tcW w:w="120" w:type="dxa"/>
            <w:vAlign w:val="bottom"/>
          </w:tcPr>
          <w:p>
            <w:pPr>
              <w:spacing w:after="0"/>
              <w:rPr>
                <w:sz w:val="13"/>
                <w:szCs w:val="13"/>
                <w:color w:val="auto"/>
              </w:rPr>
            </w:pPr>
          </w:p>
        </w:tc>
        <w:tc>
          <w:tcPr>
            <w:tcW w:w="700" w:type="dxa"/>
            <w:vAlign w:val="bottom"/>
            <w:gridSpan w:val="2"/>
          </w:tcPr>
          <w:p>
            <w:pPr>
              <w:jc w:val="right"/>
              <w:ind w:right="310"/>
              <w:spacing w:after="0"/>
              <w:rPr>
                <w:sz w:val="20"/>
                <w:szCs w:val="20"/>
                <w:color w:val="auto"/>
              </w:rPr>
            </w:pPr>
            <w:r>
              <w:rPr>
                <w:rFonts w:ascii="Arial" w:cs="Arial" w:eastAsia="Arial" w:hAnsi="Arial"/>
                <w:sz w:val="13"/>
                <w:szCs w:val="13"/>
                <w:b w:val="1"/>
                <w:bCs w:val="1"/>
                <w:color w:val="auto"/>
              </w:rPr>
              <w:t>Net</w:t>
            </w:r>
          </w:p>
        </w:tc>
      </w:tr>
      <w:tr>
        <w:trPr>
          <w:trHeight w:val="163"/>
        </w:trPr>
        <w:tc>
          <w:tcPr>
            <w:tcW w:w="3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gridSpan w:val="3"/>
          </w:tcPr>
          <w:p>
            <w:pPr>
              <w:jc w:val="right"/>
              <w:ind w:right="160"/>
              <w:spacing w:after="0"/>
              <w:rPr>
                <w:sz w:val="20"/>
                <w:szCs w:val="20"/>
                <w:color w:val="auto"/>
              </w:rPr>
            </w:pPr>
            <w:r>
              <w:rPr>
                <w:rFonts w:ascii="Arial" w:cs="Arial" w:eastAsia="Arial" w:hAnsi="Arial"/>
                <w:sz w:val="13"/>
                <w:szCs w:val="13"/>
                <w:b w:val="1"/>
                <w:bCs w:val="1"/>
                <w:color w:val="auto"/>
                <w:w w:val="93"/>
              </w:rPr>
              <w:t>(In thousands)</w:t>
            </w:r>
          </w:p>
        </w:tc>
        <w:tc>
          <w:tcPr>
            <w:tcW w:w="1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304"/>
        </w:trPr>
        <w:tc>
          <w:tcPr>
            <w:tcW w:w="3840" w:type="dxa"/>
            <w:vAlign w:val="bottom"/>
          </w:tcPr>
          <w:p>
            <w:pPr>
              <w:spacing w:after="0"/>
              <w:rPr>
                <w:sz w:val="20"/>
                <w:szCs w:val="20"/>
                <w:color w:val="auto"/>
              </w:rPr>
            </w:pPr>
            <w:r>
              <w:rPr>
                <w:rFonts w:ascii="Arial" w:cs="Arial" w:eastAsia="Arial" w:hAnsi="Arial"/>
                <w:sz w:val="14"/>
                <w:szCs w:val="14"/>
                <w:color w:val="auto"/>
              </w:rPr>
              <w:t>Balance — January 1, 2017</w:t>
            </w:r>
          </w:p>
        </w:tc>
        <w:tc>
          <w:tcPr>
            <w:tcW w:w="1020" w:type="dxa"/>
            <w:vAlign w:val="bottom"/>
            <w:gridSpan w:val="2"/>
          </w:tcPr>
          <w:p>
            <w:pPr>
              <w:jc w:val="right"/>
              <w:ind w:right="52"/>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46,725</w:t>
            </w:r>
          </w:p>
        </w:tc>
        <w:tc>
          <w:tcPr>
            <w:tcW w:w="240" w:type="dxa"/>
            <w:vAlign w:val="bottom"/>
          </w:tcPr>
          <w:p>
            <w:pPr>
              <w:spacing w:after="0"/>
              <w:rPr>
                <w:sz w:val="24"/>
                <w:szCs w:val="2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(73,785)</w:t>
            </w: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(449,917)</w:t>
            </w:r>
          </w:p>
        </w:tc>
        <w:tc>
          <w:tcPr>
            <w:tcW w:w="1020" w:type="dxa"/>
            <w:vAlign w:val="bottom"/>
            <w:gridSpan w:val="3"/>
          </w:tcPr>
          <w:p>
            <w:pPr>
              <w:jc w:val="right"/>
              <w:ind w:right="180"/>
              <w:spacing w:after="0"/>
              <w:rPr>
                <w:sz w:val="20"/>
                <w:szCs w:val="20"/>
                <w:color w:val="auto"/>
              </w:rPr>
            </w:pPr>
            <w:r>
              <w:rPr>
                <w:rFonts w:ascii="Arial" w:cs="Arial" w:eastAsia="Arial" w:hAnsi="Arial"/>
                <w:sz w:val="14"/>
                <w:szCs w:val="14"/>
                <w:color w:val="auto"/>
              </w:rPr>
              <w:t>(8,268)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(485,245)</w:t>
            </w:r>
          </w:p>
        </w:tc>
        <w:tc>
          <w:tcPr>
            <w:tcW w:w="3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190,609</w:t>
            </w:r>
          </w:p>
        </w:tc>
        <w:tc>
          <w:tcPr>
            <w:tcW w:w="220" w:type="dxa"/>
            <w:vAlign w:val="bottom"/>
          </w:tcPr>
          <w:p>
            <w:pPr>
              <w:spacing w:after="0"/>
              <w:rPr>
                <w:sz w:val="24"/>
                <w:szCs w:val="24"/>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(294,636)</w:t>
            </w:r>
          </w:p>
        </w:tc>
      </w:tr>
      <w:tr>
        <w:trPr>
          <w:trHeight w:val="158"/>
        </w:trPr>
        <w:tc>
          <w:tcPr>
            <w:tcW w:w="3840" w:type="dxa"/>
            <w:vAlign w:val="bottom"/>
            <w:shd w:val="clear" w:color="auto" w:fill="CFF0FC"/>
          </w:tcPr>
          <w:p>
            <w:pPr>
              <w:spacing w:after="0" w:line="158" w:lineRule="exact"/>
              <w:rPr>
                <w:sz w:val="20"/>
                <w:szCs w:val="20"/>
                <w:color w:val="auto"/>
              </w:rPr>
            </w:pPr>
            <w:r>
              <w:rPr>
                <w:rFonts w:ascii="Arial" w:cs="Arial" w:eastAsia="Arial" w:hAnsi="Arial"/>
                <w:sz w:val="14"/>
                <w:szCs w:val="14"/>
                <w:color w:val="auto"/>
              </w:rPr>
              <w:t>Other comprehensive income before reclassifications:</w:t>
            </w:r>
          </w:p>
        </w:tc>
        <w:tc>
          <w:tcPr>
            <w:tcW w:w="8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8"/>
        </w:trPr>
        <w:tc>
          <w:tcPr>
            <w:tcW w:w="3840" w:type="dxa"/>
            <w:vAlign w:val="bottom"/>
          </w:tcPr>
          <w:p>
            <w:pPr>
              <w:ind w:left="240"/>
              <w:spacing w:after="0" w:line="158" w:lineRule="exact"/>
              <w:rPr>
                <w:sz w:val="20"/>
                <w:szCs w:val="20"/>
                <w:color w:val="auto"/>
              </w:rPr>
            </w:pPr>
            <w:r>
              <w:rPr>
                <w:rFonts w:ascii="Arial" w:cs="Arial" w:eastAsia="Arial" w:hAnsi="Arial"/>
                <w:sz w:val="14"/>
                <w:szCs w:val="14"/>
                <w:color w:val="auto"/>
              </w:rPr>
              <w:t>Unrealized holding gains (losses), net</w:t>
            </w: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tcPr>
          <w:p>
            <w:pPr>
              <w:jc w:val="right"/>
              <w:ind w:right="180"/>
              <w:spacing w:after="0" w:line="158" w:lineRule="exact"/>
              <w:rPr>
                <w:sz w:val="20"/>
                <w:szCs w:val="20"/>
                <w:color w:val="auto"/>
              </w:rPr>
            </w:pPr>
            <w:r>
              <w:rPr>
                <w:rFonts w:ascii="Arial" w:cs="Arial" w:eastAsia="Arial" w:hAnsi="Arial"/>
                <w:sz w:val="14"/>
                <w:szCs w:val="14"/>
                <w:color w:val="auto"/>
              </w:rPr>
              <w:t>(8,746)</w:t>
            </w:r>
          </w:p>
        </w:tc>
        <w:tc>
          <w:tcPr>
            <w:tcW w:w="880" w:type="dxa"/>
            <w:vAlign w:val="bottom"/>
            <w:gridSpan w:val="2"/>
          </w:tcPr>
          <w:p>
            <w:pPr>
              <w:jc w:val="right"/>
              <w:ind w:right="180"/>
              <w:spacing w:after="0" w:line="158" w:lineRule="exact"/>
              <w:rPr>
                <w:sz w:val="20"/>
                <w:szCs w:val="20"/>
                <w:color w:val="auto"/>
              </w:rPr>
            </w:pPr>
            <w:r>
              <w:rPr>
                <w:rFonts w:ascii="Arial" w:cs="Arial" w:eastAsia="Arial" w:hAnsi="Arial"/>
                <w:sz w:val="14"/>
                <w:szCs w:val="14"/>
                <w:color w:val="auto"/>
              </w:rPr>
              <w:t>(6,259)</w:t>
            </w:r>
          </w:p>
        </w:tc>
        <w:tc>
          <w:tcPr>
            <w:tcW w:w="78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00" w:type="dxa"/>
            <w:vAlign w:val="bottom"/>
            <w:gridSpan w:val="2"/>
          </w:tcPr>
          <w:p>
            <w:pPr>
              <w:jc w:val="right"/>
              <w:ind w:right="240"/>
              <w:spacing w:after="0" w:line="15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2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(15,005)</w:t>
            </w:r>
          </w:p>
        </w:tc>
        <w:tc>
          <w:tcPr>
            <w:tcW w:w="320" w:type="dxa"/>
            <w:vAlign w:val="bottom"/>
          </w:tcPr>
          <w:p>
            <w:pPr>
              <w:spacing w:after="0"/>
              <w:rPr>
                <w:sz w:val="13"/>
                <w:szCs w:val="13"/>
                <w:color w:val="auto"/>
              </w:rPr>
            </w:pPr>
          </w:p>
        </w:tc>
        <w:tc>
          <w:tcPr>
            <w:tcW w:w="700" w:type="dxa"/>
            <w:vAlign w:val="bottom"/>
          </w:tcPr>
          <w:p>
            <w:pPr>
              <w:jc w:val="right"/>
              <w:spacing w:after="0" w:line="158" w:lineRule="exact"/>
              <w:rPr>
                <w:sz w:val="20"/>
                <w:szCs w:val="20"/>
                <w:color w:val="auto"/>
              </w:rPr>
            </w:pPr>
            <w:r>
              <w:rPr>
                <w:rFonts w:ascii="Arial" w:cs="Arial" w:eastAsia="Arial" w:hAnsi="Arial"/>
                <w:sz w:val="14"/>
                <w:szCs w:val="14"/>
                <w:color w:val="auto"/>
              </w:rPr>
              <w:t>7,269</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(7,736)</w:t>
            </w:r>
          </w:p>
        </w:tc>
      </w:tr>
      <w:tr>
        <w:trPr>
          <w:trHeight w:val="158"/>
        </w:trPr>
        <w:tc>
          <w:tcPr>
            <w:tcW w:w="3840" w:type="dxa"/>
            <w:vAlign w:val="bottom"/>
            <w:shd w:val="clear" w:color="auto" w:fill="CFF0FC"/>
          </w:tcPr>
          <w:p>
            <w:pPr>
              <w:ind w:left="240"/>
              <w:spacing w:after="0" w:line="158" w:lineRule="exact"/>
              <w:rPr>
                <w:sz w:val="20"/>
                <w:szCs w:val="20"/>
                <w:color w:val="auto"/>
              </w:rPr>
            </w:pPr>
            <w:r>
              <w:rPr>
                <w:rFonts w:ascii="Arial" w:cs="Arial" w:eastAsia="Arial" w:hAnsi="Arial"/>
                <w:sz w:val="14"/>
                <w:szCs w:val="14"/>
                <w:color w:val="auto"/>
              </w:rPr>
              <w:t>Foreign currency translation adjustment</w:t>
            </w:r>
          </w:p>
        </w:tc>
        <w:tc>
          <w:tcPr>
            <w:tcW w:w="8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240"/>
              <w:spacing w:after="0" w:line="158"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FF0FC"/>
          </w:tcPr>
          <w:p>
            <w:pPr>
              <w:jc w:val="right"/>
              <w:ind w:right="240"/>
              <w:spacing w:after="0" w:line="158"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FF0FC"/>
          </w:tcPr>
          <w:p>
            <w:pPr>
              <w:jc w:val="right"/>
              <w:ind w:right="120"/>
              <w:spacing w:after="0" w:line="158"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FF0FC"/>
          </w:tcPr>
          <w:p>
            <w:pPr>
              <w:jc w:val="right"/>
              <w:spacing w:after="0" w:line="158" w:lineRule="exact"/>
              <w:rPr>
                <w:sz w:val="20"/>
                <w:szCs w:val="20"/>
                <w:color w:val="auto"/>
              </w:rPr>
            </w:pPr>
            <w:r>
              <w:rPr>
                <w:rFonts w:ascii="Arial" w:cs="Arial" w:eastAsia="Arial" w:hAnsi="Arial"/>
                <w:sz w:val="14"/>
                <w:szCs w:val="14"/>
                <w:color w:val="auto"/>
              </w:rPr>
              <w:t>4,447</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4,447</w:t>
            </w:r>
          </w:p>
        </w:tc>
        <w:tc>
          <w:tcPr>
            <w:tcW w:w="1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180"/>
              <w:spacing w:after="0" w:line="158" w:lineRule="exact"/>
              <w:rPr>
                <w:sz w:val="20"/>
                <w:szCs w:val="20"/>
                <w:color w:val="auto"/>
              </w:rPr>
            </w:pPr>
            <w:r>
              <w:rPr>
                <w:rFonts w:ascii="Arial" w:cs="Arial" w:eastAsia="Arial" w:hAnsi="Arial"/>
                <w:sz w:val="14"/>
                <w:szCs w:val="14"/>
                <w:color w:val="auto"/>
              </w:rPr>
              <w:t>(2,206)</w:t>
            </w: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2,241</w:t>
            </w:r>
          </w:p>
        </w:tc>
        <w:tc>
          <w:tcPr>
            <w:tcW w:w="120" w:type="dxa"/>
            <w:vAlign w:val="bottom"/>
            <w:shd w:val="clear" w:color="auto" w:fill="CFF0FC"/>
          </w:tcPr>
          <w:p>
            <w:pPr>
              <w:spacing w:after="0"/>
              <w:rPr>
                <w:sz w:val="13"/>
                <w:szCs w:val="13"/>
                <w:color w:val="auto"/>
              </w:rPr>
            </w:pPr>
          </w:p>
        </w:tc>
      </w:tr>
      <w:tr>
        <w:trPr>
          <w:trHeight w:val="158"/>
        </w:trPr>
        <w:tc>
          <w:tcPr>
            <w:tcW w:w="3840" w:type="dxa"/>
            <w:vAlign w:val="bottom"/>
          </w:tcPr>
          <w:p>
            <w:pPr>
              <w:ind w:left="240"/>
              <w:spacing w:after="0" w:line="158" w:lineRule="exact"/>
              <w:rPr>
                <w:sz w:val="20"/>
                <w:szCs w:val="20"/>
                <w:color w:val="auto"/>
              </w:rPr>
            </w:pPr>
            <w:r>
              <w:rPr>
                <w:rFonts w:ascii="Arial" w:cs="Arial" w:eastAsia="Arial" w:hAnsi="Arial"/>
                <w:sz w:val="14"/>
                <w:szCs w:val="14"/>
                <w:color w:val="auto"/>
              </w:rPr>
              <w:t>Unrealized losses on cash flow hedges</w:t>
            </w: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tcPr>
          <w:p>
            <w:pPr>
              <w:jc w:val="right"/>
              <w:ind w:right="240"/>
              <w:spacing w:after="0" w:line="158"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40"/>
              <w:spacing w:after="0" w:line="158"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w:t>
            </w:r>
          </w:p>
        </w:tc>
        <w:tc>
          <w:tcPr>
            <w:tcW w:w="1020" w:type="dxa"/>
            <w:vAlign w:val="bottom"/>
            <w:gridSpan w:val="3"/>
          </w:tcPr>
          <w:p>
            <w:pPr>
              <w:jc w:val="right"/>
              <w:ind w:right="180"/>
              <w:spacing w:after="0" w:line="158" w:lineRule="exact"/>
              <w:rPr>
                <w:sz w:val="20"/>
                <w:szCs w:val="20"/>
                <w:color w:val="auto"/>
              </w:rPr>
            </w:pPr>
            <w:r>
              <w:rPr>
                <w:rFonts w:ascii="Arial" w:cs="Arial" w:eastAsia="Arial" w:hAnsi="Arial"/>
                <w:sz w:val="14"/>
                <w:szCs w:val="14"/>
                <w:color w:val="auto"/>
              </w:rPr>
              <w:t>(12,291)</w:t>
            </w:r>
          </w:p>
        </w:tc>
        <w:tc>
          <w:tcPr>
            <w:tcW w:w="100" w:type="dxa"/>
            <w:vAlign w:val="bottom"/>
          </w:tcPr>
          <w:p>
            <w:pPr>
              <w:spacing w:after="0"/>
              <w:rPr>
                <w:sz w:val="13"/>
                <w:szCs w:val="13"/>
                <w:color w:val="auto"/>
              </w:rPr>
            </w:pPr>
          </w:p>
        </w:tc>
        <w:tc>
          <w:tcPr>
            <w:tcW w:w="72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(12,291)</w:t>
            </w:r>
          </w:p>
        </w:tc>
        <w:tc>
          <w:tcPr>
            <w:tcW w:w="320" w:type="dxa"/>
            <w:vAlign w:val="bottom"/>
          </w:tcPr>
          <w:p>
            <w:pPr>
              <w:spacing w:after="0"/>
              <w:rPr>
                <w:sz w:val="13"/>
                <w:szCs w:val="13"/>
                <w:color w:val="auto"/>
              </w:rPr>
            </w:pPr>
          </w:p>
        </w:tc>
        <w:tc>
          <w:tcPr>
            <w:tcW w:w="700" w:type="dxa"/>
            <w:vAlign w:val="bottom"/>
          </w:tcPr>
          <w:p>
            <w:pPr>
              <w:jc w:val="right"/>
              <w:spacing w:after="0" w:line="158" w:lineRule="exact"/>
              <w:rPr>
                <w:sz w:val="20"/>
                <w:szCs w:val="20"/>
                <w:color w:val="auto"/>
              </w:rPr>
            </w:pPr>
            <w:r>
              <w:rPr>
                <w:rFonts w:ascii="Arial" w:cs="Arial" w:eastAsia="Arial" w:hAnsi="Arial"/>
                <w:sz w:val="14"/>
                <w:szCs w:val="14"/>
                <w:color w:val="auto"/>
              </w:rPr>
              <w:t>4,837</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(7,454)</w:t>
            </w:r>
          </w:p>
        </w:tc>
      </w:tr>
      <w:tr>
        <w:trPr>
          <w:trHeight w:val="158"/>
        </w:trPr>
        <w:tc>
          <w:tcPr>
            <w:tcW w:w="3840" w:type="dxa"/>
            <w:vAlign w:val="bottom"/>
            <w:shd w:val="clear" w:color="auto" w:fill="CFF0FC"/>
          </w:tcPr>
          <w:p>
            <w:pPr>
              <w:ind w:left="240"/>
              <w:spacing w:after="0" w:line="158" w:lineRule="exact"/>
              <w:rPr>
                <w:sz w:val="20"/>
                <w:szCs w:val="20"/>
                <w:color w:val="auto"/>
              </w:rPr>
            </w:pPr>
            <w:r>
              <w:rPr>
                <w:rFonts w:ascii="Arial" w:cs="Arial" w:eastAsia="Arial" w:hAnsi="Arial"/>
                <w:sz w:val="14"/>
                <w:szCs w:val="14"/>
                <w:color w:val="auto"/>
              </w:rPr>
              <w:t>Current year benefit plans gains</w:t>
            </w:r>
          </w:p>
        </w:tc>
        <w:tc>
          <w:tcPr>
            <w:tcW w:w="8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240"/>
              <w:spacing w:after="0" w:line="158"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FF0FC"/>
          </w:tcPr>
          <w:p>
            <w:pPr>
              <w:jc w:val="right"/>
              <w:ind w:right="240"/>
              <w:spacing w:after="0" w:line="158" w:lineRule="exact"/>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9,276</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40"/>
              <w:spacing w:after="0" w:line="158"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9,276</w:t>
            </w:r>
          </w:p>
        </w:tc>
        <w:tc>
          <w:tcPr>
            <w:tcW w:w="1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180"/>
              <w:spacing w:after="0" w:line="158" w:lineRule="exact"/>
              <w:rPr>
                <w:sz w:val="20"/>
                <w:szCs w:val="20"/>
                <w:color w:val="auto"/>
              </w:rPr>
            </w:pPr>
            <w:r>
              <w:rPr>
                <w:rFonts w:ascii="Arial" w:cs="Arial" w:eastAsia="Arial" w:hAnsi="Arial"/>
                <w:sz w:val="14"/>
                <w:szCs w:val="14"/>
                <w:color w:val="auto"/>
              </w:rPr>
              <w:t>(3,650)</w:t>
            </w: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5,626</w:t>
            </w:r>
          </w:p>
        </w:tc>
        <w:tc>
          <w:tcPr>
            <w:tcW w:w="120" w:type="dxa"/>
            <w:vAlign w:val="bottom"/>
            <w:shd w:val="clear" w:color="auto" w:fill="CFF0FC"/>
          </w:tcPr>
          <w:p>
            <w:pPr>
              <w:spacing w:after="0"/>
              <w:rPr>
                <w:sz w:val="13"/>
                <w:szCs w:val="13"/>
                <w:color w:val="auto"/>
              </w:rPr>
            </w:pPr>
          </w:p>
        </w:tc>
      </w:tr>
      <w:tr>
        <w:trPr>
          <w:trHeight w:val="132"/>
        </w:trPr>
        <w:tc>
          <w:tcPr>
            <w:tcW w:w="3840" w:type="dxa"/>
            <w:vAlign w:val="bottom"/>
          </w:tcPr>
          <w:p>
            <w:pPr>
              <w:spacing w:after="0" w:line="133" w:lineRule="exact"/>
              <w:rPr>
                <w:sz w:val="20"/>
                <w:szCs w:val="20"/>
                <w:color w:val="auto"/>
              </w:rPr>
            </w:pPr>
            <w:r>
              <w:rPr>
                <w:rFonts w:ascii="Arial" w:cs="Arial" w:eastAsia="Arial" w:hAnsi="Arial"/>
                <w:sz w:val="14"/>
                <w:szCs w:val="14"/>
                <w:color w:val="auto"/>
              </w:rPr>
              <w:t>Total other comprehensive income (loss) before</w:t>
            </w:r>
          </w:p>
        </w:tc>
        <w:tc>
          <w:tcPr>
            <w:tcW w:w="8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63"/>
        </w:trPr>
        <w:tc>
          <w:tcPr>
            <w:tcW w:w="3840" w:type="dxa"/>
            <w:vAlign w:val="bottom"/>
          </w:tcPr>
          <w:p>
            <w:pPr>
              <w:ind w:left="120"/>
              <w:spacing w:after="0"/>
              <w:rPr>
                <w:sz w:val="20"/>
                <w:szCs w:val="20"/>
                <w:color w:val="auto"/>
              </w:rPr>
            </w:pPr>
            <w:r>
              <w:rPr>
                <w:rFonts w:ascii="Arial" w:cs="Arial" w:eastAsia="Arial" w:hAnsi="Arial"/>
                <w:sz w:val="14"/>
                <w:szCs w:val="14"/>
                <w:color w:val="auto"/>
              </w:rPr>
              <w:t>reclassifications</w:t>
            </w: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(8,746)</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(6,259)</w:t>
            </w:r>
          </w:p>
        </w:tc>
        <w:tc>
          <w:tcPr>
            <w:tcW w:w="680" w:type="dxa"/>
            <w:vAlign w:val="bottom"/>
          </w:tcPr>
          <w:p>
            <w:pPr>
              <w:jc w:val="right"/>
              <w:spacing w:after="0"/>
              <w:rPr>
                <w:sz w:val="20"/>
                <w:szCs w:val="20"/>
                <w:color w:val="auto"/>
              </w:rPr>
            </w:pPr>
            <w:r>
              <w:rPr>
                <w:rFonts w:ascii="Arial" w:cs="Arial" w:eastAsia="Arial" w:hAnsi="Arial"/>
                <w:sz w:val="14"/>
                <w:szCs w:val="14"/>
                <w:color w:val="auto"/>
              </w:rPr>
              <w:t>9,276</w:t>
            </w:r>
          </w:p>
        </w:tc>
        <w:tc>
          <w:tcPr>
            <w:tcW w:w="100" w:type="dxa"/>
            <w:vAlign w:val="bottom"/>
          </w:tcPr>
          <w:p>
            <w:pPr>
              <w:spacing w:after="0"/>
              <w:rPr>
                <w:sz w:val="14"/>
                <w:szCs w:val="14"/>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4"/>
                <w:szCs w:val="14"/>
                <w:color w:val="auto"/>
              </w:rPr>
              <w:t>(7,844)</w:t>
            </w:r>
          </w:p>
        </w:tc>
        <w:tc>
          <w:tcPr>
            <w:tcW w:w="10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(13,573)</w:t>
            </w: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6,250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(7,323)</w:t>
            </w:r>
          </w:p>
        </w:tc>
      </w:tr>
      <w:tr>
        <w:trPr>
          <w:trHeight w:val="132"/>
        </w:trPr>
        <w:tc>
          <w:tcPr>
            <w:tcW w:w="3840" w:type="dxa"/>
            <w:vAlign w:val="bottom"/>
            <w:tcBorders>
              <w:top w:val="single" w:sz="8" w:color="CFF0FC"/>
            </w:tcBorders>
            <w:shd w:val="clear" w:color="auto" w:fill="CFF0FC"/>
          </w:tcPr>
          <w:p>
            <w:pPr>
              <w:spacing w:after="0" w:line="133" w:lineRule="exact"/>
              <w:rPr>
                <w:sz w:val="20"/>
                <w:szCs w:val="20"/>
                <w:color w:val="auto"/>
              </w:rPr>
            </w:pPr>
            <w:r>
              <w:rPr>
                <w:rFonts w:ascii="Arial" w:cs="Arial" w:eastAsia="Arial" w:hAnsi="Arial"/>
                <w:sz w:val="14"/>
                <w:szCs w:val="14"/>
                <w:color w:val="auto"/>
              </w:rPr>
              <w:t>Amounts reclassified from accumulated other</w:t>
            </w:r>
          </w:p>
        </w:tc>
        <w:tc>
          <w:tcPr>
            <w:tcW w:w="820" w:type="dxa"/>
            <w:vAlign w:val="bottom"/>
            <w:tcBorders>
              <w:top w:val="single" w:sz="8" w:color="CFF0FC"/>
            </w:tcBorders>
            <w:shd w:val="clear" w:color="auto" w:fill="CFF0FC"/>
          </w:tcPr>
          <w:p>
            <w:pPr>
              <w:spacing w:after="0"/>
              <w:rPr>
                <w:sz w:val="11"/>
                <w:szCs w:val="11"/>
                <w:color w:val="auto"/>
              </w:rPr>
            </w:pPr>
          </w:p>
        </w:tc>
        <w:tc>
          <w:tcPr>
            <w:tcW w:w="200" w:type="dxa"/>
            <w:vAlign w:val="bottom"/>
            <w:tcBorders>
              <w:top w:val="single" w:sz="8" w:color="auto"/>
            </w:tcBorders>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62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320" w:type="dxa"/>
            <w:vAlign w:val="bottom"/>
            <w:tcBorders>
              <w:top w:val="single" w:sz="8" w:color="CFF0FC"/>
            </w:tcBorders>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58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r>
      <w:tr>
        <w:trPr>
          <w:trHeight w:val="145"/>
        </w:trPr>
        <w:tc>
          <w:tcPr>
            <w:tcW w:w="3840" w:type="dxa"/>
            <w:vAlign w:val="bottom"/>
            <w:shd w:val="clear" w:color="auto" w:fill="CFF0FC"/>
          </w:tcPr>
          <w:p>
            <w:pPr>
              <w:ind w:left="120"/>
              <w:spacing w:after="0" w:line="145" w:lineRule="exact"/>
              <w:rPr>
                <w:sz w:val="20"/>
                <w:szCs w:val="20"/>
                <w:color w:val="auto"/>
              </w:rPr>
            </w:pPr>
            <w:r>
              <w:rPr>
                <w:rFonts w:ascii="Arial" w:cs="Arial" w:eastAsia="Arial" w:hAnsi="Arial"/>
                <w:sz w:val="14"/>
                <w:szCs w:val="14"/>
                <w:color w:val="auto"/>
              </w:rPr>
              <w:t>comprehensive income that (increase) decrease</w:t>
            </w:r>
          </w:p>
        </w:tc>
        <w:tc>
          <w:tcPr>
            <w:tcW w:w="8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63"/>
        </w:trPr>
        <w:tc>
          <w:tcPr>
            <w:tcW w:w="38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net income:</w:t>
            </w:r>
          </w:p>
        </w:tc>
        <w:tc>
          <w:tcPr>
            <w:tcW w:w="8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39"/>
        </w:trPr>
        <w:tc>
          <w:tcPr>
            <w:tcW w:w="3840" w:type="dxa"/>
            <w:vAlign w:val="bottom"/>
          </w:tcPr>
          <w:p>
            <w:pPr>
              <w:ind w:left="240"/>
              <w:spacing w:after="0" w:line="139" w:lineRule="exact"/>
              <w:rPr>
                <w:sz w:val="20"/>
                <w:szCs w:val="20"/>
                <w:color w:val="auto"/>
              </w:rPr>
            </w:pPr>
            <w:r>
              <w:rPr>
                <w:rFonts w:ascii="Arial" w:cs="Arial" w:eastAsia="Arial" w:hAnsi="Arial"/>
                <w:sz w:val="14"/>
                <w:szCs w:val="14"/>
                <w:color w:val="auto"/>
              </w:rPr>
              <w:t>Amortization of unrealized holding losses on</w:t>
            </w: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3"/>
        </w:trPr>
        <w:tc>
          <w:tcPr>
            <w:tcW w:w="3840" w:type="dxa"/>
            <w:vAlign w:val="bottom"/>
          </w:tcPr>
          <w:p>
            <w:pPr>
              <w:ind w:left="360"/>
              <w:spacing w:after="0"/>
              <w:rPr>
                <w:sz w:val="20"/>
                <w:szCs w:val="20"/>
                <w:color w:val="auto"/>
              </w:rPr>
            </w:pPr>
            <w:r>
              <w:rPr>
                <w:rFonts w:ascii="Arial" w:cs="Arial" w:eastAsia="Arial" w:hAnsi="Arial"/>
                <w:sz w:val="14"/>
                <w:szCs w:val="14"/>
                <w:color w:val="auto"/>
              </w:rPr>
              <w:t>held-to-maturity (“HTM”) securities</w:t>
            </w: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3,387</w:t>
            </w:r>
          </w:p>
        </w:tc>
        <w:tc>
          <w:tcPr>
            <w:tcW w:w="22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3,387</w:t>
            </w:r>
          </w:p>
        </w:tc>
        <w:tc>
          <w:tcPr>
            <w:tcW w:w="100" w:type="dxa"/>
            <w:vAlign w:val="bottom"/>
          </w:tcPr>
          <w:p>
            <w:pPr>
              <w:spacing w:after="0"/>
              <w:rPr>
                <w:sz w:val="14"/>
                <w:szCs w:val="14"/>
                <w:color w:val="auto"/>
              </w:rPr>
            </w:pPr>
          </w:p>
        </w:tc>
        <w:tc>
          <w:tcPr>
            <w:tcW w:w="320" w:type="dxa"/>
            <w:vAlign w:val="bottom"/>
          </w:tcPr>
          <w:p>
            <w:pPr>
              <w:jc w:val="right"/>
              <w:ind w:right="50"/>
              <w:spacing w:after="0"/>
              <w:rPr>
                <w:sz w:val="20"/>
                <w:szCs w:val="20"/>
                <w:color w:val="auto"/>
              </w:rPr>
            </w:pPr>
            <w:r>
              <w:rPr>
                <w:rFonts w:ascii="Arial" w:cs="Arial" w:eastAsia="Arial" w:hAnsi="Arial"/>
                <w:sz w:val="14"/>
                <w:szCs w:val="14"/>
                <w:color w:val="auto"/>
              </w:rPr>
              <w:t>(b)</w:t>
            </w: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(1,333)</w:t>
            </w: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2,054</w:t>
            </w:r>
          </w:p>
        </w:tc>
        <w:tc>
          <w:tcPr>
            <w:tcW w:w="120" w:type="dxa"/>
            <w:vAlign w:val="bottom"/>
          </w:tcPr>
          <w:p>
            <w:pPr>
              <w:spacing w:after="0"/>
              <w:rPr>
                <w:sz w:val="14"/>
                <w:szCs w:val="14"/>
                <w:color w:val="auto"/>
              </w:rPr>
            </w:pPr>
          </w:p>
        </w:tc>
      </w:tr>
      <w:tr>
        <w:trPr>
          <w:trHeight w:val="158"/>
        </w:trPr>
        <w:tc>
          <w:tcPr>
            <w:tcW w:w="3840" w:type="dxa"/>
            <w:vAlign w:val="bottom"/>
            <w:shd w:val="clear" w:color="auto" w:fill="CFF0FC"/>
          </w:tcPr>
          <w:p>
            <w:pPr>
              <w:ind w:left="240"/>
              <w:spacing w:after="0" w:line="158" w:lineRule="exact"/>
              <w:rPr>
                <w:sz w:val="20"/>
                <w:szCs w:val="20"/>
                <w:color w:val="auto"/>
              </w:rPr>
            </w:pPr>
            <w:r>
              <w:rPr>
                <w:rFonts w:ascii="Arial" w:cs="Arial" w:eastAsia="Arial" w:hAnsi="Arial"/>
                <w:sz w:val="14"/>
                <w:szCs w:val="14"/>
                <w:color w:val="auto"/>
              </w:rPr>
              <w:t>Gains realized in net income</w:t>
            </w:r>
          </w:p>
        </w:tc>
        <w:tc>
          <w:tcPr>
            <w:tcW w:w="8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180"/>
              <w:spacing w:after="0" w:line="158" w:lineRule="exact"/>
              <w:rPr>
                <w:sz w:val="20"/>
                <w:szCs w:val="20"/>
                <w:color w:val="auto"/>
              </w:rPr>
            </w:pPr>
            <w:r>
              <w:rPr>
                <w:rFonts w:ascii="Arial" w:cs="Arial" w:eastAsia="Arial" w:hAnsi="Arial"/>
                <w:sz w:val="14"/>
                <w:szCs w:val="14"/>
                <w:color w:val="auto"/>
              </w:rPr>
              <w:t>(18,351)</w:t>
            </w:r>
          </w:p>
        </w:tc>
        <w:tc>
          <w:tcPr>
            <w:tcW w:w="880" w:type="dxa"/>
            <w:vAlign w:val="bottom"/>
            <w:gridSpan w:val="2"/>
            <w:shd w:val="clear" w:color="auto" w:fill="CFF0FC"/>
          </w:tcPr>
          <w:p>
            <w:pPr>
              <w:jc w:val="right"/>
              <w:ind w:right="180"/>
              <w:spacing w:after="0" w:line="158" w:lineRule="exact"/>
              <w:rPr>
                <w:sz w:val="20"/>
                <w:szCs w:val="20"/>
                <w:color w:val="auto"/>
              </w:rPr>
            </w:pPr>
            <w:r>
              <w:rPr>
                <w:rFonts w:ascii="Arial" w:cs="Arial" w:eastAsia="Arial" w:hAnsi="Arial"/>
                <w:sz w:val="14"/>
                <w:szCs w:val="14"/>
                <w:color w:val="auto"/>
              </w:rPr>
              <w:t>(2,928)</w:t>
            </w:r>
          </w:p>
        </w:tc>
        <w:tc>
          <w:tcPr>
            <w:tcW w:w="780" w:type="dxa"/>
            <w:vAlign w:val="bottom"/>
            <w:gridSpan w:val="2"/>
            <w:shd w:val="clear" w:color="auto" w:fill="CFF0FC"/>
          </w:tcPr>
          <w:p>
            <w:pPr>
              <w:jc w:val="right"/>
              <w:ind w:right="120"/>
              <w:spacing w:after="0" w:line="158"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40"/>
              <w:spacing w:after="0" w:line="158"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spacing w:after="0" w:line="158" w:lineRule="exact"/>
              <w:rPr>
                <w:sz w:val="20"/>
                <w:szCs w:val="20"/>
                <w:color w:val="auto"/>
              </w:rPr>
            </w:pPr>
            <w:r>
              <w:rPr>
                <w:rFonts w:ascii="Arial" w:cs="Arial" w:eastAsia="Arial" w:hAnsi="Arial"/>
                <w:sz w:val="14"/>
                <w:szCs w:val="14"/>
                <w:color w:val="auto"/>
              </w:rPr>
              <w:t>(21,279)</w:t>
            </w:r>
          </w:p>
        </w:tc>
        <w:tc>
          <w:tcPr>
            <w:tcW w:w="320" w:type="dxa"/>
            <w:vAlign w:val="bottom"/>
            <w:shd w:val="clear" w:color="auto" w:fill="CFF0FC"/>
          </w:tcPr>
          <w:p>
            <w:pPr>
              <w:jc w:val="right"/>
              <w:ind w:right="50"/>
              <w:spacing w:after="0" w:line="158" w:lineRule="exact"/>
              <w:rPr>
                <w:sz w:val="20"/>
                <w:szCs w:val="20"/>
                <w:color w:val="auto"/>
              </w:rPr>
            </w:pPr>
            <w:r>
              <w:rPr>
                <w:rFonts w:ascii="Arial" w:cs="Arial" w:eastAsia="Arial" w:hAnsi="Arial"/>
                <w:sz w:val="14"/>
                <w:szCs w:val="14"/>
                <w:color w:val="auto"/>
              </w:rPr>
              <w:t>(c)</w:t>
            </w:r>
          </w:p>
        </w:tc>
        <w:tc>
          <w:tcPr>
            <w:tcW w:w="70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7,195</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spacing w:after="0" w:line="158" w:lineRule="exact"/>
              <w:rPr>
                <w:sz w:val="20"/>
                <w:szCs w:val="20"/>
                <w:color w:val="auto"/>
              </w:rPr>
            </w:pPr>
            <w:r>
              <w:rPr>
                <w:rFonts w:ascii="Arial" w:cs="Arial" w:eastAsia="Arial" w:hAnsi="Arial"/>
                <w:sz w:val="14"/>
                <w:szCs w:val="14"/>
                <w:color w:val="auto"/>
              </w:rPr>
              <w:t>(14,084)</w:t>
            </w:r>
          </w:p>
        </w:tc>
      </w:tr>
      <w:tr>
        <w:trPr>
          <w:trHeight w:val="139"/>
        </w:trPr>
        <w:tc>
          <w:tcPr>
            <w:tcW w:w="3840" w:type="dxa"/>
            <w:vAlign w:val="bottom"/>
          </w:tcPr>
          <w:p>
            <w:pPr>
              <w:ind w:left="240"/>
              <w:spacing w:after="0" w:line="139" w:lineRule="exact"/>
              <w:rPr>
                <w:sz w:val="20"/>
                <w:szCs w:val="20"/>
                <w:color w:val="auto"/>
              </w:rPr>
            </w:pPr>
            <w:r>
              <w:rPr>
                <w:rFonts w:ascii="Arial" w:cs="Arial" w:eastAsia="Arial" w:hAnsi="Arial"/>
                <w:sz w:val="14"/>
                <w:szCs w:val="14"/>
                <w:color w:val="auto"/>
              </w:rPr>
              <w:t>Accretion of net gain on terminated cash flow</w:t>
            </w: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3"/>
        </w:trPr>
        <w:tc>
          <w:tcPr>
            <w:tcW w:w="3840" w:type="dxa"/>
            <w:vAlign w:val="bottom"/>
          </w:tcPr>
          <w:p>
            <w:pPr>
              <w:ind w:left="360"/>
              <w:spacing w:after="0"/>
              <w:rPr>
                <w:sz w:val="20"/>
                <w:szCs w:val="20"/>
                <w:color w:val="auto"/>
              </w:rPr>
            </w:pPr>
            <w:r>
              <w:rPr>
                <w:rFonts w:ascii="Arial" w:cs="Arial" w:eastAsia="Arial" w:hAnsi="Arial"/>
                <w:sz w:val="14"/>
                <w:szCs w:val="14"/>
                <w:color w:val="auto"/>
              </w:rPr>
              <w:t>hedges</w:t>
            </w: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20" w:type="dxa"/>
            <w:vAlign w:val="bottom"/>
            <w:gridSpan w:val="3"/>
          </w:tcPr>
          <w:p>
            <w:pPr>
              <w:jc w:val="right"/>
              <w:ind w:right="180"/>
              <w:spacing w:after="0"/>
              <w:rPr>
                <w:sz w:val="20"/>
                <w:szCs w:val="20"/>
                <w:color w:val="auto"/>
              </w:rPr>
            </w:pPr>
            <w:r>
              <w:rPr>
                <w:rFonts w:ascii="Arial" w:cs="Arial" w:eastAsia="Arial" w:hAnsi="Arial"/>
                <w:sz w:val="14"/>
                <w:szCs w:val="14"/>
                <w:color w:val="auto"/>
              </w:rPr>
              <w:t>(137)</w:t>
            </w:r>
          </w:p>
        </w:tc>
        <w:tc>
          <w:tcPr>
            <w:tcW w:w="10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(137)</w:t>
            </w:r>
          </w:p>
        </w:tc>
        <w:tc>
          <w:tcPr>
            <w:tcW w:w="320" w:type="dxa"/>
            <w:vAlign w:val="bottom"/>
          </w:tcPr>
          <w:p>
            <w:pPr>
              <w:jc w:val="right"/>
              <w:ind w:right="50"/>
              <w:spacing w:after="0"/>
              <w:rPr>
                <w:sz w:val="20"/>
                <w:szCs w:val="20"/>
                <w:color w:val="auto"/>
              </w:rPr>
            </w:pPr>
            <w:r>
              <w:rPr>
                <w:rFonts w:ascii="Arial" w:cs="Arial" w:eastAsia="Arial" w:hAnsi="Arial"/>
                <w:sz w:val="14"/>
                <w:szCs w:val="14"/>
                <w:color w:val="auto"/>
              </w:rPr>
              <w:t>(d)</w:t>
            </w:r>
          </w:p>
        </w:tc>
        <w:tc>
          <w:tcPr>
            <w:tcW w:w="700" w:type="dxa"/>
            <w:vAlign w:val="bottom"/>
          </w:tcPr>
          <w:p>
            <w:pPr>
              <w:jc w:val="right"/>
              <w:spacing w:after="0"/>
              <w:rPr>
                <w:sz w:val="20"/>
                <w:szCs w:val="20"/>
                <w:color w:val="auto"/>
              </w:rPr>
            </w:pPr>
            <w:r>
              <w:rPr>
                <w:rFonts w:ascii="Arial" w:cs="Arial" w:eastAsia="Arial" w:hAnsi="Arial"/>
                <w:sz w:val="14"/>
                <w:szCs w:val="14"/>
                <w:color w:val="auto"/>
              </w:rPr>
              <w:t>54</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(83)</w:t>
            </w:r>
          </w:p>
        </w:tc>
      </w:tr>
      <w:tr>
        <w:trPr>
          <w:trHeight w:val="139"/>
        </w:trPr>
        <w:tc>
          <w:tcPr>
            <w:tcW w:w="3840" w:type="dxa"/>
            <w:vAlign w:val="bottom"/>
            <w:shd w:val="clear" w:color="auto" w:fill="CFF0FC"/>
          </w:tcPr>
          <w:p>
            <w:pPr>
              <w:ind w:left="240"/>
              <w:spacing w:after="0" w:line="139" w:lineRule="exact"/>
              <w:rPr>
                <w:sz w:val="20"/>
                <w:szCs w:val="20"/>
                <w:color w:val="auto"/>
              </w:rPr>
            </w:pPr>
            <w:r>
              <w:rPr>
                <w:rFonts w:ascii="Arial" w:cs="Arial" w:eastAsia="Arial" w:hAnsi="Arial"/>
                <w:sz w:val="14"/>
                <w:szCs w:val="14"/>
                <w:color w:val="auto"/>
              </w:rPr>
              <w:t>Net yield adjustment from cash flow hedges</w:t>
            </w:r>
          </w:p>
        </w:tc>
        <w:tc>
          <w:tcPr>
            <w:tcW w:w="8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63"/>
        </w:trPr>
        <w:tc>
          <w:tcPr>
            <w:tcW w:w="3840" w:type="dxa"/>
            <w:vAlign w:val="bottom"/>
            <w:shd w:val="clear" w:color="auto" w:fill="CFF0FC"/>
          </w:tcPr>
          <w:p>
            <w:pPr>
              <w:ind w:left="360"/>
              <w:spacing w:after="0"/>
              <w:rPr>
                <w:sz w:val="20"/>
                <w:szCs w:val="20"/>
                <w:color w:val="auto"/>
              </w:rPr>
            </w:pPr>
            <w:r>
              <w:rPr>
                <w:rFonts w:ascii="Arial" w:cs="Arial" w:eastAsia="Arial" w:hAnsi="Arial"/>
                <w:sz w:val="14"/>
                <w:szCs w:val="14"/>
                <w:color w:val="auto"/>
              </w:rPr>
              <w:t>currently in effect</w:t>
            </w:r>
          </w:p>
        </w:tc>
        <w:tc>
          <w:tcPr>
            <w:tcW w:w="8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020" w:type="dxa"/>
            <w:vAlign w:val="bottom"/>
            <w:gridSpan w:val="3"/>
            <w:shd w:val="clear" w:color="auto" w:fill="CFF0FC"/>
          </w:tcPr>
          <w:p>
            <w:pPr>
              <w:jc w:val="right"/>
              <w:ind w:right="180"/>
              <w:spacing w:after="0"/>
              <w:rPr>
                <w:sz w:val="20"/>
                <w:szCs w:val="20"/>
                <w:color w:val="auto"/>
              </w:rPr>
            </w:pPr>
            <w:r>
              <w:rPr>
                <w:rFonts w:ascii="Arial" w:cs="Arial" w:eastAsia="Arial" w:hAnsi="Arial"/>
                <w:sz w:val="14"/>
                <w:szCs w:val="14"/>
                <w:color w:val="auto"/>
              </w:rPr>
              <w:t>(3,916)</w:t>
            </w:r>
          </w:p>
        </w:tc>
        <w:tc>
          <w:tcPr>
            <w:tcW w:w="10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(3,916)</w:t>
            </w:r>
          </w:p>
        </w:tc>
        <w:tc>
          <w:tcPr>
            <w:tcW w:w="320" w:type="dxa"/>
            <w:vAlign w:val="bottom"/>
            <w:shd w:val="clear" w:color="auto" w:fill="CFF0FC"/>
          </w:tcPr>
          <w:p>
            <w:pPr>
              <w:jc w:val="right"/>
              <w:ind w:right="50"/>
              <w:spacing w:after="0"/>
              <w:rPr>
                <w:sz w:val="20"/>
                <w:szCs w:val="20"/>
                <w:color w:val="auto"/>
              </w:rPr>
            </w:pPr>
            <w:r>
              <w:rPr>
                <w:rFonts w:ascii="Arial" w:cs="Arial" w:eastAsia="Arial" w:hAnsi="Arial"/>
                <w:sz w:val="14"/>
                <w:szCs w:val="14"/>
                <w:color w:val="auto"/>
              </w:rPr>
              <w:t>(b)</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1,541</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(2,375)</w:t>
            </w:r>
          </w:p>
        </w:tc>
      </w:tr>
      <w:tr>
        <w:trPr>
          <w:trHeight w:val="158"/>
        </w:trPr>
        <w:tc>
          <w:tcPr>
            <w:tcW w:w="3840" w:type="dxa"/>
            <w:vAlign w:val="bottom"/>
          </w:tcPr>
          <w:p>
            <w:pPr>
              <w:ind w:left="240"/>
              <w:spacing w:after="0" w:line="158" w:lineRule="exact"/>
              <w:rPr>
                <w:sz w:val="20"/>
                <w:szCs w:val="20"/>
                <w:color w:val="auto"/>
              </w:rPr>
            </w:pPr>
            <w:r>
              <w:rPr>
                <w:rFonts w:ascii="Arial" w:cs="Arial" w:eastAsia="Arial" w:hAnsi="Arial"/>
                <w:sz w:val="14"/>
                <w:szCs w:val="14"/>
                <w:color w:val="auto"/>
              </w:rPr>
              <w:t>Amortization of prior service credit</w:t>
            </w: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tcPr>
          <w:p>
            <w:pPr>
              <w:jc w:val="right"/>
              <w:ind w:right="240"/>
              <w:spacing w:after="0" w:line="158"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40"/>
              <w:spacing w:after="0" w:line="158"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(802)</w:t>
            </w:r>
          </w:p>
        </w:tc>
        <w:tc>
          <w:tcPr>
            <w:tcW w:w="120" w:type="dxa"/>
            <w:vAlign w:val="bottom"/>
          </w:tcPr>
          <w:p>
            <w:pPr>
              <w:spacing w:after="0"/>
              <w:rPr>
                <w:sz w:val="13"/>
                <w:szCs w:val="13"/>
                <w:color w:val="auto"/>
              </w:rPr>
            </w:pPr>
          </w:p>
        </w:tc>
        <w:tc>
          <w:tcPr>
            <w:tcW w:w="900" w:type="dxa"/>
            <w:vAlign w:val="bottom"/>
            <w:gridSpan w:val="2"/>
          </w:tcPr>
          <w:p>
            <w:pPr>
              <w:jc w:val="right"/>
              <w:ind w:right="240"/>
              <w:spacing w:after="0" w:line="15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2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(802)</w:t>
            </w:r>
          </w:p>
        </w:tc>
        <w:tc>
          <w:tcPr>
            <w:tcW w:w="320" w:type="dxa"/>
            <w:vAlign w:val="bottom"/>
          </w:tcPr>
          <w:p>
            <w:pPr>
              <w:jc w:val="right"/>
              <w:ind w:right="50"/>
              <w:spacing w:after="0" w:line="158" w:lineRule="exact"/>
              <w:rPr>
                <w:sz w:val="20"/>
                <w:szCs w:val="20"/>
                <w:color w:val="auto"/>
              </w:rPr>
            </w:pPr>
            <w:r>
              <w:rPr>
                <w:rFonts w:ascii="Arial" w:cs="Arial" w:eastAsia="Arial" w:hAnsi="Arial"/>
                <w:sz w:val="14"/>
                <w:szCs w:val="14"/>
                <w:color w:val="auto"/>
              </w:rPr>
              <w:t>(e)</w:t>
            </w:r>
          </w:p>
        </w:tc>
        <w:tc>
          <w:tcPr>
            <w:tcW w:w="700" w:type="dxa"/>
            <w:vAlign w:val="bottom"/>
          </w:tcPr>
          <w:p>
            <w:pPr>
              <w:jc w:val="right"/>
              <w:spacing w:after="0" w:line="158" w:lineRule="exact"/>
              <w:rPr>
                <w:sz w:val="20"/>
                <w:szCs w:val="20"/>
                <w:color w:val="auto"/>
              </w:rPr>
            </w:pPr>
            <w:r>
              <w:rPr>
                <w:rFonts w:ascii="Arial" w:cs="Arial" w:eastAsia="Arial" w:hAnsi="Arial"/>
                <w:sz w:val="14"/>
                <w:szCs w:val="14"/>
                <w:color w:val="auto"/>
              </w:rPr>
              <w:t>315</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(487)</w:t>
            </w:r>
          </w:p>
        </w:tc>
      </w:tr>
      <w:tr>
        <w:trPr>
          <w:trHeight w:val="158"/>
        </w:trPr>
        <w:tc>
          <w:tcPr>
            <w:tcW w:w="3840" w:type="dxa"/>
            <w:vAlign w:val="bottom"/>
            <w:shd w:val="clear" w:color="auto" w:fill="CFF0FC"/>
          </w:tcPr>
          <w:p>
            <w:pPr>
              <w:ind w:left="240"/>
              <w:spacing w:after="0" w:line="158" w:lineRule="exact"/>
              <w:rPr>
                <w:sz w:val="20"/>
                <w:szCs w:val="20"/>
                <w:color w:val="auto"/>
              </w:rPr>
            </w:pPr>
            <w:r>
              <w:rPr>
                <w:rFonts w:ascii="Arial" w:cs="Arial" w:eastAsia="Arial" w:hAnsi="Arial"/>
                <w:sz w:val="14"/>
                <w:szCs w:val="14"/>
                <w:color w:val="auto"/>
              </w:rPr>
              <w:t>Amortization of actuarial losses</w:t>
            </w:r>
          </w:p>
        </w:tc>
        <w:tc>
          <w:tcPr>
            <w:tcW w:w="8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240"/>
              <w:spacing w:after="0" w:line="158"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FF0FC"/>
          </w:tcPr>
          <w:p>
            <w:pPr>
              <w:jc w:val="right"/>
              <w:ind w:right="240"/>
              <w:spacing w:after="0" w:line="158" w:lineRule="exact"/>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28,275</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40"/>
              <w:spacing w:after="0" w:line="158"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28,275</w:t>
            </w:r>
          </w:p>
        </w:tc>
        <w:tc>
          <w:tcPr>
            <w:tcW w:w="100" w:type="dxa"/>
            <w:vAlign w:val="bottom"/>
            <w:shd w:val="clear" w:color="auto" w:fill="CFF0FC"/>
          </w:tcPr>
          <w:p>
            <w:pPr>
              <w:spacing w:after="0"/>
              <w:rPr>
                <w:sz w:val="13"/>
                <w:szCs w:val="13"/>
                <w:color w:val="auto"/>
              </w:rPr>
            </w:pPr>
          </w:p>
        </w:tc>
        <w:tc>
          <w:tcPr>
            <w:tcW w:w="320" w:type="dxa"/>
            <w:vAlign w:val="bottom"/>
            <w:shd w:val="clear" w:color="auto" w:fill="CFF0FC"/>
          </w:tcPr>
          <w:p>
            <w:pPr>
              <w:jc w:val="right"/>
              <w:ind w:right="50"/>
              <w:spacing w:after="0" w:line="158" w:lineRule="exact"/>
              <w:rPr>
                <w:sz w:val="20"/>
                <w:szCs w:val="20"/>
                <w:color w:val="auto"/>
              </w:rPr>
            </w:pPr>
            <w:r>
              <w:rPr>
                <w:rFonts w:ascii="Arial" w:cs="Arial" w:eastAsia="Arial" w:hAnsi="Arial"/>
                <w:sz w:val="14"/>
                <w:szCs w:val="14"/>
                <w:color w:val="auto"/>
              </w:rPr>
              <w:t>(e)</w:t>
            </w:r>
          </w:p>
        </w:tc>
        <w:tc>
          <w:tcPr>
            <w:tcW w:w="920" w:type="dxa"/>
            <w:vAlign w:val="bottom"/>
            <w:gridSpan w:val="2"/>
            <w:shd w:val="clear" w:color="auto" w:fill="CFF0FC"/>
          </w:tcPr>
          <w:p>
            <w:pPr>
              <w:jc w:val="right"/>
              <w:ind w:right="180"/>
              <w:spacing w:after="0" w:line="158" w:lineRule="exact"/>
              <w:rPr>
                <w:sz w:val="20"/>
                <w:szCs w:val="20"/>
                <w:color w:val="auto"/>
              </w:rPr>
            </w:pPr>
            <w:r>
              <w:rPr>
                <w:rFonts w:ascii="Arial" w:cs="Arial" w:eastAsia="Arial" w:hAnsi="Arial"/>
                <w:sz w:val="14"/>
                <w:szCs w:val="14"/>
                <w:color w:val="auto"/>
              </w:rPr>
              <w:t>(11,126)</w:t>
            </w: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17,149</w:t>
            </w:r>
          </w:p>
        </w:tc>
        <w:tc>
          <w:tcPr>
            <w:tcW w:w="120" w:type="dxa"/>
            <w:vAlign w:val="bottom"/>
            <w:shd w:val="clear" w:color="auto" w:fill="CFF0FC"/>
          </w:tcPr>
          <w:p>
            <w:pPr>
              <w:spacing w:after="0"/>
              <w:rPr>
                <w:sz w:val="13"/>
                <w:szCs w:val="13"/>
                <w:color w:val="auto"/>
              </w:rPr>
            </w:pPr>
          </w:p>
        </w:tc>
      </w:tr>
      <w:tr>
        <w:trPr>
          <w:trHeight w:val="151"/>
        </w:trPr>
        <w:tc>
          <w:tcPr>
            <w:tcW w:w="3840" w:type="dxa"/>
            <w:vAlign w:val="bottom"/>
            <w:tcBorders>
              <w:bottom w:val="single" w:sz="8" w:color="CFF0FC"/>
            </w:tcBorders>
          </w:tcPr>
          <w:p>
            <w:pPr>
              <w:spacing w:after="0" w:line="151" w:lineRule="exact"/>
              <w:rPr>
                <w:sz w:val="20"/>
                <w:szCs w:val="20"/>
                <w:color w:val="auto"/>
              </w:rPr>
            </w:pPr>
            <w:r>
              <w:rPr>
                <w:rFonts w:ascii="Arial" w:cs="Arial" w:eastAsia="Arial" w:hAnsi="Arial"/>
                <w:sz w:val="14"/>
                <w:szCs w:val="14"/>
                <w:color w:val="auto"/>
              </w:rPr>
              <w:t>Total</w:t>
            </w:r>
          </w:p>
        </w:tc>
        <w:tc>
          <w:tcPr>
            <w:tcW w:w="82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(27,097)</w:t>
            </w:r>
          </w:p>
        </w:tc>
        <w:tc>
          <w:tcPr>
            <w:tcW w:w="240" w:type="dxa"/>
            <w:vAlign w:val="bottom"/>
            <w:tcBorders>
              <w:bottom w:val="single" w:sz="8" w:color="CFF0FC"/>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(5,800)</w:t>
            </w:r>
          </w:p>
        </w:tc>
        <w:tc>
          <w:tcPr>
            <w:tcW w:w="220" w:type="dxa"/>
            <w:vAlign w:val="bottom"/>
            <w:tcBorders>
              <w:bottom w:val="single" w:sz="8" w:color="CFF0FC"/>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36,749</w:t>
            </w:r>
          </w:p>
        </w:tc>
        <w:tc>
          <w:tcPr>
            <w:tcW w:w="10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(11,897)</w:t>
            </w:r>
          </w:p>
        </w:tc>
        <w:tc>
          <w:tcPr>
            <w:tcW w:w="24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(8,045)</w:t>
            </w:r>
          </w:p>
        </w:tc>
        <w:tc>
          <w:tcPr>
            <w:tcW w:w="100" w:type="dxa"/>
            <w:vAlign w:val="bottom"/>
            <w:tcBorders>
              <w:bottom w:val="single" w:sz="8" w:color="CFF0FC"/>
            </w:tcBorders>
          </w:tcPr>
          <w:p>
            <w:pPr>
              <w:spacing w:after="0"/>
              <w:rPr>
                <w:sz w:val="13"/>
                <w:szCs w:val="13"/>
                <w:color w:val="auto"/>
              </w:rPr>
            </w:pPr>
          </w:p>
        </w:tc>
        <w:tc>
          <w:tcPr>
            <w:tcW w:w="320" w:type="dxa"/>
            <w:vAlign w:val="bottom"/>
            <w:tcBorders>
              <w:bottom w:val="single" w:sz="8" w:color="CFF0FC"/>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2,896</w:t>
            </w:r>
          </w:p>
        </w:tc>
        <w:tc>
          <w:tcPr>
            <w:tcW w:w="22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(5,149)</w:t>
            </w:r>
          </w:p>
        </w:tc>
        <w:tc>
          <w:tcPr>
            <w:tcW w:w="120" w:type="dxa"/>
            <w:vAlign w:val="bottom"/>
            <w:tcBorders>
              <w:bottom w:val="single" w:sz="8" w:color="CFF0FC"/>
            </w:tcBorders>
          </w:tcPr>
          <w:p>
            <w:pPr>
              <w:spacing w:after="0"/>
              <w:rPr>
                <w:sz w:val="13"/>
                <w:szCs w:val="13"/>
                <w:color w:val="auto"/>
              </w:rPr>
            </w:pPr>
          </w:p>
        </w:tc>
      </w:tr>
      <w:tr>
        <w:trPr>
          <w:trHeight w:val="132"/>
        </w:trPr>
        <w:tc>
          <w:tcPr>
            <w:tcW w:w="3840" w:type="dxa"/>
            <w:vAlign w:val="bottom"/>
            <w:shd w:val="clear" w:color="auto" w:fill="CFF0FC"/>
          </w:tcPr>
          <w:p>
            <w:pPr>
              <w:spacing w:after="0" w:line="133" w:lineRule="exact"/>
              <w:rPr>
                <w:sz w:val="20"/>
                <w:szCs w:val="20"/>
                <w:color w:val="auto"/>
              </w:rPr>
            </w:pPr>
            <w:r>
              <w:rPr>
                <w:rFonts w:ascii="Arial" w:cs="Arial" w:eastAsia="Arial" w:hAnsi="Arial"/>
                <w:sz w:val="14"/>
                <w:szCs w:val="14"/>
                <w:color w:val="auto"/>
              </w:rPr>
              <w:t>Reclassification of income tax effects to retained</w:t>
            </w:r>
          </w:p>
        </w:tc>
        <w:tc>
          <w:tcPr>
            <w:tcW w:w="8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63"/>
        </w:trPr>
        <w:tc>
          <w:tcPr>
            <w:tcW w:w="38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earnings</w:t>
            </w:r>
          </w:p>
        </w:tc>
        <w:tc>
          <w:tcPr>
            <w:tcW w:w="8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(64,029)</w:t>
            </w:r>
          </w:p>
        </w:tc>
        <w:tc>
          <w:tcPr>
            <w:tcW w:w="12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(64,029)</w:t>
            </w:r>
          </w:p>
        </w:tc>
      </w:tr>
      <w:tr>
        <w:trPr>
          <w:trHeight w:val="151"/>
        </w:trPr>
        <w:tc>
          <w:tcPr>
            <w:tcW w:w="3840" w:type="dxa"/>
            <w:vAlign w:val="bottom"/>
          </w:tcPr>
          <w:p>
            <w:pPr>
              <w:spacing w:after="0" w:line="151" w:lineRule="exact"/>
              <w:rPr>
                <w:sz w:val="20"/>
                <w:szCs w:val="20"/>
                <w:color w:val="auto"/>
              </w:rPr>
            </w:pPr>
            <w:r>
              <w:rPr>
                <w:rFonts w:ascii="Arial" w:cs="Arial" w:eastAsia="Arial" w:hAnsi="Arial"/>
                <w:sz w:val="14"/>
                <w:szCs w:val="14"/>
                <w:color w:val="auto"/>
              </w:rPr>
              <w:t>Balance — December 31, 2017</w:t>
            </w:r>
          </w:p>
        </w:tc>
        <w:tc>
          <w:tcPr>
            <w:tcW w:w="82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52"/>
              <w:spacing w:after="0" w:line="151"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19,628</w:t>
            </w:r>
          </w:p>
        </w:tc>
        <w:tc>
          <w:tcPr>
            <w:tcW w:w="240" w:type="dxa"/>
            <w:vAlign w:val="bottom"/>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(79,585)</w:t>
            </w:r>
          </w:p>
        </w:tc>
        <w:tc>
          <w:tcPr>
            <w:tcW w:w="22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(413,168)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(20,165)</w:t>
            </w:r>
          </w:p>
        </w:tc>
        <w:tc>
          <w:tcPr>
            <w:tcW w:w="24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(493,290</w:t>
            </w:r>
          </w:p>
        </w:tc>
        <w:tc>
          <w:tcPr>
            <w:tcW w:w="100" w:type="dxa"/>
            <w:vAlign w:val="bottom"/>
          </w:tcPr>
          <w:p>
            <w:pPr>
              <w:jc w:val="right"/>
              <w:spacing w:after="0" w:line="151" w:lineRule="exact"/>
              <w:rPr>
                <w:sz w:val="20"/>
                <w:szCs w:val="20"/>
                <w:color w:val="auto"/>
              </w:rPr>
            </w:pPr>
            <w:r>
              <w:rPr>
                <w:rFonts w:ascii="Arial" w:cs="Arial" w:eastAsia="Arial" w:hAnsi="Arial"/>
                <w:sz w:val="14"/>
                <w:szCs w:val="14"/>
                <w:color w:val="auto"/>
                <w:w w:val="84"/>
              </w:rPr>
              <w:t>)</w:t>
            </w:r>
          </w:p>
        </w:tc>
        <w:tc>
          <w:tcPr>
            <w:tcW w:w="32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129,476</w:t>
            </w:r>
          </w:p>
        </w:tc>
        <w:tc>
          <w:tcPr>
            <w:tcW w:w="22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(363,814</w:t>
            </w:r>
          </w:p>
        </w:tc>
        <w:tc>
          <w:tcPr>
            <w:tcW w:w="120" w:type="dxa"/>
            <w:vAlign w:val="bottom"/>
          </w:tcPr>
          <w:p>
            <w:pPr>
              <w:jc w:val="right"/>
              <w:spacing w:after="0" w:line="151" w:lineRule="exact"/>
              <w:rPr>
                <w:sz w:val="20"/>
                <w:szCs w:val="20"/>
                <w:color w:val="auto"/>
              </w:rPr>
            </w:pPr>
            <w:r>
              <w:rPr>
                <w:rFonts w:ascii="Arial" w:cs="Arial" w:eastAsia="Arial" w:hAnsi="Arial"/>
                <w:sz w:val="14"/>
                <w:szCs w:val="14"/>
                <w:color w:val="auto"/>
                <w:w w:val="84"/>
              </w:rPr>
              <w:t>)</w:t>
            </w:r>
          </w:p>
        </w:tc>
      </w:tr>
      <w:tr>
        <w:trPr>
          <w:trHeight w:val="20"/>
        </w:trPr>
        <w:tc>
          <w:tcPr>
            <w:tcW w:w="3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159" w:name="page160"/>
    <w:bookmarkEnd w:id="159"/>
    <w:tbl>
      <w:tblPr>
        <w:tblLayout w:type="fixed"/>
        <w:tblInd w:w="0" w:type="dxa"/>
        <w:tblCellMar>
          <w:top w:w="0" w:type="dxa"/>
          <w:left w:w="0" w:type="dxa"/>
          <w:bottom w:w="0" w:type="dxa"/>
          <w:right w:w="0" w:type="dxa"/>
        </w:tblCellMar>
      </w:tblPr>
      <w:tr>
        <w:trPr>
          <w:trHeight w:val="158"/>
        </w:trPr>
        <w:tc>
          <w:tcPr>
            <w:tcW w:w="4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center"/>
              <w:ind w:right="110"/>
              <w:spacing w:after="0"/>
              <w:rPr>
                <w:sz w:val="20"/>
                <w:szCs w:val="20"/>
                <w:color w:val="auto"/>
              </w:rPr>
            </w:pPr>
            <w:r>
              <w:rPr>
                <w:rFonts w:ascii="Arial" w:cs="Arial" w:eastAsia="Arial" w:hAnsi="Arial"/>
                <w:sz w:val="13"/>
                <w:szCs w:val="13"/>
                <w:b w:val="1"/>
                <w:bCs w:val="1"/>
                <w:color w:val="auto"/>
                <w:w w:val="89"/>
              </w:rPr>
              <w:t>Total</w:t>
            </w:r>
          </w:p>
        </w:tc>
        <w:tc>
          <w:tcPr>
            <w:tcW w:w="3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8"/>
        </w:trPr>
        <w:tc>
          <w:tcPr>
            <w:tcW w:w="4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Defined</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center"/>
              <w:ind w:right="130"/>
              <w:spacing w:after="0"/>
              <w:rPr>
                <w:sz w:val="20"/>
                <w:szCs w:val="20"/>
                <w:color w:val="auto"/>
              </w:rPr>
            </w:pPr>
            <w:r>
              <w:rPr>
                <w:rFonts w:ascii="Arial" w:cs="Arial" w:eastAsia="Arial" w:hAnsi="Arial"/>
                <w:sz w:val="13"/>
                <w:szCs w:val="13"/>
                <w:b w:val="1"/>
                <w:bCs w:val="1"/>
                <w:color w:val="auto"/>
                <w:w w:val="93"/>
              </w:rPr>
              <w:t>Amount</w:t>
            </w:r>
          </w:p>
        </w:tc>
        <w:tc>
          <w:tcPr>
            <w:tcW w:w="3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7"/>
        </w:trPr>
        <w:tc>
          <w:tcPr>
            <w:tcW w:w="4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3"/>
                <w:szCs w:val="13"/>
                <w:b w:val="1"/>
                <w:bCs w:val="1"/>
                <w:color w:val="auto"/>
                <w:w w:val="98"/>
              </w:rPr>
              <w:t>Investment Securities</w:t>
            </w:r>
          </w:p>
        </w:tc>
        <w:tc>
          <w:tcPr>
            <w:tcW w:w="220" w:type="dxa"/>
            <w:vAlign w:val="bottom"/>
            <w:gridSpan w:val="2"/>
          </w:tcPr>
          <w:p>
            <w:pPr>
              <w:spacing w:after="0"/>
              <w:rPr>
                <w:sz w:val="13"/>
                <w:szCs w:val="13"/>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0"/>
              </w:rPr>
              <w:t>Benefit</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center"/>
              <w:ind w:right="130"/>
              <w:spacing w:after="0"/>
              <w:rPr>
                <w:sz w:val="20"/>
                <w:szCs w:val="20"/>
                <w:color w:val="auto"/>
              </w:rPr>
            </w:pPr>
            <w:r>
              <w:rPr>
                <w:rFonts w:ascii="Arial" w:cs="Arial" w:eastAsia="Arial" w:hAnsi="Arial"/>
                <w:sz w:val="13"/>
                <w:szCs w:val="13"/>
                <w:b w:val="1"/>
                <w:bCs w:val="1"/>
                <w:color w:val="auto"/>
                <w:w w:val="92"/>
              </w:rPr>
              <w:t>Before</w:t>
            </w:r>
          </w:p>
        </w:tc>
        <w:tc>
          <w:tcPr>
            <w:tcW w:w="340" w:type="dxa"/>
            <w:vAlign w:val="bottom"/>
          </w:tcPr>
          <w:p>
            <w:pPr>
              <w:spacing w:after="0"/>
              <w:rPr>
                <w:sz w:val="13"/>
                <w:szCs w:val="13"/>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Income</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1"/>
        </w:trPr>
        <w:tc>
          <w:tcPr>
            <w:tcW w:w="4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3"/>
          </w:tcPr>
          <w:p>
            <w:pPr>
              <w:ind w:left="60"/>
              <w:spacing w:after="0"/>
              <w:rPr>
                <w:sz w:val="20"/>
                <w:szCs w:val="20"/>
                <w:color w:val="auto"/>
              </w:rPr>
            </w:pPr>
            <w:r>
              <w:rPr>
                <w:rFonts w:ascii="Arial" w:cs="Arial" w:eastAsia="Arial" w:hAnsi="Arial"/>
                <w:sz w:val="13"/>
                <w:szCs w:val="13"/>
                <w:b w:val="1"/>
                <w:bCs w:val="1"/>
                <w:color w:val="auto"/>
              </w:rPr>
              <w:t>With OTTI (a)</w:t>
            </w:r>
          </w:p>
        </w:tc>
        <w:tc>
          <w:tcPr>
            <w:tcW w:w="880" w:type="dxa"/>
            <w:vAlign w:val="bottom"/>
            <w:gridSpan w:val="3"/>
          </w:tcPr>
          <w:p>
            <w:pPr>
              <w:ind w:left="60"/>
              <w:spacing w:after="0"/>
              <w:rPr>
                <w:sz w:val="20"/>
                <w:szCs w:val="20"/>
                <w:color w:val="auto"/>
              </w:rPr>
            </w:pPr>
            <w:r>
              <w:rPr>
                <w:rFonts w:ascii="Arial" w:cs="Arial" w:eastAsia="Arial" w:hAnsi="Arial"/>
                <w:sz w:val="13"/>
                <w:szCs w:val="13"/>
                <w:b w:val="1"/>
                <w:bCs w:val="1"/>
                <w:color w:val="auto"/>
              </w:rPr>
              <w:t>All Other</w:t>
            </w:r>
          </w:p>
        </w:tc>
        <w:tc>
          <w:tcPr>
            <w:tcW w:w="7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6"/>
              </w:rPr>
              <w:t>Plans</w:t>
            </w:r>
          </w:p>
        </w:tc>
        <w:tc>
          <w:tcPr>
            <w:tcW w:w="12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Other</w:t>
            </w:r>
          </w:p>
        </w:tc>
        <w:tc>
          <w:tcPr>
            <w:tcW w:w="100" w:type="dxa"/>
            <w:vAlign w:val="bottom"/>
          </w:tcPr>
          <w:p>
            <w:pPr>
              <w:spacing w:after="0"/>
              <w:rPr>
                <w:sz w:val="13"/>
                <w:szCs w:val="13"/>
                <w:color w:val="auto"/>
              </w:rPr>
            </w:pPr>
          </w:p>
        </w:tc>
        <w:tc>
          <w:tcPr>
            <w:tcW w:w="700" w:type="dxa"/>
            <w:vAlign w:val="bottom"/>
            <w:gridSpan w:val="2"/>
          </w:tcPr>
          <w:p>
            <w:pPr>
              <w:jc w:val="center"/>
              <w:ind w:right="110"/>
              <w:spacing w:after="0"/>
              <w:rPr>
                <w:sz w:val="20"/>
                <w:szCs w:val="20"/>
                <w:color w:val="auto"/>
              </w:rPr>
            </w:pPr>
            <w:r>
              <w:rPr>
                <w:rFonts w:ascii="Arial" w:cs="Arial" w:eastAsia="Arial" w:hAnsi="Arial"/>
                <w:sz w:val="13"/>
                <w:szCs w:val="13"/>
                <w:b w:val="1"/>
                <w:bCs w:val="1"/>
                <w:color w:val="auto"/>
                <w:w w:val="89"/>
              </w:rPr>
              <w:t>Tax</w:t>
            </w:r>
          </w:p>
        </w:tc>
        <w:tc>
          <w:tcPr>
            <w:tcW w:w="340" w:type="dxa"/>
            <w:vAlign w:val="bottom"/>
          </w:tcPr>
          <w:p>
            <w:pPr>
              <w:spacing w:after="0"/>
              <w:rPr>
                <w:sz w:val="13"/>
                <w:szCs w:val="13"/>
                <w:color w:val="auto"/>
              </w:rPr>
            </w:pPr>
          </w:p>
        </w:tc>
        <w:tc>
          <w:tcPr>
            <w:tcW w:w="92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Tax</w:t>
            </w:r>
          </w:p>
        </w:tc>
        <w:tc>
          <w:tcPr>
            <w:tcW w:w="120" w:type="dxa"/>
            <w:vAlign w:val="bottom"/>
          </w:tcPr>
          <w:p>
            <w:pPr>
              <w:spacing w:after="0"/>
              <w:rPr>
                <w:sz w:val="13"/>
                <w:szCs w:val="13"/>
                <w:color w:val="auto"/>
              </w:rPr>
            </w:pPr>
          </w:p>
        </w:tc>
        <w:tc>
          <w:tcPr>
            <w:tcW w:w="700" w:type="dxa"/>
            <w:vAlign w:val="bottom"/>
            <w:gridSpan w:val="2"/>
          </w:tcPr>
          <w:p>
            <w:pPr>
              <w:jc w:val="right"/>
              <w:ind w:right="310"/>
              <w:spacing w:after="0"/>
              <w:rPr>
                <w:sz w:val="20"/>
                <w:szCs w:val="20"/>
                <w:color w:val="auto"/>
              </w:rPr>
            </w:pPr>
            <w:r>
              <w:rPr>
                <w:rFonts w:ascii="Arial" w:cs="Arial" w:eastAsia="Arial" w:hAnsi="Arial"/>
                <w:sz w:val="13"/>
                <w:szCs w:val="13"/>
                <w:b w:val="1"/>
                <w:bCs w:val="1"/>
                <w:color w:val="auto"/>
              </w:rPr>
              <w:t>Net</w:t>
            </w:r>
          </w:p>
        </w:tc>
      </w:tr>
      <w:tr>
        <w:trPr>
          <w:trHeight w:val="163"/>
        </w:trPr>
        <w:tc>
          <w:tcPr>
            <w:tcW w:w="4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gridSpan w:val="3"/>
          </w:tcPr>
          <w:p>
            <w:pPr>
              <w:jc w:val="right"/>
              <w:ind w:right="160"/>
              <w:spacing w:after="0"/>
              <w:rPr>
                <w:sz w:val="20"/>
                <w:szCs w:val="20"/>
                <w:color w:val="auto"/>
              </w:rPr>
            </w:pPr>
            <w:r>
              <w:rPr>
                <w:rFonts w:ascii="Arial" w:cs="Arial" w:eastAsia="Arial" w:hAnsi="Arial"/>
                <w:sz w:val="13"/>
                <w:szCs w:val="13"/>
                <w:b w:val="1"/>
                <w:bCs w:val="1"/>
                <w:color w:val="auto"/>
                <w:w w:val="93"/>
              </w:rPr>
              <w:t>(In thousands)</w:t>
            </w:r>
          </w:p>
        </w:tc>
        <w:tc>
          <w:tcPr>
            <w:tcW w:w="1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304"/>
        </w:trPr>
        <w:tc>
          <w:tcPr>
            <w:tcW w:w="4560" w:type="dxa"/>
            <w:vAlign w:val="bottom"/>
          </w:tcPr>
          <w:p>
            <w:pPr>
              <w:spacing w:after="0"/>
              <w:rPr>
                <w:sz w:val="20"/>
                <w:szCs w:val="20"/>
                <w:color w:val="auto"/>
              </w:rPr>
            </w:pPr>
            <w:r>
              <w:rPr>
                <w:rFonts w:ascii="Arial" w:cs="Arial" w:eastAsia="Arial" w:hAnsi="Arial"/>
                <w:sz w:val="14"/>
                <w:szCs w:val="14"/>
                <w:color w:val="auto"/>
              </w:rPr>
              <w:t>Balance — January 1, 2016</w:t>
            </w:r>
          </w:p>
        </w:tc>
        <w:tc>
          <w:tcPr>
            <w:tcW w:w="300" w:type="dxa"/>
            <w:vAlign w:val="bottom"/>
            <w:gridSpan w:val="2"/>
          </w:tcPr>
          <w:p>
            <w:pPr>
              <w:jc w:val="right"/>
              <w:ind w:right="51"/>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16,359</w:t>
            </w:r>
          </w:p>
        </w:tc>
        <w:tc>
          <w:tcPr>
            <w:tcW w:w="2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62,849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(489,660)</w:t>
            </w:r>
          </w:p>
        </w:tc>
        <w:tc>
          <w:tcPr>
            <w:tcW w:w="1020" w:type="dxa"/>
            <w:vAlign w:val="bottom"/>
            <w:gridSpan w:val="3"/>
          </w:tcPr>
          <w:p>
            <w:pPr>
              <w:jc w:val="right"/>
              <w:ind w:right="180"/>
              <w:spacing w:after="0"/>
              <w:rPr>
                <w:sz w:val="20"/>
                <w:szCs w:val="20"/>
                <w:color w:val="auto"/>
              </w:rPr>
            </w:pPr>
            <w:r>
              <w:rPr>
                <w:rFonts w:ascii="Arial" w:cs="Arial" w:eastAsia="Arial" w:hAnsi="Arial"/>
                <w:sz w:val="14"/>
                <w:szCs w:val="14"/>
                <w:color w:val="auto"/>
              </w:rPr>
              <w:t>(4,093)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(414,545)</w:t>
            </w:r>
          </w:p>
        </w:tc>
        <w:tc>
          <w:tcPr>
            <w:tcW w:w="3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162,918</w:t>
            </w:r>
          </w:p>
        </w:tc>
        <w:tc>
          <w:tcPr>
            <w:tcW w:w="220" w:type="dxa"/>
            <w:vAlign w:val="bottom"/>
          </w:tcPr>
          <w:p>
            <w:pPr>
              <w:spacing w:after="0"/>
              <w:rPr>
                <w:sz w:val="24"/>
                <w:szCs w:val="24"/>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(251,627)</w:t>
            </w:r>
          </w:p>
        </w:tc>
      </w:tr>
      <w:tr>
        <w:trPr>
          <w:trHeight w:val="158"/>
        </w:trPr>
        <w:tc>
          <w:tcPr>
            <w:tcW w:w="4560" w:type="dxa"/>
            <w:vAlign w:val="bottom"/>
            <w:shd w:val="clear" w:color="auto" w:fill="CFF0FC"/>
          </w:tcPr>
          <w:p>
            <w:pPr>
              <w:spacing w:after="0" w:line="158" w:lineRule="exact"/>
              <w:rPr>
                <w:sz w:val="20"/>
                <w:szCs w:val="20"/>
                <w:color w:val="auto"/>
              </w:rPr>
            </w:pPr>
            <w:r>
              <w:rPr>
                <w:rFonts w:ascii="Arial" w:cs="Arial" w:eastAsia="Arial" w:hAnsi="Arial"/>
                <w:sz w:val="14"/>
                <w:szCs w:val="14"/>
                <w:color w:val="auto"/>
              </w:rPr>
              <w:t>Other comprehensive income before reclassifications:</w:t>
            </w: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8"/>
        </w:trPr>
        <w:tc>
          <w:tcPr>
            <w:tcW w:w="4560" w:type="dxa"/>
            <w:vAlign w:val="bottom"/>
          </w:tcPr>
          <w:p>
            <w:pPr>
              <w:ind w:left="240"/>
              <w:spacing w:after="0" w:line="158" w:lineRule="exact"/>
              <w:rPr>
                <w:sz w:val="20"/>
                <w:szCs w:val="20"/>
                <w:color w:val="auto"/>
              </w:rPr>
            </w:pPr>
            <w:r>
              <w:rPr>
                <w:rFonts w:ascii="Arial" w:cs="Arial" w:eastAsia="Arial" w:hAnsi="Arial"/>
                <w:sz w:val="14"/>
                <w:szCs w:val="14"/>
                <w:color w:val="auto"/>
              </w:rPr>
              <w:t>Unrealized holding gains (losses), net</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spacing w:after="0" w:line="158" w:lineRule="exact"/>
              <w:rPr>
                <w:sz w:val="20"/>
                <w:szCs w:val="20"/>
                <w:color w:val="auto"/>
              </w:rPr>
            </w:pPr>
            <w:r>
              <w:rPr>
                <w:rFonts w:ascii="Arial" w:cs="Arial" w:eastAsia="Arial" w:hAnsi="Arial"/>
                <w:sz w:val="14"/>
                <w:szCs w:val="14"/>
                <w:color w:val="auto"/>
              </w:rPr>
              <w:t>30,366</w:t>
            </w:r>
          </w:p>
        </w:tc>
        <w:tc>
          <w:tcPr>
            <w:tcW w:w="240" w:type="dxa"/>
            <w:vAlign w:val="bottom"/>
          </w:tcPr>
          <w:p>
            <w:pPr>
              <w:spacing w:after="0"/>
              <w:rPr>
                <w:sz w:val="13"/>
                <w:szCs w:val="13"/>
                <w:color w:val="auto"/>
              </w:rPr>
            </w:pPr>
          </w:p>
        </w:tc>
        <w:tc>
          <w:tcPr>
            <w:tcW w:w="76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(110,316)</w:t>
            </w:r>
          </w:p>
        </w:tc>
        <w:tc>
          <w:tcPr>
            <w:tcW w:w="120" w:type="dxa"/>
            <w:vAlign w:val="bottom"/>
          </w:tcPr>
          <w:p>
            <w:pPr>
              <w:spacing w:after="0"/>
              <w:rPr>
                <w:sz w:val="13"/>
                <w:szCs w:val="13"/>
                <w:color w:val="auto"/>
              </w:rPr>
            </w:pPr>
          </w:p>
        </w:tc>
        <w:tc>
          <w:tcPr>
            <w:tcW w:w="78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00" w:type="dxa"/>
            <w:vAlign w:val="bottom"/>
            <w:gridSpan w:val="2"/>
          </w:tcPr>
          <w:p>
            <w:pPr>
              <w:jc w:val="right"/>
              <w:ind w:right="240"/>
              <w:spacing w:after="0" w:line="15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0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(79,950)</w:t>
            </w:r>
          </w:p>
        </w:tc>
        <w:tc>
          <w:tcPr>
            <w:tcW w:w="340" w:type="dxa"/>
            <w:vAlign w:val="bottom"/>
          </w:tcPr>
          <w:p>
            <w:pPr>
              <w:spacing w:after="0"/>
              <w:rPr>
                <w:sz w:val="13"/>
                <w:szCs w:val="13"/>
                <w:color w:val="auto"/>
              </w:rPr>
            </w:pPr>
          </w:p>
        </w:tc>
        <w:tc>
          <w:tcPr>
            <w:tcW w:w="700" w:type="dxa"/>
            <w:vAlign w:val="bottom"/>
          </w:tcPr>
          <w:p>
            <w:pPr>
              <w:jc w:val="right"/>
              <w:spacing w:after="0" w:line="158" w:lineRule="exact"/>
              <w:rPr>
                <w:sz w:val="20"/>
                <w:szCs w:val="20"/>
                <w:color w:val="auto"/>
              </w:rPr>
            </w:pPr>
            <w:r>
              <w:rPr>
                <w:rFonts w:ascii="Arial" w:cs="Arial" w:eastAsia="Arial" w:hAnsi="Arial"/>
                <w:sz w:val="14"/>
                <w:szCs w:val="14"/>
                <w:color w:val="auto"/>
              </w:rPr>
              <w:t>31,509</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(48,441)</w:t>
            </w:r>
          </w:p>
        </w:tc>
      </w:tr>
      <w:tr>
        <w:trPr>
          <w:trHeight w:val="158"/>
        </w:trPr>
        <w:tc>
          <w:tcPr>
            <w:tcW w:w="4560" w:type="dxa"/>
            <w:vAlign w:val="bottom"/>
            <w:shd w:val="clear" w:color="auto" w:fill="CFF0FC"/>
          </w:tcPr>
          <w:p>
            <w:pPr>
              <w:ind w:left="240"/>
              <w:spacing w:after="0" w:line="158" w:lineRule="exact"/>
              <w:rPr>
                <w:sz w:val="20"/>
                <w:szCs w:val="20"/>
                <w:color w:val="auto"/>
              </w:rPr>
            </w:pPr>
            <w:r>
              <w:rPr>
                <w:rFonts w:ascii="Arial" w:cs="Arial" w:eastAsia="Arial" w:hAnsi="Arial"/>
                <w:sz w:val="14"/>
                <w:szCs w:val="14"/>
                <w:color w:val="auto"/>
              </w:rPr>
              <w:t>Foreign currency translation adjustment</w:t>
            </w: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240"/>
              <w:spacing w:after="0" w:line="158" w:lineRule="exact"/>
              <w:rPr>
                <w:sz w:val="20"/>
                <w:szCs w:val="20"/>
                <w:color w:val="auto"/>
              </w:rPr>
            </w:pPr>
            <w:r>
              <w:rPr>
                <w:rFonts w:ascii="Arial" w:cs="Arial" w:eastAsia="Arial" w:hAnsi="Arial"/>
                <w:sz w:val="14"/>
                <w:szCs w:val="14"/>
                <w:color w:val="auto"/>
              </w:rPr>
              <w:t>—</w:t>
            </w:r>
          </w:p>
        </w:tc>
        <w:tc>
          <w:tcPr>
            <w:tcW w:w="880" w:type="dxa"/>
            <w:vAlign w:val="bottom"/>
            <w:gridSpan w:val="3"/>
            <w:shd w:val="clear" w:color="auto" w:fill="CFF0FC"/>
          </w:tcPr>
          <w:p>
            <w:pPr>
              <w:jc w:val="right"/>
              <w:ind w:right="240"/>
              <w:spacing w:after="0" w:line="158"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FF0FC"/>
          </w:tcPr>
          <w:p>
            <w:pPr>
              <w:jc w:val="right"/>
              <w:ind w:right="120"/>
              <w:spacing w:after="0" w:line="158" w:lineRule="exact"/>
              <w:rPr>
                <w:sz w:val="20"/>
                <w:szCs w:val="20"/>
                <w:color w:val="auto"/>
              </w:rPr>
            </w:pPr>
            <w:r>
              <w:rPr>
                <w:rFonts w:ascii="Arial" w:cs="Arial" w:eastAsia="Arial" w:hAnsi="Arial"/>
                <w:sz w:val="14"/>
                <w:szCs w:val="14"/>
                <w:color w:val="auto"/>
              </w:rPr>
              <w:t>—</w:t>
            </w:r>
          </w:p>
        </w:tc>
        <w:tc>
          <w:tcPr>
            <w:tcW w:w="1020" w:type="dxa"/>
            <w:vAlign w:val="bottom"/>
            <w:gridSpan w:val="3"/>
            <w:shd w:val="clear" w:color="auto" w:fill="CFF0FC"/>
          </w:tcPr>
          <w:p>
            <w:pPr>
              <w:jc w:val="right"/>
              <w:ind w:right="180"/>
              <w:spacing w:after="0" w:line="158" w:lineRule="exact"/>
              <w:rPr>
                <w:sz w:val="20"/>
                <w:szCs w:val="20"/>
                <w:color w:val="auto"/>
              </w:rPr>
            </w:pPr>
            <w:r>
              <w:rPr>
                <w:rFonts w:ascii="Arial" w:cs="Arial" w:eastAsia="Arial" w:hAnsi="Arial"/>
                <w:sz w:val="14"/>
                <w:szCs w:val="14"/>
                <w:color w:val="auto"/>
              </w:rPr>
              <w:t>(4,020)</w:t>
            </w:r>
          </w:p>
        </w:tc>
        <w:tc>
          <w:tcPr>
            <w:tcW w:w="10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spacing w:after="0" w:line="158" w:lineRule="exact"/>
              <w:rPr>
                <w:sz w:val="20"/>
                <w:szCs w:val="20"/>
                <w:color w:val="auto"/>
              </w:rPr>
            </w:pPr>
            <w:r>
              <w:rPr>
                <w:rFonts w:ascii="Arial" w:cs="Arial" w:eastAsia="Arial" w:hAnsi="Arial"/>
                <w:sz w:val="14"/>
                <w:szCs w:val="14"/>
                <w:color w:val="auto"/>
              </w:rPr>
              <w:t>(4,020)</w:t>
            </w:r>
          </w:p>
        </w:tc>
        <w:tc>
          <w:tcPr>
            <w:tcW w:w="34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1,406</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spacing w:after="0" w:line="158" w:lineRule="exact"/>
              <w:rPr>
                <w:sz w:val="20"/>
                <w:szCs w:val="20"/>
                <w:color w:val="auto"/>
              </w:rPr>
            </w:pPr>
            <w:r>
              <w:rPr>
                <w:rFonts w:ascii="Arial" w:cs="Arial" w:eastAsia="Arial" w:hAnsi="Arial"/>
                <w:sz w:val="14"/>
                <w:szCs w:val="14"/>
                <w:color w:val="auto"/>
              </w:rPr>
              <w:t>(2,614)</w:t>
            </w:r>
          </w:p>
        </w:tc>
      </w:tr>
      <w:tr>
        <w:trPr>
          <w:trHeight w:val="158"/>
        </w:trPr>
        <w:tc>
          <w:tcPr>
            <w:tcW w:w="4560" w:type="dxa"/>
            <w:vAlign w:val="bottom"/>
            <w:shd w:val="clear" w:color="auto" w:fill="CFF0FC"/>
          </w:tcPr>
          <w:p>
            <w:pPr>
              <w:ind w:left="240"/>
              <w:spacing w:after="0" w:line="158" w:lineRule="exact"/>
              <w:rPr>
                <w:sz w:val="20"/>
                <w:szCs w:val="20"/>
                <w:color w:val="auto"/>
              </w:rPr>
            </w:pPr>
            <w:r>
              <w:rPr>
                <w:rFonts w:ascii="Arial" w:cs="Arial" w:eastAsia="Arial" w:hAnsi="Arial"/>
                <w:sz w:val="14"/>
                <w:szCs w:val="14"/>
                <w:color w:val="auto"/>
              </w:rPr>
              <w:t>Current year benefit plans gains</w:t>
            </w: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240"/>
              <w:spacing w:after="0" w:line="158" w:lineRule="exact"/>
              <w:rPr>
                <w:sz w:val="20"/>
                <w:szCs w:val="20"/>
                <w:color w:val="auto"/>
              </w:rPr>
            </w:pPr>
            <w:r>
              <w:rPr>
                <w:rFonts w:ascii="Arial" w:cs="Arial" w:eastAsia="Arial" w:hAnsi="Arial"/>
                <w:sz w:val="14"/>
                <w:szCs w:val="14"/>
                <w:color w:val="auto"/>
              </w:rPr>
              <w:t>—</w:t>
            </w:r>
          </w:p>
        </w:tc>
        <w:tc>
          <w:tcPr>
            <w:tcW w:w="880" w:type="dxa"/>
            <w:vAlign w:val="bottom"/>
            <w:gridSpan w:val="3"/>
            <w:shd w:val="clear" w:color="auto" w:fill="CFF0FC"/>
          </w:tcPr>
          <w:p>
            <w:pPr>
              <w:jc w:val="right"/>
              <w:ind w:right="240"/>
              <w:spacing w:after="0" w:line="158" w:lineRule="exact"/>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14,125</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40"/>
              <w:spacing w:after="0" w:line="158"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14,125</w:t>
            </w:r>
          </w:p>
        </w:tc>
        <w:tc>
          <w:tcPr>
            <w:tcW w:w="8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180"/>
              <w:spacing w:after="0" w:line="158" w:lineRule="exact"/>
              <w:rPr>
                <w:sz w:val="20"/>
                <w:szCs w:val="20"/>
                <w:color w:val="auto"/>
              </w:rPr>
            </w:pPr>
            <w:r>
              <w:rPr>
                <w:rFonts w:ascii="Arial" w:cs="Arial" w:eastAsia="Arial" w:hAnsi="Arial"/>
                <w:sz w:val="14"/>
                <w:szCs w:val="14"/>
                <w:color w:val="auto"/>
              </w:rPr>
              <w:t>(5,557)</w:t>
            </w: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8,568</w:t>
            </w:r>
          </w:p>
        </w:tc>
        <w:tc>
          <w:tcPr>
            <w:tcW w:w="120" w:type="dxa"/>
            <w:vAlign w:val="bottom"/>
            <w:shd w:val="clear" w:color="auto" w:fill="CFF0FC"/>
          </w:tcPr>
          <w:p>
            <w:pPr>
              <w:spacing w:after="0"/>
              <w:rPr>
                <w:sz w:val="13"/>
                <w:szCs w:val="13"/>
                <w:color w:val="auto"/>
              </w:rPr>
            </w:pPr>
          </w:p>
        </w:tc>
      </w:tr>
      <w:tr>
        <w:trPr>
          <w:trHeight w:val="132"/>
        </w:trPr>
        <w:tc>
          <w:tcPr>
            <w:tcW w:w="4560" w:type="dxa"/>
            <w:vAlign w:val="bottom"/>
          </w:tcPr>
          <w:p>
            <w:pPr>
              <w:spacing w:after="0" w:line="133" w:lineRule="exact"/>
              <w:rPr>
                <w:sz w:val="20"/>
                <w:szCs w:val="20"/>
                <w:color w:val="auto"/>
              </w:rPr>
            </w:pPr>
            <w:r>
              <w:rPr>
                <w:rFonts w:ascii="Arial" w:cs="Arial" w:eastAsia="Arial" w:hAnsi="Arial"/>
                <w:sz w:val="14"/>
                <w:szCs w:val="14"/>
                <w:color w:val="auto"/>
              </w:rPr>
              <w:t>Total other comprehensive income (loss) before</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63"/>
        </w:trPr>
        <w:tc>
          <w:tcPr>
            <w:tcW w:w="4560" w:type="dxa"/>
            <w:vAlign w:val="bottom"/>
          </w:tcPr>
          <w:p>
            <w:pPr>
              <w:ind w:left="120"/>
              <w:spacing w:after="0"/>
              <w:rPr>
                <w:sz w:val="20"/>
                <w:szCs w:val="20"/>
                <w:color w:val="auto"/>
              </w:rPr>
            </w:pPr>
            <w:r>
              <w:rPr>
                <w:rFonts w:ascii="Arial" w:cs="Arial" w:eastAsia="Arial" w:hAnsi="Arial"/>
                <w:sz w:val="14"/>
                <w:szCs w:val="14"/>
                <w:color w:val="auto"/>
              </w:rPr>
              <w:t>reclassifications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30,366</w:t>
            </w:r>
          </w:p>
        </w:tc>
        <w:tc>
          <w:tcPr>
            <w:tcW w:w="24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(110,316)</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14,125</w:t>
            </w:r>
          </w:p>
        </w:tc>
        <w:tc>
          <w:tcPr>
            <w:tcW w:w="100" w:type="dxa"/>
            <w:vAlign w:val="bottom"/>
          </w:tcPr>
          <w:p>
            <w:pPr>
              <w:spacing w:after="0"/>
              <w:rPr>
                <w:sz w:val="14"/>
                <w:szCs w:val="14"/>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4"/>
                <w:szCs w:val="14"/>
                <w:color w:val="auto"/>
              </w:rPr>
              <w:t>(4,020)</w:t>
            </w:r>
          </w:p>
        </w:tc>
        <w:tc>
          <w:tcPr>
            <w:tcW w:w="10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(69,845)</w:t>
            </w:r>
          </w:p>
        </w:tc>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27,358</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(42,487)</w:t>
            </w:r>
          </w:p>
        </w:tc>
      </w:tr>
      <w:tr>
        <w:trPr>
          <w:trHeight w:val="132"/>
        </w:trPr>
        <w:tc>
          <w:tcPr>
            <w:tcW w:w="4560" w:type="dxa"/>
            <w:vAlign w:val="bottom"/>
            <w:tcBorders>
              <w:top w:val="single" w:sz="8" w:color="CFF0FC"/>
            </w:tcBorders>
            <w:shd w:val="clear" w:color="auto" w:fill="CFF0FC"/>
          </w:tcPr>
          <w:p>
            <w:pPr>
              <w:spacing w:after="0" w:line="133" w:lineRule="exact"/>
              <w:rPr>
                <w:sz w:val="20"/>
                <w:szCs w:val="20"/>
                <w:color w:val="auto"/>
              </w:rPr>
            </w:pPr>
            <w:r>
              <w:rPr>
                <w:rFonts w:ascii="Arial" w:cs="Arial" w:eastAsia="Arial" w:hAnsi="Arial"/>
                <w:sz w:val="14"/>
                <w:szCs w:val="14"/>
                <w:color w:val="auto"/>
              </w:rPr>
              <w:t>Amounts reclassified from accumulated other</w:t>
            </w:r>
          </w:p>
        </w:tc>
        <w:tc>
          <w:tcPr>
            <w:tcW w:w="100" w:type="dxa"/>
            <w:vAlign w:val="bottom"/>
            <w:tcBorders>
              <w:top w:val="single" w:sz="8" w:color="CFF0FC"/>
            </w:tcBorders>
            <w:shd w:val="clear" w:color="auto" w:fill="CFF0FC"/>
          </w:tcPr>
          <w:p>
            <w:pPr>
              <w:spacing w:after="0"/>
              <w:rPr>
                <w:sz w:val="11"/>
                <w:szCs w:val="11"/>
                <w:color w:val="auto"/>
              </w:rPr>
            </w:pPr>
          </w:p>
        </w:tc>
        <w:tc>
          <w:tcPr>
            <w:tcW w:w="200" w:type="dxa"/>
            <w:vAlign w:val="bottom"/>
            <w:tcBorders>
              <w:top w:val="single" w:sz="8" w:color="auto"/>
            </w:tcBorders>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62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340" w:type="dxa"/>
            <w:vAlign w:val="bottom"/>
            <w:tcBorders>
              <w:top w:val="single" w:sz="8" w:color="CFF0FC"/>
            </w:tcBorders>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58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r>
      <w:tr>
        <w:trPr>
          <w:trHeight w:val="145"/>
        </w:trPr>
        <w:tc>
          <w:tcPr>
            <w:tcW w:w="4560" w:type="dxa"/>
            <w:vAlign w:val="bottom"/>
            <w:shd w:val="clear" w:color="auto" w:fill="CFF0FC"/>
          </w:tcPr>
          <w:p>
            <w:pPr>
              <w:ind w:left="120"/>
              <w:spacing w:after="0" w:line="145" w:lineRule="exact"/>
              <w:rPr>
                <w:sz w:val="20"/>
                <w:szCs w:val="20"/>
                <w:color w:val="auto"/>
              </w:rPr>
            </w:pPr>
            <w:r>
              <w:rPr>
                <w:rFonts w:ascii="Arial" w:cs="Arial" w:eastAsia="Arial" w:hAnsi="Arial"/>
                <w:sz w:val="14"/>
                <w:szCs w:val="14"/>
                <w:color w:val="auto"/>
              </w:rPr>
              <w:t>comprehensive income that (increase) decrease</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63"/>
        </w:trPr>
        <w:tc>
          <w:tcPr>
            <w:tcW w:w="45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net income:</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39"/>
        </w:trPr>
        <w:tc>
          <w:tcPr>
            <w:tcW w:w="4560" w:type="dxa"/>
            <w:vAlign w:val="bottom"/>
          </w:tcPr>
          <w:p>
            <w:pPr>
              <w:ind w:left="240"/>
              <w:spacing w:after="0" w:line="139" w:lineRule="exact"/>
              <w:rPr>
                <w:sz w:val="20"/>
                <w:szCs w:val="20"/>
                <w:color w:val="auto"/>
              </w:rPr>
            </w:pPr>
            <w:r>
              <w:rPr>
                <w:rFonts w:ascii="Arial" w:cs="Arial" w:eastAsia="Arial" w:hAnsi="Arial"/>
                <w:sz w:val="14"/>
                <w:szCs w:val="14"/>
                <w:color w:val="auto"/>
              </w:rPr>
              <w:t>Amortization of unrealized holding losses on</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3"/>
        </w:trPr>
        <w:tc>
          <w:tcPr>
            <w:tcW w:w="4560" w:type="dxa"/>
            <w:vAlign w:val="bottom"/>
          </w:tcPr>
          <w:p>
            <w:pPr>
              <w:ind w:left="360"/>
              <w:spacing w:after="0"/>
              <w:rPr>
                <w:sz w:val="20"/>
                <w:szCs w:val="20"/>
                <w:color w:val="auto"/>
              </w:rPr>
            </w:pPr>
            <w:r>
              <w:rPr>
                <w:rFonts w:ascii="Arial" w:cs="Arial" w:eastAsia="Arial" w:hAnsi="Arial"/>
                <w:sz w:val="14"/>
                <w:szCs w:val="14"/>
                <w:color w:val="auto"/>
              </w:rPr>
              <w:t>HTM securities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3,996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3,996</w:t>
            </w:r>
          </w:p>
        </w:tc>
        <w:tc>
          <w:tcPr>
            <w:tcW w:w="80" w:type="dxa"/>
            <w:vAlign w:val="bottom"/>
          </w:tcPr>
          <w:p>
            <w:pPr>
              <w:spacing w:after="0"/>
              <w:rPr>
                <w:sz w:val="14"/>
                <w:szCs w:val="1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rPr>
              <w:t>(b)</w:t>
            </w: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(1,572)</w:t>
            </w: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2,424</w:t>
            </w:r>
          </w:p>
        </w:tc>
        <w:tc>
          <w:tcPr>
            <w:tcW w:w="120" w:type="dxa"/>
            <w:vAlign w:val="bottom"/>
          </w:tcPr>
          <w:p>
            <w:pPr>
              <w:spacing w:after="0"/>
              <w:rPr>
                <w:sz w:val="14"/>
                <w:szCs w:val="14"/>
                <w:color w:val="auto"/>
              </w:rPr>
            </w:pPr>
          </w:p>
        </w:tc>
      </w:tr>
      <w:tr>
        <w:trPr>
          <w:trHeight w:val="158"/>
        </w:trPr>
        <w:tc>
          <w:tcPr>
            <w:tcW w:w="4560" w:type="dxa"/>
            <w:vAlign w:val="bottom"/>
            <w:shd w:val="clear" w:color="auto" w:fill="CFF0FC"/>
          </w:tcPr>
          <w:p>
            <w:pPr>
              <w:ind w:left="240"/>
              <w:spacing w:after="0" w:line="158" w:lineRule="exact"/>
              <w:rPr>
                <w:sz w:val="20"/>
                <w:szCs w:val="20"/>
                <w:color w:val="auto"/>
              </w:rPr>
            </w:pPr>
            <w:r>
              <w:rPr>
                <w:rFonts w:ascii="Arial" w:cs="Arial" w:eastAsia="Arial" w:hAnsi="Arial"/>
                <w:sz w:val="14"/>
                <w:szCs w:val="14"/>
                <w:color w:val="auto"/>
              </w:rPr>
              <w:t>Gains realized in net income</w:t>
            </w: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240"/>
              <w:spacing w:after="0" w:line="158"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FF0FC"/>
          </w:tcPr>
          <w:p>
            <w:pPr>
              <w:jc w:val="right"/>
              <w:ind w:right="60"/>
              <w:spacing w:after="0" w:line="158" w:lineRule="exact"/>
              <w:rPr>
                <w:sz w:val="20"/>
                <w:szCs w:val="20"/>
                <w:color w:val="auto"/>
              </w:rPr>
            </w:pPr>
            <w:r>
              <w:rPr>
                <w:rFonts w:ascii="Arial" w:cs="Arial" w:eastAsia="Arial" w:hAnsi="Arial"/>
                <w:sz w:val="14"/>
                <w:szCs w:val="14"/>
                <w:color w:val="auto"/>
              </w:rPr>
              <w:t>(30,314)</w:t>
            </w:r>
          </w:p>
        </w:tc>
        <w:tc>
          <w:tcPr>
            <w:tcW w:w="12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120"/>
              <w:spacing w:after="0" w:line="158"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40"/>
              <w:spacing w:after="0" w:line="158"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spacing w:after="0" w:line="158" w:lineRule="exact"/>
              <w:rPr>
                <w:sz w:val="20"/>
                <w:szCs w:val="20"/>
                <w:color w:val="auto"/>
              </w:rPr>
            </w:pPr>
            <w:r>
              <w:rPr>
                <w:rFonts w:ascii="Arial" w:cs="Arial" w:eastAsia="Arial" w:hAnsi="Arial"/>
                <w:sz w:val="14"/>
                <w:szCs w:val="14"/>
                <w:color w:val="auto"/>
              </w:rPr>
              <w:t>(30,314)</w:t>
            </w:r>
          </w:p>
        </w:tc>
        <w:tc>
          <w:tcPr>
            <w:tcW w:w="340" w:type="dxa"/>
            <w:vAlign w:val="bottom"/>
            <w:shd w:val="clear" w:color="auto" w:fill="CFF0FC"/>
          </w:tcPr>
          <w:p>
            <w:pPr>
              <w:ind w:left="40"/>
              <w:spacing w:after="0" w:line="158" w:lineRule="exact"/>
              <w:rPr>
                <w:sz w:val="20"/>
                <w:szCs w:val="20"/>
                <w:color w:val="auto"/>
              </w:rPr>
            </w:pPr>
            <w:r>
              <w:rPr>
                <w:rFonts w:ascii="Arial" w:cs="Arial" w:eastAsia="Arial" w:hAnsi="Arial"/>
                <w:sz w:val="14"/>
                <w:szCs w:val="14"/>
                <w:color w:val="auto"/>
              </w:rPr>
              <w:t>(c)</w:t>
            </w:r>
          </w:p>
        </w:tc>
        <w:tc>
          <w:tcPr>
            <w:tcW w:w="70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11,925</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spacing w:after="0" w:line="158" w:lineRule="exact"/>
              <w:rPr>
                <w:sz w:val="20"/>
                <w:szCs w:val="20"/>
                <w:color w:val="auto"/>
              </w:rPr>
            </w:pPr>
            <w:r>
              <w:rPr>
                <w:rFonts w:ascii="Arial" w:cs="Arial" w:eastAsia="Arial" w:hAnsi="Arial"/>
                <w:sz w:val="14"/>
                <w:szCs w:val="14"/>
                <w:color w:val="auto"/>
              </w:rPr>
              <w:t>(18,389)</w:t>
            </w:r>
          </w:p>
        </w:tc>
      </w:tr>
      <w:tr>
        <w:trPr>
          <w:trHeight w:val="139"/>
        </w:trPr>
        <w:tc>
          <w:tcPr>
            <w:tcW w:w="4560" w:type="dxa"/>
            <w:vAlign w:val="bottom"/>
          </w:tcPr>
          <w:p>
            <w:pPr>
              <w:ind w:left="240"/>
              <w:spacing w:after="0" w:line="139" w:lineRule="exact"/>
              <w:rPr>
                <w:sz w:val="20"/>
                <w:szCs w:val="20"/>
                <w:color w:val="auto"/>
              </w:rPr>
            </w:pPr>
            <w:r>
              <w:rPr>
                <w:rFonts w:ascii="Arial" w:cs="Arial" w:eastAsia="Arial" w:hAnsi="Arial"/>
                <w:sz w:val="14"/>
                <w:szCs w:val="14"/>
                <w:color w:val="auto"/>
              </w:rPr>
              <w:t>Accretion of net gain on terminated cash flow</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3"/>
        </w:trPr>
        <w:tc>
          <w:tcPr>
            <w:tcW w:w="4560" w:type="dxa"/>
            <w:vAlign w:val="bottom"/>
          </w:tcPr>
          <w:p>
            <w:pPr>
              <w:ind w:left="360"/>
              <w:spacing w:after="0"/>
              <w:rPr>
                <w:sz w:val="20"/>
                <w:szCs w:val="20"/>
                <w:color w:val="auto"/>
              </w:rPr>
            </w:pPr>
            <w:r>
              <w:rPr>
                <w:rFonts w:ascii="Arial" w:cs="Arial" w:eastAsia="Arial" w:hAnsi="Arial"/>
                <w:sz w:val="14"/>
                <w:szCs w:val="14"/>
                <w:color w:val="auto"/>
              </w:rPr>
              <w:t>hedges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20" w:type="dxa"/>
            <w:vAlign w:val="bottom"/>
            <w:gridSpan w:val="3"/>
          </w:tcPr>
          <w:p>
            <w:pPr>
              <w:jc w:val="right"/>
              <w:ind w:right="180"/>
              <w:spacing w:after="0"/>
              <w:rPr>
                <w:sz w:val="20"/>
                <w:szCs w:val="20"/>
                <w:color w:val="auto"/>
              </w:rPr>
            </w:pPr>
            <w:r>
              <w:rPr>
                <w:rFonts w:ascii="Arial" w:cs="Arial" w:eastAsia="Arial" w:hAnsi="Arial"/>
                <w:sz w:val="14"/>
                <w:szCs w:val="14"/>
                <w:color w:val="auto"/>
              </w:rPr>
              <w:t>(155)</w:t>
            </w:r>
          </w:p>
        </w:tc>
        <w:tc>
          <w:tcPr>
            <w:tcW w:w="10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(155)</w:t>
            </w:r>
          </w:p>
        </w:tc>
        <w:tc>
          <w:tcPr>
            <w:tcW w:w="340" w:type="dxa"/>
            <w:vAlign w:val="bottom"/>
          </w:tcPr>
          <w:p>
            <w:pPr>
              <w:ind w:left="40"/>
              <w:spacing w:after="0"/>
              <w:rPr>
                <w:sz w:val="20"/>
                <w:szCs w:val="20"/>
                <w:color w:val="auto"/>
              </w:rPr>
            </w:pPr>
            <w:r>
              <w:rPr>
                <w:rFonts w:ascii="Arial" w:cs="Arial" w:eastAsia="Arial" w:hAnsi="Arial"/>
                <w:sz w:val="14"/>
                <w:szCs w:val="14"/>
                <w:color w:val="auto"/>
              </w:rPr>
              <w:t>(d)</w:t>
            </w:r>
          </w:p>
        </w:tc>
        <w:tc>
          <w:tcPr>
            <w:tcW w:w="700" w:type="dxa"/>
            <w:vAlign w:val="bottom"/>
          </w:tcPr>
          <w:p>
            <w:pPr>
              <w:jc w:val="right"/>
              <w:spacing w:after="0"/>
              <w:rPr>
                <w:sz w:val="20"/>
                <w:szCs w:val="20"/>
                <w:color w:val="auto"/>
              </w:rPr>
            </w:pPr>
            <w:r>
              <w:rPr>
                <w:rFonts w:ascii="Arial" w:cs="Arial" w:eastAsia="Arial" w:hAnsi="Arial"/>
                <w:sz w:val="14"/>
                <w:szCs w:val="14"/>
                <w:color w:val="auto"/>
              </w:rPr>
              <w:t>61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(94)</w:t>
            </w:r>
          </w:p>
        </w:tc>
      </w:tr>
      <w:tr>
        <w:trPr>
          <w:trHeight w:val="158"/>
        </w:trPr>
        <w:tc>
          <w:tcPr>
            <w:tcW w:w="4560" w:type="dxa"/>
            <w:vAlign w:val="bottom"/>
            <w:shd w:val="clear" w:color="auto" w:fill="CFF0FC"/>
          </w:tcPr>
          <w:p>
            <w:pPr>
              <w:ind w:left="240"/>
              <w:spacing w:after="0" w:line="158" w:lineRule="exact"/>
              <w:rPr>
                <w:sz w:val="20"/>
                <w:szCs w:val="20"/>
                <w:color w:val="auto"/>
              </w:rPr>
            </w:pPr>
            <w:r>
              <w:rPr>
                <w:rFonts w:ascii="Arial" w:cs="Arial" w:eastAsia="Arial" w:hAnsi="Arial"/>
                <w:sz w:val="14"/>
                <w:szCs w:val="14"/>
                <w:color w:val="auto"/>
              </w:rPr>
              <w:t>Amortization of prior service credit</w:t>
            </w: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240"/>
              <w:spacing w:after="0" w:line="158" w:lineRule="exact"/>
              <w:rPr>
                <w:sz w:val="20"/>
                <w:szCs w:val="20"/>
                <w:color w:val="auto"/>
              </w:rPr>
            </w:pPr>
            <w:r>
              <w:rPr>
                <w:rFonts w:ascii="Arial" w:cs="Arial" w:eastAsia="Arial" w:hAnsi="Arial"/>
                <w:sz w:val="14"/>
                <w:szCs w:val="14"/>
                <w:color w:val="auto"/>
              </w:rPr>
              <w:t>—</w:t>
            </w:r>
          </w:p>
        </w:tc>
        <w:tc>
          <w:tcPr>
            <w:tcW w:w="880" w:type="dxa"/>
            <w:vAlign w:val="bottom"/>
            <w:gridSpan w:val="3"/>
            <w:shd w:val="clear" w:color="auto" w:fill="CFF0FC"/>
          </w:tcPr>
          <w:p>
            <w:pPr>
              <w:jc w:val="right"/>
              <w:ind w:right="240"/>
              <w:spacing w:after="0" w:line="158"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FF0FC"/>
          </w:tcPr>
          <w:p>
            <w:pPr>
              <w:jc w:val="right"/>
              <w:ind w:right="60"/>
              <w:spacing w:after="0" w:line="158" w:lineRule="exact"/>
              <w:rPr>
                <w:sz w:val="20"/>
                <w:szCs w:val="20"/>
                <w:color w:val="auto"/>
              </w:rPr>
            </w:pPr>
            <w:r>
              <w:rPr>
                <w:rFonts w:ascii="Arial" w:cs="Arial" w:eastAsia="Arial" w:hAnsi="Arial"/>
                <w:sz w:val="14"/>
                <w:szCs w:val="14"/>
                <w:color w:val="auto"/>
              </w:rPr>
              <w:t>(4,587)</w:t>
            </w:r>
          </w:p>
        </w:tc>
        <w:tc>
          <w:tcPr>
            <w:tcW w:w="12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40"/>
              <w:spacing w:after="0" w:line="158"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spacing w:after="0" w:line="158" w:lineRule="exact"/>
              <w:rPr>
                <w:sz w:val="20"/>
                <w:szCs w:val="20"/>
                <w:color w:val="auto"/>
              </w:rPr>
            </w:pPr>
            <w:r>
              <w:rPr>
                <w:rFonts w:ascii="Arial" w:cs="Arial" w:eastAsia="Arial" w:hAnsi="Arial"/>
                <w:sz w:val="14"/>
                <w:szCs w:val="14"/>
                <w:color w:val="auto"/>
              </w:rPr>
              <w:t>(4,587)</w:t>
            </w:r>
          </w:p>
        </w:tc>
        <w:tc>
          <w:tcPr>
            <w:tcW w:w="340" w:type="dxa"/>
            <w:vAlign w:val="bottom"/>
            <w:shd w:val="clear" w:color="auto" w:fill="CFF0FC"/>
          </w:tcPr>
          <w:p>
            <w:pPr>
              <w:ind w:left="40"/>
              <w:spacing w:after="0" w:line="158" w:lineRule="exact"/>
              <w:rPr>
                <w:sz w:val="20"/>
                <w:szCs w:val="20"/>
                <w:color w:val="auto"/>
              </w:rPr>
            </w:pPr>
            <w:r>
              <w:rPr>
                <w:rFonts w:ascii="Arial" w:cs="Arial" w:eastAsia="Arial" w:hAnsi="Arial"/>
                <w:sz w:val="14"/>
                <w:szCs w:val="14"/>
                <w:color w:val="auto"/>
              </w:rPr>
              <w:t>(e)</w:t>
            </w:r>
          </w:p>
        </w:tc>
        <w:tc>
          <w:tcPr>
            <w:tcW w:w="70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1,805</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spacing w:after="0" w:line="158" w:lineRule="exact"/>
              <w:rPr>
                <w:sz w:val="20"/>
                <w:szCs w:val="20"/>
                <w:color w:val="auto"/>
              </w:rPr>
            </w:pPr>
            <w:r>
              <w:rPr>
                <w:rFonts w:ascii="Arial" w:cs="Arial" w:eastAsia="Arial" w:hAnsi="Arial"/>
                <w:sz w:val="14"/>
                <w:szCs w:val="14"/>
                <w:color w:val="auto"/>
              </w:rPr>
              <w:t>(2,782)</w:t>
            </w:r>
          </w:p>
        </w:tc>
      </w:tr>
      <w:tr>
        <w:trPr>
          <w:trHeight w:val="158"/>
        </w:trPr>
        <w:tc>
          <w:tcPr>
            <w:tcW w:w="4560" w:type="dxa"/>
            <w:vAlign w:val="bottom"/>
          </w:tcPr>
          <w:p>
            <w:pPr>
              <w:ind w:left="240"/>
              <w:spacing w:after="0" w:line="158" w:lineRule="exact"/>
              <w:rPr>
                <w:sz w:val="20"/>
                <w:szCs w:val="20"/>
                <w:color w:val="auto"/>
              </w:rPr>
            </w:pPr>
            <w:r>
              <w:rPr>
                <w:rFonts w:ascii="Arial" w:cs="Arial" w:eastAsia="Arial" w:hAnsi="Arial"/>
                <w:sz w:val="14"/>
                <w:szCs w:val="14"/>
                <w:color w:val="auto"/>
              </w:rPr>
              <w:t>Amortization of actuarial losses</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tcPr>
          <w:p>
            <w:pPr>
              <w:jc w:val="right"/>
              <w:ind w:right="240"/>
              <w:spacing w:after="0" w:line="158" w:lineRule="exact"/>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240"/>
              <w:spacing w:after="0" w:line="158"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8" w:lineRule="exact"/>
              <w:rPr>
                <w:sz w:val="20"/>
                <w:szCs w:val="20"/>
                <w:color w:val="auto"/>
              </w:rPr>
            </w:pPr>
            <w:r>
              <w:rPr>
                <w:rFonts w:ascii="Arial" w:cs="Arial" w:eastAsia="Arial" w:hAnsi="Arial"/>
                <w:sz w:val="14"/>
                <w:szCs w:val="14"/>
                <w:color w:val="auto"/>
              </w:rPr>
              <w:t>30,205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right"/>
              <w:ind w:right="240"/>
              <w:spacing w:after="0" w:line="15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20" w:type="dxa"/>
            <w:vAlign w:val="bottom"/>
          </w:tcPr>
          <w:p>
            <w:pPr>
              <w:jc w:val="right"/>
              <w:spacing w:after="0" w:line="158" w:lineRule="exact"/>
              <w:rPr>
                <w:sz w:val="20"/>
                <w:szCs w:val="20"/>
                <w:color w:val="auto"/>
              </w:rPr>
            </w:pPr>
            <w:r>
              <w:rPr>
                <w:rFonts w:ascii="Arial" w:cs="Arial" w:eastAsia="Arial" w:hAnsi="Arial"/>
                <w:sz w:val="14"/>
                <w:szCs w:val="14"/>
                <w:color w:val="auto"/>
              </w:rPr>
              <w:t>30,205</w:t>
            </w:r>
          </w:p>
        </w:tc>
        <w:tc>
          <w:tcPr>
            <w:tcW w:w="80" w:type="dxa"/>
            <w:vAlign w:val="bottom"/>
          </w:tcPr>
          <w:p>
            <w:pPr>
              <w:spacing w:after="0"/>
              <w:rPr>
                <w:sz w:val="13"/>
                <w:szCs w:val="13"/>
                <w:color w:val="auto"/>
              </w:rPr>
            </w:pPr>
          </w:p>
        </w:tc>
        <w:tc>
          <w:tcPr>
            <w:tcW w:w="340" w:type="dxa"/>
            <w:vAlign w:val="bottom"/>
          </w:tcPr>
          <w:p>
            <w:pPr>
              <w:ind w:left="40"/>
              <w:spacing w:after="0" w:line="158" w:lineRule="exact"/>
              <w:rPr>
                <w:sz w:val="20"/>
                <w:szCs w:val="20"/>
                <w:color w:val="auto"/>
              </w:rPr>
            </w:pPr>
            <w:r>
              <w:rPr>
                <w:rFonts w:ascii="Arial" w:cs="Arial" w:eastAsia="Arial" w:hAnsi="Arial"/>
                <w:sz w:val="14"/>
                <w:szCs w:val="14"/>
                <w:color w:val="auto"/>
              </w:rPr>
              <w:t>(e)</w:t>
            </w:r>
          </w:p>
        </w:tc>
        <w:tc>
          <w:tcPr>
            <w:tcW w:w="920" w:type="dxa"/>
            <w:vAlign w:val="bottom"/>
            <w:gridSpan w:val="2"/>
          </w:tcPr>
          <w:p>
            <w:pPr>
              <w:jc w:val="right"/>
              <w:ind w:right="180"/>
              <w:spacing w:after="0" w:line="158" w:lineRule="exact"/>
              <w:rPr>
                <w:sz w:val="20"/>
                <w:szCs w:val="20"/>
                <w:color w:val="auto"/>
              </w:rPr>
            </w:pPr>
            <w:r>
              <w:rPr>
                <w:rFonts w:ascii="Arial" w:cs="Arial" w:eastAsia="Arial" w:hAnsi="Arial"/>
                <w:sz w:val="14"/>
                <w:szCs w:val="14"/>
                <w:color w:val="auto"/>
              </w:rPr>
              <w:t>(11,886)</w:t>
            </w:r>
          </w:p>
        </w:tc>
        <w:tc>
          <w:tcPr>
            <w:tcW w:w="120" w:type="dxa"/>
            <w:vAlign w:val="bottom"/>
          </w:tcPr>
          <w:p>
            <w:pPr>
              <w:spacing w:after="0"/>
              <w:rPr>
                <w:sz w:val="13"/>
                <w:szCs w:val="13"/>
                <w:color w:val="auto"/>
              </w:rPr>
            </w:pPr>
          </w:p>
        </w:tc>
        <w:tc>
          <w:tcPr>
            <w:tcW w:w="580" w:type="dxa"/>
            <w:vAlign w:val="bottom"/>
          </w:tcPr>
          <w:p>
            <w:pPr>
              <w:jc w:val="right"/>
              <w:spacing w:after="0" w:line="158" w:lineRule="exact"/>
              <w:rPr>
                <w:sz w:val="20"/>
                <w:szCs w:val="20"/>
                <w:color w:val="auto"/>
              </w:rPr>
            </w:pPr>
            <w:r>
              <w:rPr>
                <w:rFonts w:ascii="Arial" w:cs="Arial" w:eastAsia="Arial" w:hAnsi="Arial"/>
                <w:sz w:val="14"/>
                <w:szCs w:val="14"/>
                <w:color w:val="auto"/>
              </w:rPr>
              <w:t>18,319</w:t>
            </w:r>
          </w:p>
        </w:tc>
        <w:tc>
          <w:tcPr>
            <w:tcW w:w="120" w:type="dxa"/>
            <w:vAlign w:val="bottom"/>
          </w:tcPr>
          <w:p>
            <w:pPr>
              <w:spacing w:after="0"/>
              <w:rPr>
                <w:sz w:val="13"/>
                <w:szCs w:val="13"/>
                <w:color w:val="auto"/>
              </w:rPr>
            </w:pPr>
          </w:p>
        </w:tc>
      </w:tr>
      <w:tr>
        <w:trPr>
          <w:trHeight w:val="151"/>
        </w:trPr>
        <w:tc>
          <w:tcPr>
            <w:tcW w:w="4560" w:type="dxa"/>
            <w:vAlign w:val="bottom"/>
            <w:tcBorders>
              <w:top w:val="single" w:sz="8" w:color="CFF0FC"/>
            </w:tcBorders>
            <w:shd w:val="clear" w:color="auto" w:fill="CFF0FC"/>
          </w:tcPr>
          <w:p>
            <w:pPr>
              <w:spacing w:after="0" w:line="151" w:lineRule="exact"/>
              <w:rPr>
                <w:sz w:val="20"/>
                <w:szCs w:val="20"/>
                <w:color w:val="auto"/>
              </w:rPr>
            </w:pPr>
            <w:r>
              <w:rPr>
                <w:rFonts w:ascii="Arial" w:cs="Arial" w:eastAsia="Arial" w:hAnsi="Arial"/>
                <w:sz w:val="14"/>
                <w:szCs w:val="14"/>
                <w:color w:val="auto"/>
              </w:rPr>
              <w:t>Total reclassifications</w:t>
            </w:r>
          </w:p>
        </w:tc>
        <w:tc>
          <w:tcPr>
            <w:tcW w:w="10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bottom w:val="single" w:sz="8" w:color="auto"/>
            </w:tcBorders>
            <w:shd w:val="clear" w:color="auto" w:fill="CFF0FC"/>
          </w:tcPr>
          <w:p>
            <w:pPr>
              <w:spacing w:after="0"/>
              <w:rPr>
                <w:sz w:val="13"/>
                <w:szCs w:val="13"/>
                <w:color w:val="auto"/>
              </w:rPr>
            </w:pPr>
          </w:p>
        </w:tc>
        <w:tc>
          <w:tcPr>
            <w:tcW w:w="760" w:type="dxa"/>
            <w:vAlign w:val="bottom"/>
            <w:tcBorders>
              <w:top w:val="single" w:sz="8" w:color="auto"/>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FF0FC"/>
            </w:tcBorders>
            <w:shd w:val="clear" w:color="auto" w:fill="CFF0FC"/>
          </w:tcPr>
          <w:p>
            <w:pPr>
              <w:spacing w:after="0"/>
              <w:rPr>
                <w:sz w:val="13"/>
                <w:szCs w:val="13"/>
                <w:color w:val="auto"/>
              </w:rPr>
            </w:pPr>
          </w:p>
        </w:tc>
        <w:tc>
          <w:tcPr>
            <w:tcW w:w="660" w:type="dxa"/>
            <w:vAlign w:val="bottom"/>
            <w:tcBorders>
              <w:top w:val="single" w:sz="8" w:color="auto"/>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(26,318)</w:t>
            </w: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680" w:type="dxa"/>
            <w:vAlign w:val="bottom"/>
            <w:tcBorders>
              <w:top w:val="single" w:sz="8" w:color="auto"/>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25,618</w:t>
            </w: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660" w:type="dxa"/>
            <w:vAlign w:val="bottom"/>
            <w:tcBorders>
              <w:top w:val="single" w:sz="8" w:color="auto"/>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(155)</w:t>
            </w:r>
          </w:p>
        </w:tc>
        <w:tc>
          <w:tcPr>
            <w:tcW w:w="2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620" w:type="dxa"/>
            <w:vAlign w:val="bottom"/>
            <w:tcBorders>
              <w:top w:val="single" w:sz="8" w:color="auto"/>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(855)</w:t>
            </w:r>
          </w:p>
        </w:tc>
        <w:tc>
          <w:tcPr>
            <w:tcW w:w="80" w:type="dxa"/>
            <w:vAlign w:val="bottom"/>
            <w:tcBorders>
              <w:top w:val="single" w:sz="8" w:color="CFF0FC"/>
            </w:tcBorders>
            <w:shd w:val="clear" w:color="auto" w:fill="CFF0FC"/>
          </w:tcPr>
          <w:p>
            <w:pPr>
              <w:spacing w:after="0"/>
              <w:rPr>
                <w:sz w:val="13"/>
                <w:szCs w:val="13"/>
                <w:color w:val="auto"/>
              </w:rPr>
            </w:pPr>
          </w:p>
        </w:tc>
        <w:tc>
          <w:tcPr>
            <w:tcW w:w="340" w:type="dxa"/>
            <w:vAlign w:val="bottom"/>
            <w:tcBorders>
              <w:top w:val="single" w:sz="8" w:color="CFF0FC"/>
            </w:tcBorders>
            <w:shd w:val="clear" w:color="auto" w:fill="CFF0FC"/>
          </w:tcPr>
          <w:p>
            <w:pPr>
              <w:spacing w:after="0"/>
              <w:rPr>
                <w:sz w:val="13"/>
                <w:szCs w:val="13"/>
                <w:color w:val="auto"/>
              </w:rPr>
            </w:pPr>
          </w:p>
        </w:tc>
        <w:tc>
          <w:tcPr>
            <w:tcW w:w="700" w:type="dxa"/>
            <w:vAlign w:val="bottom"/>
            <w:tcBorders>
              <w:top w:val="single" w:sz="8" w:color="auto"/>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333</w:t>
            </w:r>
          </w:p>
        </w:tc>
        <w:tc>
          <w:tcPr>
            <w:tcW w:w="2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580" w:type="dxa"/>
            <w:vAlign w:val="bottom"/>
            <w:tcBorders>
              <w:top w:val="single" w:sz="8" w:color="auto"/>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(522)</w:t>
            </w:r>
          </w:p>
        </w:tc>
        <w:tc>
          <w:tcPr>
            <w:tcW w:w="120" w:type="dxa"/>
            <w:vAlign w:val="bottom"/>
            <w:tcBorders>
              <w:top w:val="single" w:sz="8" w:color="CFF0FC"/>
            </w:tcBorders>
            <w:shd w:val="clear" w:color="auto" w:fill="CFF0FC"/>
          </w:tcPr>
          <w:p>
            <w:pPr>
              <w:spacing w:after="0"/>
              <w:rPr>
                <w:sz w:val="13"/>
                <w:szCs w:val="13"/>
                <w:color w:val="auto"/>
              </w:rPr>
            </w:pPr>
          </w:p>
        </w:tc>
      </w:tr>
      <w:tr>
        <w:trPr>
          <w:trHeight w:val="151"/>
        </w:trPr>
        <w:tc>
          <w:tcPr>
            <w:tcW w:w="4560" w:type="dxa"/>
            <w:vAlign w:val="bottom"/>
            <w:tcBorders>
              <w:bottom w:val="single" w:sz="8" w:color="CFF0FC"/>
            </w:tcBorders>
          </w:tcPr>
          <w:p>
            <w:pPr>
              <w:spacing w:after="0" w:line="151" w:lineRule="exact"/>
              <w:rPr>
                <w:sz w:val="20"/>
                <w:szCs w:val="20"/>
                <w:color w:val="auto"/>
              </w:rPr>
            </w:pPr>
            <w:r>
              <w:rPr>
                <w:rFonts w:ascii="Arial" w:cs="Arial" w:eastAsia="Arial" w:hAnsi="Arial"/>
                <w:sz w:val="14"/>
                <w:szCs w:val="14"/>
                <w:color w:val="auto"/>
              </w:rPr>
              <w:t>Total gain (loss) during the period</w:t>
            </w:r>
          </w:p>
        </w:tc>
        <w:tc>
          <w:tcPr>
            <w:tcW w:w="10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30,366</w:t>
            </w:r>
          </w:p>
        </w:tc>
        <w:tc>
          <w:tcPr>
            <w:tcW w:w="240" w:type="dxa"/>
            <w:vAlign w:val="bottom"/>
            <w:tcBorders>
              <w:bottom w:val="single" w:sz="8" w:color="CFF0FC"/>
            </w:tcBorders>
          </w:tcPr>
          <w:p>
            <w:pPr>
              <w:spacing w:after="0"/>
              <w:rPr>
                <w:sz w:val="13"/>
                <w:szCs w:val="13"/>
                <w:color w:val="auto"/>
              </w:rPr>
            </w:pPr>
          </w:p>
        </w:tc>
        <w:tc>
          <w:tcPr>
            <w:tcW w:w="66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(136,634)</w:t>
            </w:r>
          </w:p>
        </w:tc>
        <w:tc>
          <w:tcPr>
            <w:tcW w:w="10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68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39,743</w:t>
            </w:r>
          </w:p>
        </w:tc>
        <w:tc>
          <w:tcPr>
            <w:tcW w:w="10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66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(4,175)</w:t>
            </w:r>
          </w:p>
        </w:tc>
        <w:tc>
          <w:tcPr>
            <w:tcW w:w="24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(70,700)</w:t>
            </w:r>
          </w:p>
        </w:tc>
        <w:tc>
          <w:tcPr>
            <w:tcW w:w="80" w:type="dxa"/>
            <w:vAlign w:val="bottom"/>
            <w:tcBorders>
              <w:bottom w:val="single" w:sz="8" w:color="CFF0FC"/>
            </w:tcBorders>
          </w:tcPr>
          <w:p>
            <w:pPr>
              <w:spacing w:after="0"/>
              <w:rPr>
                <w:sz w:val="13"/>
                <w:szCs w:val="13"/>
                <w:color w:val="auto"/>
              </w:rPr>
            </w:pPr>
          </w:p>
        </w:tc>
        <w:tc>
          <w:tcPr>
            <w:tcW w:w="340" w:type="dxa"/>
            <w:vAlign w:val="bottom"/>
            <w:tcBorders>
              <w:bottom w:val="single" w:sz="8" w:color="CFF0FC"/>
            </w:tcBorders>
          </w:tcPr>
          <w:p>
            <w:pPr>
              <w:spacing w:after="0"/>
              <w:rPr>
                <w:sz w:val="13"/>
                <w:szCs w:val="13"/>
                <w:color w:val="auto"/>
              </w:rPr>
            </w:pPr>
          </w:p>
        </w:tc>
        <w:tc>
          <w:tcPr>
            <w:tcW w:w="70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27,691</w:t>
            </w:r>
          </w:p>
        </w:tc>
        <w:tc>
          <w:tcPr>
            <w:tcW w:w="22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(43,009)</w:t>
            </w:r>
          </w:p>
        </w:tc>
        <w:tc>
          <w:tcPr>
            <w:tcW w:w="120" w:type="dxa"/>
            <w:vAlign w:val="bottom"/>
            <w:tcBorders>
              <w:bottom w:val="single" w:sz="8" w:color="CFF0FC"/>
            </w:tcBorders>
          </w:tcPr>
          <w:p>
            <w:pPr>
              <w:spacing w:after="0"/>
              <w:rPr>
                <w:sz w:val="13"/>
                <w:szCs w:val="13"/>
                <w:color w:val="auto"/>
              </w:rPr>
            </w:pPr>
          </w:p>
        </w:tc>
      </w:tr>
      <w:tr>
        <w:trPr>
          <w:trHeight w:val="151"/>
        </w:trPr>
        <w:tc>
          <w:tcPr>
            <w:tcW w:w="4560" w:type="dxa"/>
            <w:vAlign w:val="bottom"/>
            <w:tcBorders>
              <w:bottom w:val="single" w:sz="8" w:color="CFF0FC"/>
            </w:tcBorders>
            <w:shd w:val="clear" w:color="auto" w:fill="CFF0FC"/>
          </w:tcPr>
          <w:p>
            <w:pPr>
              <w:spacing w:after="0" w:line="151" w:lineRule="exact"/>
              <w:rPr>
                <w:sz w:val="20"/>
                <w:szCs w:val="20"/>
                <w:color w:val="auto"/>
              </w:rPr>
            </w:pPr>
            <w:r>
              <w:rPr>
                <w:rFonts w:ascii="Arial" w:cs="Arial" w:eastAsia="Arial" w:hAnsi="Arial"/>
                <w:sz w:val="14"/>
                <w:szCs w:val="14"/>
                <w:color w:val="auto"/>
              </w:rPr>
              <w:t>Balance — December 31, 2016</w:t>
            </w:r>
          </w:p>
        </w:tc>
        <w:tc>
          <w:tcPr>
            <w:tcW w:w="10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jc w:val="right"/>
              <w:ind w:right="51"/>
              <w:spacing w:after="0" w:line="151" w:lineRule="exact"/>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46,725</w:t>
            </w:r>
          </w:p>
        </w:tc>
        <w:tc>
          <w:tcPr>
            <w:tcW w:w="240" w:type="dxa"/>
            <w:vAlign w:val="bottom"/>
            <w:tcBorders>
              <w:bottom w:val="single" w:sz="8" w:color="CFF0FC"/>
            </w:tcBorders>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(73,785)</w:t>
            </w:r>
          </w:p>
        </w:tc>
        <w:tc>
          <w:tcPr>
            <w:tcW w:w="10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680" w:type="dxa"/>
            <w:vAlign w:val="bottom"/>
            <w:tcBorders>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(449,917)</w:t>
            </w:r>
          </w:p>
        </w:tc>
        <w:tc>
          <w:tcPr>
            <w:tcW w:w="10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(8,268)</w:t>
            </w:r>
          </w:p>
        </w:tc>
        <w:tc>
          <w:tcPr>
            <w:tcW w:w="24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(485,245</w:t>
            </w:r>
          </w:p>
        </w:tc>
        <w:tc>
          <w:tcPr>
            <w:tcW w:w="80" w:type="dxa"/>
            <w:vAlign w:val="bottom"/>
            <w:tcBorders>
              <w:bottom w:val="single" w:sz="8" w:color="CFF0FC"/>
            </w:tcBorders>
            <w:shd w:val="clear" w:color="auto" w:fill="CFF0FC"/>
          </w:tcPr>
          <w:p>
            <w:pPr>
              <w:jc w:val="right"/>
              <w:spacing w:after="0" w:line="151" w:lineRule="exact"/>
              <w:rPr>
                <w:sz w:val="20"/>
                <w:szCs w:val="20"/>
                <w:color w:val="auto"/>
              </w:rPr>
            </w:pPr>
            <w:r>
              <w:rPr>
                <w:rFonts w:ascii="Arial" w:cs="Arial" w:eastAsia="Arial" w:hAnsi="Arial"/>
                <w:sz w:val="14"/>
                <w:szCs w:val="14"/>
                <w:color w:val="auto"/>
                <w:w w:val="84"/>
              </w:rPr>
              <w:t>)</w:t>
            </w:r>
          </w:p>
        </w:tc>
        <w:tc>
          <w:tcPr>
            <w:tcW w:w="340" w:type="dxa"/>
            <w:vAlign w:val="bottom"/>
            <w:tcBorders>
              <w:bottom w:val="single" w:sz="8" w:color="CFF0FC"/>
            </w:tcBorders>
            <w:shd w:val="clear" w:color="auto" w:fill="CFF0FC"/>
          </w:tcPr>
          <w:p>
            <w:pPr>
              <w:spacing w:after="0"/>
              <w:rPr>
                <w:sz w:val="13"/>
                <w:szCs w:val="13"/>
                <w:color w:val="auto"/>
              </w:rPr>
            </w:pPr>
          </w:p>
        </w:tc>
        <w:tc>
          <w:tcPr>
            <w:tcW w:w="700" w:type="dxa"/>
            <w:vAlign w:val="bottom"/>
            <w:tcBorders>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190,609</w:t>
            </w:r>
          </w:p>
        </w:tc>
        <w:tc>
          <w:tcPr>
            <w:tcW w:w="22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(294,636</w:t>
            </w:r>
          </w:p>
        </w:tc>
        <w:tc>
          <w:tcPr>
            <w:tcW w:w="120" w:type="dxa"/>
            <w:vAlign w:val="bottom"/>
            <w:tcBorders>
              <w:bottom w:val="single" w:sz="8" w:color="CFF0FC"/>
            </w:tcBorders>
            <w:shd w:val="clear" w:color="auto" w:fill="CFF0FC"/>
          </w:tcPr>
          <w:p>
            <w:pPr>
              <w:jc w:val="right"/>
              <w:spacing w:after="0" w:line="151" w:lineRule="exact"/>
              <w:rPr>
                <w:sz w:val="20"/>
                <w:szCs w:val="20"/>
                <w:color w:val="auto"/>
              </w:rPr>
            </w:pPr>
            <w:r>
              <w:rPr>
                <w:rFonts w:ascii="Arial" w:cs="Arial" w:eastAsia="Arial" w:hAnsi="Arial"/>
                <w:sz w:val="14"/>
                <w:szCs w:val="14"/>
                <w:color w:val="auto"/>
                <w:w w:val="84"/>
              </w:rPr>
              <w:t>)</w:t>
            </w:r>
          </w:p>
        </w:tc>
      </w:tr>
      <w:tr>
        <w:trPr>
          <w:trHeight w:val="20"/>
        </w:trPr>
        <w:tc>
          <w:tcPr>
            <w:tcW w:w="4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7"/>
        </w:trPr>
        <w:tc>
          <w:tcPr>
            <w:tcW w:w="4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8"/>
        </w:trPr>
        <w:tc>
          <w:tcPr>
            <w:tcW w:w="4560" w:type="dxa"/>
            <w:vAlign w:val="bottom"/>
            <w:shd w:val="clear" w:color="auto" w:fill="CFF0FC"/>
          </w:tcPr>
          <w:p>
            <w:pPr>
              <w:spacing w:after="0" w:line="158" w:lineRule="exact"/>
              <w:rPr>
                <w:sz w:val="20"/>
                <w:szCs w:val="20"/>
                <w:color w:val="auto"/>
              </w:rPr>
            </w:pPr>
            <w:r>
              <w:rPr>
                <w:rFonts w:ascii="Arial" w:cs="Arial" w:eastAsia="Arial" w:hAnsi="Arial"/>
                <w:sz w:val="14"/>
                <w:szCs w:val="14"/>
                <w:color w:val="auto"/>
              </w:rPr>
              <w:t>Balance — January 1, 2015</w:t>
            </w:r>
          </w:p>
        </w:tc>
        <w:tc>
          <w:tcPr>
            <w:tcW w:w="300" w:type="dxa"/>
            <w:vAlign w:val="bottom"/>
            <w:gridSpan w:val="2"/>
            <w:shd w:val="clear" w:color="auto" w:fill="CFF0FC"/>
          </w:tcPr>
          <w:p>
            <w:pPr>
              <w:jc w:val="right"/>
              <w:ind w:right="51"/>
              <w:spacing w:after="0" w:line="158" w:lineRule="exact"/>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7,438</w:t>
            </w:r>
          </w:p>
        </w:tc>
        <w:tc>
          <w:tcPr>
            <w:tcW w:w="24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201,828</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60"/>
              <w:spacing w:after="0" w:line="158" w:lineRule="exact"/>
              <w:rPr>
                <w:sz w:val="20"/>
                <w:szCs w:val="20"/>
                <w:color w:val="auto"/>
              </w:rPr>
            </w:pPr>
            <w:r>
              <w:rPr>
                <w:rFonts w:ascii="Arial" w:cs="Arial" w:eastAsia="Arial" w:hAnsi="Arial"/>
                <w:sz w:val="14"/>
                <w:szCs w:val="14"/>
                <w:color w:val="auto"/>
              </w:rPr>
              <w:t>(503,027)</w:t>
            </w:r>
          </w:p>
        </w:tc>
        <w:tc>
          <w:tcPr>
            <w:tcW w:w="1020" w:type="dxa"/>
            <w:vAlign w:val="bottom"/>
            <w:gridSpan w:val="3"/>
            <w:shd w:val="clear" w:color="auto" w:fill="CFF0FC"/>
          </w:tcPr>
          <w:p>
            <w:pPr>
              <w:jc w:val="right"/>
              <w:ind w:right="180"/>
              <w:spacing w:after="0" w:line="158" w:lineRule="exact"/>
              <w:rPr>
                <w:sz w:val="20"/>
                <w:szCs w:val="20"/>
                <w:color w:val="auto"/>
              </w:rPr>
            </w:pPr>
            <w:r>
              <w:rPr>
                <w:rFonts w:ascii="Arial" w:cs="Arial" w:eastAsia="Arial" w:hAnsi="Arial"/>
                <w:sz w:val="14"/>
                <w:szCs w:val="14"/>
                <w:color w:val="auto"/>
              </w:rPr>
              <w:t>(4,082)</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FF0FC"/>
          </w:tcPr>
          <w:p>
            <w:pPr>
              <w:jc w:val="right"/>
              <w:spacing w:after="0" w:line="158" w:lineRule="exact"/>
              <w:rPr>
                <w:sz w:val="20"/>
                <w:szCs w:val="20"/>
                <w:color w:val="auto"/>
              </w:rPr>
            </w:pPr>
            <w:r>
              <w:rPr>
                <w:rFonts w:ascii="Arial" w:cs="Arial" w:eastAsia="Arial" w:hAnsi="Arial"/>
                <w:sz w:val="14"/>
                <w:szCs w:val="14"/>
                <w:color w:val="auto"/>
              </w:rPr>
              <w:t>(297,843)</w:t>
            </w:r>
          </w:p>
        </w:tc>
        <w:tc>
          <w:tcPr>
            <w:tcW w:w="34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116,849</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FF0FC"/>
          </w:tcPr>
          <w:p>
            <w:pPr>
              <w:jc w:val="right"/>
              <w:spacing w:after="0" w:line="158" w:lineRule="exact"/>
              <w:rPr>
                <w:sz w:val="20"/>
                <w:szCs w:val="20"/>
                <w:color w:val="auto"/>
              </w:rPr>
            </w:pPr>
            <w:r>
              <w:rPr>
                <w:rFonts w:ascii="Arial" w:cs="Arial" w:eastAsia="Arial" w:hAnsi="Arial"/>
                <w:sz w:val="14"/>
                <w:szCs w:val="14"/>
                <w:color w:val="auto"/>
              </w:rPr>
              <w:t>(180,994)</w:t>
            </w:r>
          </w:p>
        </w:tc>
      </w:tr>
      <w:tr>
        <w:trPr>
          <w:trHeight w:val="158"/>
        </w:trPr>
        <w:tc>
          <w:tcPr>
            <w:tcW w:w="4560" w:type="dxa"/>
            <w:vAlign w:val="bottom"/>
          </w:tcPr>
          <w:p>
            <w:pPr>
              <w:spacing w:after="0" w:line="158" w:lineRule="exact"/>
              <w:rPr>
                <w:sz w:val="20"/>
                <w:szCs w:val="20"/>
                <w:color w:val="auto"/>
              </w:rPr>
            </w:pPr>
            <w:r>
              <w:rPr>
                <w:rFonts w:ascii="Arial" w:cs="Arial" w:eastAsia="Arial" w:hAnsi="Arial"/>
                <w:sz w:val="14"/>
                <w:szCs w:val="14"/>
                <w:color w:val="auto"/>
              </w:rPr>
              <w:t>Other comprehensive income before reclassifications:</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8"/>
        </w:trPr>
        <w:tc>
          <w:tcPr>
            <w:tcW w:w="4560" w:type="dxa"/>
            <w:vAlign w:val="bottom"/>
            <w:shd w:val="clear" w:color="auto" w:fill="CFF0FC"/>
          </w:tcPr>
          <w:p>
            <w:pPr>
              <w:ind w:left="240"/>
              <w:spacing w:after="0" w:line="158" w:lineRule="exact"/>
              <w:rPr>
                <w:sz w:val="20"/>
                <w:szCs w:val="20"/>
                <w:color w:val="auto"/>
              </w:rPr>
            </w:pPr>
            <w:r>
              <w:rPr>
                <w:rFonts w:ascii="Arial" w:cs="Arial" w:eastAsia="Arial" w:hAnsi="Arial"/>
                <w:sz w:val="14"/>
                <w:szCs w:val="14"/>
                <w:color w:val="auto"/>
              </w:rPr>
              <w:t>Unrealized holding gains (losses), net</w:t>
            </w: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8,921</w:t>
            </w:r>
          </w:p>
        </w:tc>
        <w:tc>
          <w:tcPr>
            <w:tcW w:w="24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60"/>
              <w:spacing w:after="0" w:line="158" w:lineRule="exact"/>
              <w:rPr>
                <w:sz w:val="20"/>
                <w:szCs w:val="20"/>
                <w:color w:val="auto"/>
              </w:rPr>
            </w:pPr>
            <w:r>
              <w:rPr>
                <w:rFonts w:ascii="Arial" w:cs="Arial" w:eastAsia="Arial" w:hAnsi="Arial"/>
                <w:sz w:val="14"/>
                <w:szCs w:val="14"/>
                <w:color w:val="auto"/>
              </w:rPr>
              <w:t>(142,623)</w:t>
            </w:r>
          </w:p>
        </w:tc>
        <w:tc>
          <w:tcPr>
            <w:tcW w:w="12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120"/>
              <w:spacing w:after="0" w:line="158"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40"/>
              <w:spacing w:after="0" w:line="158"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spacing w:after="0" w:line="158" w:lineRule="exact"/>
              <w:rPr>
                <w:sz w:val="20"/>
                <w:szCs w:val="20"/>
                <w:color w:val="auto"/>
              </w:rPr>
            </w:pPr>
            <w:r>
              <w:rPr>
                <w:rFonts w:ascii="Arial" w:cs="Arial" w:eastAsia="Arial" w:hAnsi="Arial"/>
                <w:sz w:val="14"/>
                <w:szCs w:val="14"/>
                <w:color w:val="auto"/>
              </w:rPr>
              <w:t>(133,702)</w:t>
            </w:r>
          </w:p>
        </w:tc>
        <w:tc>
          <w:tcPr>
            <w:tcW w:w="34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52,376</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spacing w:after="0" w:line="158" w:lineRule="exact"/>
              <w:rPr>
                <w:sz w:val="20"/>
                <w:szCs w:val="20"/>
                <w:color w:val="auto"/>
              </w:rPr>
            </w:pPr>
            <w:r>
              <w:rPr>
                <w:rFonts w:ascii="Arial" w:cs="Arial" w:eastAsia="Arial" w:hAnsi="Arial"/>
                <w:sz w:val="14"/>
                <w:szCs w:val="14"/>
                <w:color w:val="auto"/>
              </w:rPr>
              <w:t>(81,326)</w:t>
            </w:r>
          </w:p>
        </w:tc>
      </w:tr>
      <w:tr>
        <w:trPr>
          <w:trHeight w:val="158"/>
        </w:trPr>
        <w:tc>
          <w:tcPr>
            <w:tcW w:w="4560" w:type="dxa"/>
            <w:vAlign w:val="bottom"/>
          </w:tcPr>
          <w:p>
            <w:pPr>
              <w:ind w:left="240"/>
              <w:spacing w:after="0" w:line="158" w:lineRule="exact"/>
              <w:rPr>
                <w:sz w:val="20"/>
                <w:szCs w:val="20"/>
                <w:color w:val="auto"/>
              </w:rPr>
            </w:pPr>
            <w:r>
              <w:rPr>
                <w:rFonts w:ascii="Arial" w:cs="Arial" w:eastAsia="Arial" w:hAnsi="Arial"/>
                <w:sz w:val="14"/>
                <w:szCs w:val="14"/>
                <w:color w:val="auto"/>
              </w:rPr>
              <w:t>Foreign currency translation adjustment</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tcPr>
          <w:p>
            <w:pPr>
              <w:jc w:val="right"/>
              <w:ind w:right="240"/>
              <w:spacing w:after="0" w:line="158" w:lineRule="exact"/>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240"/>
              <w:spacing w:after="0" w:line="158"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w:t>
            </w:r>
          </w:p>
        </w:tc>
        <w:tc>
          <w:tcPr>
            <w:tcW w:w="1020" w:type="dxa"/>
            <w:vAlign w:val="bottom"/>
            <w:gridSpan w:val="3"/>
          </w:tcPr>
          <w:p>
            <w:pPr>
              <w:jc w:val="right"/>
              <w:ind w:right="180"/>
              <w:spacing w:after="0" w:line="158" w:lineRule="exact"/>
              <w:rPr>
                <w:sz w:val="20"/>
                <w:szCs w:val="20"/>
                <w:color w:val="auto"/>
              </w:rPr>
            </w:pPr>
            <w:r>
              <w:rPr>
                <w:rFonts w:ascii="Arial" w:cs="Arial" w:eastAsia="Arial" w:hAnsi="Arial"/>
                <w:sz w:val="14"/>
                <w:szCs w:val="14"/>
                <w:color w:val="auto"/>
              </w:rPr>
              <w:t>(1,323)</w:t>
            </w:r>
          </w:p>
        </w:tc>
        <w:tc>
          <w:tcPr>
            <w:tcW w:w="100" w:type="dxa"/>
            <w:vAlign w:val="bottom"/>
          </w:tcPr>
          <w:p>
            <w:pPr>
              <w:spacing w:after="0"/>
              <w:rPr>
                <w:sz w:val="13"/>
                <w:szCs w:val="13"/>
                <w:color w:val="auto"/>
              </w:rPr>
            </w:pPr>
          </w:p>
        </w:tc>
        <w:tc>
          <w:tcPr>
            <w:tcW w:w="70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(1,323)</w:t>
            </w:r>
          </w:p>
        </w:tc>
        <w:tc>
          <w:tcPr>
            <w:tcW w:w="340" w:type="dxa"/>
            <w:vAlign w:val="bottom"/>
          </w:tcPr>
          <w:p>
            <w:pPr>
              <w:spacing w:after="0"/>
              <w:rPr>
                <w:sz w:val="13"/>
                <w:szCs w:val="13"/>
                <w:color w:val="auto"/>
              </w:rPr>
            </w:pPr>
          </w:p>
        </w:tc>
        <w:tc>
          <w:tcPr>
            <w:tcW w:w="700" w:type="dxa"/>
            <w:vAlign w:val="bottom"/>
          </w:tcPr>
          <w:p>
            <w:pPr>
              <w:jc w:val="right"/>
              <w:spacing w:after="0" w:line="158" w:lineRule="exact"/>
              <w:rPr>
                <w:sz w:val="20"/>
                <w:szCs w:val="20"/>
                <w:color w:val="auto"/>
              </w:rPr>
            </w:pPr>
            <w:r>
              <w:rPr>
                <w:rFonts w:ascii="Arial" w:cs="Arial" w:eastAsia="Arial" w:hAnsi="Arial"/>
                <w:sz w:val="14"/>
                <w:szCs w:val="14"/>
                <w:color w:val="auto"/>
              </w:rPr>
              <w:t>398</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(925)</w:t>
            </w:r>
          </w:p>
        </w:tc>
      </w:tr>
      <w:tr>
        <w:trPr>
          <w:trHeight w:val="158"/>
        </w:trPr>
        <w:tc>
          <w:tcPr>
            <w:tcW w:w="4560" w:type="dxa"/>
            <w:vAlign w:val="bottom"/>
            <w:shd w:val="clear" w:color="auto" w:fill="CFF0FC"/>
          </w:tcPr>
          <w:p>
            <w:pPr>
              <w:ind w:left="240"/>
              <w:spacing w:after="0" w:line="158" w:lineRule="exact"/>
              <w:rPr>
                <w:sz w:val="20"/>
                <w:szCs w:val="20"/>
                <w:color w:val="auto"/>
              </w:rPr>
            </w:pPr>
            <w:r>
              <w:rPr>
                <w:rFonts w:ascii="Arial" w:cs="Arial" w:eastAsia="Arial" w:hAnsi="Arial"/>
                <w:sz w:val="14"/>
                <w:szCs w:val="14"/>
                <w:color w:val="auto"/>
              </w:rPr>
              <w:t>Gains on cash flow hedges</w:t>
            </w: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240"/>
              <w:spacing w:after="0" w:line="158" w:lineRule="exact"/>
              <w:rPr>
                <w:sz w:val="20"/>
                <w:szCs w:val="20"/>
                <w:color w:val="auto"/>
              </w:rPr>
            </w:pPr>
            <w:r>
              <w:rPr>
                <w:rFonts w:ascii="Arial" w:cs="Arial" w:eastAsia="Arial" w:hAnsi="Arial"/>
                <w:sz w:val="14"/>
                <w:szCs w:val="14"/>
                <w:color w:val="auto"/>
              </w:rPr>
              <w:t>—</w:t>
            </w:r>
          </w:p>
        </w:tc>
        <w:tc>
          <w:tcPr>
            <w:tcW w:w="880" w:type="dxa"/>
            <w:vAlign w:val="bottom"/>
            <w:gridSpan w:val="3"/>
            <w:shd w:val="clear" w:color="auto" w:fill="CFF0FC"/>
          </w:tcPr>
          <w:p>
            <w:pPr>
              <w:jc w:val="right"/>
              <w:ind w:right="240"/>
              <w:spacing w:after="0" w:line="158"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FF0FC"/>
          </w:tcPr>
          <w:p>
            <w:pPr>
              <w:jc w:val="right"/>
              <w:ind w:right="120"/>
              <w:spacing w:after="0" w:line="158"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FF0FC"/>
          </w:tcPr>
          <w:p>
            <w:pPr>
              <w:jc w:val="right"/>
              <w:spacing w:after="0" w:line="158" w:lineRule="exact"/>
              <w:rPr>
                <w:sz w:val="20"/>
                <w:szCs w:val="20"/>
                <w:color w:val="auto"/>
              </w:rPr>
            </w:pPr>
            <w:r>
              <w:rPr>
                <w:rFonts w:ascii="Arial" w:cs="Arial" w:eastAsia="Arial" w:hAnsi="Arial"/>
                <w:sz w:val="14"/>
                <w:szCs w:val="14"/>
                <w:color w:val="auto"/>
              </w:rPr>
              <w:t>1,453</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1,453</w:t>
            </w:r>
          </w:p>
        </w:tc>
        <w:tc>
          <w:tcPr>
            <w:tcW w:w="8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180"/>
              <w:spacing w:after="0" w:line="158" w:lineRule="exact"/>
              <w:rPr>
                <w:sz w:val="20"/>
                <w:szCs w:val="20"/>
                <w:color w:val="auto"/>
              </w:rPr>
            </w:pPr>
            <w:r>
              <w:rPr>
                <w:rFonts w:ascii="Arial" w:cs="Arial" w:eastAsia="Arial" w:hAnsi="Arial"/>
                <w:sz w:val="14"/>
                <w:szCs w:val="14"/>
                <w:color w:val="auto"/>
              </w:rPr>
              <w:t>(572)</w:t>
            </w: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881</w:t>
            </w:r>
          </w:p>
        </w:tc>
        <w:tc>
          <w:tcPr>
            <w:tcW w:w="120" w:type="dxa"/>
            <w:vAlign w:val="bottom"/>
            <w:shd w:val="clear" w:color="auto" w:fill="CFF0FC"/>
          </w:tcPr>
          <w:p>
            <w:pPr>
              <w:spacing w:after="0"/>
              <w:rPr>
                <w:sz w:val="13"/>
                <w:szCs w:val="13"/>
                <w:color w:val="auto"/>
              </w:rPr>
            </w:pPr>
          </w:p>
        </w:tc>
      </w:tr>
      <w:tr>
        <w:trPr>
          <w:trHeight w:val="158"/>
        </w:trPr>
        <w:tc>
          <w:tcPr>
            <w:tcW w:w="4560" w:type="dxa"/>
            <w:vAlign w:val="bottom"/>
          </w:tcPr>
          <w:p>
            <w:pPr>
              <w:ind w:left="240"/>
              <w:spacing w:after="0" w:line="158" w:lineRule="exact"/>
              <w:rPr>
                <w:sz w:val="20"/>
                <w:szCs w:val="20"/>
                <w:color w:val="auto"/>
              </w:rPr>
            </w:pPr>
            <w:r>
              <w:rPr>
                <w:rFonts w:ascii="Arial" w:cs="Arial" w:eastAsia="Arial" w:hAnsi="Arial"/>
                <w:sz w:val="14"/>
                <w:szCs w:val="14"/>
                <w:color w:val="auto"/>
              </w:rPr>
              <w:t>Current year benefit plans losses</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tcPr>
          <w:p>
            <w:pPr>
              <w:jc w:val="right"/>
              <w:ind w:right="240"/>
              <w:spacing w:after="0" w:line="158" w:lineRule="exact"/>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240"/>
              <w:spacing w:after="0" w:line="158"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(24,200)</w:t>
            </w:r>
          </w:p>
        </w:tc>
        <w:tc>
          <w:tcPr>
            <w:tcW w:w="120" w:type="dxa"/>
            <w:vAlign w:val="bottom"/>
          </w:tcPr>
          <w:p>
            <w:pPr>
              <w:spacing w:after="0"/>
              <w:rPr>
                <w:sz w:val="13"/>
                <w:szCs w:val="13"/>
                <w:color w:val="auto"/>
              </w:rPr>
            </w:pPr>
          </w:p>
        </w:tc>
        <w:tc>
          <w:tcPr>
            <w:tcW w:w="900" w:type="dxa"/>
            <w:vAlign w:val="bottom"/>
            <w:gridSpan w:val="2"/>
          </w:tcPr>
          <w:p>
            <w:pPr>
              <w:jc w:val="right"/>
              <w:ind w:right="240"/>
              <w:spacing w:after="0" w:line="15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0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(24,200)</w:t>
            </w:r>
          </w:p>
        </w:tc>
        <w:tc>
          <w:tcPr>
            <w:tcW w:w="340" w:type="dxa"/>
            <w:vAlign w:val="bottom"/>
          </w:tcPr>
          <w:p>
            <w:pPr>
              <w:spacing w:after="0"/>
              <w:rPr>
                <w:sz w:val="13"/>
                <w:szCs w:val="13"/>
                <w:color w:val="auto"/>
              </w:rPr>
            </w:pPr>
          </w:p>
        </w:tc>
        <w:tc>
          <w:tcPr>
            <w:tcW w:w="700" w:type="dxa"/>
            <w:vAlign w:val="bottom"/>
          </w:tcPr>
          <w:p>
            <w:pPr>
              <w:jc w:val="right"/>
              <w:spacing w:after="0" w:line="158" w:lineRule="exact"/>
              <w:rPr>
                <w:sz w:val="20"/>
                <w:szCs w:val="20"/>
                <w:color w:val="auto"/>
              </w:rPr>
            </w:pPr>
            <w:r>
              <w:rPr>
                <w:rFonts w:ascii="Arial" w:cs="Arial" w:eastAsia="Arial" w:hAnsi="Arial"/>
                <w:sz w:val="14"/>
                <w:szCs w:val="14"/>
                <w:color w:val="auto"/>
              </w:rPr>
              <w:t>8,612</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(15,588)</w:t>
            </w:r>
          </w:p>
        </w:tc>
      </w:tr>
      <w:tr>
        <w:trPr>
          <w:trHeight w:val="132"/>
        </w:trPr>
        <w:tc>
          <w:tcPr>
            <w:tcW w:w="4560" w:type="dxa"/>
            <w:vAlign w:val="bottom"/>
            <w:tcBorders>
              <w:top w:val="single" w:sz="8" w:color="CFF0FC"/>
            </w:tcBorders>
            <w:shd w:val="clear" w:color="auto" w:fill="CFF0FC"/>
          </w:tcPr>
          <w:p>
            <w:pPr>
              <w:spacing w:after="0" w:line="133" w:lineRule="exact"/>
              <w:rPr>
                <w:sz w:val="20"/>
                <w:szCs w:val="20"/>
                <w:color w:val="auto"/>
              </w:rPr>
            </w:pPr>
            <w:r>
              <w:rPr>
                <w:rFonts w:ascii="Arial" w:cs="Arial" w:eastAsia="Arial" w:hAnsi="Arial"/>
                <w:sz w:val="14"/>
                <w:szCs w:val="14"/>
                <w:color w:val="auto"/>
              </w:rPr>
              <w:t>Total other comprehensive income (loss) before</w:t>
            </w:r>
          </w:p>
        </w:tc>
        <w:tc>
          <w:tcPr>
            <w:tcW w:w="100" w:type="dxa"/>
            <w:vAlign w:val="bottom"/>
            <w:tcBorders>
              <w:top w:val="single" w:sz="8" w:color="CFF0FC"/>
            </w:tcBorders>
            <w:shd w:val="clear" w:color="auto" w:fill="CFF0FC"/>
          </w:tcPr>
          <w:p>
            <w:pPr>
              <w:spacing w:after="0"/>
              <w:rPr>
                <w:sz w:val="11"/>
                <w:szCs w:val="11"/>
                <w:color w:val="auto"/>
              </w:rPr>
            </w:pPr>
          </w:p>
        </w:tc>
        <w:tc>
          <w:tcPr>
            <w:tcW w:w="200" w:type="dxa"/>
            <w:vAlign w:val="bottom"/>
            <w:tcBorders>
              <w:top w:val="single" w:sz="8" w:color="auto"/>
            </w:tcBorders>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62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340" w:type="dxa"/>
            <w:vAlign w:val="bottom"/>
            <w:tcBorders>
              <w:top w:val="single" w:sz="8" w:color="CFF0FC"/>
            </w:tcBorders>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58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r>
      <w:tr>
        <w:trPr>
          <w:trHeight w:val="163"/>
        </w:trPr>
        <w:tc>
          <w:tcPr>
            <w:tcW w:w="45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reclassifications</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8,921</w:t>
            </w:r>
          </w:p>
        </w:tc>
        <w:tc>
          <w:tcPr>
            <w:tcW w:w="24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(142,623)</w:t>
            </w:r>
          </w:p>
        </w:tc>
        <w:tc>
          <w:tcPr>
            <w:tcW w:w="12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(24,200)</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130</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(157,772)</w:t>
            </w:r>
          </w:p>
        </w:tc>
        <w:tc>
          <w:tcPr>
            <w:tcW w:w="34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60,814</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(96,958)</w:t>
            </w:r>
          </w:p>
        </w:tc>
      </w:tr>
      <w:tr>
        <w:trPr>
          <w:trHeight w:val="132"/>
        </w:trPr>
        <w:tc>
          <w:tcPr>
            <w:tcW w:w="4560" w:type="dxa"/>
            <w:vAlign w:val="bottom"/>
          </w:tcPr>
          <w:p>
            <w:pPr>
              <w:spacing w:after="0" w:line="133" w:lineRule="exact"/>
              <w:rPr>
                <w:sz w:val="20"/>
                <w:szCs w:val="20"/>
                <w:color w:val="auto"/>
              </w:rPr>
            </w:pPr>
            <w:r>
              <w:rPr>
                <w:rFonts w:ascii="Arial" w:cs="Arial" w:eastAsia="Arial" w:hAnsi="Arial"/>
                <w:sz w:val="14"/>
                <w:szCs w:val="14"/>
                <w:color w:val="auto"/>
              </w:rPr>
              <w:t>Amounts reclassified from accumulated other</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45"/>
        </w:trPr>
        <w:tc>
          <w:tcPr>
            <w:tcW w:w="4560" w:type="dxa"/>
            <w:vAlign w:val="bottom"/>
          </w:tcPr>
          <w:p>
            <w:pPr>
              <w:ind w:left="120"/>
              <w:spacing w:after="0" w:line="145" w:lineRule="exact"/>
              <w:rPr>
                <w:sz w:val="20"/>
                <w:szCs w:val="20"/>
                <w:color w:val="auto"/>
              </w:rPr>
            </w:pPr>
            <w:r>
              <w:rPr>
                <w:rFonts w:ascii="Arial" w:cs="Arial" w:eastAsia="Arial" w:hAnsi="Arial"/>
                <w:sz w:val="14"/>
                <w:szCs w:val="14"/>
                <w:color w:val="auto"/>
              </w:rPr>
              <w:t>comprehensive income that (increase) decrease</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3"/>
        </w:trPr>
        <w:tc>
          <w:tcPr>
            <w:tcW w:w="4560" w:type="dxa"/>
            <w:vAlign w:val="bottom"/>
          </w:tcPr>
          <w:p>
            <w:pPr>
              <w:ind w:left="120"/>
              <w:spacing w:after="0"/>
              <w:rPr>
                <w:sz w:val="20"/>
                <w:szCs w:val="20"/>
                <w:color w:val="auto"/>
              </w:rPr>
            </w:pPr>
            <w:r>
              <w:rPr>
                <w:rFonts w:ascii="Arial" w:cs="Arial" w:eastAsia="Arial" w:hAnsi="Arial"/>
                <w:sz w:val="14"/>
                <w:szCs w:val="14"/>
                <w:color w:val="auto"/>
              </w:rPr>
              <w:t>net income:</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39"/>
        </w:trPr>
        <w:tc>
          <w:tcPr>
            <w:tcW w:w="4560" w:type="dxa"/>
            <w:vAlign w:val="bottom"/>
            <w:shd w:val="clear" w:color="auto" w:fill="CFF0FC"/>
          </w:tcPr>
          <w:p>
            <w:pPr>
              <w:ind w:left="240"/>
              <w:spacing w:after="0" w:line="139" w:lineRule="exact"/>
              <w:rPr>
                <w:sz w:val="20"/>
                <w:szCs w:val="20"/>
                <w:color w:val="auto"/>
              </w:rPr>
            </w:pPr>
            <w:r>
              <w:rPr>
                <w:rFonts w:ascii="Arial" w:cs="Arial" w:eastAsia="Arial" w:hAnsi="Arial"/>
                <w:sz w:val="14"/>
                <w:szCs w:val="14"/>
                <w:color w:val="auto"/>
              </w:rPr>
              <w:t>Amortization of unrealized holding losses on</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63"/>
        </w:trPr>
        <w:tc>
          <w:tcPr>
            <w:tcW w:w="4560" w:type="dxa"/>
            <w:vAlign w:val="bottom"/>
            <w:shd w:val="clear" w:color="auto" w:fill="CFF0FC"/>
          </w:tcPr>
          <w:p>
            <w:pPr>
              <w:ind w:left="360"/>
              <w:spacing w:after="0"/>
              <w:rPr>
                <w:sz w:val="20"/>
                <w:szCs w:val="20"/>
                <w:color w:val="auto"/>
              </w:rPr>
            </w:pPr>
            <w:r>
              <w:rPr>
                <w:rFonts w:ascii="Arial" w:cs="Arial" w:eastAsia="Arial" w:hAnsi="Arial"/>
                <w:sz w:val="14"/>
                <w:szCs w:val="14"/>
                <w:color w:val="auto"/>
              </w:rPr>
              <w:t>HTM securities</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3,514</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3,514</w:t>
            </w:r>
          </w:p>
        </w:tc>
        <w:tc>
          <w:tcPr>
            <w:tcW w:w="80" w:type="dxa"/>
            <w:vAlign w:val="bottom"/>
            <w:shd w:val="clear" w:color="auto" w:fill="CFF0FC"/>
          </w:tcPr>
          <w:p>
            <w:pPr>
              <w:spacing w:after="0"/>
              <w:rPr>
                <w:sz w:val="14"/>
                <w:szCs w:val="14"/>
                <w:color w:val="auto"/>
              </w:rPr>
            </w:pPr>
          </w:p>
        </w:tc>
        <w:tc>
          <w:tcPr>
            <w:tcW w:w="340" w:type="dxa"/>
            <w:vAlign w:val="bottom"/>
            <w:shd w:val="clear" w:color="auto" w:fill="CFF0FC"/>
          </w:tcPr>
          <w:p>
            <w:pPr>
              <w:jc w:val="right"/>
              <w:ind w:right="50"/>
              <w:spacing w:after="0"/>
              <w:rPr>
                <w:sz w:val="20"/>
                <w:szCs w:val="20"/>
                <w:color w:val="auto"/>
              </w:rPr>
            </w:pPr>
            <w:r>
              <w:rPr>
                <w:rFonts w:ascii="Arial" w:cs="Arial" w:eastAsia="Arial" w:hAnsi="Arial"/>
                <w:sz w:val="14"/>
                <w:szCs w:val="14"/>
                <w:color w:val="auto"/>
              </w:rPr>
              <w:t>(b)</w:t>
            </w: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(1,383)</w:t>
            </w: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2,131</w:t>
            </w:r>
          </w:p>
        </w:tc>
        <w:tc>
          <w:tcPr>
            <w:tcW w:w="120" w:type="dxa"/>
            <w:vAlign w:val="bottom"/>
            <w:shd w:val="clear" w:color="auto" w:fill="CFF0FC"/>
          </w:tcPr>
          <w:p>
            <w:pPr>
              <w:spacing w:after="0"/>
              <w:rPr>
                <w:sz w:val="14"/>
                <w:szCs w:val="14"/>
                <w:color w:val="auto"/>
              </w:rPr>
            </w:pPr>
          </w:p>
        </w:tc>
      </w:tr>
      <w:tr>
        <w:trPr>
          <w:trHeight w:val="158"/>
        </w:trPr>
        <w:tc>
          <w:tcPr>
            <w:tcW w:w="4560" w:type="dxa"/>
            <w:vAlign w:val="bottom"/>
          </w:tcPr>
          <w:p>
            <w:pPr>
              <w:ind w:left="240"/>
              <w:spacing w:after="0" w:line="158" w:lineRule="exact"/>
              <w:rPr>
                <w:sz w:val="20"/>
                <w:szCs w:val="20"/>
                <w:color w:val="auto"/>
              </w:rPr>
            </w:pPr>
            <w:r>
              <w:rPr>
                <w:rFonts w:ascii="Arial" w:cs="Arial" w:eastAsia="Arial" w:hAnsi="Arial"/>
                <w:sz w:val="14"/>
                <w:szCs w:val="14"/>
                <w:color w:val="auto"/>
              </w:rPr>
              <w:t>Losses realized in net income</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tcPr>
          <w:p>
            <w:pPr>
              <w:jc w:val="right"/>
              <w:ind w:right="240"/>
              <w:spacing w:after="0" w:line="158"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58" w:lineRule="exact"/>
              <w:rPr>
                <w:sz w:val="20"/>
                <w:szCs w:val="20"/>
                <w:color w:val="auto"/>
              </w:rPr>
            </w:pPr>
            <w:r>
              <w:rPr>
                <w:rFonts w:ascii="Arial" w:cs="Arial" w:eastAsia="Arial" w:hAnsi="Arial"/>
                <w:sz w:val="14"/>
                <w:szCs w:val="14"/>
                <w:color w:val="auto"/>
              </w:rPr>
              <w:t>130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00" w:type="dxa"/>
            <w:vAlign w:val="bottom"/>
            <w:gridSpan w:val="2"/>
          </w:tcPr>
          <w:p>
            <w:pPr>
              <w:jc w:val="right"/>
              <w:ind w:right="240"/>
              <w:spacing w:after="0" w:line="15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20" w:type="dxa"/>
            <w:vAlign w:val="bottom"/>
          </w:tcPr>
          <w:p>
            <w:pPr>
              <w:jc w:val="right"/>
              <w:spacing w:after="0" w:line="158" w:lineRule="exact"/>
              <w:rPr>
                <w:sz w:val="20"/>
                <w:szCs w:val="20"/>
                <w:color w:val="auto"/>
              </w:rPr>
            </w:pPr>
            <w:r>
              <w:rPr>
                <w:rFonts w:ascii="Arial" w:cs="Arial" w:eastAsia="Arial" w:hAnsi="Arial"/>
                <w:sz w:val="14"/>
                <w:szCs w:val="14"/>
                <w:color w:val="auto"/>
              </w:rPr>
              <w:t>130</w:t>
            </w:r>
          </w:p>
        </w:tc>
        <w:tc>
          <w:tcPr>
            <w:tcW w:w="80" w:type="dxa"/>
            <w:vAlign w:val="bottom"/>
          </w:tcPr>
          <w:p>
            <w:pPr>
              <w:spacing w:after="0"/>
              <w:rPr>
                <w:sz w:val="13"/>
                <w:szCs w:val="13"/>
                <w:color w:val="auto"/>
              </w:rPr>
            </w:pPr>
          </w:p>
        </w:tc>
        <w:tc>
          <w:tcPr>
            <w:tcW w:w="340" w:type="dxa"/>
            <w:vAlign w:val="bottom"/>
          </w:tcPr>
          <w:p>
            <w:pPr>
              <w:jc w:val="right"/>
              <w:ind w:right="50"/>
              <w:spacing w:after="0" w:line="158" w:lineRule="exact"/>
              <w:rPr>
                <w:sz w:val="20"/>
                <w:szCs w:val="20"/>
                <w:color w:val="auto"/>
              </w:rPr>
            </w:pPr>
            <w:r>
              <w:rPr>
                <w:rFonts w:ascii="Arial" w:cs="Arial" w:eastAsia="Arial" w:hAnsi="Arial"/>
                <w:sz w:val="14"/>
                <w:szCs w:val="14"/>
                <w:color w:val="auto"/>
              </w:rPr>
              <w:t>(c)</w:t>
            </w:r>
          </w:p>
        </w:tc>
        <w:tc>
          <w:tcPr>
            <w:tcW w:w="920" w:type="dxa"/>
            <w:vAlign w:val="bottom"/>
            <w:gridSpan w:val="2"/>
          </w:tcPr>
          <w:p>
            <w:pPr>
              <w:jc w:val="right"/>
              <w:ind w:right="180"/>
              <w:spacing w:after="0" w:line="158" w:lineRule="exact"/>
              <w:rPr>
                <w:sz w:val="20"/>
                <w:szCs w:val="20"/>
                <w:color w:val="auto"/>
              </w:rPr>
            </w:pPr>
            <w:r>
              <w:rPr>
                <w:rFonts w:ascii="Arial" w:cs="Arial" w:eastAsia="Arial" w:hAnsi="Arial"/>
                <w:sz w:val="14"/>
                <w:szCs w:val="14"/>
                <w:color w:val="auto"/>
              </w:rPr>
              <w:t>(49)</w:t>
            </w:r>
          </w:p>
        </w:tc>
        <w:tc>
          <w:tcPr>
            <w:tcW w:w="120" w:type="dxa"/>
            <w:vAlign w:val="bottom"/>
          </w:tcPr>
          <w:p>
            <w:pPr>
              <w:spacing w:after="0"/>
              <w:rPr>
                <w:sz w:val="13"/>
                <w:szCs w:val="13"/>
                <w:color w:val="auto"/>
              </w:rPr>
            </w:pPr>
          </w:p>
        </w:tc>
        <w:tc>
          <w:tcPr>
            <w:tcW w:w="580" w:type="dxa"/>
            <w:vAlign w:val="bottom"/>
          </w:tcPr>
          <w:p>
            <w:pPr>
              <w:jc w:val="right"/>
              <w:spacing w:after="0" w:line="158" w:lineRule="exact"/>
              <w:rPr>
                <w:sz w:val="20"/>
                <w:szCs w:val="20"/>
                <w:color w:val="auto"/>
              </w:rPr>
            </w:pPr>
            <w:r>
              <w:rPr>
                <w:rFonts w:ascii="Arial" w:cs="Arial" w:eastAsia="Arial" w:hAnsi="Arial"/>
                <w:sz w:val="14"/>
                <w:szCs w:val="14"/>
                <w:color w:val="auto"/>
              </w:rPr>
              <w:t>81</w:t>
            </w:r>
          </w:p>
        </w:tc>
        <w:tc>
          <w:tcPr>
            <w:tcW w:w="120" w:type="dxa"/>
            <w:vAlign w:val="bottom"/>
          </w:tcPr>
          <w:p>
            <w:pPr>
              <w:spacing w:after="0"/>
              <w:rPr>
                <w:sz w:val="13"/>
                <w:szCs w:val="13"/>
                <w:color w:val="auto"/>
              </w:rPr>
            </w:pPr>
          </w:p>
        </w:tc>
      </w:tr>
      <w:tr>
        <w:trPr>
          <w:trHeight w:val="139"/>
        </w:trPr>
        <w:tc>
          <w:tcPr>
            <w:tcW w:w="4560" w:type="dxa"/>
            <w:vAlign w:val="bottom"/>
            <w:shd w:val="clear" w:color="auto" w:fill="CFF0FC"/>
          </w:tcPr>
          <w:p>
            <w:pPr>
              <w:ind w:left="240"/>
              <w:spacing w:after="0" w:line="139" w:lineRule="exact"/>
              <w:rPr>
                <w:sz w:val="20"/>
                <w:szCs w:val="20"/>
                <w:color w:val="auto"/>
              </w:rPr>
            </w:pPr>
            <w:r>
              <w:rPr>
                <w:rFonts w:ascii="Arial" w:cs="Arial" w:eastAsia="Arial" w:hAnsi="Arial"/>
                <w:sz w:val="14"/>
                <w:szCs w:val="14"/>
                <w:color w:val="auto"/>
              </w:rPr>
              <w:t>Accretion of net gain on</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63"/>
        </w:trPr>
        <w:tc>
          <w:tcPr>
            <w:tcW w:w="4560" w:type="dxa"/>
            <w:vAlign w:val="bottom"/>
            <w:shd w:val="clear" w:color="auto" w:fill="CFF0FC"/>
          </w:tcPr>
          <w:p>
            <w:pPr>
              <w:ind w:left="320"/>
              <w:spacing w:after="0"/>
              <w:rPr>
                <w:sz w:val="20"/>
                <w:szCs w:val="20"/>
                <w:color w:val="auto"/>
              </w:rPr>
            </w:pPr>
            <w:r>
              <w:rPr>
                <w:rFonts w:ascii="Arial" w:cs="Arial" w:eastAsia="Arial" w:hAnsi="Arial"/>
                <w:sz w:val="14"/>
                <w:szCs w:val="14"/>
                <w:color w:val="auto"/>
              </w:rPr>
              <w:t>terminated cash flow hedges</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80" w:type="dxa"/>
            <w:vAlign w:val="bottom"/>
            <w:gridSpan w:val="3"/>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020" w:type="dxa"/>
            <w:vAlign w:val="bottom"/>
            <w:gridSpan w:val="3"/>
            <w:shd w:val="clear" w:color="auto" w:fill="CFF0FC"/>
          </w:tcPr>
          <w:p>
            <w:pPr>
              <w:jc w:val="right"/>
              <w:ind w:right="180"/>
              <w:spacing w:after="0"/>
              <w:rPr>
                <w:sz w:val="20"/>
                <w:szCs w:val="20"/>
                <w:color w:val="auto"/>
              </w:rPr>
            </w:pPr>
            <w:r>
              <w:rPr>
                <w:rFonts w:ascii="Arial" w:cs="Arial" w:eastAsia="Arial" w:hAnsi="Arial"/>
                <w:sz w:val="14"/>
                <w:szCs w:val="14"/>
                <w:color w:val="auto"/>
              </w:rPr>
              <w:t>(141)</w:t>
            </w:r>
          </w:p>
        </w:tc>
        <w:tc>
          <w:tcPr>
            <w:tcW w:w="10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(141)</w:t>
            </w:r>
          </w:p>
        </w:tc>
        <w:tc>
          <w:tcPr>
            <w:tcW w:w="340" w:type="dxa"/>
            <w:vAlign w:val="bottom"/>
            <w:shd w:val="clear" w:color="auto" w:fill="CFF0FC"/>
          </w:tcPr>
          <w:p>
            <w:pPr>
              <w:jc w:val="right"/>
              <w:ind w:right="50"/>
              <w:spacing w:after="0"/>
              <w:rPr>
                <w:sz w:val="20"/>
                <w:szCs w:val="20"/>
                <w:color w:val="auto"/>
              </w:rPr>
            </w:pPr>
            <w:r>
              <w:rPr>
                <w:rFonts w:ascii="Arial" w:cs="Arial" w:eastAsia="Arial" w:hAnsi="Arial"/>
                <w:sz w:val="14"/>
                <w:szCs w:val="14"/>
                <w:color w:val="auto"/>
              </w:rPr>
              <w:t>(d)</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(85)</w:t>
            </w:r>
          </w:p>
        </w:tc>
      </w:tr>
      <w:tr>
        <w:trPr>
          <w:trHeight w:val="158"/>
        </w:trPr>
        <w:tc>
          <w:tcPr>
            <w:tcW w:w="4560" w:type="dxa"/>
            <w:vAlign w:val="bottom"/>
          </w:tcPr>
          <w:p>
            <w:pPr>
              <w:ind w:left="240"/>
              <w:spacing w:after="0" w:line="158" w:lineRule="exact"/>
              <w:rPr>
                <w:sz w:val="20"/>
                <w:szCs w:val="20"/>
                <w:color w:val="auto"/>
              </w:rPr>
            </w:pPr>
            <w:r>
              <w:rPr>
                <w:rFonts w:ascii="Arial" w:cs="Arial" w:eastAsia="Arial" w:hAnsi="Arial"/>
                <w:sz w:val="14"/>
                <w:szCs w:val="14"/>
                <w:color w:val="auto"/>
              </w:rPr>
              <w:t>Amortization of prior service credit</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tcPr>
          <w:p>
            <w:pPr>
              <w:jc w:val="right"/>
              <w:ind w:right="240"/>
              <w:spacing w:after="0" w:line="158" w:lineRule="exact"/>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240"/>
              <w:spacing w:after="0" w:line="158"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(7,364)</w:t>
            </w:r>
          </w:p>
        </w:tc>
        <w:tc>
          <w:tcPr>
            <w:tcW w:w="120" w:type="dxa"/>
            <w:vAlign w:val="bottom"/>
          </w:tcPr>
          <w:p>
            <w:pPr>
              <w:spacing w:after="0"/>
              <w:rPr>
                <w:sz w:val="13"/>
                <w:szCs w:val="13"/>
                <w:color w:val="auto"/>
              </w:rPr>
            </w:pPr>
          </w:p>
        </w:tc>
        <w:tc>
          <w:tcPr>
            <w:tcW w:w="900" w:type="dxa"/>
            <w:vAlign w:val="bottom"/>
            <w:gridSpan w:val="2"/>
          </w:tcPr>
          <w:p>
            <w:pPr>
              <w:jc w:val="right"/>
              <w:ind w:right="240"/>
              <w:spacing w:after="0" w:line="15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0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(7,364)</w:t>
            </w:r>
          </w:p>
        </w:tc>
        <w:tc>
          <w:tcPr>
            <w:tcW w:w="340" w:type="dxa"/>
            <w:vAlign w:val="bottom"/>
          </w:tcPr>
          <w:p>
            <w:pPr>
              <w:jc w:val="right"/>
              <w:ind w:right="50"/>
              <w:spacing w:after="0" w:line="158" w:lineRule="exact"/>
              <w:rPr>
                <w:sz w:val="20"/>
                <w:szCs w:val="20"/>
                <w:color w:val="auto"/>
              </w:rPr>
            </w:pPr>
            <w:r>
              <w:rPr>
                <w:rFonts w:ascii="Arial" w:cs="Arial" w:eastAsia="Arial" w:hAnsi="Arial"/>
                <w:sz w:val="14"/>
                <w:szCs w:val="14"/>
                <w:color w:val="auto"/>
              </w:rPr>
              <w:t>(e)</w:t>
            </w:r>
          </w:p>
        </w:tc>
        <w:tc>
          <w:tcPr>
            <w:tcW w:w="700" w:type="dxa"/>
            <w:vAlign w:val="bottom"/>
          </w:tcPr>
          <w:p>
            <w:pPr>
              <w:jc w:val="right"/>
              <w:spacing w:after="0" w:line="158" w:lineRule="exact"/>
              <w:rPr>
                <w:sz w:val="20"/>
                <w:szCs w:val="20"/>
                <w:color w:val="auto"/>
              </w:rPr>
            </w:pPr>
            <w:r>
              <w:rPr>
                <w:rFonts w:ascii="Arial" w:cs="Arial" w:eastAsia="Arial" w:hAnsi="Arial"/>
                <w:sz w:val="14"/>
                <w:szCs w:val="14"/>
                <w:color w:val="auto"/>
              </w:rPr>
              <w:t>2,620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(4,744)</w:t>
            </w:r>
          </w:p>
        </w:tc>
      </w:tr>
      <w:tr>
        <w:trPr>
          <w:trHeight w:val="158"/>
        </w:trPr>
        <w:tc>
          <w:tcPr>
            <w:tcW w:w="4560" w:type="dxa"/>
            <w:vAlign w:val="bottom"/>
            <w:shd w:val="clear" w:color="auto" w:fill="CFF0FC"/>
          </w:tcPr>
          <w:p>
            <w:pPr>
              <w:ind w:left="240"/>
              <w:spacing w:after="0" w:line="158" w:lineRule="exact"/>
              <w:rPr>
                <w:sz w:val="20"/>
                <w:szCs w:val="20"/>
                <w:color w:val="auto"/>
              </w:rPr>
            </w:pPr>
            <w:r>
              <w:rPr>
                <w:rFonts w:ascii="Arial" w:cs="Arial" w:eastAsia="Arial" w:hAnsi="Arial"/>
                <w:sz w:val="14"/>
                <w:szCs w:val="14"/>
                <w:color w:val="auto"/>
              </w:rPr>
              <w:t>Amortization of actuarial losses</w:t>
            </w: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240"/>
              <w:spacing w:after="0" w:line="158" w:lineRule="exact"/>
              <w:rPr>
                <w:sz w:val="20"/>
                <w:szCs w:val="20"/>
                <w:color w:val="auto"/>
              </w:rPr>
            </w:pPr>
            <w:r>
              <w:rPr>
                <w:rFonts w:ascii="Arial" w:cs="Arial" w:eastAsia="Arial" w:hAnsi="Arial"/>
                <w:sz w:val="14"/>
                <w:szCs w:val="14"/>
                <w:color w:val="auto"/>
              </w:rPr>
              <w:t>—</w:t>
            </w:r>
          </w:p>
        </w:tc>
        <w:tc>
          <w:tcPr>
            <w:tcW w:w="880" w:type="dxa"/>
            <w:vAlign w:val="bottom"/>
            <w:gridSpan w:val="3"/>
            <w:shd w:val="clear" w:color="auto" w:fill="CFF0FC"/>
          </w:tcPr>
          <w:p>
            <w:pPr>
              <w:jc w:val="right"/>
              <w:ind w:right="240"/>
              <w:spacing w:after="0" w:line="158" w:lineRule="exact"/>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44,931</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40"/>
              <w:spacing w:after="0" w:line="158"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44,931</w:t>
            </w:r>
          </w:p>
        </w:tc>
        <w:tc>
          <w:tcPr>
            <w:tcW w:w="80" w:type="dxa"/>
            <w:vAlign w:val="bottom"/>
            <w:shd w:val="clear" w:color="auto" w:fill="CFF0FC"/>
          </w:tcPr>
          <w:p>
            <w:pPr>
              <w:spacing w:after="0"/>
              <w:rPr>
                <w:sz w:val="13"/>
                <w:szCs w:val="13"/>
                <w:color w:val="auto"/>
              </w:rPr>
            </w:pPr>
          </w:p>
        </w:tc>
        <w:tc>
          <w:tcPr>
            <w:tcW w:w="340" w:type="dxa"/>
            <w:vAlign w:val="bottom"/>
            <w:shd w:val="clear" w:color="auto" w:fill="CFF0FC"/>
          </w:tcPr>
          <w:p>
            <w:pPr>
              <w:jc w:val="right"/>
              <w:ind w:right="50"/>
              <w:spacing w:after="0" w:line="158" w:lineRule="exact"/>
              <w:rPr>
                <w:sz w:val="20"/>
                <w:szCs w:val="20"/>
                <w:color w:val="auto"/>
              </w:rPr>
            </w:pPr>
            <w:r>
              <w:rPr>
                <w:rFonts w:ascii="Arial" w:cs="Arial" w:eastAsia="Arial" w:hAnsi="Arial"/>
                <w:sz w:val="14"/>
                <w:szCs w:val="14"/>
                <w:color w:val="auto"/>
              </w:rPr>
              <w:t>(e)</w:t>
            </w:r>
          </w:p>
        </w:tc>
        <w:tc>
          <w:tcPr>
            <w:tcW w:w="920" w:type="dxa"/>
            <w:vAlign w:val="bottom"/>
            <w:gridSpan w:val="2"/>
            <w:shd w:val="clear" w:color="auto" w:fill="CFF0FC"/>
          </w:tcPr>
          <w:p>
            <w:pPr>
              <w:jc w:val="right"/>
              <w:ind w:right="180"/>
              <w:spacing w:after="0" w:line="158" w:lineRule="exact"/>
              <w:rPr>
                <w:sz w:val="20"/>
                <w:szCs w:val="20"/>
                <w:color w:val="auto"/>
              </w:rPr>
            </w:pPr>
            <w:r>
              <w:rPr>
                <w:rFonts w:ascii="Arial" w:cs="Arial" w:eastAsia="Arial" w:hAnsi="Arial"/>
                <w:sz w:val="14"/>
                <w:szCs w:val="14"/>
                <w:color w:val="auto"/>
              </w:rPr>
              <w:t>(15,989)</w:t>
            </w: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28,942</w:t>
            </w:r>
          </w:p>
        </w:tc>
        <w:tc>
          <w:tcPr>
            <w:tcW w:w="120" w:type="dxa"/>
            <w:vAlign w:val="bottom"/>
            <w:shd w:val="clear" w:color="auto" w:fill="CFF0FC"/>
          </w:tcPr>
          <w:p>
            <w:pPr>
              <w:spacing w:after="0"/>
              <w:rPr>
                <w:sz w:val="13"/>
                <w:szCs w:val="13"/>
                <w:color w:val="auto"/>
              </w:rPr>
            </w:pPr>
          </w:p>
        </w:tc>
      </w:tr>
      <w:tr>
        <w:trPr>
          <w:trHeight w:val="151"/>
        </w:trPr>
        <w:tc>
          <w:tcPr>
            <w:tcW w:w="4560" w:type="dxa"/>
            <w:vAlign w:val="bottom"/>
            <w:tcBorders>
              <w:bottom w:val="single" w:sz="8" w:color="CFF0FC"/>
            </w:tcBorders>
          </w:tcPr>
          <w:p>
            <w:pPr>
              <w:spacing w:after="0" w:line="151" w:lineRule="exact"/>
              <w:rPr>
                <w:sz w:val="20"/>
                <w:szCs w:val="20"/>
                <w:color w:val="auto"/>
              </w:rPr>
            </w:pPr>
            <w:r>
              <w:rPr>
                <w:rFonts w:ascii="Arial" w:cs="Arial" w:eastAsia="Arial" w:hAnsi="Arial"/>
                <w:sz w:val="14"/>
                <w:szCs w:val="14"/>
                <w:color w:val="auto"/>
              </w:rPr>
              <w:t>Total reclassifications</w:t>
            </w:r>
          </w:p>
        </w:tc>
        <w:tc>
          <w:tcPr>
            <w:tcW w:w="10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3,644</w:t>
            </w:r>
          </w:p>
        </w:tc>
        <w:tc>
          <w:tcPr>
            <w:tcW w:w="10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37,567</w:t>
            </w:r>
          </w:p>
        </w:tc>
        <w:tc>
          <w:tcPr>
            <w:tcW w:w="10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(141)</w:t>
            </w:r>
          </w:p>
        </w:tc>
        <w:tc>
          <w:tcPr>
            <w:tcW w:w="24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41,070</w:t>
            </w:r>
          </w:p>
        </w:tc>
        <w:tc>
          <w:tcPr>
            <w:tcW w:w="80" w:type="dxa"/>
            <w:vAlign w:val="bottom"/>
            <w:tcBorders>
              <w:bottom w:val="single" w:sz="8" w:color="CFF0FC"/>
            </w:tcBorders>
          </w:tcPr>
          <w:p>
            <w:pPr>
              <w:spacing w:after="0"/>
              <w:rPr>
                <w:sz w:val="13"/>
                <w:szCs w:val="13"/>
                <w:color w:val="auto"/>
              </w:rPr>
            </w:pPr>
          </w:p>
        </w:tc>
        <w:tc>
          <w:tcPr>
            <w:tcW w:w="340" w:type="dxa"/>
            <w:vAlign w:val="bottom"/>
            <w:tcBorders>
              <w:bottom w:val="single" w:sz="8" w:color="CFF0FC"/>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(14,745)</w:t>
            </w:r>
          </w:p>
        </w:tc>
        <w:tc>
          <w:tcPr>
            <w:tcW w:w="22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26,325</w:t>
            </w:r>
          </w:p>
        </w:tc>
        <w:tc>
          <w:tcPr>
            <w:tcW w:w="120" w:type="dxa"/>
            <w:vAlign w:val="bottom"/>
            <w:tcBorders>
              <w:bottom w:val="single" w:sz="8" w:color="CFF0FC"/>
            </w:tcBorders>
          </w:tcPr>
          <w:p>
            <w:pPr>
              <w:spacing w:after="0"/>
              <w:rPr>
                <w:sz w:val="13"/>
                <w:szCs w:val="13"/>
                <w:color w:val="auto"/>
              </w:rPr>
            </w:pPr>
          </w:p>
        </w:tc>
      </w:tr>
      <w:tr>
        <w:trPr>
          <w:trHeight w:val="151"/>
        </w:trPr>
        <w:tc>
          <w:tcPr>
            <w:tcW w:w="4560" w:type="dxa"/>
            <w:vAlign w:val="bottom"/>
            <w:shd w:val="clear" w:color="auto" w:fill="CFF0FC"/>
          </w:tcPr>
          <w:p>
            <w:pPr>
              <w:spacing w:after="0" w:line="151" w:lineRule="exact"/>
              <w:rPr>
                <w:sz w:val="20"/>
                <w:szCs w:val="20"/>
                <w:color w:val="auto"/>
              </w:rPr>
            </w:pPr>
            <w:r>
              <w:rPr>
                <w:rFonts w:ascii="Arial" w:cs="Arial" w:eastAsia="Arial" w:hAnsi="Arial"/>
                <w:sz w:val="14"/>
                <w:szCs w:val="14"/>
                <w:color w:val="auto"/>
              </w:rPr>
              <w:t>Total gain (loss) during the period</w:t>
            </w:r>
          </w:p>
        </w:tc>
        <w:tc>
          <w:tcPr>
            <w:tcW w:w="100" w:type="dxa"/>
            <w:vAlign w:val="bottom"/>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760" w:type="dxa"/>
            <w:vAlign w:val="bottom"/>
            <w:tcBorders>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8,921</w:t>
            </w:r>
          </w:p>
        </w:tc>
        <w:tc>
          <w:tcPr>
            <w:tcW w:w="240" w:type="dxa"/>
            <w:vAlign w:val="bottom"/>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(138,979)</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tcBorders>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13,367</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(11)</w:t>
            </w:r>
          </w:p>
        </w:tc>
        <w:tc>
          <w:tcPr>
            <w:tcW w:w="24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620" w:type="dxa"/>
            <w:vAlign w:val="bottom"/>
            <w:tcBorders>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(116,702</w:t>
            </w:r>
          </w:p>
        </w:tc>
        <w:tc>
          <w:tcPr>
            <w:tcW w:w="8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w w:val="84"/>
              </w:rPr>
              <w:t>)</w:t>
            </w:r>
          </w:p>
        </w:tc>
        <w:tc>
          <w:tcPr>
            <w:tcW w:w="340" w:type="dxa"/>
            <w:vAlign w:val="bottom"/>
            <w:shd w:val="clear" w:color="auto" w:fill="CFF0FC"/>
          </w:tcPr>
          <w:p>
            <w:pPr>
              <w:spacing w:after="0"/>
              <w:rPr>
                <w:sz w:val="13"/>
                <w:szCs w:val="13"/>
                <w:color w:val="auto"/>
              </w:rPr>
            </w:pPr>
          </w:p>
        </w:tc>
        <w:tc>
          <w:tcPr>
            <w:tcW w:w="700" w:type="dxa"/>
            <w:vAlign w:val="bottom"/>
            <w:tcBorders>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46,069</w:t>
            </w:r>
          </w:p>
        </w:tc>
        <w:tc>
          <w:tcPr>
            <w:tcW w:w="220" w:type="dxa"/>
            <w:vAlign w:val="bottom"/>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580" w:type="dxa"/>
            <w:vAlign w:val="bottom"/>
            <w:tcBorders>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(70,633)</w:t>
            </w:r>
          </w:p>
        </w:tc>
        <w:tc>
          <w:tcPr>
            <w:tcW w:w="120" w:type="dxa"/>
            <w:vAlign w:val="bottom"/>
            <w:shd w:val="clear" w:color="auto" w:fill="CFF0FC"/>
          </w:tcPr>
          <w:p>
            <w:pPr>
              <w:spacing w:after="0"/>
              <w:rPr>
                <w:sz w:val="13"/>
                <w:szCs w:val="13"/>
                <w:color w:val="auto"/>
              </w:rPr>
            </w:pPr>
          </w:p>
        </w:tc>
      </w:tr>
      <w:tr>
        <w:trPr>
          <w:trHeight w:val="151"/>
        </w:trPr>
        <w:tc>
          <w:tcPr>
            <w:tcW w:w="4560" w:type="dxa"/>
            <w:vAlign w:val="bottom"/>
          </w:tcPr>
          <w:p>
            <w:pPr>
              <w:spacing w:after="0" w:line="151" w:lineRule="exact"/>
              <w:rPr>
                <w:sz w:val="20"/>
                <w:szCs w:val="20"/>
                <w:color w:val="auto"/>
              </w:rPr>
            </w:pPr>
            <w:r>
              <w:rPr>
                <w:rFonts w:ascii="Arial" w:cs="Arial" w:eastAsia="Arial" w:hAnsi="Arial"/>
                <w:sz w:val="14"/>
                <w:szCs w:val="14"/>
                <w:color w:val="auto"/>
              </w:rPr>
              <w:t>Balance — December 31, 2015</w:t>
            </w:r>
          </w:p>
        </w:tc>
        <w:tc>
          <w:tcPr>
            <w:tcW w:w="100" w:type="dxa"/>
            <w:vAlign w:val="bottom"/>
          </w:tcPr>
          <w:p>
            <w:pPr>
              <w:spacing w:after="0"/>
              <w:rPr>
                <w:sz w:val="13"/>
                <w:szCs w:val="13"/>
                <w:color w:val="auto"/>
              </w:rPr>
            </w:pPr>
          </w:p>
        </w:tc>
        <w:tc>
          <w:tcPr>
            <w:tcW w:w="200" w:type="dxa"/>
            <w:vAlign w:val="bottom"/>
            <w:tcBorders>
              <w:bottom w:val="single" w:sz="8" w:color="auto"/>
            </w:tcBorders>
          </w:tcPr>
          <w:p>
            <w:pPr>
              <w:jc w:val="right"/>
              <w:ind w:right="51"/>
              <w:spacing w:after="0" w:line="151" w:lineRule="exact"/>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16,359</w:t>
            </w:r>
          </w:p>
        </w:tc>
        <w:tc>
          <w:tcPr>
            <w:tcW w:w="240" w:type="dxa"/>
            <w:vAlign w:val="bottom"/>
          </w:tcPr>
          <w:p>
            <w:pPr>
              <w:spacing w:after="0"/>
              <w:rPr>
                <w:sz w:val="13"/>
                <w:szCs w:val="13"/>
                <w:color w:val="auto"/>
              </w:rPr>
            </w:pPr>
          </w:p>
        </w:tc>
        <w:tc>
          <w:tcPr>
            <w:tcW w:w="66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62,849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(489,660)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(4,093)</w:t>
            </w:r>
          </w:p>
        </w:tc>
        <w:tc>
          <w:tcPr>
            <w:tcW w:w="24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(414,545</w:t>
            </w:r>
          </w:p>
        </w:tc>
        <w:tc>
          <w:tcPr>
            <w:tcW w:w="80" w:type="dxa"/>
            <w:vAlign w:val="bottom"/>
          </w:tcPr>
          <w:p>
            <w:pPr>
              <w:jc w:val="right"/>
              <w:spacing w:after="0" w:line="151" w:lineRule="exact"/>
              <w:rPr>
                <w:sz w:val="20"/>
                <w:szCs w:val="20"/>
                <w:color w:val="auto"/>
              </w:rPr>
            </w:pPr>
            <w:r>
              <w:rPr>
                <w:rFonts w:ascii="Arial" w:cs="Arial" w:eastAsia="Arial" w:hAnsi="Arial"/>
                <w:sz w:val="14"/>
                <w:szCs w:val="14"/>
                <w:color w:val="auto"/>
                <w:w w:val="84"/>
              </w:rPr>
              <w:t>)</w:t>
            </w:r>
          </w:p>
        </w:tc>
        <w:tc>
          <w:tcPr>
            <w:tcW w:w="340" w:type="dxa"/>
            <w:vAlign w:val="bottom"/>
          </w:tcPr>
          <w:p>
            <w:pPr>
              <w:spacing w:after="0"/>
              <w:rPr>
                <w:sz w:val="13"/>
                <w:szCs w:val="13"/>
                <w:color w:val="auto"/>
              </w:rPr>
            </w:pPr>
          </w:p>
        </w:tc>
        <w:tc>
          <w:tcPr>
            <w:tcW w:w="70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162,918</w:t>
            </w:r>
          </w:p>
        </w:tc>
        <w:tc>
          <w:tcPr>
            <w:tcW w:w="220" w:type="dxa"/>
            <w:vAlign w:val="bottom"/>
          </w:tcPr>
          <w:p>
            <w:pPr>
              <w:spacing w:after="0"/>
              <w:rPr>
                <w:sz w:val="13"/>
                <w:szCs w:val="13"/>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(251,627</w:t>
            </w:r>
          </w:p>
        </w:tc>
        <w:tc>
          <w:tcPr>
            <w:tcW w:w="120" w:type="dxa"/>
            <w:vAlign w:val="bottom"/>
          </w:tcPr>
          <w:p>
            <w:pPr>
              <w:jc w:val="right"/>
              <w:spacing w:after="0" w:line="151" w:lineRule="exact"/>
              <w:rPr>
                <w:sz w:val="20"/>
                <w:szCs w:val="20"/>
                <w:color w:val="auto"/>
              </w:rPr>
            </w:pPr>
            <w:r>
              <w:rPr>
                <w:rFonts w:ascii="Arial" w:cs="Arial" w:eastAsia="Arial" w:hAnsi="Arial"/>
                <w:sz w:val="14"/>
                <w:szCs w:val="14"/>
                <w:color w:val="auto"/>
                <w:w w:val="84"/>
              </w:rPr>
              <w:t>)</w:t>
            </w:r>
          </w:p>
        </w:tc>
      </w:tr>
      <w:tr>
        <w:trPr>
          <w:trHeight w:val="20"/>
        </w:trPr>
        <w:tc>
          <w:tcPr>
            <w:tcW w:w="4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136017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112" w:lineRule="exact"/>
        <w:rPr>
          <w:sz w:val="20"/>
          <w:szCs w:val="20"/>
          <w:color w:val="auto"/>
        </w:rPr>
      </w:pPr>
    </w:p>
    <w:p>
      <w:pPr>
        <w:ind w:left="600" w:hanging="595"/>
        <w:spacing w:after="0"/>
        <w:tabs>
          <w:tab w:leader="none" w:pos="600" w:val="left"/>
        </w:tabs>
        <w:numPr>
          <w:ilvl w:val="0"/>
          <w:numId w:val="50"/>
        </w:numPr>
        <w:rPr>
          <w:rFonts w:ascii="Arial" w:cs="Arial" w:eastAsia="Arial" w:hAnsi="Arial"/>
          <w:sz w:val="18"/>
          <w:szCs w:val="18"/>
          <w:i w:val="1"/>
          <w:iCs w:val="1"/>
          <w:color w:val="auto"/>
        </w:rPr>
      </w:pPr>
      <w:r>
        <w:rPr>
          <w:rFonts w:ascii="Arial" w:cs="Arial" w:eastAsia="Arial" w:hAnsi="Arial"/>
          <w:sz w:val="18"/>
          <w:szCs w:val="18"/>
          <w:i w:val="1"/>
          <w:iCs w:val="1"/>
          <w:color w:val="auto"/>
        </w:rPr>
        <w:t>Other-than-temporary impairment.</w:t>
      </w:r>
    </w:p>
    <w:p>
      <w:pPr>
        <w:spacing w:after="0" w:line="15" w:lineRule="exact"/>
        <w:rPr>
          <w:rFonts w:ascii="Arial" w:cs="Arial" w:eastAsia="Arial" w:hAnsi="Arial"/>
          <w:sz w:val="18"/>
          <w:szCs w:val="18"/>
          <w:i w:val="1"/>
          <w:iCs w:val="1"/>
          <w:color w:val="auto"/>
        </w:rPr>
      </w:pPr>
    </w:p>
    <w:p>
      <w:pPr>
        <w:ind w:left="600" w:hanging="595"/>
        <w:spacing w:after="0"/>
        <w:tabs>
          <w:tab w:leader="none" w:pos="600" w:val="left"/>
        </w:tabs>
        <w:numPr>
          <w:ilvl w:val="0"/>
          <w:numId w:val="50"/>
        </w:numPr>
        <w:rPr>
          <w:rFonts w:ascii="Arial" w:cs="Arial" w:eastAsia="Arial" w:hAnsi="Arial"/>
          <w:sz w:val="18"/>
          <w:szCs w:val="18"/>
          <w:i w:val="1"/>
          <w:iCs w:val="1"/>
          <w:color w:val="auto"/>
        </w:rPr>
      </w:pPr>
      <w:r>
        <w:rPr>
          <w:rFonts w:ascii="Arial" w:cs="Arial" w:eastAsia="Arial" w:hAnsi="Arial"/>
          <w:sz w:val="18"/>
          <w:szCs w:val="18"/>
          <w:i w:val="1"/>
          <w:iCs w:val="1"/>
          <w:color w:val="auto"/>
        </w:rPr>
        <w:t>Included in interest income.</w:t>
      </w:r>
    </w:p>
    <w:p>
      <w:pPr>
        <w:spacing w:after="0" w:line="3" w:lineRule="exact"/>
        <w:rPr>
          <w:rFonts w:ascii="Arial" w:cs="Arial" w:eastAsia="Arial" w:hAnsi="Arial"/>
          <w:sz w:val="18"/>
          <w:szCs w:val="18"/>
          <w:i w:val="1"/>
          <w:iCs w:val="1"/>
          <w:color w:val="auto"/>
        </w:rPr>
      </w:pPr>
    </w:p>
    <w:p>
      <w:pPr>
        <w:ind w:left="600" w:hanging="595"/>
        <w:spacing w:after="0"/>
        <w:tabs>
          <w:tab w:leader="none" w:pos="600" w:val="left"/>
        </w:tabs>
        <w:numPr>
          <w:ilvl w:val="0"/>
          <w:numId w:val="50"/>
        </w:numPr>
        <w:rPr>
          <w:rFonts w:ascii="Arial" w:cs="Arial" w:eastAsia="Arial" w:hAnsi="Arial"/>
          <w:sz w:val="18"/>
          <w:szCs w:val="18"/>
          <w:i w:val="1"/>
          <w:iCs w:val="1"/>
          <w:color w:val="auto"/>
        </w:rPr>
      </w:pPr>
      <w:r>
        <w:rPr>
          <w:rFonts w:ascii="Arial" w:cs="Arial" w:eastAsia="Arial" w:hAnsi="Arial"/>
          <w:sz w:val="18"/>
          <w:szCs w:val="18"/>
          <w:i w:val="1"/>
          <w:iCs w:val="1"/>
          <w:color w:val="auto"/>
        </w:rPr>
        <w:t>Included in gain (loss) on bank investment securities.</w:t>
      </w:r>
    </w:p>
    <w:p>
      <w:pPr>
        <w:spacing w:after="0" w:line="3" w:lineRule="exact"/>
        <w:rPr>
          <w:rFonts w:ascii="Arial" w:cs="Arial" w:eastAsia="Arial" w:hAnsi="Arial"/>
          <w:sz w:val="18"/>
          <w:szCs w:val="18"/>
          <w:i w:val="1"/>
          <w:iCs w:val="1"/>
          <w:color w:val="auto"/>
        </w:rPr>
      </w:pPr>
    </w:p>
    <w:p>
      <w:pPr>
        <w:ind w:left="600" w:hanging="595"/>
        <w:spacing w:after="0"/>
        <w:tabs>
          <w:tab w:leader="none" w:pos="600" w:val="left"/>
        </w:tabs>
        <w:numPr>
          <w:ilvl w:val="0"/>
          <w:numId w:val="50"/>
        </w:numPr>
        <w:rPr>
          <w:rFonts w:ascii="Arial" w:cs="Arial" w:eastAsia="Arial" w:hAnsi="Arial"/>
          <w:sz w:val="18"/>
          <w:szCs w:val="18"/>
          <w:i w:val="1"/>
          <w:iCs w:val="1"/>
          <w:color w:val="auto"/>
        </w:rPr>
      </w:pPr>
      <w:r>
        <w:rPr>
          <w:rFonts w:ascii="Arial" w:cs="Arial" w:eastAsia="Arial" w:hAnsi="Arial"/>
          <w:sz w:val="18"/>
          <w:szCs w:val="18"/>
          <w:i w:val="1"/>
          <w:iCs w:val="1"/>
          <w:color w:val="auto"/>
        </w:rPr>
        <w:t>Included in interest expense.</w:t>
      </w:r>
    </w:p>
    <w:p>
      <w:pPr>
        <w:spacing w:after="0" w:line="3" w:lineRule="exact"/>
        <w:rPr>
          <w:rFonts w:ascii="Arial" w:cs="Arial" w:eastAsia="Arial" w:hAnsi="Arial"/>
          <w:sz w:val="18"/>
          <w:szCs w:val="18"/>
          <w:i w:val="1"/>
          <w:iCs w:val="1"/>
          <w:color w:val="auto"/>
        </w:rPr>
      </w:pPr>
    </w:p>
    <w:p>
      <w:pPr>
        <w:ind w:left="600" w:hanging="595"/>
        <w:spacing w:after="0"/>
        <w:tabs>
          <w:tab w:leader="none" w:pos="600" w:val="left"/>
        </w:tabs>
        <w:numPr>
          <w:ilvl w:val="0"/>
          <w:numId w:val="50"/>
        </w:numPr>
        <w:rPr>
          <w:rFonts w:ascii="Arial" w:cs="Arial" w:eastAsia="Arial" w:hAnsi="Arial"/>
          <w:sz w:val="18"/>
          <w:szCs w:val="18"/>
          <w:i w:val="1"/>
          <w:iCs w:val="1"/>
          <w:color w:val="auto"/>
        </w:rPr>
      </w:pPr>
      <w:r>
        <w:rPr>
          <w:rFonts w:ascii="Arial" w:cs="Arial" w:eastAsia="Arial" w:hAnsi="Arial"/>
          <w:sz w:val="18"/>
          <w:szCs w:val="18"/>
          <w:i w:val="1"/>
          <w:iCs w:val="1"/>
          <w:color w:val="auto"/>
        </w:rPr>
        <w:t>Included in salaries and employee benefits expense.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50" w:right="239" w:bottom="1440" w:gutter="0" w:footer="0" w:header="0"/>
        </w:sectPr>
      </w:pPr>
    </w:p>
    <w:bookmarkStart w:id="160" w:name="page161"/>
    <w:bookmarkEnd w:id="160"/>
    <w:p>
      <w:pPr>
        <w:ind w:left="600"/>
        <w:spacing w:after="0"/>
        <w:rPr>
          <w:sz w:val="20"/>
          <w:szCs w:val="20"/>
          <w:color w:val="auto"/>
        </w:rPr>
      </w:pPr>
      <w:r>
        <w:rPr>
          <w:rFonts w:ascii="Arial" w:cs="Arial" w:eastAsia="Arial" w:hAnsi="Arial"/>
          <w:sz w:val="20"/>
          <w:szCs w:val="20"/>
          <w:color w:val="auto"/>
        </w:rPr>
        <w:t>Accumulated other comprehensive income (loss), net consisted of the following:</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2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gridSpan w:val="5"/>
          </w:tcPr>
          <w:p>
            <w:pPr>
              <w:jc w:val="right"/>
              <w:ind w:right="350"/>
              <w:spacing w:after="0"/>
              <w:rPr>
                <w:sz w:val="20"/>
                <w:szCs w:val="20"/>
                <w:color w:val="auto"/>
              </w:rPr>
            </w:pPr>
            <w:r>
              <w:rPr>
                <w:rFonts w:ascii="Arial" w:cs="Arial" w:eastAsia="Arial" w:hAnsi="Arial"/>
                <w:sz w:val="13"/>
                <w:szCs w:val="13"/>
                <w:b w:val="1"/>
                <w:bCs w:val="1"/>
                <w:color w:val="auto"/>
              </w:rPr>
              <w:t>Investment Securities</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92"/>
              </w:rPr>
              <w:t>Defined</w:t>
            </w: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2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With OTTI</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All Other</w:t>
            </w:r>
          </w:p>
        </w:tc>
        <w:tc>
          <w:tcPr>
            <w:tcW w:w="1180" w:type="dxa"/>
            <w:vAlign w:val="bottom"/>
            <w:gridSpan w:val="3"/>
          </w:tcPr>
          <w:p>
            <w:pPr>
              <w:jc w:val="center"/>
              <w:ind w:right="320"/>
              <w:spacing w:after="0"/>
              <w:rPr>
                <w:sz w:val="20"/>
                <w:szCs w:val="20"/>
                <w:color w:val="auto"/>
              </w:rPr>
            </w:pPr>
            <w:r>
              <w:rPr>
                <w:rFonts w:ascii="Arial" w:cs="Arial" w:eastAsia="Arial" w:hAnsi="Arial"/>
                <w:sz w:val="13"/>
                <w:szCs w:val="13"/>
                <w:b w:val="1"/>
                <w:bCs w:val="1"/>
                <w:color w:val="auto"/>
                <w:w w:val="89"/>
              </w:rPr>
              <w:t>Benefit Plans</w:t>
            </w:r>
          </w:p>
        </w:tc>
        <w:tc>
          <w:tcPr>
            <w:tcW w:w="160" w:type="dxa"/>
            <w:vAlign w:val="bottom"/>
          </w:tcPr>
          <w:p>
            <w:pPr>
              <w:spacing w:after="0"/>
              <w:rPr>
                <w:sz w:val="13"/>
                <w:szCs w:val="13"/>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3"/>
                <w:szCs w:val="13"/>
                <w:b w:val="1"/>
                <w:bCs w:val="1"/>
                <w:color w:val="auto"/>
              </w:rPr>
              <w:t>Other</w:t>
            </w:r>
          </w:p>
        </w:tc>
        <w:tc>
          <w:tcPr>
            <w:tcW w:w="180" w:type="dxa"/>
            <w:vAlign w:val="bottom"/>
          </w:tcPr>
          <w:p>
            <w:pPr>
              <w:spacing w:after="0"/>
              <w:rPr>
                <w:sz w:val="13"/>
                <w:szCs w:val="13"/>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3"/>
        </w:trPr>
        <w:tc>
          <w:tcPr>
            <w:tcW w:w="42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gridSpan w:val="3"/>
          </w:tcPr>
          <w:p>
            <w:pPr>
              <w:jc w:val="center"/>
              <w:ind w:right="280"/>
              <w:spacing w:after="0"/>
              <w:rPr>
                <w:sz w:val="20"/>
                <w:szCs w:val="20"/>
                <w:color w:val="auto"/>
              </w:rPr>
            </w:pPr>
            <w:r>
              <w:rPr>
                <w:rFonts w:ascii="Arial" w:cs="Arial" w:eastAsia="Arial" w:hAnsi="Arial"/>
                <w:sz w:val="13"/>
                <w:szCs w:val="13"/>
                <w:b w:val="1"/>
                <w:bCs w:val="1"/>
                <w:color w:val="auto"/>
                <w:w w:val="91"/>
              </w:rPr>
              <w:t>(In thousands)</w:t>
            </w:r>
          </w:p>
        </w:tc>
        <w:tc>
          <w:tcPr>
            <w:tcW w:w="1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42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Balance at January 1, 2015</w:t>
            </w:r>
          </w:p>
        </w:tc>
        <w:tc>
          <w:tcPr>
            <w:tcW w:w="16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4,518</w:t>
            </w:r>
          </w:p>
        </w:tc>
        <w:tc>
          <w:tcPr>
            <w:tcW w:w="16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122,683</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(305,589)</w:t>
            </w:r>
          </w:p>
        </w:tc>
        <w:tc>
          <w:tcPr>
            <w:tcW w:w="160" w:type="dxa"/>
            <w:vAlign w:val="bottom"/>
            <w:shd w:val="clear" w:color="auto" w:fill="CFF0FC"/>
          </w:tcPr>
          <w:p>
            <w:pPr>
              <w:jc w:val="right"/>
              <w:ind w:right="50"/>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(2,606)</w:t>
            </w:r>
          </w:p>
        </w:tc>
        <w:tc>
          <w:tcPr>
            <w:tcW w:w="180" w:type="dxa"/>
            <w:vAlign w:val="bottom"/>
            <w:shd w:val="clear" w:color="auto" w:fill="CFF0FC"/>
          </w:tcPr>
          <w:p>
            <w:pPr>
              <w:jc w:val="right"/>
              <w:ind w:right="30"/>
              <w:spacing w:after="0"/>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(180,994)</w:t>
            </w:r>
          </w:p>
        </w:tc>
        <w:tc>
          <w:tcPr>
            <w:tcW w:w="0" w:type="dxa"/>
            <w:vAlign w:val="bottom"/>
          </w:tcPr>
          <w:p>
            <w:pPr>
              <w:spacing w:after="0"/>
              <w:rPr>
                <w:sz w:val="1"/>
                <w:szCs w:val="1"/>
                <w:color w:val="auto"/>
              </w:rPr>
            </w:pPr>
          </w:p>
        </w:tc>
      </w:tr>
      <w:tr>
        <w:trPr>
          <w:trHeight w:val="223"/>
        </w:trPr>
        <w:tc>
          <w:tcPr>
            <w:tcW w:w="4200" w:type="dxa"/>
            <w:vAlign w:val="bottom"/>
          </w:tcPr>
          <w:p>
            <w:pPr>
              <w:spacing w:after="0"/>
              <w:rPr>
                <w:sz w:val="20"/>
                <w:szCs w:val="20"/>
                <w:color w:val="auto"/>
              </w:rPr>
            </w:pPr>
            <w:r>
              <w:rPr>
                <w:rFonts w:ascii="Arial" w:cs="Arial" w:eastAsia="Arial" w:hAnsi="Arial"/>
                <w:sz w:val="18"/>
                <w:szCs w:val="18"/>
                <w:color w:val="auto"/>
              </w:rPr>
              <w:t>Net gain (loss) during 2015</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5,403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(84,517)</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8,610</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4"/>
                <w:szCs w:val="14"/>
                <w:color w:val="auto"/>
              </w:rPr>
              <w:t>(129)</w:t>
            </w:r>
          </w:p>
        </w:tc>
        <w:tc>
          <w:tcPr>
            <w:tcW w:w="18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(70,633)</w:t>
            </w:r>
          </w:p>
        </w:tc>
        <w:tc>
          <w:tcPr>
            <w:tcW w:w="0" w:type="dxa"/>
            <w:vAlign w:val="bottom"/>
          </w:tcPr>
          <w:p>
            <w:pPr>
              <w:spacing w:after="0"/>
              <w:rPr>
                <w:sz w:val="1"/>
                <w:szCs w:val="1"/>
                <w:color w:val="auto"/>
              </w:rPr>
            </w:pPr>
          </w:p>
        </w:tc>
      </w:tr>
      <w:tr>
        <w:trPr>
          <w:trHeight w:val="20"/>
        </w:trPr>
        <w:tc>
          <w:tcPr>
            <w:tcW w:w="42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Balance at December 31, 2015</w:t>
            </w:r>
          </w:p>
        </w:tc>
        <w:tc>
          <w:tcPr>
            <w:tcW w:w="15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200" w:type="dxa"/>
            <w:vAlign w:val="bottom"/>
            <w:vMerge w:val="continue"/>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9,921</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38,166</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(296,979)</w:t>
            </w:r>
          </w:p>
        </w:tc>
        <w:tc>
          <w:tcPr>
            <w:tcW w:w="1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(2,735)</w:t>
            </w:r>
          </w:p>
        </w:tc>
        <w:tc>
          <w:tcPr>
            <w:tcW w:w="1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(251,627)</w:t>
            </w:r>
          </w:p>
        </w:tc>
        <w:tc>
          <w:tcPr>
            <w:tcW w:w="0" w:type="dxa"/>
            <w:vAlign w:val="bottom"/>
          </w:tcPr>
          <w:p>
            <w:pPr>
              <w:spacing w:after="0"/>
              <w:rPr>
                <w:sz w:val="1"/>
                <w:szCs w:val="1"/>
                <w:color w:val="auto"/>
              </w:rPr>
            </w:pPr>
          </w:p>
        </w:tc>
      </w:tr>
      <w:tr>
        <w:trPr>
          <w:trHeight w:val="223"/>
        </w:trPr>
        <w:tc>
          <w:tcPr>
            <w:tcW w:w="4200" w:type="dxa"/>
            <w:vAlign w:val="bottom"/>
          </w:tcPr>
          <w:p>
            <w:pPr>
              <w:spacing w:after="0"/>
              <w:rPr>
                <w:sz w:val="20"/>
                <w:szCs w:val="20"/>
                <w:color w:val="auto"/>
              </w:rPr>
            </w:pPr>
            <w:r>
              <w:rPr>
                <w:rFonts w:ascii="Arial" w:cs="Arial" w:eastAsia="Arial" w:hAnsi="Arial"/>
                <w:sz w:val="18"/>
                <w:szCs w:val="18"/>
                <w:color w:val="auto"/>
              </w:rPr>
              <w:t>Net gain (loss) during 2016</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18,417</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(82,823)</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24,105</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4"/>
                <w:szCs w:val="14"/>
                <w:color w:val="auto"/>
              </w:rPr>
              <w:t>(2,708)</w:t>
            </w:r>
          </w:p>
        </w:tc>
        <w:tc>
          <w:tcPr>
            <w:tcW w:w="18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(43,009)</w:t>
            </w:r>
          </w:p>
        </w:tc>
        <w:tc>
          <w:tcPr>
            <w:tcW w:w="0" w:type="dxa"/>
            <w:vAlign w:val="bottom"/>
          </w:tcPr>
          <w:p>
            <w:pPr>
              <w:spacing w:after="0"/>
              <w:rPr>
                <w:sz w:val="1"/>
                <w:szCs w:val="1"/>
                <w:color w:val="auto"/>
              </w:rPr>
            </w:pPr>
          </w:p>
        </w:tc>
      </w:tr>
      <w:tr>
        <w:trPr>
          <w:trHeight w:val="20"/>
        </w:trPr>
        <w:tc>
          <w:tcPr>
            <w:tcW w:w="42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Balance at December 31, 2016</w:t>
            </w:r>
          </w:p>
        </w:tc>
        <w:tc>
          <w:tcPr>
            <w:tcW w:w="15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200" w:type="dxa"/>
            <w:vAlign w:val="bottom"/>
            <w:vMerge w:val="continue"/>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28,338</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(44,657)</w:t>
            </w:r>
          </w:p>
        </w:tc>
        <w:tc>
          <w:tcPr>
            <w:tcW w:w="1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(272,874)</w:t>
            </w:r>
          </w:p>
        </w:tc>
        <w:tc>
          <w:tcPr>
            <w:tcW w:w="1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(5,443)</w:t>
            </w:r>
          </w:p>
        </w:tc>
        <w:tc>
          <w:tcPr>
            <w:tcW w:w="1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(294,636)</w:t>
            </w:r>
          </w:p>
        </w:tc>
        <w:tc>
          <w:tcPr>
            <w:tcW w:w="0" w:type="dxa"/>
            <w:vAlign w:val="bottom"/>
          </w:tcPr>
          <w:p>
            <w:pPr>
              <w:spacing w:after="0"/>
              <w:rPr>
                <w:sz w:val="1"/>
                <w:szCs w:val="1"/>
                <w:color w:val="auto"/>
              </w:rPr>
            </w:pPr>
          </w:p>
        </w:tc>
      </w:tr>
      <w:tr>
        <w:trPr>
          <w:trHeight w:val="223"/>
        </w:trPr>
        <w:tc>
          <w:tcPr>
            <w:tcW w:w="4200" w:type="dxa"/>
            <w:vAlign w:val="bottom"/>
          </w:tcPr>
          <w:p>
            <w:pPr>
              <w:spacing w:after="0"/>
              <w:rPr>
                <w:sz w:val="20"/>
                <w:szCs w:val="20"/>
                <w:color w:val="auto"/>
              </w:rPr>
            </w:pPr>
            <w:r>
              <w:rPr>
                <w:rFonts w:ascii="Arial" w:cs="Arial" w:eastAsia="Arial" w:hAnsi="Arial"/>
                <w:sz w:val="18"/>
                <w:szCs w:val="18"/>
                <w:color w:val="auto"/>
              </w:rPr>
              <w:t>Net gain (loss) during 2017</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(10,755)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(9,011)</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22,288</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4"/>
                <w:szCs w:val="14"/>
                <w:color w:val="auto"/>
              </w:rPr>
              <w:t>(7,671)</w:t>
            </w:r>
          </w:p>
        </w:tc>
        <w:tc>
          <w:tcPr>
            <w:tcW w:w="18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(5,149)</w:t>
            </w:r>
          </w:p>
        </w:tc>
        <w:tc>
          <w:tcPr>
            <w:tcW w:w="0" w:type="dxa"/>
            <w:vAlign w:val="bottom"/>
          </w:tcPr>
          <w:p>
            <w:pPr>
              <w:spacing w:after="0"/>
              <w:rPr>
                <w:sz w:val="1"/>
                <w:szCs w:val="1"/>
                <w:color w:val="auto"/>
              </w:rPr>
            </w:pPr>
          </w:p>
        </w:tc>
      </w:tr>
      <w:tr>
        <w:trPr>
          <w:trHeight w:val="211"/>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Reclassification of income tax effects</w:t>
            </w:r>
          </w:p>
        </w:tc>
        <w:tc>
          <w:tcPr>
            <w:tcW w:w="1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to retained earnings</w:t>
            </w:r>
          </w:p>
        </w:tc>
        <w:tc>
          <w:tcPr>
            <w:tcW w:w="1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(3,115)</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(4,950)</w:t>
            </w:r>
          </w:p>
        </w:tc>
        <w:tc>
          <w:tcPr>
            <w:tcW w:w="1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(53,960)</w:t>
            </w: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(2,004)</w:t>
            </w:r>
          </w:p>
        </w:tc>
        <w:tc>
          <w:tcPr>
            <w:tcW w:w="1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(64,029)</w:t>
            </w:r>
          </w:p>
        </w:tc>
        <w:tc>
          <w:tcPr>
            <w:tcW w:w="0" w:type="dxa"/>
            <w:vAlign w:val="bottom"/>
          </w:tcPr>
          <w:p>
            <w:pPr>
              <w:spacing w:after="0"/>
              <w:rPr>
                <w:sz w:val="1"/>
                <w:szCs w:val="1"/>
                <w:color w:val="auto"/>
              </w:rPr>
            </w:pPr>
          </w:p>
        </w:tc>
      </w:tr>
      <w:tr>
        <w:trPr>
          <w:trHeight w:val="20"/>
        </w:trPr>
        <w:tc>
          <w:tcPr>
            <w:tcW w:w="4200" w:type="dxa"/>
            <w:vAlign w:val="bottom"/>
            <w:vMerge w:val="restart"/>
          </w:tcPr>
          <w:p>
            <w:pPr>
              <w:spacing w:after="0"/>
              <w:rPr>
                <w:sz w:val="20"/>
                <w:szCs w:val="20"/>
                <w:color w:val="auto"/>
              </w:rPr>
            </w:pPr>
            <w:r>
              <w:rPr>
                <w:rFonts w:ascii="Arial" w:cs="Arial" w:eastAsia="Arial" w:hAnsi="Arial"/>
                <w:sz w:val="18"/>
                <w:szCs w:val="18"/>
                <w:color w:val="auto"/>
              </w:rPr>
              <w:t>Balance at December 31, 2017</w:t>
            </w:r>
          </w:p>
        </w:tc>
        <w:tc>
          <w:tcPr>
            <w:tcW w:w="1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200" w:type="dxa"/>
            <w:vAlign w:val="bottom"/>
            <w:vMerge w:val="continue"/>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14,468</w:t>
            </w:r>
          </w:p>
        </w:tc>
        <w:tc>
          <w:tcPr>
            <w:tcW w:w="16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(58,618)</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(304,546)</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260"/>
              <w:spacing w:after="0"/>
              <w:rPr>
                <w:sz w:val="20"/>
                <w:szCs w:val="20"/>
                <w:color w:val="auto"/>
              </w:rPr>
            </w:pPr>
            <w:r>
              <w:rPr>
                <w:rFonts w:ascii="Arial" w:cs="Arial" w:eastAsia="Arial" w:hAnsi="Arial"/>
                <w:sz w:val="14"/>
                <w:szCs w:val="14"/>
                <w:color w:val="auto"/>
              </w:rPr>
              <w:t>(15,118)</w:t>
            </w:r>
          </w:p>
        </w:tc>
        <w:tc>
          <w:tcPr>
            <w:tcW w:w="180" w:type="dxa"/>
            <w:vAlign w:val="bottom"/>
          </w:tcPr>
          <w:p>
            <w:pPr>
              <w:jc w:val="right"/>
              <w:ind w:right="30"/>
              <w:spacing w:after="0"/>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(363,814)</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16.</w:t>
      </w:r>
      <w:r>
        <w:rPr>
          <w:sz w:val="20"/>
          <w:szCs w:val="20"/>
          <w:color w:val="auto"/>
        </w:rPr>
        <w:tab/>
      </w:r>
      <w:r>
        <w:rPr>
          <w:rFonts w:ascii="Arial" w:cs="Arial" w:eastAsia="Arial" w:hAnsi="Arial"/>
          <w:sz w:val="17"/>
          <w:szCs w:val="17"/>
          <w:b w:val="1"/>
          <w:bCs w:val="1"/>
          <w:color w:val="auto"/>
        </w:rPr>
        <w:t>Other income and other expense</w:t>
      </w:r>
    </w:p>
    <w:p>
      <w:pPr>
        <w:spacing w:after="0" w:line="29" w:lineRule="exact"/>
        <w:rPr>
          <w:sz w:val="20"/>
          <w:szCs w:val="20"/>
          <w:color w:val="auto"/>
        </w:rPr>
      </w:pPr>
    </w:p>
    <w:p>
      <w:pPr>
        <w:ind w:right="260"/>
        <w:spacing w:after="0" w:line="256" w:lineRule="auto"/>
        <w:rPr>
          <w:sz w:val="20"/>
          <w:szCs w:val="20"/>
          <w:color w:val="auto"/>
        </w:rPr>
      </w:pPr>
      <w:r>
        <w:rPr>
          <w:rFonts w:ascii="Arial" w:cs="Arial" w:eastAsia="Arial" w:hAnsi="Arial"/>
          <w:sz w:val="20"/>
          <w:szCs w:val="20"/>
          <w:color w:val="auto"/>
        </w:rPr>
        <w:t>The following items, which exceeded 1% of total interest income and other income in the respective period, were included in either “other revenues from operations” or “other costs of operations” in the consolidated statement of income: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000" w:type="dxa"/>
            <w:vAlign w:val="bottom"/>
          </w:tcPr>
          <w:p>
            <w:pPr>
              <w:spacing w:after="0"/>
              <w:rPr>
                <w:sz w:val="14"/>
                <w:szCs w:val="14"/>
                <w:color w:val="auto"/>
              </w:rPr>
            </w:pPr>
          </w:p>
        </w:tc>
        <w:tc>
          <w:tcPr>
            <w:tcW w:w="2560" w:type="dxa"/>
            <w:vAlign w:val="bottom"/>
            <w:tcBorders>
              <w:bottom w:val="single" w:sz="8" w:color="auto"/>
            </w:tcBorders>
            <w:gridSpan w:val="3"/>
          </w:tcPr>
          <w:p>
            <w:pPr>
              <w:jc w:val="center"/>
              <w:ind w:left="655"/>
              <w:spacing w:after="0"/>
              <w:rPr>
                <w:sz w:val="20"/>
                <w:szCs w:val="20"/>
                <w:color w:val="auto"/>
              </w:rPr>
            </w:pPr>
            <w:r>
              <w:rPr>
                <w:rFonts w:ascii="Arial" w:cs="Arial" w:eastAsia="Arial" w:hAnsi="Arial"/>
                <w:sz w:val="14"/>
                <w:szCs w:val="14"/>
                <w:b w:val="1"/>
                <w:bCs w:val="1"/>
                <w:color w:val="auto"/>
                <w:w w:val="89"/>
              </w:rPr>
              <w:t>Year Ended December 31</w:t>
            </w:r>
          </w:p>
        </w:tc>
        <w:tc>
          <w:tcPr>
            <w:tcW w:w="7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1"/>
        </w:trPr>
        <w:tc>
          <w:tcPr>
            <w:tcW w:w="8000" w:type="dxa"/>
            <w:vAlign w:val="bottom"/>
          </w:tcPr>
          <w:p>
            <w:pPr>
              <w:spacing w:after="0"/>
              <w:rPr>
                <w:sz w:val="13"/>
                <w:szCs w:val="13"/>
                <w:color w:val="auto"/>
              </w:rPr>
            </w:pPr>
          </w:p>
        </w:tc>
        <w:tc>
          <w:tcPr>
            <w:tcW w:w="1060" w:type="dxa"/>
            <w:vAlign w:val="bottom"/>
            <w:tcBorders>
              <w:bottom w:val="single" w:sz="8" w:color="auto"/>
            </w:tcBorders>
          </w:tcPr>
          <w:p>
            <w:pPr>
              <w:jc w:val="right"/>
              <w:ind w:right="375"/>
              <w:spacing w:after="0" w:line="151" w:lineRule="exact"/>
              <w:rPr>
                <w:sz w:val="20"/>
                <w:szCs w:val="20"/>
                <w:color w:val="auto"/>
              </w:rPr>
            </w:pPr>
            <w:r>
              <w:rPr>
                <w:rFonts w:ascii="Arial" w:cs="Arial" w:eastAsia="Arial" w:hAnsi="Arial"/>
                <w:sz w:val="14"/>
                <w:szCs w:val="14"/>
                <w:b w:val="1"/>
                <w:bCs w:val="1"/>
                <w:color w:val="auto"/>
              </w:rPr>
              <w:t>2017</w:t>
            </w:r>
          </w:p>
        </w:tc>
        <w:tc>
          <w:tcPr>
            <w:tcW w:w="1180" w:type="dxa"/>
            <w:vAlign w:val="bottom"/>
            <w:tcBorders>
              <w:bottom w:val="single" w:sz="8" w:color="auto"/>
            </w:tcBorders>
          </w:tcPr>
          <w:p>
            <w:pPr>
              <w:jc w:val="center"/>
              <w:spacing w:after="0" w:line="151" w:lineRule="exact"/>
              <w:rPr>
                <w:sz w:val="20"/>
                <w:szCs w:val="20"/>
                <w:color w:val="auto"/>
              </w:rPr>
            </w:pPr>
            <w:r>
              <w:rPr>
                <w:rFonts w:ascii="Arial" w:cs="Arial" w:eastAsia="Arial" w:hAnsi="Arial"/>
                <w:sz w:val="14"/>
                <w:szCs w:val="14"/>
                <w:b w:val="1"/>
                <w:bCs w:val="1"/>
                <w:color w:val="auto"/>
                <w:w w:val="89"/>
              </w:rPr>
              <w:t>2016</w:t>
            </w:r>
          </w:p>
        </w:tc>
        <w:tc>
          <w:tcPr>
            <w:tcW w:w="3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24"/>
              <w:spacing w:after="0" w:line="151"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3"/>
                <w:szCs w:val="13"/>
                <w:color w:val="auto"/>
              </w:rPr>
            </w:pPr>
          </w:p>
        </w:tc>
      </w:tr>
      <w:tr>
        <w:trPr>
          <w:trHeight w:val="151"/>
        </w:trPr>
        <w:tc>
          <w:tcPr>
            <w:tcW w:w="80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80" w:type="dxa"/>
            <w:vAlign w:val="bottom"/>
          </w:tcPr>
          <w:p>
            <w:pPr>
              <w:jc w:val="center"/>
              <w:spacing w:after="0" w:line="151" w:lineRule="exact"/>
              <w:rPr>
                <w:sz w:val="20"/>
                <w:szCs w:val="20"/>
                <w:color w:val="auto"/>
              </w:rPr>
            </w:pPr>
            <w:r>
              <w:rPr>
                <w:rFonts w:ascii="Arial" w:cs="Arial" w:eastAsia="Arial" w:hAnsi="Arial"/>
                <w:sz w:val="14"/>
                <w:szCs w:val="14"/>
                <w:b w:val="1"/>
                <w:bCs w:val="1"/>
                <w:color w:val="auto"/>
                <w:w w:val="89"/>
              </w:rPr>
              <w:t>(In thousands)</w:t>
            </w: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50"/>
        </w:trPr>
        <w:tc>
          <w:tcPr>
            <w:tcW w:w="8000" w:type="dxa"/>
            <w:vAlign w:val="bottom"/>
            <w:shd w:val="clear" w:color="auto" w:fill="CFF0FC"/>
          </w:tcPr>
          <w:p>
            <w:pPr>
              <w:spacing w:after="0"/>
              <w:rPr>
                <w:sz w:val="20"/>
                <w:szCs w:val="20"/>
                <w:color w:val="auto"/>
              </w:rPr>
            </w:pPr>
            <w:r>
              <w:rPr>
                <w:rFonts w:ascii="Arial" w:cs="Arial" w:eastAsia="Arial" w:hAnsi="Arial"/>
                <w:sz w:val="20"/>
                <w:szCs w:val="20"/>
                <w:color w:val="auto"/>
              </w:rPr>
              <w:t>Other income:</w:t>
            </w:r>
          </w:p>
        </w:tc>
        <w:tc>
          <w:tcPr>
            <w:tcW w:w="10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50"/>
        </w:trPr>
        <w:tc>
          <w:tcPr>
            <w:tcW w:w="8000" w:type="dxa"/>
            <w:vAlign w:val="bottom"/>
          </w:tcPr>
          <w:p>
            <w:pPr>
              <w:ind w:left="240"/>
              <w:spacing w:after="0"/>
              <w:rPr>
                <w:sz w:val="20"/>
                <w:szCs w:val="20"/>
                <w:color w:val="auto"/>
              </w:rPr>
            </w:pPr>
            <w:r>
              <w:rPr>
                <w:rFonts w:ascii="Arial" w:cs="Arial" w:eastAsia="Arial" w:hAnsi="Arial"/>
                <w:sz w:val="20"/>
                <w:szCs w:val="20"/>
                <w:color w:val="auto"/>
              </w:rPr>
              <w:t>Credit-related fee income</w:t>
            </w:r>
          </w:p>
        </w:tc>
        <w:tc>
          <w:tcPr>
            <w:tcW w:w="1060" w:type="dxa"/>
            <w:vAlign w:val="bottom"/>
          </w:tcPr>
          <w:p>
            <w:pPr>
              <w:jc w:val="right"/>
              <w:ind w:right="55"/>
              <w:spacing w:after="0"/>
              <w:rPr>
                <w:sz w:val="20"/>
                <w:szCs w:val="20"/>
                <w:color w:val="auto"/>
              </w:rPr>
            </w:pPr>
            <w:r>
              <w:rPr>
                <w:rFonts w:ascii="Arial" w:cs="Arial" w:eastAsia="Arial" w:hAnsi="Arial"/>
                <w:sz w:val="20"/>
                <w:szCs w:val="20"/>
                <w:color w:val="auto"/>
              </w:rPr>
              <w:t>$   77,580</w:t>
            </w:r>
          </w:p>
        </w:tc>
        <w:tc>
          <w:tcPr>
            <w:tcW w:w="1180" w:type="dxa"/>
            <w:vAlign w:val="bottom"/>
          </w:tcPr>
          <w:p>
            <w:pPr>
              <w:jc w:val="right"/>
              <w:ind w:right="55"/>
              <w:spacing w:after="0"/>
              <w:rPr>
                <w:sz w:val="20"/>
                <w:szCs w:val="20"/>
                <w:color w:val="auto"/>
              </w:rPr>
            </w:pPr>
            <w:r>
              <w:rPr>
                <w:rFonts w:ascii="Arial" w:cs="Arial" w:eastAsia="Arial" w:hAnsi="Arial"/>
                <w:sz w:val="20"/>
                <w:szCs w:val="20"/>
                <w:color w:val="auto"/>
              </w:rPr>
              <w:t>$   70,424</w:t>
            </w:r>
          </w:p>
        </w:tc>
        <w:tc>
          <w:tcPr>
            <w:tcW w:w="320" w:type="dxa"/>
            <w:vAlign w:val="bottom"/>
          </w:tcPr>
          <w:p>
            <w:pPr>
              <w:jc w:val="right"/>
              <w:spacing w:after="0"/>
              <w:rPr>
                <w:sz w:val="20"/>
                <w:szCs w:val="20"/>
                <w:color w:val="auto"/>
              </w:rPr>
            </w:pPr>
            <w:r>
              <w:rPr>
                <w:rFonts w:ascii="Arial" w:cs="Arial" w:eastAsia="Arial" w:hAnsi="Arial"/>
                <w:sz w:val="20"/>
                <w:szCs w:val="20"/>
                <w:color w:val="auto"/>
              </w:rPr>
              <w:t>$</w:t>
            </w:r>
          </w:p>
        </w:tc>
        <w:tc>
          <w:tcPr>
            <w:tcW w:w="740" w:type="dxa"/>
            <w:vAlign w:val="bottom"/>
          </w:tcPr>
          <w:p>
            <w:pPr>
              <w:jc w:val="right"/>
              <w:spacing w:after="0"/>
              <w:rPr>
                <w:sz w:val="20"/>
                <w:szCs w:val="20"/>
                <w:color w:val="auto"/>
              </w:rPr>
            </w:pPr>
            <w:r>
              <w:rPr>
                <w:rFonts w:ascii="Arial" w:cs="Arial" w:eastAsia="Arial" w:hAnsi="Arial"/>
                <w:sz w:val="20"/>
                <w:szCs w:val="20"/>
                <w:color w:val="auto"/>
              </w:rPr>
              <w:t>81,558</w:t>
            </w:r>
          </w:p>
        </w:tc>
        <w:tc>
          <w:tcPr>
            <w:tcW w:w="120" w:type="dxa"/>
            <w:vAlign w:val="bottom"/>
          </w:tcPr>
          <w:p>
            <w:pPr>
              <w:spacing w:after="0"/>
              <w:rPr>
                <w:sz w:val="21"/>
                <w:szCs w:val="21"/>
                <w:color w:val="auto"/>
              </w:rPr>
            </w:pPr>
          </w:p>
        </w:tc>
      </w:tr>
      <w:tr>
        <w:trPr>
          <w:trHeight w:val="250"/>
        </w:trPr>
        <w:tc>
          <w:tcPr>
            <w:tcW w:w="8000" w:type="dxa"/>
            <w:vAlign w:val="bottom"/>
            <w:shd w:val="clear" w:color="auto" w:fill="CFF0FC"/>
          </w:tcPr>
          <w:p>
            <w:pPr>
              <w:ind w:left="240"/>
              <w:spacing w:after="0"/>
              <w:rPr>
                <w:sz w:val="20"/>
                <w:szCs w:val="20"/>
                <w:color w:val="auto"/>
              </w:rPr>
            </w:pPr>
            <w:r>
              <w:rPr>
                <w:rFonts w:ascii="Arial" w:cs="Arial" w:eastAsia="Arial" w:hAnsi="Arial"/>
                <w:sz w:val="20"/>
                <w:szCs w:val="20"/>
                <w:color w:val="auto"/>
              </w:rPr>
              <w:t>Letter of credit fees</w:t>
            </w:r>
          </w:p>
        </w:tc>
        <w:tc>
          <w:tcPr>
            <w:tcW w:w="10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52,724</w:t>
            </w:r>
          </w:p>
        </w:tc>
        <w:tc>
          <w:tcPr>
            <w:tcW w:w="120" w:type="dxa"/>
            <w:vAlign w:val="bottom"/>
            <w:shd w:val="clear" w:color="auto" w:fill="CFF0FC"/>
          </w:tcPr>
          <w:p>
            <w:pPr>
              <w:spacing w:after="0"/>
              <w:rPr>
                <w:sz w:val="21"/>
                <w:szCs w:val="21"/>
                <w:color w:val="auto"/>
              </w:rPr>
            </w:pPr>
          </w:p>
        </w:tc>
      </w:tr>
      <w:tr>
        <w:trPr>
          <w:trHeight w:val="250"/>
        </w:trPr>
        <w:tc>
          <w:tcPr>
            <w:tcW w:w="8000" w:type="dxa"/>
            <w:vAlign w:val="bottom"/>
          </w:tcPr>
          <w:p>
            <w:pPr>
              <w:ind w:left="240"/>
              <w:spacing w:after="0"/>
              <w:rPr>
                <w:sz w:val="20"/>
                <w:szCs w:val="20"/>
                <w:color w:val="auto"/>
              </w:rPr>
            </w:pPr>
            <w:r>
              <w:rPr>
                <w:rFonts w:ascii="Arial" w:cs="Arial" w:eastAsia="Arial" w:hAnsi="Arial"/>
                <w:sz w:val="20"/>
                <w:szCs w:val="20"/>
                <w:color w:val="auto"/>
              </w:rPr>
              <w:t>Bank owned life insurance</w:t>
            </w:r>
          </w:p>
        </w:tc>
        <w:tc>
          <w:tcPr>
            <w:tcW w:w="10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52,984</w:t>
            </w:r>
          </w:p>
        </w:tc>
        <w:tc>
          <w:tcPr>
            <w:tcW w:w="120" w:type="dxa"/>
            <w:vAlign w:val="bottom"/>
          </w:tcPr>
          <w:p>
            <w:pPr>
              <w:spacing w:after="0"/>
              <w:rPr>
                <w:sz w:val="21"/>
                <w:szCs w:val="21"/>
                <w:color w:val="auto"/>
              </w:rPr>
            </w:pPr>
          </w:p>
        </w:tc>
      </w:tr>
      <w:tr>
        <w:trPr>
          <w:trHeight w:val="250"/>
        </w:trPr>
        <w:tc>
          <w:tcPr>
            <w:tcW w:w="8000" w:type="dxa"/>
            <w:vAlign w:val="bottom"/>
            <w:shd w:val="clear" w:color="auto" w:fill="CFF0FC"/>
          </w:tcPr>
          <w:p>
            <w:pPr>
              <w:spacing w:after="0"/>
              <w:rPr>
                <w:sz w:val="20"/>
                <w:szCs w:val="20"/>
                <w:color w:val="auto"/>
              </w:rPr>
            </w:pPr>
            <w:r>
              <w:rPr>
                <w:rFonts w:ascii="Arial" w:cs="Arial" w:eastAsia="Arial" w:hAnsi="Arial"/>
                <w:sz w:val="20"/>
                <w:szCs w:val="20"/>
                <w:color w:val="auto"/>
              </w:rPr>
              <w:t>Other expense:</w:t>
            </w:r>
          </w:p>
        </w:tc>
        <w:tc>
          <w:tcPr>
            <w:tcW w:w="10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50"/>
        </w:trPr>
        <w:tc>
          <w:tcPr>
            <w:tcW w:w="8000" w:type="dxa"/>
            <w:vAlign w:val="bottom"/>
          </w:tcPr>
          <w:p>
            <w:pPr>
              <w:ind w:left="240"/>
              <w:spacing w:after="0"/>
              <w:rPr>
                <w:sz w:val="20"/>
                <w:szCs w:val="20"/>
                <w:color w:val="auto"/>
              </w:rPr>
            </w:pPr>
            <w:r>
              <w:rPr>
                <w:rFonts w:ascii="Arial" w:cs="Arial" w:eastAsia="Arial" w:hAnsi="Arial"/>
                <w:sz w:val="20"/>
                <w:szCs w:val="20"/>
                <w:color w:val="auto"/>
              </w:rPr>
              <w:t>Professional services</w:t>
            </w:r>
          </w:p>
        </w:tc>
        <w:tc>
          <w:tcPr>
            <w:tcW w:w="1060" w:type="dxa"/>
            <w:vAlign w:val="bottom"/>
          </w:tcPr>
          <w:p>
            <w:pPr>
              <w:jc w:val="right"/>
              <w:ind w:right="55"/>
              <w:spacing w:after="0"/>
              <w:rPr>
                <w:sz w:val="20"/>
                <w:szCs w:val="20"/>
                <w:color w:val="auto"/>
              </w:rPr>
            </w:pPr>
            <w:r>
              <w:rPr>
                <w:rFonts w:ascii="Arial" w:cs="Arial" w:eastAsia="Arial" w:hAnsi="Arial"/>
                <w:sz w:val="20"/>
                <w:szCs w:val="20"/>
                <w:color w:val="auto"/>
              </w:rPr>
              <w:t>289,862</w:t>
            </w:r>
          </w:p>
        </w:tc>
        <w:tc>
          <w:tcPr>
            <w:tcW w:w="1180" w:type="dxa"/>
            <w:vAlign w:val="bottom"/>
          </w:tcPr>
          <w:p>
            <w:pPr>
              <w:jc w:val="right"/>
              <w:ind w:right="55"/>
              <w:spacing w:after="0"/>
              <w:rPr>
                <w:sz w:val="20"/>
                <w:szCs w:val="20"/>
                <w:color w:val="auto"/>
              </w:rPr>
            </w:pPr>
            <w:r>
              <w:rPr>
                <w:rFonts w:ascii="Arial" w:cs="Arial" w:eastAsia="Arial" w:hAnsi="Arial"/>
                <w:sz w:val="20"/>
                <w:szCs w:val="20"/>
                <w:color w:val="auto"/>
              </w:rPr>
              <w:t>268,060</w:t>
            </w:r>
          </w:p>
        </w:tc>
        <w:tc>
          <w:tcPr>
            <w:tcW w:w="3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w w:val="99"/>
              </w:rPr>
              <w:t>267,540</w:t>
            </w:r>
          </w:p>
        </w:tc>
        <w:tc>
          <w:tcPr>
            <w:tcW w:w="120" w:type="dxa"/>
            <w:vAlign w:val="bottom"/>
          </w:tcPr>
          <w:p>
            <w:pPr>
              <w:spacing w:after="0"/>
              <w:rPr>
                <w:sz w:val="21"/>
                <w:szCs w:val="21"/>
                <w:color w:val="auto"/>
              </w:rPr>
            </w:pPr>
          </w:p>
        </w:tc>
      </w:tr>
      <w:tr>
        <w:trPr>
          <w:trHeight w:val="250"/>
        </w:trPr>
        <w:tc>
          <w:tcPr>
            <w:tcW w:w="8000" w:type="dxa"/>
            <w:vAlign w:val="bottom"/>
            <w:shd w:val="clear" w:color="auto" w:fill="CFF0FC"/>
          </w:tcPr>
          <w:p>
            <w:pPr>
              <w:ind w:left="240"/>
              <w:spacing w:after="0"/>
              <w:rPr>
                <w:sz w:val="20"/>
                <w:szCs w:val="20"/>
                <w:color w:val="auto"/>
              </w:rPr>
            </w:pPr>
            <w:r>
              <w:rPr>
                <w:rFonts w:ascii="Arial" w:cs="Arial" w:eastAsia="Arial" w:hAnsi="Arial"/>
                <w:sz w:val="20"/>
                <w:szCs w:val="20"/>
                <w:color w:val="auto"/>
              </w:rPr>
              <w:t>Amortization of capitalized servicing rights</w:t>
            </w:r>
          </w:p>
        </w:tc>
        <w:tc>
          <w:tcPr>
            <w:tcW w:w="10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49,906</w:t>
            </w:r>
          </w:p>
        </w:tc>
        <w:tc>
          <w:tcPr>
            <w:tcW w:w="120" w:type="dxa"/>
            <w:vAlign w:val="bottom"/>
            <w:shd w:val="clear" w:color="auto" w:fill="CFF0FC"/>
          </w:tcPr>
          <w:p>
            <w:pPr>
              <w:spacing w:after="0"/>
              <w:rPr>
                <w:sz w:val="21"/>
                <w:szCs w:val="21"/>
                <w:color w:val="auto"/>
              </w:rPr>
            </w:pPr>
          </w:p>
        </w:tc>
      </w:tr>
    </w:tbl>
    <w:p>
      <w:pPr>
        <w:spacing w:after="0" w:line="337"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17.</w:t>
      </w:r>
      <w:r>
        <w:rPr>
          <w:sz w:val="20"/>
          <w:szCs w:val="20"/>
          <w:color w:val="auto"/>
        </w:rPr>
        <w:tab/>
      </w:r>
      <w:r>
        <w:rPr>
          <w:rFonts w:ascii="Arial" w:cs="Arial" w:eastAsia="Arial" w:hAnsi="Arial"/>
          <w:sz w:val="18"/>
          <w:szCs w:val="18"/>
          <w:b w:val="1"/>
          <w:bCs w:val="1"/>
          <w:color w:val="auto"/>
        </w:rPr>
        <w:t>International activities</w:t>
      </w:r>
    </w:p>
    <w:p>
      <w:pPr>
        <w:spacing w:after="0" w:line="29" w:lineRule="exact"/>
        <w:rPr>
          <w:sz w:val="20"/>
          <w:szCs w:val="20"/>
          <w:color w:val="auto"/>
        </w:rPr>
      </w:pPr>
    </w:p>
    <w:p>
      <w:pPr>
        <w:ind w:right="100"/>
        <w:spacing w:after="0" w:line="262" w:lineRule="auto"/>
        <w:rPr>
          <w:sz w:val="20"/>
          <w:szCs w:val="20"/>
          <w:color w:val="auto"/>
        </w:rPr>
      </w:pPr>
      <w:r>
        <w:rPr>
          <w:rFonts w:ascii="Arial" w:cs="Arial" w:eastAsia="Arial" w:hAnsi="Arial"/>
          <w:sz w:val="19"/>
          <w:szCs w:val="19"/>
          <w:color w:val="auto"/>
        </w:rPr>
        <w:t>The Company engages in limited international activities including certain trust-related services in Europe, collecting Eurodollar deposits, engaging in foreign currency transactions associated with customer activity, providing credit to support the international activities of domestic companies and holding certain loans to foreign borrowers. Assets and revenues associated with international activities represent less than 1% of the Company’s consolidated assets and revenues. International assets included $159 million and $292 million of loans to foreign borrowers at December 31, 2017 and 2016, respectively. Deposits at M&amp;T Bank’s Cayman Islands office were $178 million and $202 million at December 31, 2017 and 2016, respectively. The Company uses such deposits to facilitate customer demand and as an alternative to short-term borrowings when the costs of such deposits seem reasonable. Deposits at M&amp;T Bank’s office in Ontario, Canada were $45 million at December 31, 2017 and $50 million at December 31, 2016. Revenues from providing international trust-related services were approximately $24 million in 2017, $25 million in 2016 and $26 million in 2015.</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46" w:right="239" w:bottom="1440" w:gutter="0" w:footer="0" w:header="0"/>
        </w:sectPr>
      </w:pPr>
    </w:p>
    <w:bookmarkStart w:id="161" w:name="page162"/>
    <w:bookmarkEnd w:id="161"/>
    <w:p>
      <w:pPr>
        <w:spacing w:after="0"/>
        <w:tabs>
          <w:tab w:leader="none" w:pos="440" w:val="left"/>
        </w:tabs>
        <w:rPr>
          <w:sz w:val="20"/>
          <w:szCs w:val="20"/>
          <w:color w:val="auto"/>
        </w:rPr>
      </w:pPr>
      <w:r>
        <w:rPr>
          <w:rFonts w:ascii="Arial" w:cs="Arial" w:eastAsia="Arial" w:hAnsi="Arial"/>
          <w:sz w:val="20"/>
          <w:szCs w:val="20"/>
          <w:b w:val="1"/>
          <w:bCs w:val="1"/>
          <w:color w:val="auto"/>
        </w:rPr>
        <w:t>18.</w:t>
      </w:r>
      <w:r>
        <w:rPr>
          <w:sz w:val="20"/>
          <w:szCs w:val="20"/>
          <w:color w:val="auto"/>
        </w:rPr>
        <w:tab/>
      </w:r>
      <w:r>
        <w:rPr>
          <w:rFonts w:ascii="Arial" w:cs="Arial" w:eastAsia="Arial" w:hAnsi="Arial"/>
          <w:sz w:val="18"/>
          <w:szCs w:val="18"/>
          <w:b w:val="1"/>
          <w:bCs w:val="1"/>
          <w:color w:val="auto"/>
        </w:rPr>
        <w:t>Derivative financial instruments</w:t>
      </w:r>
    </w:p>
    <w:p>
      <w:pPr>
        <w:spacing w:after="0" w:line="29" w:lineRule="exact"/>
        <w:rPr>
          <w:sz w:val="20"/>
          <w:szCs w:val="20"/>
          <w:color w:val="auto"/>
        </w:rPr>
      </w:pPr>
    </w:p>
    <w:p>
      <w:pPr>
        <w:ind w:right="80"/>
        <w:spacing w:after="0" w:line="274" w:lineRule="auto"/>
        <w:rPr>
          <w:sz w:val="20"/>
          <w:szCs w:val="20"/>
          <w:color w:val="auto"/>
        </w:rPr>
      </w:pPr>
      <w:r>
        <w:rPr>
          <w:rFonts w:ascii="Arial" w:cs="Arial" w:eastAsia="Arial" w:hAnsi="Arial"/>
          <w:sz w:val="18"/>
          <w:szCs w:val="18"/>
          <w:color w:val="auto"/>
        </w:rPr>
        <w:t>As part of managing interest rate risk, the Company enters into interest rate swap agreements to modify the repricing characteristics of certain portions of the Company’s portfolios of earning assets and interest-bearing liabilities. The Company designates interest rate swap agreements utilized in the management of interest rate risk as either fair value hedges or cash flow hedges. Interest rate swap agreements are generally entered into with counterparties that meet established credit standards and most contain master netting, collateral and/or settlement provisions protecting the at-risk party. Based on adherence to the Company’s credit standards and the presence of the netting, collateral or settlement provisions, the Company believes that the credit risk inherent in these contracts was not significant as of December 31, 2017.</w:t>
      </w:r>
    </w:p>
    <w:p>
      <w:pPr>
        <w:spacing w:after="0" w:line="1" w:lineRule="exact"/>
        <w:rPr>
          <w:sz w:val="20"/>
          <w:szCs w:val="20"/>
          <w:color w:val="auto"/>
        </w:rPr>
      </w:pPr>
    </w:p>
    <w:p>
      <w:pPr>
        <w:ind w:right="260" w:firstLine="598"/>
        <w:spacing w:after="0" w:line="246" w:lineRule="auto"/>
        <w:rPr>
          <w:sz w:val="20"/>
          <w:szCs w:val="20"/>
          <w:color w:val="auto"/>
        </w:rPr>
      </w:pPr>
      <w:r>
        <w:rPr>
          <w:rFonts w:ascii="Arial" w:cs="Arial" w:eastAsia="Arial" w:hAnsi="Arial"/>
          <w:sz w:val="20"/>
          <w:szCs w:val="20"/>
          <w:color w:val="auto"/>
        </w:rPr>
        <w:t>The net effect of interest rate swap agreements was to increase net interest income by $25 million in 2017, $37 million in 2016 and $44 million in 2015.</w:t>
      </w:r>
    </w:p>
    <w:p>
      <w:pPr>
        <w:spacing w:after="0" w:line="2" w:lineRule="exact"/>
        <w:rPr>
          <w:sz w:val="20"/>
          <w:szCs w:val="20"/>
          <w:color w:val="auto"/>
        </w:rPr>
      </w:pPr>
    </w:p>
    <w:p>
      <w:pPr>
        <w:ind w:right="540" w:firstLine="598"/>
        <w:spacing w:after="0" w:line="256" w:lineRule="auto"/>
        <w:rPr>
          <w:sz w:val="20"/>
          <w:szCs w:val="20"/>
          <w:color w:val="auto"/>
        </w:rPr>
      </w:pPr>
      <w:r>
        <w:rPr>
          <w:rFonts w:ascii="Arial" w:cs="Arial" w:eastAsia="Arial" w:hAnsi="Arial"/>
          <w:sz w:val="20"/>
          <w:szCs w:val="20"/>
          <w:color w:val="auto"/>
        </w:rPr>
        <w:t>Information about interest rate swap agreements entered into for interest rate risk management purposes summarized by type of financial instrument the swap agreements were intended to hedge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00" w:type="dxa"/>
            <w:vAlign w:val="bottom"/>
            <w:gridSpan w:val="3"/>
          </w:tcPr>
          <w:p>
            <w:pPr>
              <w:jc w:val="center"/>
              <w:ind w:left="641"/>
              <w:spacing w:after="0"/>
              <w:rPr>
                <w:sz w:val="20"/>
                <w:szCs w:val="20"/>
                <w:color w:val="auto"/>
              </w:rPr>
            </w:pPr>
            <w:r>
              <w:rPr>
                <w:rFonts w:ascii="Arial" w:cs="Arial" w:eastAsia="Arial" w:hAnsi="Arial"/>
                <w:sz w:val="14"/>
                <w:szCs w:val="14"/>
                <w:b w:val="1"/>
                <w:bCs w:val="1"/>
                <w:color w:val="auto"/>
                <w:w w:val="91"/>
              </w:rPr>
              <w:t>Weighted-</w:t>
            </w: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00" w:type="dxa"/>
            <w:vAlign w:val="bottom"/>
            <w:tcBorders>
              <w:bottom w:val="single" w:sz="8" w:color="auto"/>
            </w:tcBorders>
            <w:gridSpan w:val="3"/>
          </w:tcPr>
          <w:p>
            <w:pPr>
              <w:jc w:val="center"/>
              <w:ind w:left="621"/>
              <w:spacing w:after="0"/>
              <w:rPr>
                <w:sz w:val="20"/>
                <w:szCs w:val="20"/>
                <w:color w:val="auto"/>
              </w:rPr>
            </w:pPr>
            <w:r>
              <w:rPr>
                <w:rFonts w:ascii="Arial" w:cs="Arial" w:eastAsia="Arial" w:hAnsi="Arial"/>
                <w:sz w:val="14"/>
                <w:szCs w:val="14"/>
                <w:b w:val="1"/>
                <w:bCs w:val="1"/>
                <w:color w:val="auto"/>
                <w:w w:val="89"/>
              </w:rPr>
              <w:t>Average Rate</w:t>
            </w:r>
          </w:p>
        </w:tc>
        <w:tc>
          <w:tcPr>
            <w:tcW w:w="74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15"/>
        </w:trPr>
        <w:tc>
          <w:tcPr>
            <w:tcW w:w="39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Notional</w:t>
            </w:r>
          </w:p>
        </w:tc>
        <w:tc>
          <w:tcPr>
            <w:tcW w:w="12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6"/>
              </w:rPr>
              <w:t>Average</w:t>
            </w:r>
          </w:p>
        </w:tc>
        <w:tc>
          <w:tcPr>
            <w:tcW w:w="9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39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92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Fixed</w:t>
            </w:r>
          </w:p>
        </w:tc>
        <w:tc>
          <w:tcPr>
            <w:tcW w:w="380" w:type="dxa"/>
            <w:vAlign w:val="bottom"/>
            <w:vMerge w:val="restart"/>
          </w:tcPr>
          <w:p>
            <w:pPr>
              <w:spacing w:after="0"/>
              <w:rPr>
                <w:sz w:val="12"/>
                <w:szCs w:val="12"/>
                <w:color w:val="auto"/>
              </w:rPr>
            </w:pPr>
          </w:p>
        </w:tc>
        <w:tc>
          <w:tcPr>
            <w:tcW w:w="200" w:type="dxa"/>
            <w:vAlign w:val="bottom"/>
            <w:vMerge w:val="restart"/>
          </w:tcPr>
          <w:p>
            <w:pPr>
              <w:spacing w:after="0"/>
              <w:rPr>
                <w:sz w:val="12"/>
                <w:szCs w:val="12"/>
                <w:color w:val="auto"/>
              </w:rPr>
            </w:pPr>
          </w:p>
        </w:tc>
        <w:tc>
          <w:tcPr>
            <w:tcW w:w="7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Variable</w:t>
            </w:r>
          </w:p>
        </w:tc>
        <w:tc>
          <w:tcPr>
            <w:tcW w:w="40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167"/>
        </w:trPr>
        <w:tc>
          <w:tcPr>
            <w:tcW w:w="3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Amount</w:t>
            </w:r>
          </w:p>
        </w:tc>
        <w:tc>
          <w:tcPr>
            <w:tcW w:w="32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Maturity</w:t>
            </w:r>
          </w:p>
        </w:tc>
        <w:tc>
          <w:tcPr>
            <w:tcW w:w="340" w:type="dxa"/>
            <w:vAlign w:val="bottom"/>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20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5"/>
              </w:rPr>
              <w:t>Gain (a)</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9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(In thousands)</w:t>
            </w: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(In years)</w:t>
            </w: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23"/>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December 31, 2017</w:t>
            </w:r>
          </w:p>
        </w:tc>
        <w:tc>
          <w:tcPr>
            <w:tcW w:w="1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80" w:type="dxa"/>
            <w:vAlign w:val="bottom"/>
          </w:tcPr>
          <w:p>
            <w:pPr>
              <w:spacing w:after="0"/>
              <w:rPr>
                <w:sz w:val="20"/>
                <w:szCs w:val="20"/>
                <w:color w:val="auto"/>
              </w:rPr>
            </w:pPr>
            <w:r>
              <w:rPr>
                <w:rFonts w:ascii="Arial" w:cs="Arial" w:eastAsia="Arial" w:hAnsi="Arial"/>
                <w:sz w:val="18"/>
                <w:szCs w:val="18"/>
                <w:color w:val="auto"/>
              </w:rPr>
              <w:t>Fair value hedges:</w:t>
            </w: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Fixed rate long-term borrowings(b)</w:t>
            </w:r>
          </w:p>
        </w:tc>
        <w:tc>
          <w:tcPr>
            <w:tcW w:w="1400" w:type="dxa"/>
            <w:vAlign w:val="bottom"/>
            <w:gridSpan w:val="2"/>
            <w:shd w:val="clear" w:color="auto" w:fill="CFF0FC"/>
          </w:tcPr>
          <w:p>
            <w:pPr>
              <w:ind w:left="12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4,550,000</w:t>
            </w: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3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2.27%</w:t>
            </w:r>
          </w:p>
        </w:tc>
        <w:tc>
          <w:tcPr>
            <w:tcW w:w="2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80" w:type="dxa"/>
            <w:vAlign w:val="bottom"/>
          </w:tcPr>
          <w:p>
            <w:pPr>
              <w:spacing w:after="0"/>
              <w:rPr>
                <w:sz w:val="20"/>
                <w:szCs w:val="20"/>
                <w:color w:val="auto"/>
              </w:rPr>
            </w:pPr>
            <w:r>
              <w:rPr>
                <w:rFonts w:ascii="Arial" w:cs="Arial" w:eastAsia="Arial" w:hAnsi="Arial"/>
                <w:sz w:val="18"/>
                <w:szCs w:val="18"/>
                <w:color w:val="auto"/>
              </w:rPr>
              <w:t>Cash flow hedges:</w:t>
            </w: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9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Variable rate commercial real estate</w:t>
            </w:r>
          </w:p>
        </w:tc>
        <w:tc>
          <w:tcPr>
            <w:tcW w:w="1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80" w:type="dxa"/>
            <w:vAlign w:val="bottom"/>
            <w:shd w:val="clear" w:color="auto" w:fill="CFF0FC"/>
          </w:tcPr>
          <w:p>
            <w:pPr>
              <w:ind w:left="400"/>
              <w:spacing w:after="0"/>
              <w:rPr>
                <w:sz w:val="20"/>
                <w:szCs w:val="20"/>
                <w:color w:val="auto"/>
              </w:rPr>
            </w:pPr>
            <w:r>
              <w:rPr>
                <w:rFonts w:ascii="Arial" w:cs="Arial" w:eastAsia="Arial" w:hAnsi="Arial"/>
                <w:sz w:val="18"/>
                <w:szCs w:val="18"/>
                <w:color w:val="auto"/>
              </w:rPr>
              <w:t>loans(b)( c)</w:t>
            </w:r>
          </w:p>
        </w:tc>
        <w:tc>
          <w:tcPr>
            <w:tcW w:w="12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4,850,000</w:t>
            </w:r>
          </w:p>
        </w:tc>
        <w:tc>
          <w:tcPr>
            <w:tcW w:w="32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3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1.52%</w:t>
            </w:r>
          </w:p>
        </w:tc>
        <w:tc>
          <w:tcPr>
            <w:tcW w:w="2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3980" w:type="dxa"/>
            <w:vAlign w:val="bottom"/>
          </w:tcPr>
          <w:p>
            <w:pPr>
              <w:ind w:left="220"/>
              <w:spacing w:after="0"/>
              <w:rPr>
                <w:sz w:val="20"/>
                <w:szCs w:val="20"/>
                <w:color w:val="auto"/>
              </w:rPr>
            </w:pPr>
            <w:r>
              <w:rPr>
                <w:rFonts w:ascii="Arial" w:cs="Arial" w:eastAsia="Arial" w:hAnsi="Arial"/>
                <w:sz w:val="18"/>
                <w:szCs w:val="18"/>
                <w:color w:val="auto"/>
              </w:rPr>
              <w:t>Total</w:t>
            </w:r>
          </w:p>
        </w:tc>
        <w:tc>
          <w:tcPr>
            <w:tcW w:w="1400" w:type="dxa"/>
            <w:vAlign w:val="bottom"/>
            <w:gridSpan w:val="2"/>
          </w:tcPr>
          <w:p>
            <w:pPr>
              <w:ind w:left="12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2"/>
              </w:rPr>
              <w:t>9,400,000</w:t>
            </w:r>
          </w:p>
        </w:tc>
        <w:tc>
          <w:tcPr>
            <w:tcW w:w="3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w:t>
            </w:r>
          </w:p>
        </w:tc>
        <w:tc>
          <w:tcPr>
            <w:tcW w:w="3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639</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3980" w:type="dxa"/>
            <w:vAlign w:val="bottom"/>
            <w:tcBorders>
              <w:top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December 31, 2016</w:t>
            </w:r>
          </w:p>
        </w:tc>
        <w:tc>
          <w:tcPr>
            <w:tcW w:w="126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320" w:type="dxa"/>
            <w:vAlign w:val="bottom"/>
            <w:tcBorders>
              <w:top w:val="single" w:sz="8" w:color="CFF0FC"/>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340" w:type="dxa"/>
            <w:vAlign w:val="bottom"/>
            <w:tcBorders>
              <w:top w:val="single" w:sz="8" w:color="CFF0FC"/>
            </w:tcBorders>
            <w:shd w:val="clear" w:color="auto" w:fill="CFF0FC"/>
          </w:tcPr>
          <w:p>
            <w:pPr>
              <w:spacing w:after="0"/>
              <w:rPr>
                <w:sz w:val="17"/>
                <w:szCs w:val="17"/>
                <w:color w:val="auto"/>
              </w:rPr>
            </w:pPr>
          </w:p>
        </w:tc>
        <w:tc>
          <w:tcPr>
            <w:tcW w:w="920" w:type="dxa"/>
            <w:vAlign w:val="bottom"/>
            <w:tcBorders>
              <w:top w:val="single" w:sz="8" w:color="CFF0FC"/>
            </w:tcBorders>
            <w:shd w:val="clear" w:color="auto" w:fill="CFF0FC"/>
          </w:tcPr>
          <w:p>
            <w:pPr>
              <w:spacing w:after="0"/>
              <w:rPr>
                <w:sz w:val="17"/>
                <w:szCs w:val="17"/>
                <w:color w:val="auto"/>
              </w:rPr>
            </w:pPr>
          </w:p>
        </w:tc>
        <w:tc>
          <w:tcPr>
            <w:tcW w:w="3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740" w:type="dxa"/>
            <w:vAlign w:val="bottom"/>
            <w:tcBorders>
              <w:top w:val="single" w:sz="8" w:color="CFF0FC"/>
            </w:tcBorders>
            <w:shd w:val="clear" w:color="auto" w:fill="CFF0FC"/>
          </w:tcPr>
          <w:p>
            <w:pPr>
              <w:spacing w:after="0"/>
              <w:rPr>
                <w:sz w:val="17"/>
                <w:szCs w:val="17"/>
                <w:color w:val="auto"/>
              </w:rPr>
            </w:pPr>
          </w:p>
        </w:tc>
        <w:tc>
          <w:tcPr>
            <w:tcW w:w="4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980" w:type="dxa"/>
            <w:vAlign w:val="bottom"/>
          </w:tcPr>
          <w:p>
            <w:pPr>
              <w:spacing w:after="0"/>
              <w:rPr>
                <w:sz w:val="20"/>
                <w:szCs w:val="20"/>
                <w:color w:val="auto"/>
              </w:rPr>
            </w:pPr>
            <w:r>
              <w:rPr>
                <w:rFonts w:ascii="Arial" w:cs="Arial" w:eastAsia="Arial" w:hAnsi="Arial"/>
                <w:sz w:val="18"/>
                <w:szCs w:val="18"/>
                <w:color w:val="auto"/>
              </w:rPr>
              <w:t>Fair value hedges:</w:t>
            </w: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Fixed rate long-term borrowings(b)</w:t>
            </w:r>
          </w:p>
        </w:tc>
        <w:tc>
          <w:tcPr>
            <w:tcW w:w="1400" w:type="dxa"/>
            <w:vAlign w:val="bottom"/>
            <w:gridSpan w:val="2"/>
            <w:shd w:val="clear" w:color="auto" w:fill="CFF0FC"/>
          </w:tcPr>
          <w:p>
            <w:pPr>
              <w:ind w:left="12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900,000</w:t>
            </w: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3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3.75%</w:t>
            </w:r>
          </w:p>
        </w:tc>
        <w:tc>
          <w:tcPr>
            <w:tcW w:w="2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11,892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80" w:type="dxa"/>
            <w:vAlign w:val="bottom"/>
            <w:tcBorders>
              <w:top w:val="single" w:sz="8" w:color="CFF0FC"/>
            </w:tcBorders>
          </w:tcPr>
          <w:p>
            <w:pPr>
              <w:spacing w:after="0" w:line="20" w:lineRule="exact"/>
              <w:rPr>
                <w:sz w:val="1"/>
                <w:szCs w:val="1"/>
                <w:color w:val="auto"/>
              </w:rPr>
            </w:pPr>
          </w:p>
        </w:tc>
        <w:tc>
          <w:tcPr>
            <w:tcW w:w="12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136017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147" w:lineRule="exact"/>
        <w:rPr>
          <w:sz w:val="20"/>
          <w:szCs w:val="20"/>
          <w:color w:val="auto"/>
        </w:rPr>
      </w:pPr>
    </w:p>
    <w:p>
      <w:pPr>
        <w:ind w:left="440" w:right="40" w:hanging="435"/>
        <w:spacing w:after="0" w:line="265" w:lineRule="auto"/>
        <w:tabs>
          <w:tab w:leader="none" w:pos="440" w:val="left"/>
        </w:tabs>
        <w:numPr>
          <w:ilvl w:val="0"/>
          <w:numId w:val="51"/>
        </w:numPr>
        <w:rPr>
          <w:rFonts w:ascii="Arial" w:cs="Arial" w:eastAsia="Arial" w:hAnsi="Arial"/>
          <w:sz w:val="18"/>
          <w:szCs w:val="18"/>
          <w:i w:val="1"/>
          <w:iCs w:val="1"/>
          <w:color w:val="auto"/>
        </w:rPr>
      </w:pPr>
      <w:r>
        <w:rPr>
          <w:rFonts w:ascii="Arial" w:cs="Arial" w:eastAsia="Arial" w:hAnsi="Arial"/>
          <w:sz w:val="18"/>
          <w:szCs w:val="18"/>
          <w:i w:val="1"/>
          <w:iCs w:val="1"/>
          <w:color w:val="auto"/>
        </w:rPr>
        <w:t>Effective January 2017 certain clearinghouse exchanges revised their rules such that certain required payments by counterparties for variation margin on derivative instruments that had been treated as collateral are now treated as settlements of those positions. The impact of such rule changes at December 31, 2017 was a reduction of the estimated fair value losses on interest rate swap agreements designated as fair value hedges of $41.1 million and on interest rate swap agreements designated as cash flow hedges of $16.3 million.</w:t>
      </w:r>
    </w:p>
    <w:p>
      <w:pPr>
        <w:spacing w:after="0" w:line="1" w:lineRule="exact"/>
        <w:rPr>
          <w:rFonts w:ascii="Arial" w:cs="Arial" w:eastAsia="Arial" w:hAnsi="Arial"/>
          <w:sz w:val="18"/>
          <w:szCs w:val="18"/>
          <w:i w:val="1"/>
          <w:iCs w:val="1"/>
          <w:color w:val="auto"/>
        </w:rPr>
      </w:pPr>
    </w:p>
    <w:p>
      <w:pPr>
        <w:ind w:left="440" w:hanging="435"/>
        <w:spacing w:after="0"/>
        <w:tabs>
          <w:tab w:leader="none" w:pos="440" w:val="left"/>
        </w:tabs>
        <w:numPr>
          <w:ilvl w:val="0"/>
          <w:numId w:val="51"/>
        </w:numPr>
        <w:rPr>
          <w:rFonts w:ascii="Arial" w:cs="Arial" w:eastAsia="Arial" w:hAnsi="Arial"/>
          <w:sz w:val="19"/>
          <w:szCs w:val="19"/>
          <w:i w:val="1"/>
          <w:iCs w:val="1"/>
          <w:color w:val="auto"/>
        </w:rPr>
      </w:pPr>
      <w:r>
        <w:rPr>
          <w:rFonts w:ascii="Arial" w:cs="Arial" w:eastAsia="Arial" w:hAnsi="Arial"/>
          <w:sz w:val="19"/>
          <w:szCs w:val="19"/>
          <w:i w:val="1"/>
          <w:iCs w:val="1"/>
          <w:color w:val="auto"/>
        </w:rPr>
        <w:t>Under the terms of these agreements, the Company receives settlement amounts at a fixed rate and pays at a variable rate.</w:t>
      </w:r>
    </w:p>
    <w:p>
      <w:pPr>
        <w:spacing w:after="0" w:line="11" w:lineRule="exact"/>
        <w:rPr>
          <w:rFonts w:ascii="Arial" w:cs="Arial" w:eastAsia="Arial" w:hAnsi="Arial"/>
          <w:sz w:val="19"/>
          <w:szCs w:val="19"/>
          <w:i w:val="1"/>
          <w:iCs w:val="1"/>
          <w:color w:val="auto"/>
        </w:rPr>
      </w:pPr>
    </w:p>
    <w:p>
      <w:pPr>
        <w:ind w:left="440" w:right="40" w:hanging="435"/>
        <w:spacing w:after="0" w:line="244" w:lineRule="auto"/>
        <w:tabs>
          <w:tab w:leader="none" w:pos="440" w:val="left"/>
        </w:tabs>
        <w:numPr>
          <w:ilvl w:val="0"/>
          <w:numId w:val="51"/>
        </w:numPr>
        <w:rPr>
          <w:rFonts w:ascii="Arial" w:cs="Arial" w:eastAsia="Arial" w:hAnsi="Arial"/>
          <w:sz w:val="20"/>
          <w:szCs w:val="20"/>
          <w:i w:val="1"/>
          <w:iCs w:val="1"/>
          <w:color w:val="auto"/>
        </w:rPr>
      </w:pPr>
      <w:r>
        <w:rPr>
          <w:rFonts w:ascii="Arial" w:cs="Arial" w:eastAsia="Arial" w:hAnsi="Arial"/>
          <w:sz w:val="19"/>
          <w:szCs w:val="19"/>
          <w:i w:val="1"/>
          <w:iCs w:val="1"/>
          <w:color w:val="auto"/>
        </w:rPr>
        <w:t>Includes notional amount and terms of $2.0 billion of forward-starting interest rate swap agreements that will become effective upon maturity in 2019 of $2.0 billion of agreements currently in effect.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43" w:right="239" w:bottom="1440" w:gutter="0" w:footer="0" w:header="0"/>
        </w:sectPr>
      </w:pPr>
    </w:p>
    <w:bookmarkStart w:id="162" w:name="page163"/>
    <w:bookmarkEnd w:id="162"/>
    <w:p>
      <w:pPr>
        <w:ind w:left="600"/>
        <w:spacing w:after="0"/>
        <w:rPr>
          <w:sz w:val="20"/>
          <w:szCs w:val="20"/>
          <w:color w:val="auto"/>
        </w:rPr>
      </w:pPr>
      <w:r>
        <w:rPr>
          <w:rFonts w:ascii="Arial" w:cs="Arial" w:eastAsia="Arial" w:hAnsi="Arial"/>
          <w:sz w:val="19"/>
          <w:szCs w:val="19"/>
          <w:color w:val="auto"/>
        </w:rPr>
        <w:t>The notional amount of interest rate swap agreements entered into for risk management purposes that were outstanding at</w:t>
      </w:r>
    </w:p>
    <w:p>
      <w:pPr>
        <w:spacing w:after="0" w:line="36" w:lineRule="exact"/>
        <w:rPr>
          <w:sz w:val="20"/>
          <w:szCs w:val="20"/>
          <w:color w:val="auto"/>
        </w:rPr>
      </w:pPr>
    </w:p>
    <w:p>
      <w:pPr>
        <w:spacing w:after="0"/>
        <w:rPr>
          <w:sz w:val="20"/>
          <w:szCs w:val="20"/>
          <w:color w:val="auto"/>
        </w:rPr>
      </w:pPr>
      <w:r>
        <w:rPr>
          <w:rFonts w:ascii="Arial" w:cs="Arial" w:eastAsia="Arial" w:hAnsi="Arial"/>
          <w:sz w:val="20"/>
          <w:szCs w:val="20"/>
          <w:color w:val="auto"/>
        </w:rPr>
        <w:t>December 31, 2017 mature as follows: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0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ind w:left="160"/>
              <w:spacing w:after="0"/>
              <w:rPr>
                <w:sz w:val="20"/>
                <w:szCs w:val="20"/>
                <w:color w:val="auto"/>
              </w:rPr>
            </w:pPr>
            <w:r>
              <w:rPr>
                <w:rFonts w:ascii="Arial" w:cs="Arial" w:eastAsia="Arial" w:hAnsi="Arial"/>
                <w:sz w:val="14"/>
                <w:szCs w:val="14"/>
                <w:b w:val="1"/>
                <w:bCs w:val="1"/>
                <w:color w:val="auto"/>
                <w:w w:val="99"/>
              </w:rPr>
              <w:t>(In thousands)</w:t>
            </w:r>
          </w:p>
        </w:tc>
      </w:tr>
      <w:tr>
        <w:trPr>
          <w:trHeight w:val="250"/>
        </w:trPr>
        <w:tc>
          <w:tcPr>
            <w:tcW w:w="10020" w:type="dxa"/>
            <w:vAlign w:val="bottom"/>
            <w:shd w:val="clear" w:color="auto" w:fill="CFF0FC"/>
          </w:tcPr>
          <w:p>
            <w:pPr>
              <w:spacing w:after="0"/>
              <w:rPr>
                <w:sz w:val="20"/>
                <w:szCs w:val="20"/>
                <w:color w:val="auto"/>
              </w:rPr>
            </w:pPr>
            <w:r>
              <w:rPr>
                <w:rFonts w:ascii="Arial" w:cs="Arial" w:eastAsia="Arial" w:hAnsi="Arial"/>
                <w:sz w:val="20"/>
                <w:szCs w:val="20"/>
                <w:color w:val="auto"/>
              </w:rPr>
              <w:t>Year ending December 31:</w:t>
            </w: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50"/>
        </w:trPr>
        <w:tc>
          <w:tcPr>
            <w:tcW w:w="10020" w:type="dxa"/>
            <w:vAlign w:val="bottom"/>
          </w:tcPr>
          <w:p>
            <w:pPr>
              <w:ind w:left="240"/>
              <w:spacing w:after="0"/>
              <w:rPr>
                <w:sz w:val="20"/>
                <w:szCs w:val="20"/>
                <w:color w:val="auto"/>
              </w:rPr>
            </w:pPr>
            <w:r>
              <w:rPr>
                <w:rFonts w:ascii="Arial" w:cs="Arial" w:eastAsia="Arial" w:hAnsi="Arial"/>
                <w:sz w:val="20"/>
                <w:szCs w:val="20"/>
                <w:color w:val="auto"/>
              </w:rPr>
              <w:t>2018</w:t>
            </w:r>
          </w:p>
        </w:tc>
        <w:tc>
          <w:tcPr>
            <w:tcW w:w="260" w:type="dxa"/>
            <w:vAlign w:val="bottom"/>
            <w:gridSpan w:val="2"/>
          </w:tcPr>
          <w:p>
            <w:pPr>
              <w:jc w:val="right"/>
              <w:ind w:right="84"/>
              <w:spacing w:after="0"/>
              <w:rPr>
                <w:sz w:val="20"/>
                <w:szCs w:val="20"/>
                <w:color w:val="auto"/>
              </w:rPr>
            </w:pPr>
            <w:r>
              <w:rPr>
                <w:rFonts w:ascii="Arial" w:cs="Arial" w:eastAsia="Arial" w:hAnsi="Arial"/>
                <w:sz w:val="20"/>
                <w:szCs w:val="20"/>
                <w:color w:val="auto"/>
                <w:w w:val="71"/>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500,000</w:t>
            </w:r>
          </w:p>
        </w:tc>
        <w:tc>
          <w:tcPr>
            <w:tcW w:w="100" w:type="dxa"/>
            <w:vAlign w:val="bottom"/>
          </w:tcPr>
          <w:p>
            <w:pPr>
              <w:spacing w:after="0"/>
              <w:rPr>
                <w:sz w:val="21"/>
                <w:szCs w:val="21"/>
                <w:color w:val="auto"/>
              </w:rPr>
            </w:pPr>
          </w:p>
        </w:tc>
      </w:tr>
      <w:tr>
        <w:trPr>
          <w:trHeight w:val="250"/>
        </w:trPr>
        <w:tc>
          <w:tcPr>
            <w:tcW w:w="100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2019</w:t>
            </w: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4,250,000</w:t>
            </w:r>
          </w:p>
        </w:tc>
        <w:tc>
          <w:tcPr>
            <w:tcW w:w="100" w:type="dxa"/>
            <w:vAlign w:val="bottom"/>
            <w:shd w:val="clear" w:color="auto" w:fill="CFF0FC"/>
          </w:tcPr>
          <w:p>
            <w:pPr>
              <w:spacing w:after="0"/>
              <w:rPr>
                <w:sz w:val="21"/>
                <w:szCs w:val="21"/>
                <w:color w:val="auto"/>
              </w:rPr>
            </w:pPr>
          </w:p>
        </w:tc>
      </w:tr>
      <w:tr>
        <w:trPr>
          <w:trHeight w:val="250"/>
        </w:trPr>
        <w:tc>
          <w:tcPr>
            <w:tcW w:w="10020" w:type="dxa"/>
            <w:vAlign w:val="bottom"/>
          </w:tcPr>
          <w:p>
            <w:pPr>
              <w:ind w:left="240"/>
              <w:spacing w:after="0"/>
              <w:rPr>
                <w:sz w:val="20"/>
                <w:szCs w:val="20"/>
                <w:color w:val="auto"/>
              </w:rPr>
            </w:pPr>
            <w:r>
              <w:rPr>
                <w:rFonts w:ascii="Arial" w:cs="Arial" w:eastAsia="Arial" w:hAnsi="Arial"/>
                <w:sz w:val="20"/>
                <w:szCs w:val="20"/>
                <w:color w:val="auto"/>
              </w:rPr>
              <w:t>2020</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3,500,000</w:t>
            </w:r>
          </w:p>
        </w:tc>
        <w:tc>
          <w:tcPr>
            <w:tcW w:w="100" w:type="dxa"/>
            <w:vAlign w:val="bottom"/>
          </w:tcPr>
          <w:p>
            <w:pPr>
              <w:spacing w:after="0"/>
              <w:rPr>
                <w:sz w:val="21"/>
                <w:szCs w:val="21"/>
                <w:color w:val="auto"/>
              </w:rPr>
            </w:pPr>
          </w:p>
        </w:tc>
      </w:tr>
      <w:tr>
        <w:trPr>
          <w:trHeight w:val="250"/>
        </w:trPr>
        <w:tc>
          <w:tcPr>
            <w:tcW w:w="100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2021</w:t>
            </w: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r>
      <w:tr>
        <w:trPr>
          <w:trHeight w:val="250"/>
        </w:trPr>
        <w:tc>
          <w:tcPr>
            <w:tcW w:w="10020" w:type="dxa"/>
            <w:vAlign w:val="bottom"/>
          </w:tcPr>
          <w:p>
            <w:pPr>
              <w:ind w:left="240"/>
              <w:spacing w:after="0"/>
              <w:rPr>
                <w:sz w:val="20"/>
                <w:szCs w:val="20"/>
                <w:color w:val="auto"/>
              </w:rPr>
            </w:pPr>
            <w:r>
              <w:rPr>
                <w:rFonts w:ascii="Arial" w:cs="Arial" w:eastAsia="Arial" w:hAnsi="Arial"/>
                <w:sz w:val="20"/>
                <w:szCs w:val="20"/>
                <w:color w:val="auto"/>
              </w:rPr>
              <w:t>2022</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650,000</w:t>
            </w:r>
          </w:p>
        </w:tc>
        <w:tc>
          <w:tcPr>
            <w:tcW w:w="100" w:type="dxa"/>
            <w:vAlign w:val="bottom"/>
          </w:tcPr>
          <w:p>
            <w:pPr>
              <w:spacing w:after="0"/>
              <w:rPr>
                <w:sz w:val="21"/>
                <w:szCs w:val="21"/>
                <w:color w:val="auto"/>
              </w:rPr>
            </w:pPr>
          </w:p>
        </w:tc>
      </w:tr>
      <w:tr>
        <w:trPr>
          <w:trHeight w:val="250"/>
        </w:trPr>
        <w:tc>
          <w:tcPr>
            <w:tcW w:w="100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2023 through 2027</w:t>
            </w:r>
          </w:p>
        </w:tc>
        <w:tc>
          <w:tcPr>
            <w:tcW w:w="20" w:type="dxa"/>
            <w:vAlign w:val="bottom"/>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500,000</w:t>
            </w:r>
          </w:p>
        </w:tc>
        <w:tc>
          <w:tcPr>
            <w:tcW w:w="100" w:type="dxa"/>
            <w:vAlign w:val="bottom"/>
            <w:shd w:val="clear" w:color="auto" w:fill="CFF0FC"/>
          </w:tcPr>
          <w:p>
            <w:pPr>
              <w:spacing w:after="0"/>
              <w:rPr>
                <w:sz w:val="21"/>
                <w:szCs w:val="21"/>
                <w:color w:val="auto"/>
              </w:rPr>
            </w:pPr>
          </w:p>
        </w:tc>
      </w:tr>
      <w:tr>
        <w:trPr>
          <w:trHeight w:val="243"/>
        </w:trPr>
        <w:tc>
          <w:tcPr>
            <w:tcW w:w="100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9,400,000</w:t>
            </w:r>
          </w:p>
        </w:tc>
        <w:tc>
          <w:tcPr>
            <w:tcW w:w="100" w:type="dxa"/>
            <w:vAlign w:val="bottom"/>
          </w:tcPr>
          <w:p>
            <w:pPr>
              <w:spacing w:after="0"/>
              <w:rPr>
                <w:sz w:val="21"/>
                <w:szCs w:val="21"/>
                <w:color w:val="auto"/>
              </w:rPr>
            </w:pPr>
          </w:p>
        </w:tc>
      </w:tr>
      <w:tr>
        <w:trPr>
          <w:trHeight w:val="20"/>
        </w:trPr>
        <w:tc>
          <w:tcPr>
            <w:tcW w:w="10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6" w:lineRule="exact"/>
        <w:rPr>
          <w:sz w:val="20"/>
          <w:szCs w:val="20"/>
          <w:color w:val="auto"/>
        </w:rPr>
      </w:pPr>
    </w:p>
    <w:p>
      <w:pPr>
        <w:jc w:val="both"/>
        <w:ind w:right="20" w:firstLine="598"/>
        <w:spacing w:after="0" w:line="297" w:lineRule="auto"/>
        <w:rPr>
          <w:sz w:val="20"/>
          <w:szCs w:val="20"/>
          <w:color w:val="auto"/>
        </w:rPr>
      </w:pPr>
      <w:r>
        <w:rPr>
          <w:rFonts w:ascii="Arial" w:cs="Arial" w:eastAsia="Arial" w:hAnsi="Arial"/>
          <w:sz w:val="17"/>
          <w:szCs w:val="17"/>
          <w:color w:val="auto"/>
        </w:rPr>
        <w:t>The Company utilizes commitments to sell residential and commercial real estate loans to hedge the exposure to changes in the fair value of real estate loans held for sale. Such commitments have generally been designated as fair value hedges. The Company also utilizes commitments to sell real estate loans to offset the exposure to changes in fair value of certain commitments to originate real estate loans for sale.</w:t>
      </w:r>
    </w:p>
    <w:p>
      <w:pPr>
        <w:spacing w:after="0" w:line="2" w:lineRule="exact"/>
        <w:rPr>
          <w:sz w:val="20"/>
          <w:szCs w:val="20"/>
          <w:color w:val="auto"/>
        </w:rPr>
      </w:pPr>
    </w:p>
    <w:p>
      <w:pPr>
        <w:ind w:right="60" w:firstLine="598"/>
        <w:spacing w:after="0" w:line="246" w:lineRule="auto"/>
        <w:rPr>
          <w:sz w:val="20"/>
          <w:szCs w:val="20"/>
          <w:color w:val="auto"/>
        </w:rPr>
      </w:pPr>
      <w:r>
        <w:rPr>
          <w:rFonts w:ascii="Arial" w:cs="Arial" w:eastAsia="Arial" w:hAnsi="Arial"/>
          <w:sz w:val="20"/>
          <w:szCs w:val="20"/>
          <w:color w:val="auto"/>
        </w:rPr>
        <w:t>Derivative financial instruments used for trading account purposes included interest rate contracts, foreign exchange and other option contracts, foreign exchange forward and spot contracts, and financial futures. Interest rate contracts entered into for trading account purposes had notional values of $29.9 billion and $21.6 billion at December 31, 2017 and 2016, respectively. The notional amounts of foreign currency and other option and futures contracts entered into for trading account purposes aggregated $530 million and $471 million at December 31, 2017 and 2016, respectively.</w:t>
      </w:r>
    </w:p>
    <w:p>
      <w:pPr>
        <w:spacing w:after="0" w:line="4" w:lineRule="exact"/>
        <w:rPr>
          <w:sz w:val="20"/>
          <w:szCs w:val="20"/>
          <w:color w:val="auto"/>
        </w:rPr>
      </w:pPr>
    </w:p>
    <w:p>
      <w:pPr>
        <w:ind w:right="200" w:firstLine="598"/>
        <w:spacing w:after="0" w:line="256" w:lineRule="auto"/>
        <w:rPr>
          <w:sz w:val="20"/>
          <w:szCs w:val="20"/>
          <w:color w:val="auto"/>
        </w:rPr>
      </w:pPr>
      <w:r>
        <w:rPr>
          <w:rFonts w:ascii="Arial" w:cs="Arial" w:eastAsia="Arial" w:hAnsi="Arial"/>
          <w:sz w:val="20"/>
          <w:szCs w:val="20"/>
          <w:color w:val="auto"/>
        </w:rPr>
        <w:t>Information about the fair values of derivative instruments in the Company’s consolidated balance sheet and consolidated statement of income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14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40" w:type="dxa"/>
            <w:vAlign w:val="bottom"/>
            <w:gridSpan w:val="4"/>
          </w:tcPr>
          <w:p>
            <w:pPr>
              <w:jc w:val="center"/>
              <w:ind w:right="136"/>
              <w:spacing w:after="0"/>
              <w:rPr>
                <w:sz w:val="20"/>
                <w:szCs w:val="20"/>
                <w:color w:val="auto"/>
              </w:rPr>
            </w:pPr>
            <w:r>
              <w:rPr>
                <w:rFonts w:ascii="Arial" w:cs="Arial" w:eastAsia="Arial" w:hAnsi="Arial"/>
                <w:sz w:val="14"/>
                <w:szCs w:val="14"/>
                <w:b w:val="1"/>
                <w:bCs w:val="1"/>
                <w:color w:val="auto"/>
                <w:w w:val="87"/>
              </w:rPr>
              <w:t>Asset Derivatives</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6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92"/>
              </w:rPr>
              <w:t>Liability Derivatives</w:t>
            </w:r>
          </w:p>
        </w:tc>
        <w:tc>
          <w:tcPr>
            <w:tcW w:w="0" w:type="dxa"/>
            <w:vAlign w:val="bottom"/>
          </w:tcPr>
          <w:p>
            <w:pPr>
              <w:spacing w:after="0"/>
              <w:rPr>
                <w:sz w:val="1"/>
                <w:szCs w:val="1"/>
                <w:color w:val="auto"/>
              </w:rPr>
            </w:pPr>
          </w:p>
        </w:tc>
      </w:tr>
      <w:tr>
        <w:trPr>
          <w:trHeight w:val="141"/>
        </w:trPr>
        <w:tc>
          <w:tcPr>
            <w:tcW w:w="214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3"/>
          </w:tcPr>
          <w:p>
            <w:pPr>
              <w:jc w:val="center"/>
              <w:ind w:left="398"/>
              <w:spacing w:after="0" w:line="141" w:lineRule="exact"/>
              <w:rPr>
                <w:sz w:val="20"/>
                <w:szCs w:val="20"/>
                <w:color w:val="auto"/>
              </w:rPr>
            </w:pPr>
            <w:r>
              <w:rPr>
                <w:rFonts w:ascii="Arial" w:cs="Arial" w:eastAsia="Arial" w:hAnsi="Arial"/>
                <w:sz w:val="14"/>
                <w:szCs w:val="14"/>
                <w:b w:val="1"/>
                <w:bCs w:val="1"/>
                <w:color w:val="auto"/>
                <w:w w:val="92"/>
              </w:rPr>
              <w:t>Fair Value</w:t>
            </w:r>
          </w:p>
        </w:tc>
        <w:tc>
          <w:tcPr>
            <w:tcW w:w="7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3"/>
          </w:tcPr>
          <w:p>
            <w:pPr>
              <w:jc w:val="center"/>
              <w:ind w:left="258"/>
              <w:spacing w:after="0" w:line="141" w:lineRule="exact"/>
              <w:rPr>
                <w:sz w:val="20"/>
                <w:szCs w:val="20"/>
                <w:color w:val="auto"/>
              </w:rPr>
            </w:pPr>
            <w:r>
              <w:rPr>
                <w:rFonts w:ascii="Arial" w:cs="Arial" w:eastAsia="Arial" w:hAnsi="Arial"/>
                <w:sz w:val="14"/>
                <w:szCs w:val="14"/>
                <w:b w:val="1"/>
                <w:bCs w:val="1"/>
                <w:color w:val="auto"/>
                <w:w w:val="92"/>
              </w:rPr>
              <w:t>Fair Value</w:t>
            </w: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4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center"/>
              <w:ind w:left="398"/>
              <w:spacing w:after="0"/>
              <w:rPr>
                <w:sz w:val="20"/>
                <w:szCs w:val="20"/>
                <w:color w:val="auto"/>
              </w:rPr>
            </w:pPr>
            <w:r>
              <w:rPr>
                <w:rFonts w:ascii="Arial" w:cs="Arial" w:eastAsia="Arial" w:hAnsi="Arial"/>
                <w:sz w:val="14"/>
                <w:szCs w:val="14"/>
                <w:b w:val="1"/>
                <w:bCs w:val="1"/>
                <w:color w:val="auto"/>
                <w:w w:val="89"/>
              </w:rPr>
              <w:t>December 31</w:t>
            </w:r>
          </w:p>
        </w:tc>
        <w:tc>
          <w:tcPr>
            <w:tcW w:w="7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center"/>
              <w:ind w:left="258"/>
              <w:spacing w:after="0"/>
              <w:rPr>
                <w:sz w:val="20"/>
                <w:szCs w:val="20"/>
                <w:color w:val="auto"/>
              </w:rPr>
            </w:pPr>
            <w:r>
              <w:rPr>
                <w:rFonts w:ascii="Arial" w:cs="Arial" w:eastAsia="Arial" w:hAnsi="Arial"/>
                <w:sz w:val="14"/>
                <w:szCs w:val="14"/>
                <w:b w:val="1"/>
                <w:bCs w:val="1"/>
                <w:color w:val="auto"/>
                <w:w w:val="89"/>
              </w:rPr>
              <w:t>December 31</w:t>
            </w:r>
          </w:p>
        </w:tc>
        <w:tc>
          <w:tcPr>
            <w:tcW w:w="7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14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8"/>
              <w:spacing w:after="0" w:line="151"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76"/>
              <w:spacing w:after="0" w:line="151"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98"/>
              <w:spacing w:after="0" w:line="151" w:lineRule="exact"/>
              <w:rPr>
                <w:sz w:val="20"/>
                <w:szCs w:val="20"/>
                <w:color w:val="auto"/>
              </w:rPr>
            </w:pPr>
            <w:r>
              <w:rPr>
                <w:rFonts w:ascii="Arial" w:cs="Arial" w:eastAsia="Arial" w:hAnsi="Arial"/>
                <w:sz w:val="14"/>
                <w:szCs w:val="14"/>
                <w:b w:val="1"/>
                <w:bCs w:val="1"/>
                <w:color w:val="auto"/>
                <w:w w:val="89"/>
              </w:rPr>
              <w:t>2017</w:t>
            </w:r>
          </w:p>
        </w:tc>
        <w:tc>
          <w:tcPr>
            <w:tcW w:w="2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94"/>
              <w:spacing w:after="0" w:line="151" w:lineRule="exact"/>
              <w:rPr>
                <w:sz w:val="20"/>
                <w:szCs w:val="20"/>
                <w:color w:val="auto"/>
              </w:rPr>
            </w:pPr>
            <w:r>
              <w:rPr>
                <w:rFonts w:ascii="Arial" w:cs="Arial" w:eastAsia="Arial" w:hAnsi="Arial"/>
                <w:sz w:val="14"/>
                <w:szCs w:val="14"/>
                <w:b w:val="1"/>
                <w:bCs w:val="1"/>
                <w:color w:val="auto"/>
                <w:w w:val="96"/>
              </w:rPr>
              <w:t>2016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65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Derivatives designated and qualifying as hedging instruments</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(In thousands)</w:t>
            </w: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65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65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Interest rate swap agreements (a)</w:t>
            </w:r>
          </w:p>
        </w:tc>
        <w:tc>
          <w:tcPr>
            <w:tcW w:w="2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639</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43"/>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11,892</w:t>
            </w:r>
          </w:p>
        </w:tc>
        <w:tc>
          <w:tcPr>
            <w:tcW w:w="6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ind w:right="163"/>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500" w:type="dxa"/>
            <w:vAlign w:val="bottom"/>
            <w:tcBorders>
              <w:bottom w:val="single" w:sz="8" w:color="CFF0FC"/>
            </w:tcBorders>
            <w:gridSpan w:val="2"/>
          </w:tcPr>
          <w:p>
            <w:pPr>
              <w:spacing w:after="0"/>
              <w:rPr>
                <w:sz w:val="20"/>
                <w:szCs w:val="20"/>
                <w:color w:val="auto"/>
              </w:rPr>
            </w:pPr>
            <w:r>
              <w:rPr>
                <w:rFonts w:ascii="Arial" w:cs="Arial" w:eastAsia="Arial" w:hAnsi="Arial"/>
                <w:sz w:val="16"/>
                <w:szCs w:val="16"/>
                <w:color w:val="auto"/>
              </w:rPr>
              <w:t>Commitments to sell real estate loans (a)</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33,189</w:t>
            </w:r>
          </w:p>
        </w:tc>
        <w:tc>
          <w:tcPr>
            <w:tcW w:w="2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2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140" w:type="dxa"/>
            <w:vAlign w:val="bottom"/>
            <w:shd w:val="clear" w:color="auto" w:fill="CFF0FC"/>
          </w:tcPr>
          <w:p>
            <w:pPr>
              <w:spacing w:after="0"/>
              <w:rPr>
                <w:sz w:val="18"/>
                <w:szCs w:val="18"/>
                <w:color w:val="auto"/>
              </w:rPr>
            </w:pPr>
          </w:p>
        </w:tc>
        <w:tc>
          <w:tcPr>
            <w:tcW w:w="4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1,373</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45,081</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500" w:type="dxa"/>
            <w:vAlign w:val="bottom"/>
            <w:gridSpan w:val="2"/>
          </w:tcPr>
          <w:p>
            <w:pPr>
              <w:spacing w:after="0"/>
              <w:rPr>
                <w:sz w:val="20"/>
                <w:szCs w:val="20"/>
                <w:color w:val="auto"/>
              </w:rPr>
            </w:pPr>
            <w:r>
              <w:rPr>
                <w:rFonts w:ascii="Arial" w:cs="Arial" w:eastAsia="Arial" w:hAnsi="Arial"/>
                <w:sz w:val="16"/>
                <w:szCs w:val="16"/>
                <w:b w:val="1"/>
                <w:bCs w:val="1"/>
                <w:color w:val="auto"/>
              </w:rPr>
              <w:t>Derivatives not designated and qualifying as hedging instruments</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Mortgage-related commitments to originate real estate loans for</w:t>
            </w:r>
          </w:p>
        </w:tc>
        <w:tc>
          <w:tcPr>
            <w:tcW w:w="220" w:type="dxa"/>
            <w:vAlign w:val="bottom"/>
            <w:shd w:val="clear" w:color="auto" w:fill="CFF0FC"/>
          </w:tcPr>
          <w:p>
            <w:pPr>
              <w:spacing w:after="0"/>
              <w:rPr>
                <w:sz w:val="18"/>
                <w:szCs w:val="18"/>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8,797</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8,060</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494</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735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500" w:type="dxa"/>
            <w:vAlign w:val="bottom"/>
            <w:gridSpan w:val="2"/>
            <w:shd w:val="clear" w:color="auto" w:fill="CFF0FC"/>
          </w:tcPr>
          <w:p>
            <w:pPr>
              <w:ind w:left="160"/>
              <w:spacing w:after="0"/>
              <w:rPr>
                <w:sz w:val="20"/>
                <w:szCs w:val="20"/>
                <w:color w:val="auto"/>
              </w:rPr>
            </w:pPr>
            <w:r>
              <w:rPr>
                <w:rFonts w:ascii="Arial" w:cs="Arial" w:eastAsia="Arial" w:hAnsi="Arial"/>
                <w:sz w:val="16"/>
                <w:szCs w:val="16"/>
                <w:color w:val="auto"/>
              </w:rPr>
              <w:t>sale (a)</w:t>
            </w:r>
          </w:p>
        </w:tc>
        <w:tc>
          <w:tcPr>
            <w:tcW w:w="220" w:type="dxa"/>
            <w:vAlign w:val="bottom"/>
            <w:shd w:val="clear" w:color="auto" w:fill="CFF0FC"/>
          </w:tcPr>
          <w:p>
            <w:pPr>
              <w:spacing w:after="0"/>
              <w:rPr>
                <w:sz w:val="18"/>
                <w:szCs w:val="18"/>
                <w:color w:val="auto"/>
              </w:rPr>
            </w:pPr>
          </w:p>
        </w:tc>
        <w:tc>
          <w:tcPr>
            <w:tcW w:w="780" w:type="dxa"/>
            <w:vAlign w:val="bottom"/>
            <w:vMerge w:val="continue"/>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00" w:type="dxa"/>
            <w:vAlign w:val="bottom"/>
            <w:vMerge w:val="continue"/>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8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00" w:type="dxa"/>
            <w:vAlign w:val="bottom"/>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00" w:type="dxa"/>
            <w:vAlign w:val="bottom"/>
            <w:gridSpan w:val="2"/>
          </w:tcPr>
          <w:p>
            <w:pPr>
              <w:spacing w:after="0"/>
              <w:rPr>
                <w:sz w:val="20"/>
                <w:szCs w:val="20"/>
                <w:color w:val="auto"/>
              </w:rPr>
            </w:pPr>
            <w:r>
              <w:rPr>
                <w:rFonts w:ascii="Arial" w:cs="Arial" w:eastAsia="Arial" w:hAnsi="Arial"/>
                <w:sz w:val="16"/>
                <w:szCs w:val="16"/>
                <w:color w:val="auto"/>
              </w:rPr>
              <w:t>Commitments to sell real estate loans (a)</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2,526</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5,210</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1,019</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5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Trading:</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00" w:type="dxa"/>
            <w:vAlign w:val="bottom"/>
            <w:gridSpan w:val="2"/>
          </w:tcPr>
          <w:p>
            <w:pPr>
              <w:ind w:left="240"/>
              <w:spacing w:after="0"/>
              <w:rPr>
                <w:sz w:val="20"/>
                <w:szCs w:val="20"/>
                <w:color w:val="auto"/>
              </w:rPr>
            </w:pPr>
            <w:r>
              <w:rPr>
                <w:rFonts w:ascii="Arial" w:cs="Arial" w:eastAsia="Arial" w:hAnsi="Arial"/>
                <w:sz w:val="16"/>
                <w:szCs w:val="16"/>
                <w:color w:val="auto"/>
              </w:rPr>
              <w:t>Interest rate contracts (b)</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74,164</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228,810</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132,104</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167,737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00" w:type="dxa"/>
            <w:vAlign w:val="bottom"/>
            <w:gridSpan w:val="2"/>
            <w:shd w:val="clear" w:color="auto" w:fill="CFF0FC"/>
          </w:tcPr>
          <w:p>
            <w:pPr>
              <w:ind w:left="240"/>
              <w:spacing w:after="0"/>
              <w:rPr>
                <w:sz w:val="20"/>
                <w:szCs w:val="20"/>
                <w:color w:val="auto"/>
              </w:rPr>
            </w:pPr>
            <w:r>
              <w:rPr>
                <w:rFonts w:ascii="Arial" w:cs="Arial" w:eastAsia="Arial" w:hAnsi="Arial"/>
                <w:sz w:val="16"/>
                <w:szCs w:val="16"/>
                <w:color w:val="auto"/>
              </w:rPr>
              <w:t>Foreign exchange and other option and futures contracts (b)</w:t>
            </w: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5,657</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7,908</w:t>
            </w:r>
          </w:p>
        </w:tc>
        <w:tc>
          <w:tcPr>
            <w:tcW w:w="26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5,286</w:t>
            </w:r>
          </w:p>
        </w:tc>
        <w:tc>
          <w:tcPr>
            <w:tcW w:w="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6,639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140" w:type="dxa"/>
            <w:vAlign w:val="bottom"/>
            <w:tcBorders>
              <w:bottom w:val="single" w:sz="8" w:color="CFF0FC"/>
            </w:tcBorders>
          </w:tcPr>
          <w:p>
            <w:pPr>
              <w:spacing w:after="0"/>
              <w:rPr>
                <w:sz w:val="18"/>
                <w:szCs w:val="18"/>
                <w:color w:val="auto"/>
              </w:rPr>
            </w:pPr>
          </w:p>
        </w:tc>
        <w:tc>
          <w:tcPr>
            <w:tcW w:w="43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91,144</w:t>
            </w:r>
          </w:p>
        </w:tc>
        <w:tc>
          <w:tcPr>
            <w:tcW w:w="26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249,988</w:t>
            </w:r>
          </w:p>
        </w:tc>
        <w:tc>
          <w:tcPr>
            <w:tcW w:w="26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138,903</w:t>
            </w:r>
          </w:p>
        </w:tc>
        <w:tc>
          <w:tcPr>
            <w:tcW w:w="24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175,510</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5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Total derivatives</w:t>
            </w:r>
          </w:p>
        </w:tc>
        <w:tc>
          <w:tcPr>
            <w:tcW w:w="2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92,517</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43"/>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295,069</w:t>
            </w:r>
          </w:p>
        </w:tc>
        <w:tc>
          <w:tcPr>
            <w:tcW w:w="6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139,186</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63"/>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176,857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40" w:type="dxa"/>
            <w:vAlign w:val="bottom"/>
            <w:tcBorders>
              <w:top w:val="single" w:sz="8" w:color="CFF0FC"/>
            </w:tcBorders>
          </w:tcPr>
          <w:p>
            <w:pPr>
              <w:spacing w:after="0" w:line="20" w:lineRule="exact"/>
              <w:rPr>
                <w:sz w:val="1"/>
                <w:szCs w:val="1"/>
                <w:color w:val="auto"/>
              </w:rPr>
            </w:pPr>
          </w:p>
        </w:tc>
        <w:tc>
          <w:tcPr>
            <w:tcW w:w="43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2140" w:type="dxa"/>
            <w:vAlign w:val="bottom"/>
            <w:tcBorders>
              <w:bottom w:val="single" w:sz="8" w:color="auto"/>
            </w:tcBorders>
          </w:tcPr>
          <w:p>
            <w:pPr>
              <w:spacing w:after="0"/>
              <w:rPr>
                <w:sz w:val="9"/>
                <w:szCs w:val="9"/>
                <w:color w:val="auto"/>
              </w:rPr>
            </w:pPr>
          </w:p>
        </w:tc>
        <w:tc>
          <w:tcPr>
            <w:tcW w:w="4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ind w:left="600" w:hanging="595"/>
        <w:spacing w:after="0"/>
        <w:tabs>
          <w:tab w:leader="none" w:pos="600" w:val="left"/>
        </w:tabs>
        <w:numPr>
          <w:ilvl w:val="0"/>
          <w:numId w:val="52"/>
        </w:numPr>
        <w:rPr>
          <w:rFonts w:ascii="Arial" w:cs="Arial" w:eastAsia="Arial" w:hAnsi="Arial"/>
          <w:sz w:val="18"/>
          <w:szCs w:val="18"/>
          <w:i w:val="1"/>
          <w:iCs w:val="1"/>
          <w:color w:val="auto"/>
        </w:rPr>
      </w:pPr>
      <w:r>
        <w:rPr>
          <w:rFonts w:ascii="Arial" w:cs="Arial" w:eastAsia="Arial" w:hAnsi="Arial"/>
          <w:sz w:val="18"/>
          <w:szCs w:val="18"/>
          <w:i w:val="1"/>
          <w:iCs w:val="1"/>
          <w:color w:val="auto"/>
        </w:rPr>
        <w:t>Asset derivatives are reported in other assets and liability derivatives are reported in other liabilities.</w:t>
      </w:r>
    </w:p>
    <w:p>
      <w:pPr>
        <w:spacing w:after="0" w:line="15" w:lineRule="exact"/>
        <w:rPr>
          <w:rFonts w:ascii="Arial" w:cs="Arial" w:eastAsia="Arial" w:hAnsi="Arial"/>
          <w:sz w:val="18"/>
          <w:szCs w:val="18"/>
          <w:i w:val="1"/>
          <w:iCs w:val="1"/>
          <w:color w:val="auto"/>
        </w:rPr>
      </w:pPr>
    </w:p>
    <w:p>
      <w:pPr>
        <w:ind w:left="600" w:right="160" w:hanging="595"/>
        <w:spacing w:after="0" w:line="245" w:lineRule="auto"/>
        <w:tabs>
          <w:tab w:leader="none" w:pos="600" w:val="left"/>
        </w:tabs>
        <w:numPr>
          <w:ilvl w:val="0"/>
          <w:numId w:val="52"/>
        </w:numPr>
        <w:rPr>
          <w:rFonts w:ascii="Arial" w:cs="Arial" w:eastAsia="Arial" w:hAnsi="Arial"/>
          <w:sz w:val="18"/>
          <w:szCs w:val="18"/>
          <w:i w:val="1"/>
          <w:iCs w:val="1"/>
          <w:color w:val="auto"/>
        </w:rPr>
      </w:pPr>
      <w:r>
        <w:rPr>
          <w:rFonts w:ascii="Arial" w:cs="Arial" w:eastAsia="Arial" w:hAnsi="Arial"/>
          <w:sz w:val="18"/>
          <w:szCs w:val="18"/>
          <w:i w:val="1"/>
          <w:iCs w:val="1"/>
          <w:color w:val="auto"/>
        </w:rPr>
        <w:t>Asset derivatives are reported in trading account assets and liability derivatives are reported in other liabilities. The impact of the variation margin rule change at December 31, 2017 was a reduction of the estimated fair value of interest rate contracts in the trading account in an asset position of $136.2 million and in a liability position of $12.2 million.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46" w:right="239" w:bottom="1440" w:gutter="0" w:footer="0" w:header="0"/>
        </w:sectPr>
      </w:pPr>
    </w:p>
    <w:bookmarkStart w:id="163" w:name="page164"/>
    <w:bookmarkEnd w:id="163"/>
    <w:tbl>
      <w:tblPr>
        <w:tblLayout w:type="fixed"/>
        <w:tblInd w:w="0" w:type="dxa"/>
        <w:tblCellMar>
          <w:top w:w="0" w:type="dxa"/>
          <w:left w:w="0" w:type="dxa"/>
          <w:bottom w:w="0" w:type="dxa"/>
          <w:right w:w="0" w:type="dxa"/>
        </w:tblCellMar>
      </w:tblPr>
      <w:tr>
        <w:trPr>
          <w:trHeight w:val="167"/>
        </w:trPr>
        <w:tc>
          <w:tcPr>
            <w:tcW w:w="5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89"/>
              </w:rPr>
              <w:t>Amount of Gain (Loss) Recognized</w:t>
            </w: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5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gridSpan w:val="4"/>
          </w:tcPr>
          <w:p>
            <w:pPr>
              <w:jc w:val="right"/>
              <w:ind w:right="70"/>
              <w:spacing w:after="0" w:line="129" w:lineRule="exact"/>
              <w:rPr>
                <w:sz w:val="20"/>
                <w:szCs w:val="20"/>
                <w:color w:val="auto"/>
              </w:rPr>
            </w:pPr>
            <w:r>
              <w:rPr>
                <w:rFonts w:ascii="Arial" w:cs="Arial" w:eastAsia="Arial" w:hAnsi="Arial"/>
                <w:sz w:val="14"/>
                <w:szCs w:val="14"/>
                <w:b w:val="1"/>
                <w:bCs w:val="1"/>
                <w:color w:val="auto"/>
                <w:w w:val="89"/>
              </w:rPr>
              <w:t>Year Ended December 31,</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40" w:type="dxa"/>
            <w:vAlign w:val="bottom"/>
            <w:gridSpan w:val="5"/>
          </w:tcPr>
          <w:p>
            <w:pPr>
              <w:jc w:val="center"/>
              <w:ind w:right="440"/>
              <w:spacing w:after="0" w:line="129" w:lineRule="exact"/>
              <w:rPr>
                <w:sz w:val="20"/>
                <w:szCs w:val="20"/>
                <w:color w:val="auto"/>
              </w:rPr>
            </w:pPr>
            <w:r>
              <w:rPr>
                <w:rFonts w:ascii="Arial" w:cs="Arial" w:eastAsia="Arial" w:hAnsi="Arial"/>
                <w:sz w:val="14"/>
                <w:szCs w:val="14"/>
                <w:b w:val="1"/>
                <w:bCs w:val="1"/>
                <w:color w:val="auto"/>
                <w:w w:val="90"/>
              </w:rPr>
              <w:t>Year Ended December 31,</w:t>
            </w:r>
          </w:p>
        </w:tc>
        <w:tc>
          <w:tcPr>
            <w:tcW w:w="120" w:type="dxa"/>
            <w:vAlign w:val="bottom"/>
          </w:tcPr>
          <w:p>
            <w:pPr>
              <w:spacing w:after="0"/>
              <w:rPr>
                <w:sz w:val="11"/>
                <w:szCs w:val="11"/>
                <w:color w:val="auto"/>
              </w:rPr>
            </w:pPr>
          </w:p>
        </w:tc>
        <w:tc>
          <w:tcPr>
            <w:tcW w:w="1740" w:type="dxa"/>
            <w:vAlign w:val="bottom"/>
            <w:gridSpan w:val="4"/>
          </w:tcPr>
          <w:p>
            <w:pPr>
              <w:jc w:val="center"/>
              <w:ind w:right="70"/>
              <w:spacing w:after="0" w:line="129" w:lineRule="exact"/>
              <w:rPr>
                <w:sz w:val="20"/>
                <w:szCs w:val="20"/>
                <w:color w:val="auto"/>
              </w:rPr>
            </w:pPr>
            <w:r>
              <w:rPr>
                <w:rFonts w:ascii="Arial" w:cs="Arial" w:eastAsia="Arial" w:hAnsi="Arial"/>
                <w:sz w:val="14"/>
                <w:szCs w:val="14"/>
                <w:b w:val="1"/>
                <w:bCs w:val="1"/>
                <w:color w:val="auto"/>
                <w:w w:val="90"/>
              </w:rPr>
              <w:t>Year Ended December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5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right"/>
              <w:ind w:right="710"/>
              <w:spacing w:after="0"/>
              <w:rPr>
                <w:sz w:val="20"/>
                <w:szCs w:val="20"/>
                <w:color w:val="auto"/>
              </w:rPr>
            </w:pPr>
            <w:r>
              <w:rPr>
                <w:rFonts w:ascii="Arial" w:cs="Arial" w:eastAsia="Arial" w:hAnsi="Arial"/>
                <w:sz w:val="14"/>
                <w:szCs w:val="14"/>
                <w:b w:val="1"/>
                <w:bCs w:val="1"/>
                <w:color w:val="auto"/>
                <w:w w:val="83"/>
              </w:rPr>
              <w:t>2017</w:t>
            </w: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center"/>
              <w:ind w:right="710"/>
              <w:spacing w:after="0"/>
              <w:rPr>
                <w:sz w:val="20"/>
                <w:szCs w:val="20"/>
                <w:color w:val="auto"/>
              </w:rPr>
            </w:pPr>
            <w:r>
              <w:rPr>
                <w:rFonts w:ascii="Arial" w:cs="Arial" w:eastAsia="Arial" w:hAnsi="Arial"/>
                <w:sz w:val="14"/>
                <w:szCs w:val="14"/>
                <w:b w:val="1"/>
                <w:bCs w:val="1"/>
                <w:color w:val="auto"/>
                <w:w w:val="89"/>
              </w:rPr>
              <w:t>2016</w:t>
            </w:r>
          </w:p>
        </w:tc>
        <w:tc>
          <w:tcPr>
            <w:tcW w:w="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right"/>
              <w:ind w:right="730"/>
              <w:spacing w:after="0"/>
              <w:rPr>
                <w:sz w:val="20"/>
                <w:szCs w:val="20"/>
                <w:color w:val="auto"/>
              </w:rPr>
            </w:pPr>
            <w:r>
              <w:rPr>
                <w:rFonts w:ascii="Arial" w:cs="Arial" w:eastAsia="Arial" w:hAnsi="Arial"/>
                <w:sz w:val="14"/>
                <w:szCs w:val="14"/>
                <w:b w:val="1"/>
                <w:bCs w:val="1"/>
                <w:color w:val="auto"/>
                <w:w w:val="83"/>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5160" w:type="dxa"/>
            <w:vAlign w:val="bottom"/>
          </w:tcPr>
          <w:p>
            <w:pPr>
              <w:spacing w:after="0"/>
              <w:rPr>
                <w:sz w:val="13"/>
                <w:szCs w:val="13"/>
                <w:color w:val="auto"/>
              </w:rPr>
            </w:pPr>
          </w:p>
        </w:tc>
        <w:tc>
          <w:tcPr>
            <w:tcW w:w="760" w:type="dxa"/>
            <w:vAlign w:val="bottom"/>
            <w:tcBorders>
              <w:bottom w:val="single" w:sz="8" w:color="auto"/>
            </w:tcBorders>
            <w:gridSpan w:val="3"/>
          </w:tcPr>
          <w:p>
            <w:pPr>
              <w:jc w:val="right"/>
              <w:ind w:right="100"/>
              <w:spacing w:after="0" w:line="151" w:lineRule="exact"/>
              <w:rPr>
                <w:sz w:val="20"/>
                <w:szCs w:val="20"/>
                <w:color w:val="auto"/>
              </w:rPr>
            </w:pPr>
            <w:r>
              <w:rPr>
                <w:rFonts w:ascii="Arial" w:cs="Arial" w:eastAsia="Arial" w:hAnsi="Arial"/>
                <w:sz w:val="14"/>
                <w:szCs w:val="14"/>
                <w:b w:val="1"/>
                <w:bCs w:val="1"/>
                <w:color w:val="auto"/>
                <w:w w:val="95"/>
              </w:rPr>
              <w:t>Derivative</w:t>
            </w:r>
          </w:p>
        </w:tc>
        <w:tc>
          <w:tcPr>
            <w:tcW w:w="2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b w:val="1"/>
                <w:bCs w:val="1"/>
                <w:color w:val="auto"/>
                <w:w w:val="88"/>
              </w:rPr>
              <w:t>Hedged Item</w:t>
            </w:r>
          </w:p>
        </w:tc>
        <w:tc>
          <w:tcPr>
            <w:tcW w:w="3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3"/>
          </w:tcPr>
          <w:p>
            <w:pPr>
              <w:jc w:val="right"/>
              <w:ind w:right="120"/>
              <w:spacing w:after="0" w:line="151" w:lineRule="exact"/>
              <w:rPr>
                <w:sz w:val="20"/>
                <w:szCs w:val="20"/>
                <w:color w:val="auto"/>
              </w:rPr>
            </w:pPr>
            <w:r>
              <w:rPr>
                <w:rFonts w:ascii="Arial" w:cs="Arial" w:eastAsia="Arial" w:hAnsi="Arial"/>
                <w:sz w:val="14"/>
                <w:szCs w:val="14"/>
                <w:b w:val="1"/>
                <w:bCs w:val="1"/>
                <w:color w:val="auto"/>
                <w:w w:val="92"/>
              </w:rPr>
              <w:t>Derivative</w:t>
            </w:r>
          </w:p>
        </w:tc>
        <w:tc>
          <w:tcPr>
            <w:tcW w:w="2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b w:val="1"/>
                <w:bCs w:val="1"/>
                <w:color w:val="auto"/>
                <w:w w:val="90"/>
              </w:rPr>
              <w:t>Hedged Item</w:t>
            </w:r>
          </w:p>
        </w:tc>
        <w:tc>
          <w:tcPr>
            <w:tcW w:w="3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3"/>
          </w:tcPr>
          <w:p>
            <w:pPr>
              <w:jc w:val="right"/>
              <w:ind w:right="120"/>
              <w:spacing w:after="0" w:line="151" w:lineRule="exact"/>
              <w:rPr>
                <w:sz w:val="20"/>
                <w:szCs w:val="20"/>
                <w:color w:val="auto"/>
              </w:rPr>
            </w:pPr>
            <w:r>
              <w:rPr>
                <w:rFonts w:ascii="Arial" w:cs="Arial" w:eastAsia="Arial" w:hAnsi="Arial"/>
                <w:sz w:val="14"/>
                <w:szCs w:val="14"/>
                <w:b w:val="1"/>
                <w:bCs w:val="1"/>
                <w:color w:val="auto"/>
                <w:w w:val="95"/>
              </w:rPr>
              <w:t>Derivative</w:t>
            </w:r>
          </w:p>
        </w:tc>
        <w:tc>
          <w:tcPr>
            <w:tcW w:w="2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b w:val="1"/>
                <w:bCs w:val="1"/>
                <w:color w:val="auto"/>
                <w:w w:val="92"/>
              </w:rPr>
              <w:t>Hedged Item</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5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40" w:type="dxa"/>
            <w:vAlign w:val="bottom"/>
            <w:gridSpan w:val="5"/>
          </w:tcPr>
          <w:p>
            <w:pPr>
              <w:jc w:val="center"/>
              <w:ind w:right="400"/>
              <w:spacing w:after="0" w:line="151" w:lineRule="exact"/>
              <w:rPr>
                <w:sz w:val="20"/>
                <w:szCs w:val="20"/>
                <w:color w:val="auto"/>
              </w:rPr>
            </w:pPr>
            <w:r>
              <w:rPr>
                <w:rFonts w:ascii="Arial" w:cs="Arial" w:eastAsia="Arial" w:hAnsi="Arial"/>
                <w:sz w:val="14"/>
                <w:szCs w:val="14"/>
                <w:b w:val="1"/>
                <w:bCs w:val="1"/>
                <w:color w:val="auto"/>
                <w:w w:val="91"/>
              </w:rPr>
              <w:t>(In thousands)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Derivatives in fair value hedging relationships</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Pr>
          <w:p>
            <w:pPr>
              <w:spacing w:after="0"/>
              <w:rPr>
                <w:sz w:val="20"/>
                <w:szCs w:val="20"/>
                <w:color w:val="auto"/>
              </w:rPr>
            </w:pPr>
            <w:r>
              <w:rPr>
                <w:rFonts w:ascii="Arial" w:cs="Arial" w:eastAsia="Arial" w:hAnsi="Arial"/>
                <w:sz w:val="18"/>
                <w:szCs w:val="18"/>
                <w:color w:val="auto"/>
              </w:rPr>
              <w:t>Interest rate swap agreements: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Fixed rate long-term borrowings (a)</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2"/>
              </w:rPr>
              <w:t>(52,392)</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51,628</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5"/>
              </w:rPr>
              <w:t>(32,000)</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30,906</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5"/>
              </w:rPr>
              <w:t>(29,359)</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28,719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rPr>
              <w:t>Derivatives not designated as hedging instruments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Trading:</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Pr>
          <w:p>
            <w:pPr>
              <w:ind w:left="240"/>
              <w:spacing w:after="0"/>
              <w:rPr>
                <w:sz w:val="20"/>
                <w:szCs w:val="20"/>
                <w:color w:val="auto"/>
              </w:rPr>
            </w:pPr>
            <w:r>
              <w:rPr>
                <w:rFonts w:ascii="Arial" w:cs="Arial" w:eastAsia="Arial" w:hAnsi="Arial"/>
                <w:sz w:val="18"/>
                <w:szCs w:val="18"/>
                <w:color w:val="auto"/>
              </w:rPr>
              <w:t>Interest rate contracts (b)</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5,398</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14,042</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10,755</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 exchange and other option and</w:t>
            </w: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futures contracts (b)</w:t>
            </w:r>
          </w:p>
        </w:tc>
        <w:tc>
          <w:tcPr>
            <w:tcW w:w="12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6,821</w:t>
            </w: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7,665</w:t>
            </w: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9,337</w:t>
            </w: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12,219</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21,707</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20,092</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136017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152" w:lineRule="exact"/>
        <w:rPr>
          <w:sz w:val="20"/>
          <w:szCs w:val="20"/>
          <w:color w:val="auto"/>
        </w:rPr>
      </w:pPr>
    </w:p>
    <w:p>
      <w:pPr>
        <w:ind w:left="600" w:hanging="595"/>
        <w:spacing w:after="0"/>
        <w:tabs>
          <w:tab w:leader="none" w:pos="600" w:val="left"/>
        </w:tabs>
        <w:numPr>
          <w:ilvl w:val="0"/>
          <w:numId w:val="53"/>
        </w:numPr>
        <w:rPr>
          <w:rFonts w:ascii="Arial" w:cs="Arial" w:eastAsia="Arial" w:hAnsi="Arial"/>
          <w:sz w:val="18"/>
          <w:szCs w:val="18"/>
          <w:i w:val="1"/>
          <w:iCs w:val="1"/>
          <w:color w:val="auto"/>
        </w:rPr>
      </w:pPr>
      <w:r>
        <w:rPr>
          <w:rFonts w:ascii="Arial" w:cs="Arial" w:eastAsia="Arial" w:hAnsi="Arial"/>
          <w:sz w:val="18"/>
          <w:szCs w:val="18"/>
          <w:i w:val="1"/>
          <w:iCs w:val="1"/>
          <w:color w:val="auto"/>
        </w:rPr>
        <w:t>Reported as other revenues from operations.</w:t>
      </w:r>
    </w:p>
    <w:p>
      <w:pPr>
        <w:spacing w:after="0" w:line="16" w:lineRule="exact"/>
        <w:rPr>
          <w:rFonts w:ascii="Arial" w:cs="Arial" w:eastAsia="Arial" w:hAnsi="Arial"/>
          <w:sz w:val="18"/>
          <w:szCs w:val="18"/>
          <w:i w:val="1"/>
          <w:iCs w:val="1"/>
          <w:color w:val="auto"/>
        </w:rPr>
      </w:pPr>
    </w:p>
    <w:p>
      <w:pPr>
        <w:ind w:left="600" w:hanging="595"/>
        <w:spacing w:after="0"/>
        <w:tabs>
          <w:tab w:leader="none" w:pos="600" w:val="left"/>
        </w:tabs>
        <w:numPr>
          <w:ilvl w:val="0"/>
          <w:numId w:val="53"/>
        </w:numPr>
        <w:rPr>
          <w:rFonts w:ascii="Arial" w:cs="Arial" w:eastAsia="Arial" w:hAnsi="Arial"/>
          <w:sz w:val="18"/>
          <w:szCs w:val="18"/>
          <w:i w:val="1"/>
          <w:iCs w:val="1"/>
          <w:color w:val="auto"/>
        </w:rPr>
      </w:pPr>
      <w:r>
        <w:rPr>
          <w:rFonts w:ascii="Arial" w:cs="Arial" w:eastAsia="Arial" w:hAnsi="Arial"/>
          <w:sz w:val="18"/>
          <w:szCs w:val="18"/>
          <w:i w:val="1"/>
          <w:iCs w:val="1"/>
          <w:color w:val="auto"/>
        </w:rPr>
        <w:t>Reported as trading account and foreign exchange gains.</w:t>
      </w:r>
    </w:p>
    <w:p>
      <w:pPr>
        <w:spacing w:after="0" w:line="212" w:lineRule="exact"/>
        <w:rPr>
          <w:sz w:val="20"/>
          <w:szCs w:val="20"/>
          <w:color w:val="auto"/>
        </w:rPr>
      </w:pPr>
    </w:p>
    <w:p>
      <w:pPr>
        <w:ind w:right="360" w:firstLine="598"/>
        <w:spacing w:after="0" w:line="256" w:lineRule="auto"/>
        <w:rPr>
          <w:sz w:val="20"/>
          <w:szCs w:val="20"/>
          <w:color w:val="auto"/>
        </w:rPr>
      </w:pPr>
      <w:r>
        <w:rPr>
          <w:rFonts w:ascii="Arial" w:cs="Arial" w:eastAsia="Arial" w:hAnsi="Arial"/>
          <w:sz w:val="20"/>
          <w:szCs w:val="20"/>
          <w:color w:val="auto"/>
        </w:rPr>
        <w:t>The amount of gain (loss) recognized in the consolidated statement of income associated with derivatives designated as cash flow hedges was not material.</w:t>
      </w:r>
    </w:p>
    <w:p>
      <w:pPr>
        <w:ind w:right="20" w:firstLine="598"/>
        <w:spacing w:after="0" w:line="259" w:lineRule="auto"/>
        <w:rPr>
          <w:sz w:val="20"/>
          <w:szCs w:val="20"/>
          <w:color w:val="auto"/>
        </w:rPr>
      </w:pPr>
      <w:r>
        <w:rPr>
          <w:rFonts w:ascii="Arial" w:cs="Arial" w:eastAsia="Arial" w:hAnsi="Arial"/>
          <w:sz w:val="19"/>
          <w:szCs w:val="19"/>
          <w:color w:val="auto"/>
        </w:rPr>
        <w:t>The Company also has commitments to sell and commitments to originate residential and commercial real estate loans that are considered derivatives. The Company designates certain of the commitments to sell real estate loans as fair value hedges of real estate loans held for sale. The Company also utilizes commitments to sell real estate loans to offset the exposure to changes in the fair value of certain commitments to originate real estate loans for sale. As a result of these activities, net unrealized pre-tax gains related to hedged loans held for sale, commitments to originate loans for sale and commitments to sell loans were approximately $16 million and $28 million at December 31, 2017 and 2016, respectively. Changes in unrealized gains and losses are included in mortgage banking revenues and, in general, are realized in subsequent periods as the related loans are sold and commitments satisfied.</w:t>
      </w:r>
    </w:p>
    <w:p>
      <w:pPr>
        <w:spacing w:after="0" w:line="5" w:lineRule="exact"/>
        <w:rPr>
          <w:sz w:val="20"/>
          <w:szCs w:val="20"/>
          <w:color w:val="auto"/>
        </w:rPr>
      </w:pPr>
    </w:p>
    <w:p>
      <w:pPr>
        <w:ind w:right="20" w:firstLine="598"/>
        <w:spacing w:after="0" w:line="259" w:lineRule="auto"/>
        <w:rPr>
          <w:sz w:val="20"/>
          <w:szCs w:val="20"/>
          <w:color w:val="auto"/>
        </w:rPr>
      </w:pPr>
      <w:r>
        <w:rPr>
          <w:rFonts w:ascii="Arial" w:cs="Arial" w:eastAsia="Arial" w:hAnsi="Arial"/>
          <w:sz w:val="19"/>
          <w:szCs w:val="19"/>
          <w:color w:val="auto"/>
        </w:rPr>
        <w:t>The Company does not offset derivative asset and liability positions in its consolidated financial statements. The Company’s exposure to credit risk by entering into derivative contracts is mitigated through master netting agreements and collateral posting or settlement requirements. Master netting agreements covering interest rate and foreign exchange contracts with the same party include a right to set-off that becomes enforceable in the event of default, early termination or under other specific conditions.</w:t>
      </w:r>
    </w:p>
    <w:p>
      <w:pPr>
        <w:spacing w:after="0" w:line="3" w:lineRule="exact"/>
        <w:rPr>
          <w:sz w:val="20"/>
          <w:szCs w:val="20"/>
          <w:color w:val="auto"/>
        </w:rPr>
      </w:pPr>
    </w:p>
    <w:p>
      <w:pPr>
        <w:ind w:right="240" w:firstLine="598"/>
        <w:spacing w:after="0" w:line="262" w:lineRule="auto"/>
        <w:rPr>
          <w:sz w:val="20"/>
          <w:szCs w:val="20"/>
          <w:color w:val="auto"/>
        </w:rPr>
      </w:pPr>
      <w:r>
        <w:rPr>
          <w:rFonts w:ascii="Arial" w:cs="Arial" w:eastAsia="Arial" w:hAnsi="Arial"/>
          <w:sz w:val="19"/>
          <w:szCs w:val="19"/>
          <w:color w:val="auto"/>
        </w:rPr>
        <w:t>The aggregate fair value of derivative financial instruments in a liability position, which are subject to enforceable master netting arrangements, was $13 million and $34 million at December 31, 2017 and 2016, respectively. After consideration of such netting arrangements, for purposes of posting collateral, the net liability positions with counterparties aggregated $13 million and $30 million at December 31, 2017 and 2016, respectively. The Company was required to post collateral relating to those positions of $12 million and $27 million at December 31, 2017 and 2016, respectively. Certain of the Company’s derivative financial instruments contain provisions that require the Company to maintain specific credit ratings from credit rating agencies to avoid higher collateral posting requirements. If the Company’s debt ratings were to fall below specified ratings, the counterparties of the derivative financial instruments could demand immediate incremental collateralization on those instruments in a net liability position. The aggregate fair value of all derivative financial instruments with such credit risk-related contingent features in a net liability</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616" w:right="239" w:bottom="1440" w:gutter="0" w:footer="0" w:header="0"/>
        </w:sectPr>
      </w:pPr>
    </w:p>
    <w:bookmarkStart w:id="164" w:name="page165"/>
    <w:bookmarkEnd w:id="164"/>
    <w:p>
      <w:pPr>
        <w:jc w:val="both"/>
        <w:ind w:right="80"/>
        <w:spacing w:after="0" w:line="253" w:lineRule="auto"/>
        <w:rPr>
          <w:sz w:val="20"/>
          <w:szCs w:val="20"/>
          <w:color w:val="auto"/>
        </w:rPr>
      </w:pPr>
      <w:r>
        <w:rPr>
          <w:rFonts w:ascii="Arial" w:cs="Arial" w:eastAsia="Arial" w:hAnsi="Arial"/>
          <w:sz w:val="20"/>
          <w:szCs w:val="20"/>
          <w:color w:val="auto"/>
        </w:rPr>
        <w:t>position on December 31, 2017 was less than $1 million, for which the Company was not required to post collateral in the normal course of business. If the credit risk-related contingent features had been triggered on December 31, 2017, the Company would not have been required to post any additional collateral with counterparties.</w:t>
      </w:r>
    </w:p>
    <w:p>
      <w:pPr>
        <w:ind w:right="440" w:firstLine="598"/>
        <w:spacing w:after="0" w:line="259" w:lineRule="auto"/>
        <w:rPr>
          <w:sz w:val="20"/>
          <w:szCs w:val="20"/>
          <w:color w:val="auto"/>
        </w:rPr>
      </w:pPr>
      <w:r>
        <w:rPr>
          <w:rFonts w:ascii="Arial" w:cs="Arial" w:eastAsia="Arial" w:hAnsi="Arial"/>
          <w:sz w:val="19"/>
          <w:szCs w:val="19"/>
          <w:color w:val="auto"/>
        </w:rPr>
        <w:t>The aggregate fair value of derivative financial instruments in an asset position, which are subject to enforceable master netting arrangements, was $13 million and $15 million at December 31, 2017 and 2016, respectively. After consideration of such netting arrangements, for purposes of posting collateral, the net asset positions with counterparties aggregated $13 million and $11 million at December 31, 2017 and 2016, respectively. Counterparties posted collateral relating to those positions of $12 million and $9 million at December 31, 2017 and 2016, respectively. Trading account interest rate swap agreements entered into with customers are subject to the Company’s credit risk standards and often contain collateral provisions.</w:t>
      </w:r>
    </w:p>
    <w:p>
      <w:pPr>
        <w:spacing w:after="0" w:line="4" w:lineRule="exact"/>
        <w:rPr>
          <w:sz w:val="20"/>
          <w:szCs w:val="20"/>
          <w:color w:val="auto"/>
        </w:rPr>
      </w:pPr>
    </w:p>
    <w:p>
      <w:pPr>
        <w:ind w:right="60" w:firstLine="598"/>
        <w:spacing w:after="0" w:line="262" w:lineRule="auto"/>
        <w:rPr>
          <w:sz w:val="20"/>
          <w:szCs w:val="20"/>
          <w:color w:val="auto"/>
        </w:rPr>
      </w:pPr>
      <w:r>
        <w:rPr>
          <w:rFonts w:ascii="Arial" w:cs="Arial" w:eastAsia="Arial" w:hAnsi="Arial"/>
          <w:sz w:val="19"/>
          <w:szCs w:val="19"/>
          <w:color w:val="auto"/>
        </w:rPr>
        <w:t>In addition to the derivative contracts noted above, the Company clears certain derivative transactions through a clearinghouse, rather than directly with counterparties. Those transactions cleared through a clearinghouse require initial margin collateral and variation margin payments depending on the contracts being in a net asset or liability position. The amount of initial margin collateral posted by the Company was $52 million and $111 million at December 31, 2017 and 2016, respectively. The fair value asset and liability amounts of derivative contracts at December 31, 2017 have been reduced by variation margin payments treated as settlements of $136 million and $70 million, respectively. Variation margin on derivative contracts not treated as settlements continues to represent collateral posted or received by the Company. For those contracts, the net fair value of derivative financial instruments cleared through clearinghouses for which variation margin is required was a net asset position of $2 million and $63 million at December 31, 2017 and December 31, 2016, respectively. Collateral posted by the clearinghouses associated with that net asset position was $2 million and $81 million at December 31, 2017 and 2016, respectively.</w:t>
      </w:r>
    </w:p>
    <w:p>
      <w:pPr>
        <w:spacing w:after="0" w:line="155"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19.</w:t>
      </w:r>
      <w:r>
        <w:rPr>
          <w:sz w:val="20"/>
          <w:szCs w:val="20"/>
          <w:color w:val="auto"/>
        </w:rPr>
        <w:tab/>
      </w:r>
      <w:r>
        <w:rPr>
          <w:rFonts w:ascii="Arial" w:cs="Arial" w:eastAsia="Arial" w:hAnsi="Arial"/>
          <w:sz w:val="17"/>
          <w:szCs w:val="17"/>
          <w:b w:val="1"/>
          <w:bCs w:val="1"/>
          <w:color w:val="auto"/>
        </w:rPr>
        <w:t>Variable interest entities</w:t>
      </w:r>
    </w:p>
    <w:p>
      <w:pPr>
        <w:spacing w:after="0" w:line="29" w:lineRule="exact"/>
        <w:rPr>
          <w:sz w:val="20"/>
          <w:szCs w:val="20"/>
          <w:color w:val="auto"/>
        </w:rPr>
      </w:pPr>
    </w:p>
    <w:p>
      <w:pPr>
        <w:ind w:right="80"/>
        <w:spacing w:after="0" w:line="246" w:lineRule="auto"/>
        <w:rPr>
          <w:sz w:val="20"/>
          <w:szCs w:val="20"/>
          <w:color w:val="auto"/>
        </w:rPr>
      </w:pPr>
      <w:r>
        <w:rPr>
          <w:rFonts w:ascii="Arial" w:cs="Arial" w:eastAsia="Arial" w:hAnsi="Arial"/>
          <w:sz w:val="20"/>
          <w:szCs w:val="20"/>
          <w:color w:val="auto"/>
        </w:rPr>
        <w:t>As described in note 9, M&amp;T has issued junior subordinated debentures payable to various trusts that have issued Capital Securities. M&amp;T owns the common securities of those trust entities. The Company is not considered to be the primary beneficiary of those entities and, accordingly, the trusts are not included in the Company’s consolidated financial statements. At December 31, 2017 and 2016, the Company included the junior subordinated debentures as “long-term borrowings” in its consolidated balance sheet and recognized $23 million and $24 million, respectively, in other assets for its “investment” in the common securities of the trusts that will be concomitantly repaid to M&amp;T by the respective trust from the proceeds of M&amp;T’s repayment of the junior subordinated debentures associated with preferred capital securities described in note 9.</w:t>
      </w:r>
    </w:p>
    <w:p>
      <w:pPr>
        <w:spacing w:after="0" w:line="5" w:lineRule="exact"/>
        <w:rPr>
          <w:sz w:val="20"/>
          <w:szCs w:val="20"/>
          <w:color w:val="auto"/>
        </w:rPr>
      </w:pPr>
    </w:p>
    <w:p>
      <w:pPr>
        <w:ind w:firstLine="598"/>
        <w:spacing w:after="0" w:line="262" w:lineRule="auto"/>
        <w:rPr>
          <w:sz w:val="20"/>
          <w:szCs w:val="20"/>
          <w:color w:val="auto"/>
        </w:rPr>
      </w:pPr>
      <w:r>
        <w:rPr>
          <w:rFonts w:ascii="Arial" w:cs="Arial" w:eastAsia="Arial" w:hAnsi="Arial"/>
          <w:sz w:val="19"/>
          <w:szCs w:val="19"/>
          <w:color w:val="auto"/>
        </w:rPr>
        <w:t>The Company has invested as a limited partner in various partnerships that collectively had total assets of approximately $1.0 billion at each of December 31, 2017 and December 31, 2016. Those partnerships generally construct or acquire properties for which the investing partners are eligible to receive certain federal income tax credits in accordance with government guidelines. Such investments may also provide tax deductible losses to the partners. The partnership investments also assist the Company in achieving its community reinvestment initiatives. As a limited partner, there is no recourse to the Company by creditors of the partnerships. However, the tax credits that result from the Company’s investments in such partnerships are generally subject to recapture should a partnership fail to comply with the respective government regulations. The Company’s maximum exposure to loss of its investments in such partnerships was $420 million, including $201 million of unfunded commitments, at December 31, 2017 and $294 million, including $102 million of unfunded commitments, at December 31, 2016. Contingent commitments to provide additional capital contributions to these partnerships were not material at December 31, 2017. The Company has not</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65" w:name="page166"/>
    <w:bookmarkEnd w:id="165"/>
    <w:p>
      <w:pPr>
        <w:ind w:right="20"/>
        <w:spacing w:after="0" w:line="263" w:lineRule="auto"/>
        <w:rPr>
          <w:sz w:val="20"/>
          <w:szCs w:val="20"/>
          <w:color w:val="auto"/>
        </w:rPr>
      </w:pPr>
      <w:r>
        <w:rPr>
          <w:rFonts w:ascii="Arial" w:cs="Arial" w:eastAsia="Arial" w:hAnsi="Arial"/>
          <w:sz w:val="19"/>
          <w:szCs w:val="19"/>
          <w:color w:val="auto"/>
        </w:rPr>
        <w:t>provided financial or other support to the partnerships that was not contractually required. Management currently estimates that no material losses are probable as a result of the Company’s involvement with such entities. The Company, in its position as limited partner, does not direct the activities that most significantly impact the economic performance of the partnerships and, therefore, in accordance with the accounting provisions for variable interest entities, the partnership entities are not included in the Company’s consolidated financial statements. The Company’s investment cost is amortized to income taxes in the consolidated statement of income as tax credits and other tax benefits resulting from deductible losses associated with the projects are received.</w:t>
      </w:r>
    </w:p>
    <w:p>
      <w:pPr>
        <w:ind w:right="100" w:firstLine="598"/>
        <w:spacing w:after="0" w:line="311" w:lineRule="auto"/>
        <w:rPr>
          <w:sz w:val="20"/>
          <w:szCs w:val="20"/>
          <w:color w:val="auto"/>
        </w:rPr>
      </w:pPr>
      <w:r>
        <w:rPr>
          <w:rFonts w:ascii="Arial" w:cs="Arial" w:eastAsia="Arial" w:hAnsi="Arial"/>
          <w:sz w:val="18"/>
          <w:szCs w:val="18"/>
          <w:color w:val="auto"/>
        </w:rPr>
        <w:t>The Company serves as investment advisor for certain registered money-market funds. The Company has no explicit arrangement to provide support to those funds, but may waive portions of its allowable management fees as a result of market conditions.</w:t>
      </w:r>
    </w:p>
    <w:p>
      <w:pPr>
        <w:spacing w:after="0" w:line="309"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20.</w:t>
      </w:r>
      <w:r>
        <w:rPr>
          <w:sz w:val="20"/>
          <w:szCs w:val="20"/>
          <w:color w:val="auto"/>
        </w:rPr>
        <w:tab/>
      </w:r>
      <w:r>
        <w:rPr>
          <w:rFonts w:ascii="Arial" w:cs="Arial" w:eastAsia="Arial" w:hAnsi="Arial"/>
          <w:sz w:val="17"/>
          <w:szCs w:val="17"/>
          <w:b w:val="1"/>
          <w:bCs w:val="1"/>
          <w:color w:val="auto"/>
        </w:rPr>
        <w:t>Fair value measurements</w:t>
      </w:r>
    </w:p>
    <w:p>
      <w:pPr>
        <w:spacing w:after="0" w:line="29" w:lineRule="exact"/>
        <w:rPr>
          <w:sz w:val="20"/>
          <w:szCs w:val="20"/>
          <w:color w:val="auto"/>
        </w:rPr>
      </w:pPr>
    </w:p>
    <w:p>
      <w:pPr>
        <w:ind w:right="280"/>
        <w:spacing w:after="0" w:line="246" w:lineRule="auto"/>
        <w:rPr>
          <w:sz w:val="20"/>
          <w:szCs w:val="20"/>
          <w:color w:val="auto"/>
        </w:rPr>
      </w:pPr>
      <w:r>
        <w:rPr>
          <w:rFonts w:ascii="Arial" w:cs="Arial" w:eastAsia="Arial" w:hAnsi="Arial"/>
          <w:sz w:val="20"/>
          <w:szCs w:val="20"/>
          <w:color w:val="auto"/>
        </w:rPr>
        <w:t>GAAP permits an entity to choose to measure eligible financial instruments and other items at fair value. The Company has not made any fair value elections at December 31, 2017.</w:t>
      </w:r>
    </w:p>
    <w:p>
      <w:pPr>
        <w:spacing w:after="0" w:line="2" w:lineRule="exact"/>
        <w:rPr>
          <w:sz w:val="20"/>
          <w:szCs w:val="20"/>
          <w:color w:val="auto"/>
        </w:rPr>
      </w:pPr>
    </w:p>
    <w:p>
      <w:pPr>
        <w:jc w:val="both"/>
        <w:ind w:right="80" w:firstLine="598"/>
        <w:spacing w:after="0" w:line="246" w:lineRule="auto"/>
        <w:rPr>
          <w:sz w:val="20"/>
          <w:szCs w:val="20"/>
          <w:color w:val="auto"/>
        </w:rPr>
      </w:pPr>
      <w:r>
        <w:rPr>
          <w:rFonts w:ascii="Arial" w:cs="Arial" w:eastAsia="Arial" w:hAnsi="Arial"/>
          <w:sz w:val="20"/>
          <w:szCs w:val="20"/>
          <w:color w:val="auto"/>
        </w:rPr>
        <w:t>Pursuant to GAAP, fair value is defined as the price that would be received to sell an asset or paid to transfer a liability in an orderly transaction between market participants at the measurement date. A three-level hierarchy exists in GAAP for fair value measurements based upon the inputs to the valuation of an asset or liability.</w:t>
      </w:r>
    </w:p>
    <w:p>
      <w:pPr>
        <w:spacing w:after="0" w:line="2" w:lineRule="exact"/>
        <w:rPr>
          <w:sz w:val="20"/>
          <w:szCs w:val="20"/>
          <w:color w:val="auto"/>
        </w:rPr>
      </w:pPr>
    </w:p>
    <w:p>
      <w:pPr>
        <w:ind w:left="1180" w:hanging="584"/>
        <w:spacing w:after="0"/>
        <w:tabs>
          <w:tab w:leader="none" w:pos="1180" w:val="left"/>
        </w:tabs>
        <w:numPr>
          <w:ilvl w:val="0"/>
          <w:numId w:val="54"/>
        </w:numPr>
        <w:rPr>
          <w:rFonts w:ascii="Arial" w:cs="Arial" w:eastAsia="Arial" w:hAnsi="Arial"/>
          <w:sz w:val="20"/>
          <w:szCs w:val="20"/>
          <w:color w:val="auto"/>
        </w:rPr>
      </w:pPr>
      <w:r>
        <w:rPr>
          <w:rFonts w:ascii="Arial" w:cs="Arial" w:eastAsia="Arial" w:hAnsi="Arial"/>
          <w:sz w:val="20"/>
          <w:szCs w:val="20"/>
          <w:color w:val="auto"/>
        </w:rPr>
        <w:t>Level 1 — Valuation is based on quoted prices in active markets for identical assets and liabilities.</w:t>
      </w:r>
    </w:p>
    <w:p>
      <w:pPr>
        <w:spacing w:after="0" w:line="6" w:lineRule="exact"/>
        <w:rPr>
          <w:rFonts w:ascii="Arial" w:cs="Arial" w:eastAsia="Arial" w:hAnsi="Arial"/>
          <w:sz w:val="20"/>
          <w:szCs w:val="20"/>
          <w:color w:val="auto"/>
        </w:rPr>
      </w:pPr>
    </w:p>
    <w:p>
      <w:pPr>
        <w:ind w:left="1180" w:right="100" w:hanging="584"/>
        <w:spacing w:after="0" w:line="246" w:lineRule="auto"/>
        <w:tabs>
          <w:tab w:leader="none" w:pos="1180" w:val="left"/>
        </w:tabs>
        <w:numPr>
          <w:ilvl w:val="0"/>
          <w:numId w:val="54"/>
        </w:numPr>
        <w:rPr>
          <w:rFonts w:ascii="Arial" w:cs="Arial" w:eastAsia="Arial" w:hAnsi="Arial"/>
          <w:sz w:val="20"/>
          <w:szCs w:val="20"/>
          <w:color w:val="auto"/>
        </w:rPr>
      </w:pPr>
      <w:r>
        <w:rPr>
          <w:rFonts w:ascii="Arial" w:cs="Arial" w:eastAsia="Arial" w:hAnsi="Arial"/>
          <w:sz w:val="20"/>
          <w:szCs w:val="20"/>
          <w:color w:val="auto"/>
        </w:rPr>
        <w:t>Level 2 — Valuation is determined from quoted prices for similar assets or liabilities in active markets, quoted prices for identical or similar instruments in markets that are not active or by model-based techniques in which all significant inputs are observable in the market.</w:t>
      </w:r>
    </w:p>
    <w:p>
      <w:pPr>
        <w:spacing w:after="0" w:line="2" w:lineRule="exact"/>
        <w:rPr>
          <w:rFonts w:ascii="Arial" w:cs="Arial" w:eastAsia="Arial" w:hAnsi="Arial"/>
          <w:sz w:val="20"/>
          <w:szCs w:val="20"/>
          <w:color w:val="auto"/>
        </w:rPr>
      </w:pPr>
    </w:p>
    <w:p>
      <w:pPr>
        <w:ind w:left="1180" w:right="60" w:hanging="584"/>
        <w:spacing w:after="0" w:line="251" w:lineRule="auto"/>
        <w:tabs>
          <w:tab w:leader="none" w:pos="1180" w:val="left"/>
        </w:tabs>
        <w:numPr>
          <w:ilvl w:val="0"/>
          <w:numId w:val="54"/>
        </w:numPr>
        <w:rPr>
          <w:rFonts w:ascii="Arial" w:cs="Arial" w:eastAsia="Arial" w:hAnsi="Arial"/>
          <w:sz w:val="20"/>
          <w:szCs w:val="20"/>
          <w:color w:val="auto"/>
        </w:rPr>
      </w:pPr>
      <w:r>
        <w:rPr>
          <w:rFonts w:ascii="Arial" w:cs="Arial" w:eastAsia="Arial" w:hAnsi="Arial"/>
          <w:sz w:val="20"/>
          <w:szCs w:val="20"/>
          <w:color w:val="auto"/>
        </w:rPr>
        <w:t>Level 3 — Valuation is derived from model-based and other techniques in which at least one significant input is unobservable and which may be based on the Company’s own estimates about the assumptions that market participants would use to value the asset or liability.</w:t>
      </w:r>
    </w:p>
    <w:p>
      <w:pPr>
        <w:spacing w:after="0" w:line="180" w:lineRule="exact"/>
        <w:rPr>
          <w:sz w:val="20"/>
          <w:szCs w:val="20"/>
          <w:color w:val="auto"/>
        </w:rPr>
      </w:pPr>
    </w:p>
    <w:p>
      <w:pPr>
        <w:ind w:firstLine="598"/>
        <w:spacing w:after="0" w:line="268" w:lineRule="auto"/>
        <w:rPr>
          <w:sz w:val="20"/>
          <w:szCs w:val="20"/>
          <w:color w:val="auto"/>
        </w:rPr>
      </w:pPr>
      <w:r>
        <w:rPr>
          <w:rFonts w:ascii="Arial" w:cs="Arial" w:eastAsia="Arial" w:hAnsi="Arial"/>
          <w:sz w:val="19"/>
          <w:szCs w:val="19"/>
          <w:color w:val="auto"/>
        </w:rPr>
        <w:t>When available, the Company attempts to use quoted market prices in active markets to determine fair value and classifies such items as Level 1 or Level 2. If quoted market prices in active markets are not available, fair value is often determined using model-based techniques incorporating various assumptions including interest rates, prepayment speeds and credit losses. Assets and liabilities valued using model-based techniques are classified as either Level 2 or Level 3, depending on the lowest level classification of an input that is considered significant to the overall valuation. The following is a description of the valuation methodologies used for the Company’s assets and liabilities that are measured on a recurring basis at estimated fair value.</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Trading account assets and liabilities</w:t>
      </w:r>
    </w:p>
    <w:p>
      <w:pPr>
        <w:spacing w:after="0" w:line="25" w:lineRule="exact"/>
        <w:rPr>
          <w:sz w:val="20"/>
          <w:szCs w:val="20"/>
          <w:color w:val="auto"/>
        </w:rPr>
      </w:pPr>
    </w:p>
    <w:p>
      <w:pPr>
        <w:ind w:right="20"/>
        <w:spacing w:after="0" w:line="248" w:lineRule="auto"/>
        <w:rPr>
          <w:sz w:val="20"/>
          <w:szCs w:val="20"/>
          <w:color w:val="auto"/>
        </w:rPr>
      </w:pPr>
      <w:r>
        <w:rPr>
          <w:rFonts w:ascii="Arial" w:cs="Arial" w:eastAsia="Arial" w:hAnsi="Arial"/>
          <w:sz w:val="20"/>
          <w:szCs w:val="20"/>
          <w:color w:val="auto"/>
        </w:rPr>
        <w:t>Trading account assets and liabilities include interest rate contracts and foreign exchange contracts with customers who require such services with offsetting positions with third parties to minimize the Company’s risk with respect to such transactions. The Company generally determines the fair value of its derivative trading account assets and liabilities using externally developed pricing models based on market observable inputs and, therefore, classifies such valuations as Level 2. Mutual funds held in connection with deferred compensation and other arrangements have been classified as Level 1 valuations. Valuations of investments in municipal and other bonds can generally be obtained</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380"/>
          </w:cols>
          <w:pgMar w:left="240" w:top="336" w:right="279" w:bottom="1440" w:gutter="0" w:footer="0" w:header="0"/>
        </w:sectPr>
      </w:pPr>
    </w:p>
    <w:bookmarkStart w:id="166" w:name="page167"/>
    <w:bookmarkEnd w:id="166"/>
    <w:p>
      <w:pPr>
        <w:ind w:right="300"/>
        <w:spacing w:after="0" w:line="275" w:lineRule="auto"/>
        <w:rPr>
          <w:sz w:val="20"/>
          <w:szCs w:val="20"/>
          <w:color w:val="auto"/>
        </w:rPr>
      </w:pPr>
      <w:r>
        <w:rPr>
          <w:rFonts w:ascii="Arial" w:cs="Arial" w:eastAsia="Arial" w:hAnsi="Arial"/>
          <w:sz w:val="20"/>
          <w:szCs w:val="20"/>
          <w:color w:val="auto"/>
        </w:rPr>
        <w:t>through reference to quoted prices in less active markets for the same or similar securities or through model-based techniques in which all significant inputs are observable and, therefore, such valuations have been classified as Level 2.</w:t>
      </w:r>
    </w:p>
    <w:p>
      <w:pPr>
        <w:spacing w:after="0" w:line="26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Investment securities available for sale</w:t>
      </w:r>
    </w:p>
    <w:p>
      <w:pPr>
        <w:spacing w:after="0" w:line="25" w:lineRule="exact"/>
        <w:rPr>
          <w:sz w:val="20"/>
          <w:szCs w:val="20"/>
          <w:color w:val="auto"/>
        </w:rPr>
      </w:pPr>
    </w:p>
    <w:p>
      <w:pPr>
        <w:ind w:right="20"/>
        <w:spacing w:after="0" w:line="293" w:lineRule="auto"/>
        <w:rPr>
          <w:sz w:val="20"/>
          <w:szCs w:val="20"/>
          <w:color w:val="auto"/>
        </w:rPr>
      </w:pPr>
      <w:r>
        <w:rPr>
          <w:rFonts w:ascii="Arial" w:cs="Arial" w:eastAsia="Arial" w:hAnsi="Arial"/>
          <w:sz w:val="18"/>
          <w:szCs w:val="18"/>
          <w:color w:val="auto"/>
        </w:rPr>
        <w:t>The majority of the Company’s available-for-sale investment securities have been valued by reference to prices for similar securities or through model-based techniques in which all significant inputs are observable and, therefore, such valuations have been classified as Level 2. Certain investments in mutual funds and equity securities are actively traded and, therefore, have been classified as Level 1 valuations.</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Real estate loans held for sale</w:t>
      </w:r>
    </w:p>
    <w:p>
      <w:pPr>
        <w:spacing w:after="0" w:line="25" w:lineRule="exact"/>
        <w:rPr>
          <w:sz w:val="20"/>
          <w:szCs w:val="20"/>
          <w:color w:val="auto"/>
        </w:rPr>
      </w:pPr>
    </w:p>
    <w:p>
      <w:pPr>
        <w:jc w:val="both"/>
        <w:ind w:right="220"/>
        <w:spacing w:after="0" w:line="283" w:lineRule="auto"/>
        <w:rPr>
          <w:sz w:val="20"/>
          <w:szCs w:val="20"/>
          <w:color w:val="auto"/>
        </w:rPr>
      </w:pPr>
      <w:r>
        <w:rPr>
          <w:rFonts w:ascii="Arial" w:cs="Arial" w:eastAsia="Arial" w:hAnsi="Arial"/>
          <w:sz w:val="18"/>
          <w:szCs w:val="18"/>
          <w:color w:val="auto"/>
        </w:rPr>
        <w:t>The Company utilizes commitments to sell real estate loans to hedge the exposure to changes in fair value of real estate loans held for sale. The carrying value of hedged real estate loans held for sale includes changes in estimated fair value during the hedge period. Typically, the Company attempts to hedge real estate loans held for sale from the date of close through the sale date. The fair value of hedged real estate loans held for sale is generally calculated by reference to quoted prices in secondary markets for commitments to sell real estate loans with similar characteristics and, accordingly, such loans have been classified as a Level 2 valuation.</w:t>
      </w: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Commitments to originate real estate loans for sale and commitments to sell real estate loans</w:t>
      </w:r>
    </w:p>
    <w:p>
      <w:pPr>
        <w:spacing w:after="0" w:line="25" w:lineRule="exact"/>
        <w:rPr>
          <w:sz w:val="20"/>
          <w:szCs w:val="20"/>
          <w:color w:val="auto"/>
        </w:rPr>
      </w:pPr>
    </w:p>
    <w:p>
      <w:pPr>
        <w:spacing w:after="0" w:line="262" w:lineRule="auto"/>
        <w:rPr>
          <w:sz w:val="20"/>
          <w:szCs w:val="20"/>
          <w:color w:val="auto"/>
        </w:rPr>
      </w:pPr>
      <w:r>
        <w:rPr>
          <w:rFonts w:ascii="Arial" w:cs="Arial" w:eastAsia="Arial" w:hAnsi="Arial"/>
          <w:sz w:val="19"/>
          <w:szCs w:val="19"/>
          <w:color w:val="auto"/>
        </w:rPr>
        <w:t>The Company enters into various commitments to originate real estate loans for sale and commitments to sell real estate loans. Such commitments are considered to be derivative financial instruments and, therefore, are carried at estimated fair value on the consolidated balance sheet. The estimated fair values of such commitments were generally calculated by reference to quoted prices in secondary markets for commitments to sell real estate loans to certain government-sponsored entities and other parties. The fair valuations of commitments to sell real estate loans generally result in a Level 2 classification. The estimated fair value of commitments to originate real estate loans for sale is adjusted to reflect the Company’s anticipated commitment expirations. The estimated commitment expirations are considered significant unobservable inputs contributing to the Level 3 classification of commitments to originate real estate loans for sale. Significant unobservable inputs used in the determination of estimated fair value of commitments to originate real estate loans for sale are included in the accompanying table of significant unobservable inputs to Level 3 measurements.</w:t>
      </w:r>
    </w:p>
    <w:p>
      <w:pPr>
        <w:spacing w:after="0" w:line="27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Interest rate swap agreements used for interest rate risk management</w:t>
      </w:r>
    </w:p>
    <w:p>
      <w:pPr>
        <w:spacing w:after="0" w:line="25" w:lineRule="exact"/>
        <w:rPr>
          <w:sz w:val="20"/>
          <w:szCs w:val="20"/>
          <w:color w:val="auto"/>
        </w:rPr>
      </w:pPr>
    </w:p>
    <w:p>
      <w:pPr>
        <w:spacing w:after="0" w:line="265" w:lineRule="auto"/>
        <w:rPr>
          <w:sz w:val="20"/>
          <w:szCs w:val="20"/>
          <w:color w:val="auto"/>
        </w:rPr>
      </w:pPr>
      <w:r>
        <w:rPr>
          <w:rFonts w:ascii="Arial" w:cs="Arial" w:eastAsia="Arial" w:hAnsi="Arial"/>
          <w:sz w:val="19"/>
          <w:szCs w:val="19"/>
          <w:color w:val="auto"/>
        </w:rPr>
        <w:t>The Company utilizes interest rate swap agreements as part of the management of interest rate risk to modify the repricing characteristics of certain portions of its portfolios of earning assets and interest-bearing liabilities. The Company generally determines the fair value of its interest rate swap agreements using externally developed pricing models based on market observable inputs and, therefore, classifies such valuations as Level 2. The Company has considered counterparty credit risk in the valuation of its interest rate swap agreement assets and has considered its own credit risk in the valuation of its interest rate swap agreement liabilities</w:t>
      </w:r>
      <w:r>
        <w:rPr>
          <w:rFonts w:ascii="Arial" w:cs="Arial" w:eastAsia="Arial" w:hAnsi="Arial"/>
          <w:sz w:val="16"/>
          <w:szCs w:val="16"/>
          <w:color w:val="auto"/>
        </w:rPr>
        <w: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67" w:name="page168"/>
    <w:bookmarkEnd w:id="167"/>
    <w:p>
      <w:pPr>
        <w:ind w:left="600"/>
        <w:spacing w:after="0"/>
        <w:rPr>
          <w:sz w:val="20"/>
          <w:szCs w:val="20"/>
          <w:color w:val="auto"/>
        </w:rPr>
      </w:pPr>
      <w:r>
        <w:rPr>
          <w:rFonts w:ascii="Arial" w:cs="Arial" w:eastAsia="Arial" w:hAnsi="Arial"/>
          <w:sz w:val="18"/>
          <w:szCs w:val="18"/>
          <w:color w:val="auto"/>
        </w:rPr>
        <w:t>The following tables present assets and liabilities at December 31, 2017 and 2016 measured at estimated fair value on a recurring</w:t>
      </w:r>
    </w:p>
    <w:p>
      <w:pPr>
        <w:spacing w:after="0" w:line="48" w:lineRule="exact"/>
        <w:rPr>
          <w:sz w:val="20"/>
          <w:szCs w:val="20"/>
          <w:color w:val="auto"/>
        </w:rPr>
      </w:pPr>
    </w:p>
    <w:p>
      <w:pPr>
        <w:spacing w:after="0"/>
        <w:rPr>
          <w:sz w:val="20"/>
          <w:szCs w:val="20"/>
          <w:color w:val="auto"/>
        </w:rPr>
      </w:pPr>
      <w:r>
        <w:rPr>
          <w:rFonts w:ascii="Arial" w:cs="Arial" w:eastAsia="Arial" w:hAnsi="Arial"/>
          <w:sz w:val="20"/>
          <w:szCs w:val="20"/>
          <w:color w:val="auto"/>
        </w:rPr>
        <w:t>basis: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Fair Value</w:t>
            </w:r>
          </w:p>
        </w:tc>
        <w:tc>
          <w:tcPr>
            <w:tcW w:w="140" w:type="dxa"/>
            <w:vAlign w:val="bottom"/>
          </w:tcPr>
          <w:p>
            <w:pPr>
              <w:spacing w:after="0"/>
              <w:rPr>
                <w:sz w:val="14"/>
                <w:szCs w:val="14"/>
                <w:color w:val="auto"/>
              </w:rPr>
            </w:pPr>
          </w:p>
        </w:tc>
        <w:tc>
          <w:tcPr>
            <w:tcW w:w="88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w w:val="96"/>
              </w:rPr>
              <w:t>Level 1 (a)</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Level 2 (a)</w:t>
            </w:r>
          </w:p>
        </w:tc>
        <w:tc>
          <w:tcPr>
            <w:tcW w:w="200" w:type="dxa"/>
            <w:vAlign w:val="bottom"/>
          </w:tcPr>
          <w:p>
            <w:pPr>
              <w:spacing w:after="0"/>
              <w:rPr>
                <w:sz w:val="14"/>
                <w:szCs w:val="14"/>
                <w:color w:val="auto"/>
              </w:rPr>
            </w:pPr>
          </w:p>
        </w:tc>
        <w:tc>
          <w:tcPr>
            <w:tcW w:w="9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67"/>
        </w:trPr>
        <w:tc>
          <w:tcPr>
            <w:tcW w:w="48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9"/>
              </w:rPr>
              <w:t>Measurements</w:t>
            </w:r>
          </w:p>
        </w:tc>
        <w:tc>
          <w:tcPr>
            <w:tcW w:w="1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48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560" w:type="dxa"/>
            <w:vAlign w:val="bottom"/>
            <w:tcBorders>
              <w:top w:val="single" w:sz="8" w:color="auto"/>
            </w:tcBorders>
            <w:gridSpan w:val="5"/>
          </w:tcPr>
          <w:p>
            <w:pPr>
              <w:ind w:left="600"/>
              <w:spacing w:after="0" w:line="151" w:lineRule="exact"/>
              <w:rPr>
                <w:sz w:val="20"/>
                <w:szCs w:val="20"/>
                <w:color w:val="auto"/>
              </w:rPr>
            </w:pPr>
            <w:r>
              <w:rPr>
                <w:rFonts w:ascii="Arial" w:cs="Arial" w:eastAsia="Arial" w:hAnsi="Arial"/>
                <w:sz w:val="14"/>
                <w:szCs w:val="14"/>
                <w:b w:val="1"/>
                <w:bCs w:val="1"/>
                <w:color w:val="auto"/>
              </w:rPr>
              <w:t>(In thousands)</w:t>
            </w:r>
          </w:p>
        </w:tc>
        <w:tc>
          <w:tcPr>
            <w:tcW w:w="2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December 31, 2017</w:t>
            </w:r>
          </w:p>
        </w:tc>
        <w:tc>
          <w:tcPr>
            <w:tcW w:w="13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tcPr>
          <w:p>
            <w:pPr>
              <w:spacing w:after="0"/>
              <w:rPr>
                <w:sz w:val="20"/>
                <w:szCs w:val="20"/>
                <w:color w:val="auto"/>
              </w:rPr>
            </w:pPr>
            <w:r>
              <w:rPr>
                <w:rFonts w:ascii="Arial" w:cs="Arial" w:eastAsia="Arial" w:hAnsi="Arial"/>
                <w:sz w:val="18"/>
                <w:szCs w:val="18"/>
                <w:color w:val="auto"/>
              </w:rPr>
              <w:t>Trading account assets</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132,909</w:t>
            </w:r>
          </w:p>
        </w:tc>
        <w:tc>
          <w:tcPr>
            <w:tcW w:w="3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47,873</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85,036</w:t>
            </w:r>
          </w:p>
        </w:tc>
        <w:tc>
          <w:tcPr>
            <w:tcW w:w="320" w:type="dxa"/>
            <w:vAlign w:val="bottom"/>
          </w:tcPr>
          <w:p>
            <w:pPr>
              <w:spacing w:after="0"/>
              <w:rPr>
                <w:sz w:val="19"/>
                <w:szCs w:val="19"/>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Investment securities available for sale:</w:t>
            </w:r>
          </w:p>
        </w:tc>
        <w:tc>
          <w:tcPr>
            <w:tcW w:w="13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tcPr>
          <w:p>
            <w:pPr>
              <w:ind w:left="240"/>
              <w:spacing w:after="0"/>
              <w:rPr>
                <w:sz w:val="20"/>
                <w:szCs w:val="20"/>
                <w:color w:val="auto"/>
              </w:rPr>
            </w:pPr>
            <w:r>
              <w:rPr>
                <w:rFonts w:ascii="Arial" w:cs="Arial" w:eastAsia="Arial" w:hAnsi="Arial"/>
                <w:sz w:val="18"/>
                <w:szCs w:val="18"/>
                <w:color w:val="auto"/>
              </w:rPr>
              <w:t>U.S. Treasury and federal agencies</w:t>
            </w:r>
          </w:p>
        </w:tc>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1,947,487</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1,947,487</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4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Obligations of states and political subdivisions</w:t>
            </w:r>
          </w:p>
        </w:tc>
        <w:tc>
          <w:tcPr>
            <w:tcW w:w="13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2,589</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2,589</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60" w:type="dxa"/>
            <w:vAlign w:val="bottom"/>
          </w:tcPr>
          <w:p>
            <w:pPr>
              <w:ind w:left="240"/>
              <w:spacing w:after="0"/>
              <w:rPr>
                <w:sz w:val="20"/>
                <w:szCs w:val="20"/>
                <w:color w:val="auto"/>
              </w:rPr>
            </w:pPr>
            <w:r>
              <w:rPr>
                <w:rFonts w:ascii="Arial" w:cs="Arial" w:eastAsia="Arial" w:hAnsi="Arial"/>
                <w:sz w:val="18"/>
                <w:szCs w:val="18"/>
                <w:color w:val="auto"/>
              </w:rPr>
              <w:t>Mortgage-backed securities:</w:t>
            </w:r>
          </w:p>
        </w:tc>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Government issued or guaranteed</w:t>
            </w:r>
          </w:p>
        </w:tc>
        <w:tc>
          <w:tcPr>
            <w:tcW w:w="13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8,716,392</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8,716,392</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60" w:type="dxa"/>
            <w:vAlign w:val="bottom"/>
          </w:tcPr>
          <w:p>
            <w:pPr>
              <w:ind w:left="480"/>
              <w:spacing w:after="0"/>
              <w:rPr>
                <w:sz w:val="20"/>
                <w:szCs w:val="20"/>
                <w:color w:val="auto"/>
              </w:rPr>
            </w:pPr>
            <w:r>
              <w:rPr>
                <w:rFonts w:ascii="Arial" w:cs="Arial" w:eastAsia="Arial" w:hAnsi="Arial"/>
                <w:sz w:val="18"/>
                <w:szCs w:val="18"/>
                <w:color w:val="auto"/>
              </w:rPr>
              <w:t>Privately issued</w:t>
            </w:r>
          </w:p>
        </w:tc>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debt securities</w:t>
            </w:r>
          </w:p>
        </w:tc>
        <w:tc>
          <w:tcPr>
            <w:tcW w:w="13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128,832</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128,832</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60" w:type="dxa"/>
            <w:vAlign w:val="bottom"/>
          </w:tcPr>
          <w:p>
            <w:pPr>
              <w:ind w:left="240"/>
              <w:spacing w:after="0"/>
              <w:rPr>
                <w:sz w:val="20"/>
                <w:szCs w:val="20"/>
                <w:color w:val="auto"/>
              </w:rPr>
            </w:pPr>
            <w:r>
              <w:rPr>
                <w:rFonts w:ascii="Arial" w:cs="Arial" w:eastAsia="Arial" w:hAnsi="Arial"/>
                <w:sz w:val="18"/>
                <w:szCs w:val="18"/>
                <w:color w:val="auto"/>
              </w:rPr>
              <w:t>Equity securities</w:t>
            </w:r>
          </w:p>
        </w:tc>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100,956</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73,232</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27,724</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4860" w:type="dxa"/>
            <w:vAlign w:val="bottom"/>
            <w:tcBorders>
              <w:top w:val="single" w:sz="8" w:color="CFF0FC"/>
            </w:tcBorders>
            <w:shd w:val="clear" w:color="auto" w:fill="CFF0FC"/>
          </w:tcPr>
          <w:p>
            <w:pPr>
              <w:spacing w:after="0"/>
              <w:rPr>
                <w:sz w:val="18"/>
                <w:szCs w:val="18"/>
                <w:color w:val="auto"/>
              </w:rPr>
            </w:pPr>
          </w:p>
        </w:tc>
        <w:tc>
          <w:tcPr>
            <w:tcW w:w="13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10,896,284</w:t>
            </w:r>
          </w:p>
        </w:tc>
        <w:tc>
          <w:tcPr>
            <w:tcW w:w="3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73,232</w:t>
            </w:r>
          </w:p>
        </w:tc>
        <w:tc>
          <w:tcPr>
            <w:tcW w:w="3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10,823,024</w:t>
            </w:r>
          </w:p>
        </w:tc>
        <w:tc>
          <w:tcPr>
            <w:tcW w:w="3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Real estate loans held for sale</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378,047</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378,047</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Other assets (b)</w:t>
            </w:r>
          </w:p>
        </w:tc>
        <w:tc>
          <w:tcPr>
            <w:tcW w:w="13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12,696</w:t>
            </w:r>
          </w:p>
        </w:tc>
        <w:tc>
          <w:tcPr>
            <w:tcW w:w="3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3,899</w:t>
            </w:r>
          </w:p>
        </w:tc>
        <w:tc>
          <w:tcPr>
            <w:tcW w:w="3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8,797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860" w:type="dxa"/>
            <w:vAlign w:val="bottom"/>
          </w:tcPr>
          <w:p>
            <w:pPr>
              <w:ind w:left="240"/>
              <w:spacing w:after="0"/>
              <w:rPr>
                <w:sz w:val="20"/>
                <w:szCs w:val="20"/>
                <w:color w:val="auto"/>
              </w:rPr>
            </w:pPr>
            <w:r>
              <w:rPr>
                <w:rFonts w:ascii="Arial" w:cs="Arial" w:eastAsia="Arial" w:hAnsi="Arial"/>
                <w:sz w:val="18"/>
                <w:szCs w:val="18"/>
                <w:color w:val="auto"/>
              </w:rPr>
              <w:t>Total assets</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11,419,936</w:t>
            </w:r>
          </w:p>
        </w:tc>
        <w:tc>
          <w:tcPr>
            <w:tcW w:w="3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121,105</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5"/>
              </w:rPr>
              <w:t>11,290,006</w:t>
            </w:r>
          </w:p>
        </w:tc>
        <w:tc>
          <w:tcPr>
            <w:tcW w:w="320" w:type="dxa"/>
            <w:vAlign w:val="bottom"/>
          </w:tcPr>
          <w:p>
            <w:pPr>
              <w:spacing w:after="0"/>
              <w:rPr>
                <w:sz w:val="20"/>
                <w:szCs w:val="20"/>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8,825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6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8"/>
                <w:szCs w:val="18"/>
                <w:color w:val="auto"/>
              </w:rPr>
              <w:t>Trading account liabilities</w:t>
            </w:r>
          </w:p>
        </w:tc>
        <w:tc>
          <w:tcPr>
            <w:tcW w:w="13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860" w:type="dxa"/>
            <w:vAlign w:val="bottom"/>
            <w:vMerge w:val="continue"/>
            <w:shd w:val="clear" w:color="auto" w:fill="CFF0FC"/>
          </w:tcPr>
          <w:p>
            <w:pPr>
              <w:spacing w:after="0"/>
              <w:rPr>
                <w:sz w:val="17"/>
                <w:szCs w:val="17"/>
                <w:color w:val="auto"/>
              </w:rPr>
            </w:pPr>
          </w:p>
        </w:tc>
        <w:tc>
          <w:tcPr>
            <w:tcW w:w="150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137,390</w:t>
            </w:r>
          </w:p>
        </w:tc>
        <w:tc>
          <w:tcPr>
            <w:tcW w:w="34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460" w:type="dxa"/>
            <w:vAlign w:val="bottom"/>
            <w:gridSpan w:val="2"/>
            <w:shd w:val="clear" w:color="auto" w:fill="CFF0FC"/>
          </w:tcPr>
          <w:p>
            <w:pPr>
              <w:jc w:val="right"/>
              <w:ind w:right="40"/>
              <w:spacing w:after="0" w:line="203"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137,390</w:t>
            </w:r>
          </w:p>
        </w:tc>
        <w:tc>
          <w:tcPr>
            <w:tcW w:w="32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43"/>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FF0FC"/>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liabilities (b)</w:t>
            </w:r>
          </w:p>
        </w:tc>
        <w:tc>
          <w:tcPr>
            <w:tcW w:w="13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1,796</w:t>
            </w:r>
          </w:p>
        </w:tc>
        <w:tc>
          <w:tcPr>
            <w:tcW w:w="3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1,302</w:t>
            </w:r>
          </w:p>
        </w:tc>
        <w:tc>
          <w:tcPr>
            <w:tcW w:w="3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liabilities</w:t>
            </w:r>
          </w:p>
        </w:tc>
        <w:tc>
          <w:tcPr>
            <w:tcW w:w="15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139,186</w:t>
            </w: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138,692</w:t>
            </w: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tcBorders>
              <w:top w:val="single" w:sz="8" w:color="CFF0FC"/>
            </w:tcBorders>
          </w:tcPr>
          <w:p>
            <w:pPr>
              <w:spacing w:after="0" w:line="20" w:lineRule="exact"/>
              <w:rPr>
                <w:sz w:val="1"/>
                <w:szCs w:val="1"/>
                <w:color w:val="auto"/>
              </w:rPr>
            </w:pPr>
          </w:p>
        </w:tc>
        <w:tc>
          <w:tcPr>
            <w:tcW w:w="13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8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December 31, 2016</w:t>
            </w:r>
          </w:p>
        </w:tc>
        <w:tc>
          <w:tcPr>
            <w:tcW w:w="13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tcPr>
          <w:p>
            <w:pPr>
              <w:spacing w:after="0"/>
              <w:rPr>
                <w:sz w:val="20"/>
                <w:szCs w:val="20"/>
                <w:color w:val="auto"/>
              </w:rPr>
            </w:pPr>
            <w:r>
              <w:rPr>
                <w:rFonts w:ascii="Arial" w:cs="Arial" w:eastAsia="Arial" w:hAnsi="Arial"/>
                <w:sz w:val="18"/>
                <w:szCs w:val="18"/>
                <w:color w:val="auto"/>
              </w:rPr>
              <w:t>Trading account assets</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323,867</w:t>
            </w:r>
          </w:p>
        </w:tc>
        <w:tc>
          <w:tcPr>
            <w:tcW w:w="3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46,135</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277,732</w:t>
            </w:r>
          </w:p>
        </w:tc>
        <w:tc>
          <w:tcPr>
            <w:tcW w:w="320" w:type="dxa"/>
            <w:vAlign w:val="bottom"/>
          </w:tcPr>
          <w:p>
            <w:pPr>
              <w:spacing w:after="0"/>
              <w:rPr>
                <w:sz w:val="19"/>
                <w:szCs w:val="19"/>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Investment securities available for sale:</w:t>
            </w:r>
          </w:p>
        </w:tc>
        <w:tc>
          <w:tcPr>
            <w:tcW w:w="13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tcPr>
          <w:p>
            <w:pPr>
              <w:ind w:left="240"/>
              <w:spacing w:after="0"/>
              <w:rPr>
                <w:sz w:val="20"/>
                <w:szCs w:val="20"/>
                <w:color w:val="auto"/>
              </w:rPr>
            </w:pPr>
            <w:r>
              <w:rPr>
                <w:rFonts w:ascii="Arial" w:cs="Arial" w:eastAsia="Arial" w:hAnsi="Arial"/>
                <w:sz w:val="18"/>
                <w:szCs w:val="18"/>
                <w:color w:val="auto"/>
              </w:rPr>
              <w:t>U.S. Treasury and federal agencies</w:t>
            </w:r>
          </w:p>
        </w:tc>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1,902,544</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1,902,544</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4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Obligations of states and political subdivisions</w:t>
            </w:r>
          </w:p>
        </w:tc>
        <w:tc>
          <w:tcPr>
            <w:tcW w:w="13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3,641</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3,641</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60" w:type="dxa"/>
            <w:vAlign w:val="bottom"/>
          </w:tcPr>
          <w:p>
            <w:pPr>
              <w:ind w:left="240"/>
              <w:spacing w:after="0"/>
              <w:rPr>
                <w:sz w:val="20"/>
                <w:szCs w:val="20"/>
                <w:color w:val="auto"/>
              </w:rPr>
            </w:pPr>
            <w:r>
              <w:rPr>
                <w:rFonts w:ascii="Arial" w:cs="Arial" w:eastAsia="Arial" w:hAnsi="Arial"/>
                <w:sz w:val="18"/>
                <w:szCs w:val="18"/>
                <w:color w:val="auto"/>
              </w:rPr>
              <w:t>Mortgage-backed securities:</w:t>
            </w:r>
          </w:p>
        </w:tc>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Government issued or guaranteed</w:t>
            </w:r>
          </w:p>
        </w:tc>
        <w:tc>
          <w:tcPr>
            <w:tcW w:w="13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10,954,861</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10,954,861</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60" w:type="dxa"/>
            <w:vAlign w:val="bottom"/>
          </w:tcPr>
          <w:p>
            <w:pPr>
              <w:ind w:left="480"/>
              <w:spacing w:after="0"/>
              <w:rPr>
                <w:sz w:val="20"/>
                <w:szCs w:val="20"/>
                <w:color w:val="auto"/>
              </w:rPr>
            </w:pPr>
            <w:r>
              <w:rPr>
                <w:rFonts w:ascii="Arial" w:cs="Arial" w:eastAsia="Arial" w:hAnsi="Arial"/>
                <w:sz w:val="18"/>
                <w:szCs w:val="18"/>
                <w:color w:val="auto"/>
              </w:rPr>
              <w:t>Privately issued</w:t>
            </w:r>
          </w:p>
        </w:tc>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debt securities</w:t>
            </w:r>
          </w:p>
        </w:tc>
        <w:tc>
          <w:tcPr>
            <w:tcW w:w="13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118,516</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118,516</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60" w:type="dxa"/>
            <w:vAlign w:val="bottom"/>
          </w:tcPr>
          <w:p>
            <w:pPr>
              <w:ind w:left="240"/>
              <w:spacing w:after="0"/>
              <w:rPr>
                <w:sz w:val="20"/>
                <w:szCs w:val="20"/>
                <w:color w:val="auto"/>
              </w:rPr>
            </w:pPr>
            <w:r>
              <w:rPr>
                <w:rFonts w:ascii="Arial" w:cs="Arial" w:eastAsia="Arial" w:hAnsi="Arial"/>
                <w:sz w:val="18"/>
                <w:szCs w:val="18"/>
                <w:color w:val="auto"/>
              </w:rPr>
              <w:t>Equity securities</w:t>
            </w:r>
          </w:p>
        </w:tc>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352,466</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301,711</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50,755</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4860" w:type="dxa"/>
            <w:vAlign w:val="bottom"/>
            <w:tcBorders>
              <w:top w:val="single" w:sz="8" w:color="CFF0FC"/>
            </w:tcBorders>
            <w:shd w:val="clear" w:color="auto" w:fill="CFF0FC"/>
          </w:tcPr>
          <w:p>
            <w:pPr>
              <w:spacing w:after="0"/>
              <w:rPr>
                <w:sz w:val="18"/>
                <w:szCs w:val="18"/>
                <w:color w:val="auto"/>
              </w:rPr>
            </w:pPr>
          </w:p>
        </w:tc>
        <w:tc>
          <w:tcPr>
            <w:tcW w:w="13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13,332,072</w:t>
            </w:r>
          </w:p>
        </w:tc>
        <w:tc>
          <w:tcPr>
            <w:tcW w:w="3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301,711</w:t>
            </w:r>
          </w:p>
        </w:tc>
        <w:tc>
          <w:tcPr>
            <w:tcW w:w="3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13,030,317</w:t>
            </w:r>
          </w:p>
        </w:tc>
        <w:tc>
          <w:tcPr>
            <w:tcW w:w="3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Real estate loans held for sale</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1,056,180</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1,056,180</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Other assets (b)</w:t>
            </w:r>
          </w:p>
        </w:tc>
        <w:tc>
          <w:tcPr>
            <w:tcW w:w="13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58,351</w:t>
            </w:r>
          </w:p>
        </w:tc>
        <w:tc>
          <w:tcPr>
            <w:tcW w:w="3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50,291</w:t>
            </w:r>
          </w:p>
        </w:tc>
        <w:tc>
          <w:tcPr>
            <w:tcW w:w="3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860" w:type="dxa"/>
            <w:vAlign w:val="bottom"/>
          </w:tcPr>
          <w:p>
            <w:pPr>
              <w:ind w:left="240"/>
              <w:spacing w:after="0"/>
              <w:rPr>
                <w:sz w:val="20"/>
                <w:szCs w:val="20"/>
                <w:color w:val="auto"/>
              </w:rPr>
            </w:pPr>
            <w:r>
              <w:rPr>
                <w:rFonts w:ascii="Arial" w:cs="Arial" w:eastAsia="Arial" w:hAnsi="Arial"/>
                <w:sz w:val="18"/>
                <w:szCs w:val="18"/>
                <w:color w:val="auto"/>
              </w:rPr>
              <w:t>Total assets</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14,770,470</w:t>
            </w:r>
          </w:p>
        </w:tc>
        <w:tc>
          <w:tcPr>
            <w:tcW w:w="3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347,846</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5"/>
              </w:rPr>
              <w:t>14,414,520</w:t>
            </w:r>
          </w:p>
        </w:tc>
        <w:tc>
          <w:tcPr>
            <w:tcW w:w="320" w:type="dxa"/>
            <w:vAlign w:val="bottom"/>
          </w:tcPr>
          <w:p>
            <w:pPr>
              <w:spacing w:after="0"/>
              <w:rPr>
                <w:sz w:val="20"/>
                <w:szCs w:val="20"/>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8,104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6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8"/>
                <w:szCs w:val="18"/>
                <w:color w:val="auto"/>
              </w:rPr>
              <w:t>Trading account liabilities</w:t>
            </w:r>
          </w:p>
        </w:tc>
        <w:tc>
          <w:tcPr>
            <w:tcW w:w="13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860" w:type="dxa"/>
            <w:vAlign w:val="bottom"/>
            <w:vMerge w:val="continue"/>
            <w:shd w:val="clear" w:color="auto" w:fill="CFF0FC"/>
          </w:tcPr>
          <w:p>
            <w:pPr>
              <w:spacing w:after="0"/>
              <w:rPr>
                <w:sz w:val="17"/>
                <w:szCs w:val="17"/>
                <w:color w:val="auto"/>
              </w:rPr>
            </w:pPr>
          </w:p>
        </w:tc>
        <w:tc>
          <w:tcPr>
            <w:tcW w:w="150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174,376</w:t>
            </w:r>
          </w:p>
        </w:tc>
        <w:tc>
          <w:tcPr>
            <w:tcW w:w="34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460" w:type="dxa"/>
            <w:vAlign w:val="bottom"/>
            <w:gridSpan w:val="2"/>
            <w:shd w:val="clear" w:color="auto" w:fill="CFF0FC"/>
          </w:tcPr>
          <w:p>
            <w:pPr>
              <w:jc w:val="right"/>
              <w:ind w:right="40"/>
              <w:spacing w:after="0" w:line="203"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174,376</w:t>
            </w:r>
          </w:p>
        </w:tc>
        <w:tc>
          <w:tcPr>
            <w:tcW w:w="32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43"/>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FF0FC"/>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liabilities (b)</w:t>
            </w:r>
          </w:p>
        </w:tc>
        <w:tc>
          <w:tcPr>
            <w:tcW w:w="13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2,481</w:t>
            </w:r>
          </w:p>
        </w:tc>
        <w:tc>
          <w:tcPr>
            <w:tcW w:w="3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1,746</w:t>
            </w:r>
          </w:p>
        </w:tc>
        <w:tc>
          <w:tcPr>
            <w:tcW w:w="3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liabilities</w:t>
            </w:r>
          </w:p>
        </w:tc>
        <w:tc>
          <w:tcPr>
            <w:tcW w:w="15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176,857</w:t>
            </w: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176,122</w:t>
            </w: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tcBorders>
              <w:top w:val="single" w:sz="8" w:color="CFF0FC"/>
            </w:tcBorders>
          </w:tcPr>
          <w:p>
            <w:pPr>
              <w:spacing w:after="0" w:line="20" w:lineRule="exact"/>
              <w:rPr>
                <w:sz w:val="1"/>
                <w:szCs w:val="1"/>
                <w:color w:val="auto"/>
              </w:rPr>
            </w:pPr>
          </w:p>
        </w:tc>
        <w:tc>
          <w:tcPr>
            <w:tcW w:w="13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225425</wp:posOffset>
            </wp:positionV>
            <wp:extent cx="136017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361" w:lineRule="exact"/>
        <w:rPr>
          <w:sz w:val="20"/>
          <w:szCs w:val="20"/>
          <w:color w:val="auto"/>
        </w:rPr>
      </w:pPr>
    </w:p>
    <w:p>
      <w:pPr>
        <w:ind w:left="600" w:right="440" w:hanging="595"/>
        <w:spacing w:after="0" w:line="257" w:lineRule="auto"/>
        <w:tabs>
          <w:tab w:leader="none" w:pos="600" w:val="left"/>
        </w:tabs>
        <w:numPr>
          <w:ilvl w:val="0"/>
          <w:numId w:val="55"/>
        </w:numPr>
        <w:rPr>
          <w:rFonts w:ascii="Arial" w:cs="Arial" w:eastAsia="Arial" w:hAnsi="Arial"/>
          <w:sz w:val="20"/>
          <w:szCs w:val="20"/>
          <w:i w:val="1"/>
          <w:iCs w:val="1"/>
          <w:color w:val="auto"/>
        </w:rPr>
      </w:pPr>
      <w:r>
        <w:rPr>
          <w:rFonts w:ascii="Arial" w:cs="Arial" w:eastAsia="Arial" w:hAnsi="Arial"/>
          <w:sz w:val="20"/>
          <w:szCs w:val="20"/>
          <w:i w:val="1"/>
          <w:iCs w:val="1"/>
          <w:color w:val="auto"/>
        </w:rPr>
        <w:t>There were no significant transfers between Level 1 and Level 2 of the fair value hierarchy during the years ended December 31, 2017 and 2016.</w:t>
      </w:r>
    </w:p>
    <w:p>
      <w:pPr>
        <w:spacing w:after="0" w:line="1" w:lineRule="exact"/>
        <w:rPr>
          <w:rFonts w:ascii="Arial" w:cs="Arial" w:eastAsia="Arial" w:hAnsi="Arial"/>
          <w:sz w:val="20"/>
          <w:szCs w:val="20"/>
          <w:i w:val="1"/>
          <w:iCs w:val="1"/>
          <w:color w:val="auto"/>
        </w:rPr>
      </w:pPr>
    </w:p>
    <w:p>
      <w:pPr>
        <w:ind w:left="600" w:right="60" w:hanging="595"/>
        <w:spacing w:after="0" w:line="294" w:lineRule="auto"/>
        <w:tabs>
          <w:tab w:leader="none" w:pos="600" w:val="left"/>
        </w:tabs>
        <w:numPr>
          <w:ilvl w:val="0"/>
          <w:numId w:val="55"/>
        </w:numPr>
        <w:rPr>
          <w:rFonts w:ascii="Arial" w:cs="Arial" w:eastAsia="Arial" w:hAnsi="Arial"/>
          <w:sz w:val="19"/>
          <w:szCs w:val="19"/>
          <w:i w:val="1"/>
          <w:iCs w:val="1"/>
          <w:color w:val="auto"/>
        </w:rPr>
      </w:pPr>
      <w:r>
        <w:rPr>
          <w:rFonts w:ascii="Arial" w:cs="Arial" w:eastAsia="Arial" w:hAnsi="Arial"/>
          <w:sz w:val="19"/>
          <w:szCs w:val="19"/>
          <w:i w:val="1"/>
          <w:iCs w:val="1"/>
          <w:color w:val="auto"/>
        </w:rPr>
        <w:t>Comprised predominantly of interest rate swap agreements used for interest rate risk management (Level 2), commitments to sell real estate loans (Level 2) and commitments to originate real estate loans to be held for sale (Level 3).</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68" w:name="page169"/>
    <w:bookmarkEnd w:id="168"/>
    <w:p>
      <w:pPr>
        <w:ind w:left="600"/>
        <w:spacing w:after="0"/>
        <w:rPr>
          <w:sz w:val="20"/>
          <w:szCs w:val="20"/>
          <w:color w:val="auto"/>
        </w:rPr>
      </w:pPr>
      <w:r>
        <w:rPr>
          <w:rFonts w:ascii="Arial" w:cs="Arial" w:eastAsia="Arial" w:hAnsi="Arial"/>
          <w:sz w:val="20"/>
          <w:szCs w:val="20"/>
          <w:color w:val="auto"/>
        </w:rPr>
        <w:t>The changes in Level 3 assets and liabilities measured at estimated fair value on a recurring basis during the years ended</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December 31, 2017, 2016 and 2015 were as follows:</w:t>
      </w:r>
    </w:p>
    <w:p>
      <w:pPr>
        <w:spacing w:after="0" w:line="71" w:lineRule="exact"/>
        <w:rPr>
          <w:sz w:val="20"/>
          <w:szCs w:val="20"/>
          <w:color w:val="auto"/>
        </w:rPr>
      </w:pPr>
    </w:p>
    <w:p>
      <w:pPr>
        <w:jc w:val="center"/>
        <w:ind w:left="5740"/>
        <w:spacing w:after="0"/>
        <w:rPr>
          <w:sz w:val="20"/>
          <w:szCs w:val="20"/>
          <w:color w:val="auto"/>
        </w:rPr>
      </w:pPr>
      <w:r>
        <w:rPr>
          <w:rFonts w:ascii="Arial" w:cs="Arial" w:eastAsia="Arial" w:hAnsi="Arial"/>
          <w:sz w:val="14"/>
          <w:szCs w:val="14"/>
          <w:b w:val="1"/>
          <w:bCs w:val="1"/>
          <w:color w:val="auto"/>
        </w:rPr>
        <w:t>Investment</w:t>
      </w:r>
    </w:p>
    <w:p>
      <w:pPr>
        <w:jc w:val="center"/>
        <w:ind w:left="5760"/>
        <w:spacing w:after="0" w:line="215" w:lineRule="auto"/>
        <w:rPr>
          <w:sz w:val="20"/>
          <w:szCs w:val="20"/>
          <w:color w:val="auto"/>
        </w:rPr>
      </w:pPr>
      <w:r>
        <w:rPr>
          <w:rFonts w:ascii="Arial" w:cs="Arial" w:eastAsia="Arial" w:hAnsi="Arial"/>
          <w:sz w:val="14"/>
          <w:szCs w:val="14"/>
          <w:b w:val="1"/>
          <w:bCs w:val="1"/>
          <w:color w:val="auto"/>
        </w:rPr>
        <w:t>Securities</w:t>
      </w:r>
    </w:p>
    <w:p>
      <w:pPr>
        <w:jc w:val="center"/>
        <w:ind w:left="5740"/>
        <w:spacing w:after="0" w:line="225" w:lineRule="auto"/>
        <w:rPr>
          <w:sz w:val="20"/>
          <w:szCs w:val="20"/>
          <w:color w:val="auto"/>
        </w:rPr>
      </w:pPr>
      <w:r>
        <w:rPr>
          <w:rFonts w:ascii="Arial" w:cs="Arial" w:eastAsia="Arial" w:hAnsi="Arial"/>
          <w:sz w:val="14"/>
          <w:szCs w:val="14"/>
          <w:b w:val="1"/>
          <w:bCs w:val="1"/>
          <w:color w:val="auto"/>
        </w:rPr>
        <w:t>Available for Sale</w:t>
      </w:r>
    </w:p>
    <w:tbl>
      <w:tblPr>
        <w:tblLayout w:type="fixed"/>
        <w:tblInd w:w="0" w:type="dxa"/>
        <w:tblCellMar>
          <w:top w:w="0" w:type="dxa"/>
          <w:left w:w="0" w:type="dxa"/>
          <w:bottom w:w="0" w:type="dxa"/>
          <w:right w:w="0" w:type="dxa"/>
        </w:tblCellMar>
      </w:tblPr>
      <w:tr>
        <w:trPr>
          <w:trHeight w:val="128"/>
        </w:trPr>
        <w:tc>
          <w:tcPr>
            <w:tcW w:w="3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jc w:val="center"/>
              <w:ind w:right="17"/>
              <w:spacing w:after="0" w:line="129" w:lineRule="exact"/>
              <w:rPr>
                <w:sz w:val="20"/>
                <w:szCs w:val="20"/>
                <w:color w:val="auto"/>
              </w:rPr>
            </w:pPr>
            <w:r>
              <w:rPr>
                <w:rFonts w:ascii="Arial" w:cs="Arial" w:eastAsia="Arial" w:hAnsi="Arial"/>
                <w:sz w:val="14"/>
                <w:szCs w:val="14"/>
                <w:b w:val="1"/>
                <w:bCs w:val="1"/>
                <w:color w:val="auto"/>
                <w:w w:val="90"/>
              </w:rPr>
              <w:t>Privately Issued</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vMerge w:val="restart"/>
          </w:tcPr>
          <w:p>
            <w:pPr>
              <w:spacing w:after="0"/>
              <w:rPr>
                <w:sz w:val="20"/>
                <w:szCs w:val="20"/>
                <w:color w:val="auto"/>
              </w:rPr>
            </w:pPr>
            <w:r>
              <w:rPr>
                <w:rFonts w:ascii="Arial" w:cs="Arial" w:eastAsia="Arial" w:hAnsi="Arial"/>
                <w:sz w:val="14"/>
                <w:szCs w:val="14"/>
                <w:b w:val="1"/>
                <w:bCs w:val="1"/>
                <w:color w:val="auto"/>
                <w:w w:val="98"/>
              </w:rPr>
              <w:t>Other Assets and</w:t>
            </w: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3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91"/>
              </w:rPr>
              <w:t>Mortgage-</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87"/>
              </w:rPr>
              <w:t>Backed Securities</w:t>
            </w:r>
          </w:p>
        </w:tc>
        <w:tc>
          <w:tcPr>
            <w:tcW w:w="3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Other Liabilities</w:t>
            </w:r>
          </w:p>
        </w:tc>
        <w:tc>
          <w:tcPr>
            <w:tcW w:w="3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60" w:type="dxa"/>
            <w:vAlign w:val="bottom"/>
            <w:vMerge w:val="restart"/>
          </w:tcPr>
          <w:p>
            <w:pPr>
              <w:spacing w:after="0"/>
              <w:rPr>
                <w:sz w:val="20"/>
                <w:szCs w:val="20"/>
                <w:color w:val="auto"/>
              </w:rPr>
            </w:pPr>
            <w:r>
              <w:rPr>
                <w:rFonts w:ascii="Arial" w:cs="Arial" w:eastAsia="Arial" w:hAnsi="Arial"/>
                <w:sz w:val="18"/>
                <w:szCs w:val="18"/>
                <w:b w:val="1"/>
                <w:bCs w:val="1"/>
                <w:color w:val="auto"/>
                <w:w w:val="84"/>
              </w:rPr>
              <w:t>2017</w:t>
            </w:r>
          </w:p>
        </w:tc>
        <w:tc>
          <w:tcPr>
            <w:tcW w:w="178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60" w:type="dxa"/>
            <w:vAlign w:val="bottom"/>
            <w:gridSpan w:val="6"/>
          </w:tcPr>
          <w:p>
            <w:pPr>
              <w:jc w:val="right"/>
              <w:ind w:right="875"/>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360" w:type="dxa"/>
            <w:vAlign w:val="bottom"/>
            <w:tcBorders>
              <w:bottom w:val="single" w:sz="8" w:color="auto"/>
            </w:tcBorders>
            <w:vMerge w:val="continue"/>
          </w:tcPr>
          <w:p>
            <w:pPr>
              <w:spacing w:after="0"/>
              <w:rPr>
                <w:sz w:val="13"/>
                <w:szCs w:val="13"/>
                <w:color w:val="auto"/>
              </w:rPr>
            </w:pPr>
          </w:p>
        </w:tc>
        <w:tc>
          <w:tcPr>
            <w:tcW w:w="178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5900" w:type="dxa"/>
            <w:vAlign w:val="bottom"/>
            <w:gridSpan w:val="3"/>
          </w:tcPr>
          <w:p>
            <w:pPr>
              <w:spacing w:after="0"/>
              <w:rPr>
                <w:sz w:val="20"/>
                <w:szCs w:val="20"/>
                <w:color w:val="auto"/>
              </w:rPr>
            </w:pPr>
            <w:r>
              <w:rPr>
                <w:rFonts w:ascii="Arial" w:cs="Arial" w:eastAsia="Arial" w:hAnsi="Arial"/>
                <w:sz w:val="18"/>
                <w:szCs w:val="18"/>
                <w:color w:val="auto"/>
              </w:rPr>
              <w:t>Balance — January 1, 2017</w:t>
            </w:r>
          </w:p>
        </w:tc>
        <w:tc>
          <w:tcPr>
            <w:tcW w:w="1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7,325</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59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Total gains (losses) realized/unrealized:</w:t>
            </w: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00" w:type="dxa"/>
            <w:vAlign w:val="bottom"/>
            <w:gridSpan w:val="3"/>
          </w:tcPr>
          <w:p>
            <w:pPr>
              <w:ind w:left="240"/>
              <w:spacing w:after="0"/>
              <w:rPr>
                <w:sz w:val="20"/>
                <w:szCs w:val="20"/>
                <w:color w:val="auto"/>
              </w:rPr>
            </w:pPr>
            <w:r>
              <w:rPr>
                <w:rFonts w:ascii="Arial" w:cs="Arial" w:eastAsia="Arial" w:hAnsi="Arial"/>
                <w:sz w:val="18"/>
                <w:szCs w:val="18"/>
                <w:color w:val="auto"/>
              </w:rPr>
              <w:t>Included in earnings</w:t>
            </w: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77,832</w:t>
            </w:r>
          </w:p>
        </w:tc>
        <w:tc>
          <w:tcPr>
            <w:tcW w:w="360" w:type="dxa"/>
            <w:vAlign w:val="bottom"/>
          </w:tcPr>
          <w:p>
            <w:pPr>
              <w:ind w:left="100"/>
              <w:spacing w:after="0"/>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224"/>
        </w:trPr>
        <w:tc>
          <w:tcPr>
            <w:tcW w:w="59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Sales</w:t>
            </w: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00" w:type="dxa"/>
            <w:vAlign w:val="bottom"/>
            <w:gridSpan w:val="3"/>
          </w:tcPr>
          <w:p>
            <w:pPr>
              <w:spacing w:after="0"/>
              <w:rPr>
                <w:sz w:val="20"/>
                <w:szCs w:val="20"/>
                <w:color w:val="auto"/>
              </w:rPr>
            </w:pPr>
            <w:r>
              <w:rPr>
                <w:rFonts w:ascii="Arial" w:cs="Arial" w:eastAsia="Arial" w:hAnsi="Arial"/>
                <w:sz w:val="18"/>
                <w:szCs w:val="18"/>
                <w:color w:val="auto"/>
              </w:rPr>
              <w:t>Settlements</w:t>
            </w: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9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Transfers out of Level 3 (a)</w:t>
            </w: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(76,854) (e)</w:t>
            </w:r>
          </w:p>
        </w:tc>
        <w:tc>
          <w:tcPr>
            <w:tcW w:w="0" w:type="dxa"/>
            <w:vAlign w:val="bottom"/>
          </w:tcPr>
          <w:p>
            <w:pPr>
              <w:spacing w:after="0"/>
              <w:rPr>
                <w:sz w:val="1"/>
                <w:szCs w:val="1"/>
                <w:color w:val="auto"/>
              </w:rPr>
            </w:pPr>
          </w:p>
        </w:tc>
      </w:tr>
      <w:tr>
        <w:trPr>
          <w:trHeight w:val="256"/>
        </w:trPr>
        <w:tc>
          <w:tcPr>
            <w:tcW w:w="590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Balance — December 31, 2017</w:t>
            </w:r>
          </w:p>
        </w:tc>
        <w:tc>
          <w:tcPr>
            <w:tcW w:w="160" w:type="dxa"/>
            <w:vAlign w:val="bottom"/>
            <w:tcBorders>
              <w:bottom w:val="single" w:sz="8" w:color="CFF0FC"/>
            </w:tcBorders>
          </w:tcPr>
          <w:p>
            <w:pPr>
              <w:spacing w:after="0"/>
              <w:rPr>
                <w:sz w:val="22"/>
                <w:szCs w:val="22"/>
                <w:color w:val="auto"/>
              </w:rPr>
            </w:pPr>
          </w:p>
        </w:tc>
        <w:tc>
          <w:tcPr>
            <w:tcW w:w="1380" w:type="dxa"/>
            <w:vAlign w:val="bottom"/>
            <w:tcBorders>
              <w:bottom w:val="single" w:sz="8" w:color="CFF0FC"/>
            </w:tcBorders>
          </w:tcPr>
          <w:p>
            <w:pPr>
              <w:spacing w:after="0"/>
              <w:rPr>
                <w:sz w:val="22"/>
                <w:szCs w:val="22"/>
                <w:color w:val="auto"/>
              </w:rPr>
            </w:pPr>
          </w:p>
        </w:tc>
        <w:tc>
          <w:tcPr>
            <w:tcW w:w="480" w:type="dxa"/>
            <w:vAlign w:val="bottom"/>
            <w:tcBorders>
              <w:bottom w:val="single" w:sz="8" w:color="CFF0FC"/>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80" w:type="dxa"/>
            <w:vAlign w:val="bottom"/>
            <w:tcBorders>
              <w:bottom w:val="single" w:sz="8" w:color="CFF0FC"/>
            </w:tcBorders>
          </w:tcPr>
          <w:p>
            <w:pPr>
              <w:spacing w:after="0"/>
              <w:rPr>
                <w:sz w:val="22"/>
                <w:szCs w:val="22"/>
                <w:color w:val="auto"/>
              </w:rPr>
            </w:pPr>
          </w:p>
        </w:tc>
        <w:tc>
          <w:tcPr>
            <w:tcW w:w="34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8,303</w:t>
            </w:r>
          </w:p>
        </w:tc>
        <w:tc>
          <w:tcPr>
            <w:tcW w:w="36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5900" w:type="dxa"/>
            <w:vAlign w:val="bottom"/>
            <w:gridSpan w:val="3"/>
            <w:shd w:val="clear" w:color="auto" w:fill="CFF0FC"/>
          </w:tcPr>
          <w:p>
            <w:pPr>
              <w:spacing w:after="0" w:line="191" w:lineRule="exact"/>
              <w:rPr>
                <w:sz w:val="20"/>
                <w:szCs w:val="20"/>
                <w:color w:val="auto"/>
              </w:rPr>
            </w:pPr>
            <w:r>
              <w:rPr>
                <w:rFonts w:ascii="Arial" w:cs="Arial" w:eastAsia="Arial" w:hAnsi="Arial"/>
                <w:sz w:val="18"/>
                <w:szCs w:val="18"/>
                <w:color w:val="auto"/>
              </w:rPr>
              <w:t>Changes in unrealized gains included in earnings</w:t>
            </w:r>
          </w:p>
        </w:tc>
        <w:tc>
          <w:tcPr>
            <w:tcW w:w="16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5900" w:type="dxa"/>
            <w:vAlign w:val="bottom"/>
            <w:tcBorders>
              <w:bottom w:val="single" w:sz="8" w:color="CFF0FC"/>
            </w:tcBorders>
            <w:gridSpan w:val="3"/>
            <w:shd w:val="clear" w:color="auto" w:fill="CFF0FC"/>
          </w:tcPr>
          <w:p>
            <w:pPr>
              <w:ind w:left="140"/>
              <w:spacing w:after="0"/>
              <w:rPr>
                <w:sz w:val="20"/>
                <w:szCs w:val="20"/>
                <w:color w:val="auto"/>
              </w:rPr>
            </w:pPr>
            <w:r>
              <w:rPr>
                <w:rFonts w:ascii="Arial" w:cs="Arial" w:eastAsia="Arial" w:hAnsi="Arial"/>
                <w:sz w:val="18"/>
                <w:szCs w:val="18"/>
                <w:color w:val="auto"/>
              </w:rPr>
              <w:t>related to assets still held at December 31, 2017</w:t>
            </w:r>
          </w:p>
        </w:tc>
        <w:tc>
          <w:tcPr>
            <w:tcW w:w="160" w:type="dxa"/>
            <w:vAlign w:val="bottom"/>
            <w:tcBorders>
              <w:bottom w:val="single" w:sz="8" w:color="CFF0FC"/>
            </w:tcBorders>
            <w:shd w:val="clear" w:color="auto" w:fill="CFF0FC"/>
          </w:tcPr>
          <w:p>
            <w:pPr>
              <w:spacing w:after="0"/>
              <w:rPr>
                <w:sz w:val="19"/>
                <w:szCs w:val="19"/>
                <w:color w:val="auto"/>
              </w:rPr>
            </w:pPr>
          </w:p>
        </w:tc>
        <w:tc>
          <w:tcPr>
            <w:tcW w:w="138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7,978</w:t>
            </w:r>
          </w:p>
        </w:tc>
        <w:tc>
          <w:tcPr>
            <w:tcW w:w="36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3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4"/>
          </w:tcPr>
          <w:p>
            <w:pPr>
              <w:jc w:val="right"/>
              <w:ind w:right="417"/>
              <w:spacing w:after="0"/>
              <w:rPr>
                <w:sz w:val="20"/>
                <w:szCs w:val="20"/>
                <w:color w:val="auto"/>
              </w:rPr>
            </w:pPr>
            <w:r>
              <w:rPr>
                <w:rFonts w:ascii="Arial" w:cs="Arial" w:eastAsia="Arial" w:hAnsi="Arial"/>
                <w:sz w:val="14"/>
                <w:szCs w:val="14"/>
                <w:b w:val="1"/>
                <w:bCs w:val="1"/>
                <w:color w:val="auto"/>
              </w:rPr>
              <w:t>Investment Securities Available for Sale</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3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60" w:type="dxa"/>
            <w:vAlign w:val="bottom"/>
            <w:gridSpan w:val="2"/>
          </w:tcPr>
          <w:p>
            <w:pPr>
              <w:jc w:val="center"/>
              <w:ind w:right="660"/>
              <w:spacing w:after="0" w:line="129" w:lineRule="exact"/>
              <w:rPr>
                <w:sz w:val="20"/>
                <w:szCs w:val="20"/>
                <w:color w:val="auto"/>
              </w:rPr>
            </w:pPr>
            <w:r>
              <w:rPr>
                <w:rFonts w:ascii="Arial" w:cs="Arial" w:eastAsia="Arial" w:hAnsi="Arial"/>
                <w:sz w:val="14"/>
                <w:szCs w:val="14"/>
                <w:b w:val="1"/>
                <w:bCs w:val="1"/>
                <w:color w:val="auto"/>
                <w:w w:val="90"/>
              </w:rPr>
              <w:t>Privately Issued</w:t>
            </w:r>
          </w:p>
        </w:tc>
        <w:tc>
          <w:tcPr>
            <w:tcW w:w="80" w:type="dxa"/>
            <w:vAlign w:val="bottom"/>
          </w:tcPr>
          <w:p>
            <w:pPr>
              <w:spacing w:after="0"/>
              <w:rPr>
                <w:sz w:val="11"/>
                <w:szCs w:val="11"/>
                <w:color w:val="auto"/>
              </w:rPr>
            </w:pPr>
          </w:p>
        </w:tc>
        <w:tc>
          <w:tcPr>
            <w:tcW w:w="13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2"/>
              </w:rPr>
              <w:t>Collateralized Debt</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vMerge w:val="restart"/>
          </w:tcPr>
          <w:p>
            <w:pPr>
              <w:spacing w:after="0"/>
              <w:rPr>
                <w:sz w:val="20"/>
                <w:szCs w:val="20"/>
                <w:color w:val="auto"/>
              </w:rPr>
            </w:pPr>
            <w:r>
              <w:rPr>
                <w:rFonts w:ascii="Arial" w:cs="Arial" w:eastAsia="Arial" w:hAnsi="Arial"/>
                <w:sz w:val="14"/>
                <w:szCs w:val="14"/>
                <w:b w:val="1"/>
                <w:bCs w:val="1"/>
                <w:color w:val="auto"/>
                <w:w w:val="98"/>
              </w:rPr>
              <w:t>Other Assets and</w:t>
            </w: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3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60" w:type="dxa"/>
            <w:vAlign w:val="bottom"/>
            <w:gridSpan w:val="2"/>
          </w:tcPr>
          <w:p>
            <w:pPr>
              <w:jc w:val="center"/>
              <w:ind w:right="660"/>
              <w:spacing w:after="0" w:line="145" w:lineRule="exact"/>
              <w:rPr>
                <w:sz w:val="20"/>
                <w:szCs w:val="20"/>
                <w:color w:val="auto"/>
              </w:rPr>
            </w:pPr>
            <w:r>
              <w:rPr>
                <w:rFonts w:ascii="Arial" w:cs="Arial" w:eastAsia="Arial" w:hAnsi="Arial"/>
                <w:sz w:val="14"/>
                <w:szCs w:val="14"/>
                <w:b w:val="1"/>
                <w:bCs w:val="1"/>
                <w:color w:val="auto"/>
                <w:w w:val="94"/>
              </w:rPr>
              <w:t>Mortgage-</w:t>
            </w:r>
          </w:p>
        </w:tc>
        <w:tc>
          <w:tcPr>
            <w:tcW w:w="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9"/>
              </w:rPr>
              <w:t>Backed Securities</w:t>
            </w:r>
          </w:p>
        </w:tc>
        <w:tc>
          <w:tcPr>
            <w:tcW w:w="80" w:type="dxa"/>
            <w:vAlign w:val="bottom"/>
          </w:tcPr>
          <w:p>
            <w:pPr>
              <w:spacing w:after="0"/>
              <w:rPr>
                <w:sz w:val="14"/>
                <w:szCs w:val="14"/>
                <w:color w:val="auto"/>
              </w:rPr>
            </w:pPr>
          </w:p>
        </w:tc>
        <w:tc>
          <w:tcPr>
            <w:tcW w:w="13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Obligations</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ind w:left="20"/>
              <w:spacing w:after="0"/>
              <w:rPr>
                <w:sz w:val="20"/>
                <w:szCs w:val="20"/>
                <w:color w:val="auto"/>
              </w:rPr>
            </w:pPr>
            <w:r>
              <w:rPr>
                <w:rFonts w:ascii="Arial" w:cs="Arial" w:eastAsia="Arial" w:hAnsi="Arial"/>
                <w:sz w:val="14"/>
                <w:szCs w:val="14"/>
                <w:b w:val="1"/>
                <w:bCs w:val="1"/>
                <w:color w:val="auto"/>
              </w:rPr>
              <w:t>Other Liabilities</w:t>
            </w: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60" w:type="dxa"/>
            <w:vAlign w:val="bottom"/>
            <w:vMerge w:val="restart"/>
          </w:tcPr>
          <w:p>
            <w:pPr>
              <w:spacing w:after="0"/>
              <w:rPr>
                <w:sz w:val="20"/>
                <w:szCs w:val="20"/>
                <w:color w:val="auto"/>
              </w:rPr>
            </w:pPr>
            <w:r>
              <w:rPr>
                <w:rFonts w:ascii="Arial" w:cs="Arial" w:eastAsia="Arial" w:hAnsi="Arial"/>
                <w:sz w:val="18"/>
                <w:szCs w:val="18"/>
                <w:b w:val="1"/>
                <w:bCs w:val="1"/>
                <w:color w:val="auto"/>
                <w:w w:val="84"/>
              </w:rPr>
              <w:t>2016</w:t>
            </w:r>
          </w:p>
        </w:tc>
        <w:tc>
          <w:tcPr>
            <w:tcW w:w="178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(In thousands)</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60" w:type="dxa"/>
            <w:vAlign w:val="bottom"/>
            <w:tcBorders>
              <w:bottom w:val="single" w:sz="8" w:color="auto"/>
            </w:tcBorders>
            <w:vMerge w:val="continue"/>
          </w:tcPr>
          <w:p>
            <w:pPr>
              <w:spacing w:after="0"/>
              <w:rPr>
                <w:sz w:val="14"/>
                <w:szCs w:val="14"/>
                <w:color w:val="auto"/>
              </w:rPr>
            </w:pPr>
          </w:p>
        </w:tc>
        <w:tc>
          <w:tcPr>
            <w:tcW w:w="178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59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Balance — January 1, 2016</w:t>
            </w:r>
          </w:p>
        </w:tc>
        <w:tc>
          <w:tcPr>
            <w:tcW w:w="160" w:type="dxa"/>
            <w:vAlign w:val="bottom"/>
            <w:shd w:val="clear" w:color="auto" w:fill="CFF0FC"/>
          </w:tcPr>
          <w:p>
            <w:pPr>
              <w:jc w:val="right"/>
              <w:ind w:right="3"/>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4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47,393</w:t>
            </w:r>
          </w:p>
        </w:tc>
        <w:tc>
          <w:tcPr>
            <w:tcW w:w="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9,879</w:t>
            </w:r>
          </w:p>
        </w:tc>
        <w:tc>
          <w:tcPr>
            <w:tcW w:w="3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00" w:type="dxa"/>
            <w:vAlign w:val="bottom"/>
            <w:gridSpan w:val="3"/>
          </w:tcPr>
          <w:p>
            <w:pPr>
              <w:spacing w:after="0"/>
              <w:rPr>
                <w:sz w:val="20"/>
                <w:szCs w:val="20"/>
                <w:color w:val="auto"/>
              </w:rPr>
            </w:pPr>
            <w:r>
              <w:rPr>
                <w:rFonts w:ascii="Arial" w:cs="Arial" w:eastAsia="Arial" w:hAnsi="Arial"/>
                <w:sz w:val="18"/>
                <w:szCs w:val="18"/>
                <w:color w:val="auto"/>
              </w:rPr>
              <w:t>Total gains (losses) realized/unrealized:</w:t>
            </w: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90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Included in earnings</w:t>
            </w:r>
          </w:p>
        </w:tc>
        <w:tc>
          <w:tcPr>
            <w:tcW w:w="16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30,041</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ind w:left="40"/>
              <w:spacing w:after="0"/>
              <w:rPr>
                <w:sz w:val="20"/>
                <w:szCs w:val="20"/>
                <w:color w:val="auto"/>
              </w:rPr>
            </w:pPr>
            <w:r>
              <w:rPr>
                <w:rFonts w:ascii="Arial" w:cs="Arial" w:eastAsia="Arial" w:hAnsi="Arial"/>
                <w:sz w:val="18"/>
                <w:szCs w:val="18"/>
                <w:color w:val="auto"/>
              </w:rPr>
              <w:t>(c)</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110,937</w:t>
            </w:r>
          </w:p>
        </w:tc>
        <w:tc>
          <w:tcPr>
            <w:tcW w:w="3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223"/>
        </w:trPr>
        <w:tc>
          <w:tcPr>
            <w:tcW w:w="5900" w:type="dxa"/>
            <w:vAlign w:val="bottom"/>
            <w:gridSpan w:val="3"/>
          </w:tcPr>
          <w:p>
            <w:pPr>
              <w:ind w:left="240"/>
              <w:spacing w:after="0"/>
              <w:rPr>
                <w:sz w:val="20"/>
                <w:szCs w:val="20"/>
                <w:color w:val="auto"/>
              </w:rPr>
            </w:pPr>
            <w:r>
              <w:rPr>
                <w:rFonts w:ascii="Arial" w:cs="Arial" w:eastAsia="Arial" w:hAnsi="Arial"/>
                <w:sz w:val="18"/>
                <w:szCs w:val="18"/>
                <w:color w:val="auto"/>
              </w:rPr>
              <w:t>Included in other comprehensive income</w:t>
            </w:r>
          </w:p>
        </w:tc>
        <w:tc>
          <w:tcPr>
            <w:tcW w:w="160" w:type="dxa"/>
            <w:vAlign w:val="bottom"/>
          </w:tcPr>
          <w:p>
            <w:pPr>
              <w:spacing w:after="0"/>
              <w:rPr>
                <w:sz w:val="19"/>
                <w:szCs w:val="19"/>
                <w:color w:val="auto"/>
              </w:rPr>
            </w:pPr>
          </w:p>
        </w:tc>
        <w:tc>
          <w:tcPr>
            <w:tcW w:w="18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80" w:type="dxa"/>
            <w:vAlign w:val="bottom"/>
            <w:gridSpan w:val="3"/>
          </w:tcPr>
          <w:p>
            <w:pPr>
              <w:ind w:left="720"/>
              <w:spacing w:after="0"/>
              <w:rPr>
                <w:sz w:val="20"/>
                <w:szCs w:val="20"/>
                <w:color w:val="auto"/>
              </w:rPr>
            </w:pPr>
            <w:r>
              <w:rPr>
                <w:rFonts w:ascii="Arial" w:cs="Arial" w:eastAsia="Arial" w:hAnsi="Arial"/>
                <w:sz w:val="18"/>
                <w:szCs w:val="18"/>
                <w:color w:val="auto"/>
                <w:w w:val="99"/>
              </w:rPr>
              <w:t>(18,268) (d)</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9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Sales</w:t>
            </w:r>
          </w:p>
        </w:tc>
        <w:tc>
          <w:tcPr>
            <w:tcW w:w="16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(58,296)</w:t>
            </w: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00" w:type="dxa"/>
            <w:vAlign w:val="bottom"/>
            <w:gridSpan w:val="3"/>
          </w:tcPr>
          <w:p>
            <w:pPr>
              <w:spacing w:after="0"/>
              <w:rPr>
                <w:sz w:val="20"/>
                <w:szCs w:val="20"/>
                <w:color w:val="auto"/>
              </w:rPr>
            </w:pPr>
            <w:r>
              <w:rPr>
                <w:rFonts w:ascii="Arial" w:cs="Arial" w:eastAsia="Arial" w:hAnsi="Arial"/>
                <w:sz w:val="18"/>
                <w:szCs w:val="18"/>
                <w:color w:val="auto"/>
              </w:rPr>
              <w:t>Settlements</w:t>
            </w:r>
          </w:p>
        </w:tc>
        <w:tc>
          <w:tcPr>
            <w:tcW w:w="160" w:type="dxa"/>
            <w:vAlign w:val="bottom"/>
          </w:tcPr>
          <w:p>
            <w:pPr>
              <w:spacing w:after="0"/>
              <w:rPr>
                <w:sz w:val="19"/>
                <w:szCs w:val="19"/>
                <w:color w:val="auto"/>
              </w:rPr>
            </w:pPr>
          </w:p>
        </w:tc>
        <w:tc>
          <w:tcPr>
            <w:tcW w:w="1860" w:type="dxa"/>
            <w:vAlign w:val="bottom"/>
            <w:gridSpan w:val="2"/>
          </w:tcPr>
          <w:p>
            <w:pPr>
              <w:jc w:val="right"/>
              <w:ind w:right="420"/>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(870)</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9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Transfers out of Level 3 (a)</w:t>
            </w: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(113,491) (e)</w:t>
            </w:r>
          </w:p>
        </w:tc>
        <w:tc>
          <w:tcPr>
            <w:tcW w:w="0" w:type="dxa"/>
            <w:vAlign w:val="bottom"/>
          </w:tcPr>
          <w:p>
            <w:pPr>
              <w:spacing w:after="0"/>
              <w:rPr>
                <w:sz w:val="1"/>
                <w:szCs w:val="1"/>
                <w:color w:val="auto"/>
              </w:rPr>
            </w:pPr>
          </w:p>
        </w:tc>
      </w:tr>
      <w:tr>
        <w:trPr>
          <w:trHeight w:val="256"/>
        </w:trPr>
        <w:tc>
          <w:tcPr>
            <w:tcW w:w="590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Balance — December 31, 2016</w:t>
            </w: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480" w:type="dxa"/>
            <w:vAlign w:val="bottom"/>
            <w:tcBorders>
              <w:bottom w:val="single" w:sz="8" w:color="CFF0FC"/>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tcPr>
          <w:p>
            <w:pPr>
              <w:spacing w:after="0"/>
              <w:rPr>
                <w:sz w:val="22"/>
                <w:szCs w:val="22"/>
                <w:color w:val="auto"/>
              </w:rPr>
            </w:pPr>
          </w:p>
        </w:tc>
        <w:tc>
          <w:tcPr>
            <w:tcW w:w="34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7,325</w:t>
            </w:r>
          </w:p>
        </w:tc>
        <w:tc>
          <w:tcPr>
            <w:tcW w:w="36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5900" w:type="dxa"/>
            <w:vAlign w:val="bottom"/>
            <w:gridSpan w:val="3"/>
            <w:shd w:val="clear" w:color="auto" w:fill="CFF0FC"/>
          </w:tcPr>
          <w:p>
            <w:pPr>
              <w:spacing w:after="0" w:line="191" w:lineRule="exact"/>
              <w:rPr>
                <w:sz w:val="20"/>
                <w:szCs w:val="20"/>
                <w:color w:val="auto"/>
              </w:rPr>
            </w:pPr>
            <w:r>
              <w:rPr>
                <w:rFonts w:ascii="Arial" w:cs="Arial" w:eastAsia="Arial" w:hAnsi="Arial"/>
                <w:sz w:val="18"/>
                <w:szCs w:val="18"/>
                <w:color w:val="auto"/>
              </w:rPr>
              <w:t>Changes in unrealized gains included in earnings</w:t>
            </w:r>
          </w:p>
        </w:tc>
        <w:tc>
          <w:tcPr>
            <w:tcW w:w="16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590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related to assets still held at December 31, 2016</w:t>
            </w:r>
          </w:p>
        </w:tc>
        <w:tc>
          <w:tcPr>
            <w:tcW w:w="160" w:type="dxa"/>
            <w:vAlign w:val="bottom"/>
            <w:shd w:val="clear" w:color="auto" w:fill="CFF0FC"/>
          </w:tcPr>
          <w:p>
            <w:pPr>
              <w:jc w:val="right"/>
              <w:ind w:right="3"/>
              <w:spacing w:after="0"/>
              <w:rPr>
                <w:sz w:val="20"/>
                <w:szCs w:val="20"/>
                <w:color w:val="auto"/>
              </w:rPr>
            </w:pPr>
            <w:r>
              <w:rPr>
                <w:rFonts w:ascii="Arial" w:cs="Arial" w:eastAsia="Arial" w:hAnsi="Arial"/>
                <w:sz w:val="15"/>
                <w:szCs w:val="15"/>
                <w:color w:val="auto"/>
                <w:w w:val="71"/>
              </w:rPr>
              <w:t>$</w:t>
            </w:r>
          </w:p>
        </w:tc>
        <w:tc>
          <w:tcPr>
            <w:tcW w:w="1860" w:type="dxa"/>
            <w:vAlign w:val="bottom"/>
            <w:gridSpan w:val="2"/>
            <w:shd w:val="clear" w:color="auto" w:fill="CFF0FC"/>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7,256</w:t>
            </w:r>
          </w:p>
        </w:tc>
        <w:tc>
          <w:tcPr>
            <w:tcW w:w="3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20"/>
        </w:trPr>
        <w:tc>
          <w:tcPr>
            <w:tcW w:w="3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w w:val="84"/>
              </w:rPr>
              <w:t>2015</w:t>
            </w:r>
          </w:p>
        </w:tc>
        <w:tc>
          <w:tcPr>
            <w:tcW w:w="1780" w:type="dxa"/>
            <w:vAlign w:val="bottom"/>
            <w:tcBorders>
              <w:top w:val="single" w:sz="8" w:color="CFF0FC"/>
            </w:tcBorders>
          </w:tcPr>
          <w:p>
            <w:pPr>
              <w:spacing w:after="0" w:line="20" w:lineRule="exact"/>
              <w:rPr>
                <w:sz w:val="1"/>
                <w:szCs w:val="1"/>
                <w:color w:val="auto"/>
              </w:rPr>
            </w:pPr>
          </w:p>
        </w:tc>
        <w:tc>
          <w:tcPr>
            <w:tcW w:w="37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9"/>
        </w:trPr>
        <w:tc>
          <w:tcPr>
            <w:tcW w:w="360" w:type="dxa"/>
            <w:vAlign w:val="bottom"/>
            <w:tcBorders>
              <w:bottom w:val="single" w:sz="8" w:color="auto"/>
            </w:tcBorders>
            <w:vMerge w:val="continue"/>
          </w:tcPr>
          <w:p>
            <w:pPr>
              <w:spacing w:after="0"/>
              <w:rPr>
                <w:sz w:val="24"/>
                <w:szCs w:val="24"/>
                <w:color w:val="auto"/>
              </w:rPr>
            </w:pPr>
          </w:p>
        </w:tc>
        <w:tc>
          <w:tcPr>
            <w:tcW w:w="17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59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Balance — January 1, 2015</w:t>
            </w:r>
          </w:p>
        </w:tc>
        <w:tc>
          <w:tcPr>
            <w:tcW w:w="160" w:type="dxa"/>
            <w:vAlign w:val="bottom"/>
            <w:shd w:val="clear" w:color="auto" w:fill="CFF0FC"/>
          </w:tcPr>
          <w:p>
            <w:pPr>
              <w:jc w:val="right"/>
              <w:ind w:right="3"/>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w:t>
            </w:r>
          </w:p>
        </w:tc>
        <w:tc>
          <w:tcPr>
            <w:tcW w:w="4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50,316</w:t>
            </w:r>
          </w:p>
        </w:tc>
        <w:tc>
          <w:tcPr>
            <w:tcW w:w="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17,347</w:t>
            </w:r>
          </w:p>
        </w:tc>
        <w:tc>
          <w:tcPr>
            <w:tcW w:w="3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00" w:type="dxa"/>
            <w:vAlign w:val="bottom"/>
            <w:gridSpan w:val="3"/>
          </w:tcPr>
          <w:p>
            <w:pPr>
              <w:spacing w:after="0"/>
              <w:rPr>
                <w:sz w:val="20"/>
                <w:szCs w:val="20"/>
                <w:color w:val="auto"/>
              </w:rPr>
            </w:pPr>
            <w:r>
              <w:rPr>
                <w:rFonts w:ascii="Arial" w:cs="Arial" w:eastAsia="Arial" w:hAnsi="Arial"/>
                <w:sz w:val="18"/>
                <w:szCs w:val="18"/>
                <w:color w:val="auto"/>
              </w:rPr>
              <w:t>Total gains realized/unrealized:</w:t>
            </w: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90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Included in earnings</w:t>
            </w:r>
          </w:p>
        </w:tc>
        <w:tc>
          <w:tcPr>
            <w:tcW w:w="16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87,061</w:t>
            </w:r>
          </w:p>
        </w:tc>
        <w:tc>
          <w:tcPr>
            <w:tcW w:w="3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223"/>
        </w:trPr>
        <w:tc>
          <w:tcPr>
            <w:tcW w:w="5900" w:type="dxa"/>
            <w:vAlign w:val="bottom"/>
            <w:gridSpan w:val="3"/>
          </w:tcPr>
          <w:p>
            <w:pPr>
              <w:ind w:left="240"/>
              <w:spacing w:after="0"/>
              <w:rPr>
                <w:sz w:val="20"/>
                <w:szCs w:val="20"/>
                <w:color w:val="auto"/>
              </w:rPr>
            </w:pPr>
            <w:r>
              <w:rPr>
                <w:rFonts w:ascii="Arial" w:cs="Arial" w:eastAsia="Arial" w:hAnsi="Arial"/>
                <w:sz w:val="18"/>
                <w:szCs w:val="18"/>
                <w:color w:val="auto"/>
              </w:rPr>
              <w:t>Included in other comprehensive income</w:t>
            </w:r>
          </w:p>
        </w:tc>
        <w:tc>
          <w:tcPr>
            <w:tcW w:w="160" w:type="dxa"/>
            <w:vAlign w:val="bottom"/>
          </w:tcPr>
          <w:p>
            <w:pPr>
              <w:spacing w:after="0"/>
              <w:rPr>
                <w:sz w:val="19"/>
                <w:szCs w:val="19"/>
                <w:color w:val="auto"/>
              </w:rPr>
            </w:pPr>
          </w:p>
        </w:tc>
        <w:tc>
          <w:tcPr>
            <w:tcW w:w="18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3,254</w:t>
            </w:r>
          </w:p>
        </w:tc>
        <w:tc>
          <w:tcPr>
            <w:tcW w:w="80" w:type="dxa"/>
            <w:vAlign w:val="bottom"/>
          </w:tcPr>
          <w:p>
            <w:pPr>
              <w:spacing w:after="0"/>
              <w:rPr>
                <w:sz w:val="19"/>
                <w:szCs w:val="19"/>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rPr>
              <w:t>(d)</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9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Settlements</w:t>
            </w:r>
          </w:p>
        </w:tc>
        <w:tc>
          <w:tcPr>
            <w:tcW w:w="16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(29)</w:t>
            </w:r>
          </w:p>
        </w:tc>
        <w:tc>
          <w:tcPr>
            <w:tcW w:w="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(6,177)</w:t>
            </w: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00" w:type="dxa"/>
            <w:vAlign w:val="bottom"/>
            <w:gridSpan w:val="3"/>
          </w:tcPr>
          <w:p>
            <w:pPr>
              <w:spacing w:after="0"/>
              <w:rPr>
                <w:sz w:val="20"/>
                <w:szCs w:val="20"/>
                <w:color w:val="auto"/>
              </w:rPr>
            </w:pPr>
            <w:r>
              <w:rPr>
                <w:rFonts w:ascii="Arial" w:cs="Arial" w:eastAsia="Arial" w:hAnsi="Arial"/>
                <w:sz w:val="18"/>
                <w:szCs w:val="18"/>
                <w:color w:val="auto"/>
              </w:rPr>
              <w:t>Transfers out of Level 3 (a)</w:t>
            </w:r>
          </w:p>
        </w:tc>
        <w:tc>
          <w:tcPr>
            <w:tcW w:w="160" w:type="dxa"/>
            <w:vAlign w:val="bottom"/>
          </w:tcPr>
          <w:p>
            <w:pPr>
              <w:spacing w:after="0"/>
              <w:rPr>
                <w:sz w:val="19"/>
                <w:szCs w:val="19"/>
                <w:color w:val="auto"/>
              </w:rPr>
            </w:pPr>
          </w:p>
        </w:tc>
        <w:tc>
          <w:tcPr>
            <w:tcW w:w="18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(94,529) (e)</w:t>
            </w:r>
          </w:p>
        </w:tc>
        <w:tc>
          <w:tcPr>
            <w:tcW w:w="0" w:type="dxa"/>
            <w:vAlign w:val="bottom"/>
          </w:tcPr>
          <w:p>
            <w:pPr>
              <w:spacing w:after="0"/>
              <w:rPr>
                <w:sz w:val="1"/>
                <w:szCs w:val="1"/>
                <w:color w:val="auto"/>
              </w:rPr>
            </w:pPr>
          </w:p>
        </w:tc>
      </w:tr>
      <w:tr>
        <w:trPr>
          <w:trHeight w:val="217"/>
        </w:trPr>
        <w:tc>
          <w:tcPr>
            <w:tcW w:w="5900" w:type="dxa"/>
            <w:vAlign w:val="bottom"/>
            <w:tcBorders>
              <w:top w:val="single" w:sz="8" w:color="CFF0FC"/>
              <w:bottom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Balance — December 31, 2015</w:t>
            </w:r>
          </w:p>
        </w:tc>
        <w:tc>
          <w:tcPr>
            <w:tcW w:w="160" w:type="dxa"/>
            <w:vAlign w:val="bottom"/>
            <w:tcBorders>
              <w:top w:val="single" w:sz="8" w:color="auto"/>
              <w:bottom w:val="single" w:sz="8" w:color="auto"/>
            </w:tcBorders>
            <w:shd w:val="clear" w:color="auto" w:fill="CFF0FC"/>
          </w:tcPr>
          <w:p>
            <w:pPr>
              <w:jc w:val="right"/>
              <w:ind w:right="3"/>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48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spacing w:after="0"/>
              <w:rPr>
                <w:sz w:val="18"/>
                <w:szCs w:val="18"/>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47,393</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34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9,879</w:t>
            </w:r>
          </w:p>
        </w:tc>
        <w:tc>
          <w:tcPr>
            <w:tcW w:w="36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gridSpan w:val="3"/>
            <w:vMerge w:val="restart"/>
          </w:tcPr>
          <w:p>
            <w:pPr>
              <w:spacing w:after="0"/>
              <w:rPr>
                <w:sz w:val="20"/>
                <w:szCs w:val="20"/>
                <w:color w:val="auto"/>
              </w:rPr>
            </w:pPr>
            <w:r>
              <w:rPr>
                <w:rFonts w:ascii="Arial" w:cs="Arial" w:eastAsia="Arial" w:hAnsi="Arial"/>
                <w:sz w:val="18"/>
                <w:szCs w:val="18"/>
                <w:color w:val="auto"/>
              </w:rPr>
              <w:t>Changes in unrealized gains included in earnings</w:t>
            </w: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90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5900" w:type="dxa"/>
            <w:vAlign w:val="bottom"/>
            <w:gridSpan w:val="3"/>
          </w:tcPr>
          <w:p>
            <w:pPr>
              <w:ind w:left="140"/>
              <w:spacing w:after="0"/>
              <w:rPr>
                <w:sz w:val="20"/>
                <w:szCs w:val="20"/>
                <w:color w:val="auto"/>
              </w:rPr>
            </w:pPr>
            <w:r>
              <w:rPr>
                <w:rFonts w:ascii="Arial" w:cs="Arial" w:eastAsia="Arial" w:hAnsi="Arial"/>
                <w:sz w:val="18"/>
                <w:szCs w:val="18"/>
                <w:color w:val="auto"/>
              </w:rPr>
              <w:t>related to assets still held at December 31, 2015</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8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8,850</w:t>
            </w:r>
          </w:p>
        </w:tc>
        <w:tc>
          <w:tcPr>
            <w:tcW w:w="360" w:type="dxa"/>
            <w:vAlign w:val="bottom"/>
          </w:tcPr>
          <w:p>
            <w:pPr>
              <w:ind w:left="100"/>
              <w:spacing w:after="0"/>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
        </w:trPr>
        <w:tc>
          <w:tcPr>
            <w:tcW w:w="36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3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600" w:hanging="595"/>
        <w:spacing w:after="0"/>
        <w:tabs>
          <w:tab w:leader="none" w:pos="600" w:val="left"/>
        </w:tabs>
        <w:numPr>
          <w:ilvl w:val="0"/>
          <w:numId w:val="56"/>
        </w:numPr>
        <w:rPr>
          <w:rFonts w:ascii="Arial" w:cs="Arial" w:eastAsia="Arial" w:hAnsi="Arial"/>
          <w:sz w:val="14"/>
          <w:szCs w:val="14"/>
          <w:i w:val="1"/>
          <w:iCs w:val="1"/>
          <w:color w:val="auto"/>
        </w:rPr>
      </w:pPr>
      <w:r>
        <w:rPr>
          <w:rFonts w:ascii="Arial" w:cs="Arial" w:eastAsia="Arial" w:hAnsi="Arial"/>
          <w:sz w:val="14"/>
          <w:szCs w:val="14"/>
          <w:i w:val="1"/>
          <w:iCs w:val="1"/>
          <w:color w:val="auto"/>
        </w:rPr>
        <w:t>The Company’s policy for transfers between fair value levels is to recognize the transfer as of the actual date of the event or change in circumstances that caused the transfer.</w:t>
      </w:r>
    </w:p>
    <w:p>
      <w:pPr>
        <w:spacing w:after="0" w:line="21" w:lineRule="exact"/>
        <w:rPr>
          <w:rFonts w:ascii="Arial" w:cs="Arial" w:eastAsia="Arial" w:hAnsi="Arial"/>
          <w:sz w:val="14"/>
          <w:szCs w:val="14"/>
          <w:i w:val="1"/>
          <w:iCs w:val="1"/>
          <w:color w:val="auto"/>
        </w:rPr>
      </w:pPr>
    </w:p>
    <w:p>
      <w:pPr>
        <w:ind w:left="600" w:hanging="595"/>
        <w:spacing w:after="0" w:line="219" w:lineRule="auto"/>
        <w:tabs>
          <w:tab w:leader="none" w:pos="600" w:val="left"/>
        </w:tabs>
        <w:numPr>
          <w:ilvl w:val="0"/>
          <w:numId w:val="56"/>
        </w:numPr>
        <w:rPr>
          <w:rFonts w:ascii="Arial" w:cs="Arial" w:eastAsia="Arial" w:hAnsi="Arial"/>
          <w:sz w:val="15"/>
          <w:szCs w:val="15"/>
          <w:i w:val="1"/>
          <w:iCs w:val="1"/>
          <w:color w:val="auto"/>
        </w:rPr>
      </w:pPr>
      <w:r>
        <w:rPr>
          <w:rFonts w:ascii="Arial" w:cs="Arial" w:eastAsia="Arial" w:hAnsi="Arial"/>
          <w:sz w:val="15"/>
          <w:szCs w:val="15"/>
          <w:i w:val="1"/>
          <w:iCs w:val="1"/>
          <w:color w:val="auto"/>
        </w:rPr>
        <w:t>Reported as mortgage banking revenues in the consolidated statement of income and includes the fair value of commitment issuances and expirations.</w:t>
      </w:r>
    </w:p>
    <w:p>
      <w:pPr>
        <w:ind w:left="600" w:hanging="595"/>
        <w:spacing w:after="0" w:line="219" w:lineRule="auto"/>
        <w:tabs>
          <w:tab w:leader="none" w:pos="600" w:val="left"/>
        </w:tabs>
        <w:numPr>
          <w:ilvl w:val="0"/>
          <w:numId w:val="56"/>
        </w:numPr>
        <w:rPr>
          <w:rFonts w:ascii="Arial" w:cs="Arial" w:eastAsia="Arial" w:hAnsi="Arial"/>
          <w:sz w:val="15"/>
          <w:szCs w:val="15"/>
          <w:i w:val="1"/>
          <w:iCs w:val="1"/>
          <w:color w:val="auto"/>
        </w:rPr>
      </w:pPr>
      <w:r>
        <w:rPr>
          <w:rFonts w:ascii="Arial" w:cs="Arial" w:eastAsia="Arial" w:hAnsi="Arial"/>
          <w:sz w:val="15"/>
          <w:szCs w:val="15"/>
          <w:i w:val="1"/>
          <w:iCs w:val="1"/>
          <w:color w:val="auto"/>
        </w:rPr>
        <w:t>Reported as gain on bank investment securities in the consolidated statement of income.</w:t>
      </w:r>
    </w:p>
    <w:p>
      <w:pPr>
        <w:ind w:left="600" w:hanging="595"/>
        <w:spacing w:after="0" w:line="219" w:lineRule="auto"/>
        <w:tabs>
          <w:tab w:leader="none" w:pos="600" w:val="left"/>
        </w:tabs>
        <w:numPr>
          <w:ilvl w:val="0"/>
          <w:numId w:val="56"/>
        </w:numPr>
        <w:rPr>
          <w:rFonts w:ascii="Arial" w:cs="Arial" w:eastAsia="Arial" w:hAnsi="Arial"/>
          <w:sz w:val="15"/>
          <w:szCs w:val="15"/>
          <w:i w:val="1"/>
          <w:iCs w:val="1"/>
          <w:color w:val="auto"/>
        </w:rPr>
      </w:pPr>
      <w:r>
        <w:rPr>
          <w:rFonts w:ascii="Arial" w:cs="Arial" w:eastAsia="Arial" w:hAnsi="Arial"/>
          <w:sz w:val="15"/>
          <w:szCs w:val="15"/>
          <w:i w:val="1"/>
          <w:iCs w:val="1"/>
          <w:color w:val="auto"/>
        </w:rPr>
        <w:t>Reported as net unrealized gains (losses) on investment securities in the consolidated statement of comprehensive income.</w:t>
      </w:r>
    </w:p>
    <w:p>
      <w:pPr>
        <w:ind w:left="600" w:hanging="595"/>
        <w:spacing w:after="0"/>
        <w:tabs>
          <w:tab w:leader="none" w:pos="600" w:val="left"/>
        </w:tabs>
        <w:numPr>
          <w:ilvl w:val="0"/>
          <w:numId w:val="56"/>
        </w:numPr>
        <w:rPr>
          <w:rFonts w:ascii="Arial" w:cs="Arial" w:eastAsia="Arial" w:hAnsi="Arial"/>
          <w:sz w:val="15"/>
          <w:szCs w:val="15"/>
          <w:i w:val="1"/>
          <w:iCs w:val="1"/>
          <w:color w:val="auto"/>
        </w:rPr>
      </w:pPr>
      <w:r>
        <w:rPr>
          <w:rFonts w:ascii="Arial" w:cs="Arial" w:eastAsia="Arial" w:hAnsi="Arial"/>
          <w:sz w:val="15"/>
          <w:szCs w:val="15"/>
          <w:i w:val="1"/>
          <w:iCs w:val="1"/>
          <w:color w:val="auto"/>
        </w:rPr>
        <w:t>Transfers out of Level 3 consist of interest rate locks transferred to closed loans.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69" w:name="page170"/>
    <w:bookmarkEnd w:id="169"/>
    <w:p>
      <w:pPr>
        <w:ind w:right="500" w:firstLine="598"/>
        <w:spacing w:after="0" w:line="275" w:lineRule="auto"/>
        <w:rPr>
          <w:sz w:val="20"/>
          <w:szCs w:val="20"/>
          <w:color w:val="auto"/>
        </w:rPr>
      </w:pPr>
      <w:r>
        <w:rPr>
          <w:rFonts w:ascii="Arial" w:cs="Arial" w:eastAsia="Arial" w:hAnsi="Arial"/>
          <w:sz w:val="20"/>
          <w:szCs w:val="20"/>
          <w:color w:val="auto"/>
        </w:rPr>
        <w:t>The Company is required, on a nonrecurring basis, to adjust the carrying value of certain assets or provide valuation allowances related to certain assets using fair value measurements. The more significant of those assets follow.</w:t>
      </w:r>
    </w:p>
    <w:p>
      <w:pPr>
        <w:spacing w:after="0" w:line="26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Loans</w:t>
      </w:r>
    </w:p>
    <w:p>
      <w:pPr>
        <w:spacing w:after="0" w:line="25"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Loans are generally not recorded at fair value on a recurring basis. Periodically, the Company records nonrecurring adjustments to the carrying value of loans based on fair value measurements for partial charge-offs of the uncollectible portions of those loans. Nonrecurring adjustments also include certain impairment amounts for collateral-dependent loans when establishing the allowance for credit losses. Such amounts are generally based on the fair value of the underlying collateral supporting the loan and, as a result, the carrying value of the loan less the calculated valuation amount does not necessarily represent the fair value of the loan. Real estate collateral is typically valued using appraisals or other indications of value based on recent comparable sales of similar properties or assumptions generally observable in the marketplace and the related nonrecurring fair value measurement adjustments have generally been classified as Level 2, unless significant adjustments have been made to the valuation that are not readily observable by market participants. Non-real estate collateral supporting commercial loans generally consists of business assets such as receivables, inventory and equipment. Fair value estimations are typically determined by discounting recorded values of those assets to reflect estimated net realizable value considering specific borrower facts and circumstances and the experience of credit personnel in their dealings with similar borrower collateral liquidations. Such discounts were generally in the range of 10% to 85% at December 31, 2017. As these discounts are not readily observable and are considered significant, the valuations have been classified as Level 3. Automobile collateral is typically valued by reference to independent pricing sources based on recent sales transactions of similar vehicles, and the related non-recurring fair value measurement adjustments have been classified as Level</w:t>
      </w:r>
    </w:p>
    <w:p>
      <w:pPr>
        <w:spacing w:after="0" w:line="3" w:lineRule="exact"/>
        <w:rPr>
          <w:sz w:val="20"/>
          <w:szCs w:val="20"/>
          <w:color w:val="auto"/>
        </w:rPr>
      </w:pPr>
    </w:p>
    <w:p>
      <w:pPr>
        <w:ind w:right="60" w:firstLine="5"/>
        <w:spacing w:after="0" w:line="263" w:lineRule="auto"/>
        <w:tabs>
          <w:tab w:leader="none" w:pos="201" w:val="left"/>
        </w:tabs>
        <w:numPr>
          <w:ilvl w:val="0"/>
          <w:numId w:val="57"/>
        </w:numPr>
        <w:rPr>
          <w:rFonts w:ascii="Arial" w:cs="Arial" w:eastAsia="Arial" w:hAnsi="Arial"/>
          <w:sz w:val="19"/>
          <w:szCs w:val="19"/>
          <w:color w:val="auto"/>
        </w:rPr>
      </w:pPr>
      <w:r>
        <w:rPr>
          <w:rFonts w:ascii="Arial" w:cs="Arial" w:eastAsia="Arial" w:hAnsi="Arial"/>
          <w:sz w:val="19"/>
          <w:szCs w:val="19"/>
          <w:color w:val="auto"/>
        </w:rPr>
        <w:t>Collateral values for other consumer installment loans are generally estimated based on historical recovery rates for similar types of loans. As these recovery rates are not readily observable by market participants, such valuation adjustments have been classified as Level 3. Loans subject to nonrecurring fair value measurement were $210 million at December 31, 2017, ($145 million and $65 million of which were classified as Level 2 and Level 3, respectively), $293 million at December 31, 2016 ($153 million and $140 million of which were classified as Level 2 and Level 3, respectively), and $210 million at December 31, 2015 ($106 million and $104 million of which were classified as Level 2 and Level 3, respectively). Changes in fair value recognized during the years ended December 31, 2017, 2016 and 2015 for partial charge-offs of loans and loan impairment reserves on loans held by the Company at the end of each of those years were decreases of $56 million, $71 million and $75 million, respectively.</w:t>
      </w: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Assets taken in foreclosure of defaulted loans</w:t>
      </w:r>
    </w:p>
    <w:p>
      <w:pPr>
        <w:spacing w:after="0" w:line="25" w:lineRule="exact"/>
        <w:rPr>
          <w:sz w:val="20"/>
          <w:szCs w:val="20"/>
          <w:color w:val="auto"/>
        </w:rPr>
      </w:pPr>
    </w:p>
    <w:p>
      <w:pPr>
        <w:spacing w:after="0" w:line="263" w:lineRule="auto"/>
        <w:rPr>
          <w:sz w:val="20"/>
          <w:szCs w:val="20"/>
          <w:color w:val="auto"/>
        </w:rPr>
      </w:pPr>
      <w:r>
        <w:rPr>
          <w:rFonts w:ascii="Arial" w:cs="Arial" w:eastAsia="Arial" w:hAnsi="Arial"/>
          <w:sz w:val="19"/>
          <w:szCs w:val="19"/>
          <w:color w:val="auto"/>
        </w:rPr>
        <w:t>Assets taken in foreclosure of defaulted loans are primarily comprised of commercial and residential real property and are generally measured at the lower of cost or fair value less costs to sell. The fair value of the real property is generally determined using appraisals or other indications of value based on recent comparable sales of similar properties or assumptions generally observable in the marketplace, and the related nonrecurring fair value measurement adjustments have generally been classified as Level 2. Assets taken in foreclosure of defaulted loans subject to nonrecurring fair value measurement were $53 million and $56 million at December 31, 2017 and December 31, 2016, respectively. Changes in fair value recognized during the years ended December 31, 2017, 2016 and 2015 for foreclosed assets held by the Company at the end of each of those years were not material.</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00"/>
          </w:cols>
          <w:pgMar w:left="240" w:top="547" w:right="259" w:bottom="1440" w:gutter="0" w:footer="0" w:header="0"/>
        </w:sectPr>
      </w:pPr>
    </w:p>
    <w:bookmarkStart w:id="170" w:name="page171"/>
    <w:bookmarkEnd w:id="170"/>
    <w:p>
      <w:pPr>
        <w:spacing w:after="0"/>
        <w:rPr>
          <w:sz w:val="20"/>
          <w:szCs w:val="20"/>
          <w:color w:val="auto"/>
        </w:rPr>
      </w:pPr>
      <w:r>
        <w:rPr>
          <w:rFonts w:ascii="Arial" w:cs="Arial" w:eastAsia="Arial" w:hAnsi="Arial"/>
          <w:sz w:val="20"/>
          <w:szCs w:val="20"/>
          <w:b w:val="1"/>
          <w:bCs w:val="1"/>
          <w:i w:val="1"/>
          <w:iCs w:val="1"/>
          <w:color w:val="auto"/>
        </w:rPr>
        <w:t>Significant unobservable inputs to level 3 measurements</w:t>
      </w:r>
    </w:p>
    <w:p>
      <w:pPr>
        <w:spacing w:after="0" w:line="25" w:lineRule="exact"/>
        <w:rPr>
          <w:sz w:val="20"/>
          <w:szCs w:val="20"/>
          <w:color w:val="auto"/>
        </w:rPr>
      </w:pPr>
    </w:p>
    <w:p>
      <w:pPr>
        <w:ind w:right="160"/>
        <w:spacing w:after="0" w:line="256" w:lineRule="auto"/>
        <w:rPr>
          <w:sz w:val="20"/>
          <w:szCs w:val="20"/>
          <w:color w:val="auto"/>
        </w:rPr>
      </w:pPr>
      <w:r>
        <w:rPr>
          <w:rFonts w:ascii="Arial" w:cs="Arial" w:eastAsia="Arial" w:hAnsi="Arial"/>
          <w:sz w:val="20"/>
          <w:szCs w:val="20"/>
          <w:color w:val="auto"/>
        </w:rPr>
        <w:t>The following tables present quantitative information about significant unobservable inputs used in the fair value measurements for Level 3 assets and liabilities at December 31, 2017 and 2016:</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60" w:type="dxa"/>
            <w:vAlign w:val="bottom"/>
            <w:gridSpan w:val="2"/>
            <w:vMerge w:val="restart"/>
          </w:tcPr>
          <w:p>
            <w:pPr>
              <w:ind w:left="600"/>
              <w:spacing w:after="0"/>
              <w:rPr>
                <w:sz w:val="20"/>
                <w:szCs w:val="20"/>
                <w:color w:val="auto"/>
              </w:rPr>
            </w:pPr>
            <w:r>
              <w:rPr>
                <w:rFonts w:ascii="Arial" w:cs="Arial" w:eastAsia="Arial" w:hAnsi="Arial"/>
                <w:sz w:val="14"/>
                <w:szCs w:val="14"/>
                <w:b w:val="1"/>
                <w:bCs w:val="1"/>
                <w:color w:val="auto"/>
              </w:rPr>
              <w:t>Valuation</w:t>
            </w:r>
          </w:p>
        </w:tc>
        <w:tc>
          <w:tcPr>
            <w:tcW w:w="16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Unobservable</w:t>
            </w:r>
          </w:p>
        </w:tc>
        <w:tc>
          <w:tcPr>
            <w:tcW w:w="1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Range</w:t>
            </w:r>
          </w:p>
        </w:tc>
        <w:tc>
          <w:tcPr>
            <w:tcW w:w="0" w:type="dxa"/>
            <w:vAlign w:val="bottom"/>
          </w:tcPr>
          <w:p>
            <w:pPr>
              <w:spacing w:after="0"/>
              <w:rPr>
                <w:sz w:val="1"/>
                <w:szCs w:val="1"/>
                <w:color w:val="auto"/>
              </w:rPr>
            </w:pPr>
          </w:p>
        </w:tc>
      </w:tr>
      <w:tr>
        <w:trPr>
          <w:trHeight w:val="145"/>
        </w:trPr>
        <w:tc>
          <w:tcPr>
            <w:tcW w:w="24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restart"/>
          </w:tcPr>
          <w:p>
            <w:pPr>
              <w:jc w:val="center"/>
              <w:ind w:right="58"/>
              <w:spacing w:after="0"/>
              <w:rPr>
                <w:sz w:val="20"/>
                <w:szCs w:val="20"/>
                <w:color w:val="auto"/>
              </w:rPr>
            </w:pPr>
            <w:r>
              <w:rPr>
                <w:rFonts w:ascii="Arial" w:cs="Arial" w:eastAsia="Arial" w:hAnsi="Arial"/>
                <w:sz w:val="14"/>
                <w:szCs w:val="14"/>
                <w:b w:val="1"/>
                <w:bCs w:val="1"/>
                <w:color w:val="auto"/>
                <w:w w:val="92"/>
              </w:rPr>
              <w:t>Fair Value</w:t>
            </w:r>
          </w:p>
        </w:tc>
        <w:tc>
          <w:tcPr>
            <w:tcW w:w="380" w:type="dxa"/>
            <w:vAlign w:val="bottom"/>
            <w:vMerge w:val="restart"/>
          </w:tcPr>
          <w:p>
            <w:pPr>
              <w:spacing w:after="0"/>
              <w:rPr>
                <w:sz w:val="12"/>
                <w:szCs w:val="12"/>
                <w:color w:val="auto"/>
              </w:rPr>
            </w:pPr>
          </w:p>
        </w:tc>
        <w:tc>
          <w:tcPr>
            <w:tcW w:w="2060" w:type="dxa"/>
            <w:vAlign w:val="bottom"/>
            <w:gridSpan w:val="2"/>
            <w:vMerge w:val="continue"/>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82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67"/>
        </w:trPr>
        <w:tc>
          <w:tcPr>
            <w:tcW w:w="24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180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Technique</w:t>
            </w:r>
          </w:p>
        </w:tc>
        <w:tc>
          <w:tcPr>
            <w:tcW w:w="260" w:type="dxa"/>
            <w:vAlign w:val="bottom"/>
          </w:tcPr>
          <w:p>
            <w:pPr>
              <w:spacing w:after="0"/>
              <w:rPr>
                <w:sz w:val="14"/>
                <w:szCs w:val="14"/>
                <w:color w:val="auto"/>
              </w:rPr>
            </w:pPr>
          </w:p>
        </w:tc>
        <w:tc>
          <w:tcPr>
            <w:tcW w:w="12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0"/>
              </w:rPr>
              <w:t>Inputs/Assumptions</w:t>
            </w:r>
          </w:p>
        </w:tc>
        <w:tc>
          <w:tcPr>
            <w:tcW w:w="360" w:type="dxa"/>
            <w:vAlign w:val="bottom"/>
          </w:tcPr>
          <w:p>
            <w:pPr>
              <w:spacing w:after="0"/>
              <w:rPr>
                <w:sz w:val="14"/>
                <w:szCs w:val="14"/>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Average)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4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9"/>
              </w:rPr>
              <w:t>(In thousands)</w:t>
            </w:r>
          </w:p>
        </w:tc>
        <w:tc>
          <w:tcPr>
            <w:tcW w:w="1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December 31, 2017</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8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4360" w:type="dxa"/>
            <w:vAlign w:val="bottom"/>
            <w:gridSpan w:val="2"/>
          </w:tcPr>
          <w:p>
            <w:pPr>
              <w:spacing w:after="0" w:line="184" w:lineRule="exact"/>
              <w:rPr>
                <w:sz w:val="20"/>
                <w:szCs w:val="20"/>
                <w:color w:val="auto"/>
              </w:rPr>
            </w:pPr>
            <w:r>
              <w:rPr>
                <w:rFonts w:ascii="Arial" w:cs="Arial" w:eastAsia="Arial" w:hAnsi="Arial"/>
                <w:sz w:val="18"/>
                <w:szCs w:val="18"/>
                <w:color w:val="auto"/>
              </w:rPr>
              <w:t>Recurring fair value measurements</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4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89"/>
              </w:rPr>
              <w:t>Privately issued mortgage-backed</w:t>
            </w:r>
          </w:p>
        </w:tc>
        <w:tc>
          <w:tcPr>
            <w:tcW w:w="1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0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Two independent pricing</w:t>
            </w:r>
          </w:p>
        </w:tc>
        <w:tc>
          <w:tcPr>
            <w:tcW w:w="1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securities</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380" w:type="dxa"/>
            <w:vAlign w:val="bottom"/>
            <w:shd w:val="clear" w:color="auto" w:fill="CFF0FC"/>
          </w:tcPr>
          <w:p>
            <w:pPr>
              <w:spacing w:after="0"/>
              <w:rPr>
                <w:sz w:val="19"/>
                <w:szCs w:val="19"/>
                <w:color w:val="auto"/>
              </w:rPr>
            </w:pPr>
          </w:p>
        </w:tc>
        <w:tc>
          <w:tcPr>
            <w:tcW w:w="20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quotes</w:t>
            </w:r>
          </w:p>
        </w:tc>
        <w:tc>
          <w:tcPr>
            <w:tcW w:w="1640" w:type="dxa"/>
            <w:vAlign w:val="bottom"/>
            <w:gridSpan w:val="2"/>
            <w:shd w:val="clear" w:color="auto" w:fill="CFF0FC"/>
          </w:tcPr>
          <w:p>
            <w:pPr>
              <w:ind w:left="60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FF0FC"/>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24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tcPr>
          <w:p>
            <w:pPr>
              <w:spacing w:after="0"/>
              <w:rPr>
                <w:sz w:val="20"/>
                <w:szCs w:val="20"/>
                <w:color w:val="auto"/>
              </w:rPr>
            </w:pPr>
            <w:r>
              <w:rPr>
                <w:rFonts w:ascii="Arial" w:cs="Arial" w:eastAsia="Arial" w:hAnsi="Arial"/>
                <w:sz w:val="18"/>
                <w:szCs w:val="18"/>
                <w:color w:val="auto"/>
              </w:rPr>
              <w:t>Commitment</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360" w:type="dxa"/>
            <w:vAlign w:val="bottom"/>
            <w:gridSpan w:val="2"/>
          </w:tcPr>
          <w:p>
            <w:pPr>
              <w:spacing w:after="0"/>
              <w:rPr>
                <w:sz w:val="20"/>
                <w:szCs w:val="20"/>
                <w:color w:val="auto"/>
              </w:rPr>
            </w:pPr>
            <w:r>
              <w:rPr>
                <w:rFonts w:ascii="Arial" w:cs="Arial" w:eastAsia="Arial" w:hAnsi="Arial"/>
                <w:sz w:val="18"/>
                <w:szCs w:val="18"/>
                <w:color w:val="auto"/>
              </w:rPr>
              <w:t>Net other assets (liabilities) (a)</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8,303</w:t>
            </w:r>
          </w:p>
        </w:tc>
        <w:tc>
          <w:tcPr>
            <w:tcW w:w="380" w:type="dxa"/>
            <w:vAlign w:val="bottom"/>
          </w:tcPr>
          <w:p>
            <w:pPr>
              <w:spacing w:after="0"/>
              <w:rPr>
                <w:sz w:val="19"/>
                <w:szCs w:val="19"/>
                <w:color w:val="auto"/>
              </w:rPr>
            </w:pPr>
          </w:p>
        </w:tc>
        <w:tc>
          <w:tcPr>
            <w:tcW w:w="2060" w:type="dxa"/>
            <w:vAlign w:val="bottom"/>
            <w:gridSpan w:val="2"/>
          </w:tcPr>
          <w:p>
            <w:pPr>
              <w:spacing w:after="0"/>
              <w:rPr>
                <w:sz w:val="20"/>
                <w:szCs w:val="20"/>
                <w:color w:val="auto"/>
              </w:rPr>
            </w:pPr>
            <w:r>
              <w:rPr>
                <w:rFonts w:ascii="Arial" w:cs="Arial" w:eastAsia="Arial" w:hAnsi="Arial"/>
                <w:sz w:val="18"/>
                <w:szCs w:val="18"/>
                <w:color w:val="auto"/>
              </w:rPr>
              <w:t>Discounted cash flow</w:t>
            </w:r>
          </w:p>
        </w:tc>
        <w:tc>
          <w:tcPr>
            <w:tcW w:w="1640" w:type="dxa"/>
            <w:vAlign w:val="bottom"/>
            <w:gridSpan w:val="2"/>
          </w:tcPr>
          <w:p>
            <w:pPr>
              <w:spacing w:after="0"/>
              <w:rPr>
                <w:sz w:val="20"/>
                <w:szCs w:val="20"/>
                <w:color w:val="auto"/>
              </w:rPr>
            </w:pPr>
            <w:r>
              <w:rPr>
                <w:rFonts w:ascii="Arial" w:cs="Arial" w:eastAsia="Arial" w:hAnsi="Arial"/>
                <w:sz w:val="18"/>
                <w:szCs w:val="18"/>
                <w:color w:val="auto"/>
              </w:rPr>
              <w:t>expirations</w:t>
            </w: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0%-78% (22%)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460" w:type="dxa"/>
            <w:vAlign w:val="bottom"/>
            <w:shd w:val="clear" w:color="auto" w:fill="CFF0FC"/>
          </w:tcPr>
          <w:p>
            <w:pPr>
              <w:spacing w:after="0"/>
              <w:rPr>
                <w:sz w:val="19"/>
                <w:szCs w:val="19"/>
                <w:color w:val="auto"/>
              </w:rPr>
            </w:pPr>
          </w:p>
        </w:tc>
        <w:tc>
          <w:tcPr>
            <w:tcW w:w="1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8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60" w:type="dxa"/>
            <w:vAlign w:val="bottom"/>
            <w:gridSpan w:val="2"/>
          </w:tcPr>
          <w:p>
            <w:pPr>
              <w:spacing w:after="0"/>
              <w:rPr>
                <w:sz w:val="20"/>
                <w:szCs w:val="20"/>
                <w:color w:val="auto"/>
              </w:rPr>
            </w:pPr>
            <w:r>
              <w:rPr>
                <w:rFonts w:ascii="Arial" w:cs="Arial" w:eastAsia="Arial" w:hAnsi="Arial"/>
                <w:sz w:val="18"/>
                <w:szCs w:val="18"/>
                <w:color w:val="auto"/>
              </w:rPr>
              <w:t>December 31, 2016</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4360" w:type="dxa"/>
            <w:vAlign w:val="bottom"/>
            <w:gridSpan w:val="2"/>
            <w:shd w:val="clear" w:color="auto" w:fill="CFF0FC"/>
          </w:tcPr>
          <w:p>
            <w:pPr>
              <w:spacing w:after="0" w:line="184" w:lineRule="exact"/>
              <w:rPr>
                <w:sz w:val="20"/>
                <w:szCs w:val="20"/>
                <w:color w:val="auto"/>
              </w:rPr>
            </w:pPr>
            <w:r>
              <w:rPr>
                <w:rFonts w:ascii="Arial" w:cs="Arial" w:eastAsia="Arial" w:hAnsi="Arial"/>
                <w:sz w:val="18"/>
                <w:szCs w:val="18"/>
                <w:color w:val="auto"/>
              </w:rPr>
              <w:t>Recurring fair value measurements</w:t>
            </w: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8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7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4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9"/>
              </w:rPr>
              <w:t>Privately issued mortgage-backed</w:t>
            </w:r>
          </w:p>
        </w:tc>
        <w:tc>
          <w:tcPr>
            <w:tcW w:w="190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040" w:type="dxa"/>
            <w:vAlign w:val="bottom"/>
            <w:tcBorders>
              <w:top w:val="single" w:sz="8" w:color="CFF0FC"/>
            </w:tcBorders>
          </w:tcPr>
          <w:p>
            <w:pPr>
              <w:spacing w:after="0"/>
              <w:rPr>
                <w:sz w:val="18"/>
                <w:szCs w:val="18"/>
                <w:color w:val="auto"/>
              </w:rPr>
            </w:pPr>
          </w:p>
        </w:tc>
        <w:tc>
          <w:tcPr>
            <w:tcW w:w="380" w:type="dxa"/>
            <w:vAlign w:val="bottom"/>
            <w:tcBorders>
              <w:top w:val="single" w:sz="8" w:color="CFF0FC"/>
            </w:tcBorders>
          </w:tcPr>
          <w:p>
            <w:pPr>
              <w:spacing w:after="0"/>
              <w:rPr>
                <w:sz w:val="18"/>
                <w:szCs w:val="18"/>
                <w:color w:val="auto"/>
              </w:rPr>
            </w:pPr>
          </w:p>
        </w:tc>
        <w:tc>
          <w:tcPr>
            <w:tcW w:w="2060" w:type="dxa"/>
            <w:vAlign w:val="bottom"/>
            <w:tcBorders>
              <w:top w:val="single" w:sz="8" w:color="CFF0FC"/>
            </w:tcBorders>
            <w:gridSpan w:val="2"/>
          </w:tcPr>
          <w:p>
            <w:pPr>
              <w:spacing w:after="0"/>
              <w:rPr>
                <w:sz w:val="20"/>
                <w:szCs w:val="20"/>
                <w:color w:val="auto"/>
              </w:rPr>
            </w:pPr>
            <w:r>
              <w:rPr>
                <w:rFonts w:ascii="Arial" w:cs="Arial" w:eastAsia="Arial" w:hAnsi="Arial"/>
                <w:sz w:val="18"/>
                <w:szCs w:val="18"/>
                <w:color w:val="auto"/>
              </w:rPr>
              <w:t>Two independent pricing</w:t>
            </w:r>
          </w:p>
        </w:tc>
        <w:tc>
          <w:tcPr>
            <w:tcW w:w="1280" w:type="dxa"/>
            <w:vAlign w:val="bottom"/>
            <w:tcBorders>
              <w:top w:val="single" w:sz="8" w:color="CFF0FC"/>
            </w:tcBorders>
          </w:tcPr>
          <w:p>
            <w:pPr>
              <w:spacing w:after="0"/>
              <w:rPr>
                <w:sz w:val="18"/>
                <w:szCs w:val="18"/>
                <w:color w:val="auto"/>
              </w:rPr>
            </w:pPr>
          </w:p>
        </w:tc>
        <w:tc>
          <w:tcPr>
            <w:tcW w:w="360" w:type="dxa"/>
            <w:vAlign w:val="bottom"/>
            <w:tcBorders>
              <w:top w:val="single" w:sz="8" w:color="CFF0FC"/>
            </w:tcBorders>
          </w:tcPr>
          <w:p>
            <w:pPr>
              <w:spacing w:after="0"/>
              <w:rPr>
                <w:sz w:val="18"/>
                <w:szCs w:val="18"/>
                <w:color w:val="auto"/>
              </w:rPr>
            </w:pPr>
          </w:p>
        </w:tc>
        <w:tc>
          <w:tcPr>
            <w:tcW w:w="172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360" w:type="dxa"/>
            <w:vAlign w:val="bottom"/>
            <w:gridSpan w:val="2"/>
          </w:tcPr>
          <w:p>
            <w:pPr>
              <w:ind w:left="140"/>
              <w:spacing w:after="0"/>
              <w:rPr>
                <w:sz w:val="20"/>
                <w:szCs w:val="20"/>
                <w:color w:val="auto"/>
              </w:rPr>
            </w:pPr>
            <w:r>
              <w:rPr>
                <w:rFonts w:ascii="Arial" w:cs="Arial" w:eastAsia="Arial" w:hAnsi="Arial"/>
                <w:sz w:val="18"/>
                <w:szCs w:val="18"/>
                <w:color w:val="auto"/>
              </w:rPr>
              <w:t>securities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44</w:t>
            </w:r>
          </w:p>
        </w:tc>
        <w:tc>
          <w:tcPr>
            <w:tcW w:w="380" w:type="dxa"/>
            <w:vAlign w:val="bottom"/>
          </w:tcPr>
          <w:p>
            <w:pPr>
              <w:spacing w:after="0"/>
              <w:rPr>
                <w:sz w:val="19"/>
                <w:szCs w:val="19"/>
                <w:color w:val="auto"/>
              </w:rPr>
            </w:pPr>
          </w:p>
        </w:tc>
        <w:tc>
          <w:tcPr>
            <w:tcW w:w="2060" w:type="dxa"/>
            <w:vAlign w:val="bottom"/>
            <w:gridSpan w:val="2"/>
          </w:tcPr>
          <w:p>
            <w:pPr>
              <w:spacing w:after="0"/>
              <w:rPr>
                <w:sz w:val="20"/>
                <w:szCs w:val="20"/>
                <w:color w:val="auto"/>
              </w:rPr>
            </w:pPr>
            <w:r>
              <w:rPr>
                <w:rFonts w:ascii="Arial" w:cs="Arial" w:eastAsia="Arial" w:hAnsi="Arial"/>
                <w:sz w:val="18"/>
                <w:szCs w:val="18"/>
                <w:color w:val="auto"/>
              </w:rPr>
              <w:t>quotes</w:t>
            </w:r>
          </w:p>
        </w:tc>
        <w:tc>
          <w:tcPr>
            <w:tcW w:w="16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8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2460" w:type="dxa"/>
            <w:vAlign w:val="bottom"/>
            <w:shd w:val="clear" w:color="auto" w:fill="CFF0FC"/>
          </w:tcPr>
          <w:p>
            <w:pPr>
              <w:spacing w:after="0"/>
              <w:rPr>
                <w:sz w:val="18"/>
                <w:szCs w:val="18"/>
                <w:color w:val="auto"/>
              </w:rPr>
            </w:pPr>
          </w:p>
        </w:tc>
        <w:tc>
          <w:tcPr>
            <w:tcW w:w="1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8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Commitment</w:t>
            </w:r>
          </w:p>
        </w:tc>
        <w:tc>
          <w:tcPr>
            <w:tcW w:w="1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other assets (liabilities) (a)</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7,325</w:t>
            </w:r>
          </w:p>
        </w:tc>
        <w:tc>
          <w:tcPr>
            <w:tcW w:w="380" w:type="dxa"/>
            <w:vAlign w:val="bottom"/>
            <w:shd w:val="clear" w:color="auto" w:fill="CFF0FC"/>
          </w:tcPr>
          <w:p>
            <w:pPr>
              <w:spacing w:after="0"/>
              <w:rPr>
                <w:sz w:val="19"/>
                <w:szCs w:val="19"/>
                <w:color w:val="auto"/>
              </w:rPr>
            </w:pPr>
          </w:p>
        </w:tc>
        <w:tc>
          <w:tcPr>
            <w:tcW w:w="20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Discounted cash flow</w:t>
            </w:r>
          </w:p>
        </w:tc>
        <w:tc>
          <w:tcPr>
            <w:tcW w:w="1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expirations</w:t>
            </w:r>
          </w:p>
        </w:tc>
        <w:tc>
          <w:tcPr>
            <w:tcW w:w="17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0%-77% (30%)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136017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152" w:lineRule="exact"/>
        <w:rPr>
          <w:sz w:val="20"/>
          <w:szCs w:val="20"/>
          <w:color w:val="auto"/>
        </w:rPr>
      </w:pPr>
    </w:p>
    <w:p>
      <w:pPr>
        <w:ind w:left="600" w:hanging="595"/>
        <w:spacing w:after="0"/>
        <w:tabs>
          <w:tab w:leader="none" w:pos="600" w:val="left"/>
        </w:tabs>
        <w:numPr>
          <w:ilvl w:val="0"/>
          <w:numId w:val="58"/>
        </w:numPr>
        <w:rPr>
          <w:rFonts w:ascii="Arial" w:cs="Arial" w:eastAsia="Arial" w:hAnsi="Arial"/>
          <w:sz w:val="18"/>
          <w:szCs w:val="18"/>
          <w:i w:val="1"/>
          <w:iCs w:val="1"/>
          <w:color w:val="auto"/>
        </w:rPr>
      </w:pPr>
      <w:r>
        <w:rPr>
          <w:rFonts w:ascii="Arial" w:cs="Arial" w:eastAsia="Arial" w:hAnsi="Arial"/>
          <w:sz w:val="18"/>
          <w:szCs w:val="18"/>
          <w:i w:val="1"/>
          <w:iCs w:val="1"/>
          <w:color w:val="auto"/>
        </w:rPr>
        <w:t>Other Level 3 assets (liabilities) consist of commitments to originate real estate loans.</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Sensitivity of fair value measurements to changes in unobservable inputs</w:t>
      </w:r>
    </w:p>
    <w:p>
      <w:pPr>
        <w:spacing w:after="0" w:line="25" w:lineRule="exact"/>
        <w:rPr>
          <w:sz w:val="20"/>
          <w:szCs w:val="20"/>
          <w:color w:val="auto"/>
        </w:rPr>
      </w:pPr>
    </w:p>
    <w:p>
      <w:pPr>
        <w:jc w:val="both"/>
        <w:ind w:right="40"/>
        <w:spacing w:after="0" w:line="251" w:lineRule="auto"/>
        <w:rPr>
          <w:sz w:val="20"/>
          <w:szCs w:val="20"/>
          <w:color w:val="auto"/>
        </w:rPr>
      </w:pPr>
      <w:r>
        <w:rPr>
          <w:rFonts w:ascii="Arial" w:cs="Arial" w:eastAsia="Arial" w:hAnsi="Arial"/>
          <w:sz w:val="20"/>
          <w:szCs w:val="20"/>
          <w:color w:val="auto"/>
        </w:rPr>
        <w:t>An increase (decrease) in the estimate of expirations for commitments to originate real estate loans would generally result in a lower (higher) fair value measurement. Estimated commitment expirations are derived considering loan type, changes in interest rates and remaining length of time until closing.</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652" w:right="239" w:bottom="1440" w:gutter="0" w:footer="0" w:header="0"/>
        </w:sectPr>
      </w:pPr>
    </w:p>
    <w:bookmarkStart w:id="171" w:name="page172"/>
    <w:bookmarkEnd w:id="171"/>
    <w:p>
      <w:pPr>
        <w:spacing w:after="0"/>
        <w:rPr>
          <w:sz w:val="20"/>
          <w:szCs w:val="20"/>
          <w:color w:val="auto"/>
        </w:rPr>
      </w:pPr>
      <w:r>
        <w:rPr>
          <w:rFonts w:ascii="Arial" w:cs="Arial" w:eastAsia="Arial" w:hAnsi="Arial"/>
          <w:sz w:val="20"/>
          <w:szCs w:val="20"/>
          <w:b w:val="1"/>
          <w:bCs w:val="1"/>
          <w:i w:val="1"/>
          <w:iCs w:val="1"/>
          <w:color w:val="auto"/>
        </w:rPr>
        <w:t>Disclosures of fair value of financial instruments</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The carrying amounts and estimated fair value for financial instrument assets (liabilities) are presented in the following table:</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4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88"/>
              </w:rPr>
              <w:t>December 31, 2017</w:t>
            </w:r>
          </w:p>
        </w:tc>
        <w:tc>
          <w:tcPr>
            <w:tcW w:w="9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44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jc w:val="right"/>
              <w:ind w:right="520"/>
              <w:spacing w:after="0" w:line="129" w:lineRule="exact"/>
              <w:rPr>
                <w:sz w:val="20"/>
                <w:szCs w:val="20"/>
                <w:color w:val="auto"/>
              </w:rPr>
            </w:pPr>
            <w:r>
              <w:rPr>
                <w:rFonts w:ascii="Arial" w:cs="Arial" w:eastAsia="Arial" w:hAnsi="Arial"/>
                <w:sz w:val="14"/>
                <w:szCs w:val="14"/>
                <w:b w:val="1"/>
                <w:bCs w:val="1"/>
                <w:color w:val="auto"/>
              </w:rPr>
              <w:t>Carrying</w:t>
            </w:r>
          </w:p>
        </w:tc>
        <w:tc>
          <w:tcPr>
            <w:tcW w:w="1060" w:type="dxa"/>
            <w:vAlign w:val="bottom"/>
            <w:gridSpan w:val="2"/>
          </w:tcPr>
          <w:p>
            <w:pPr>
              <w:jc w:val="right"/>
              <w:ind w:right="280"/>
              <w:spacing w:after="0" w:line="129" w:lineRule="exact"/>
              <w:rPr>
                <w:sz w:val="20"/>
                <w:szCs w:val="20"/>
                <w:color w:val="auto"/>
              </w:rPr>
            </w:pPr>
            <w:r>
              <w:rPr>
                <w:rFonts w:ascii="Arial" w:cs="Arial" w:eastAsia="Arial" w:hAnsi="Arial"/>
                <w:sz w:val="14"/>
                <w:szCs w:val="14"/>
                <w:b w:val="1"/>
                <w:bCs w:val="1"/>
                <w:color w:val="auto"/>
              </w:rPr>
              <w:t>Estimated</w:t>
            </w:r>
          </w:p>
        </w:tc>
        <w:tc>
          <w:tcPr>
            <w:tcW w:w="220" w:type="dxa"/>
            <w:vAlign w:val="bottom"/>
          </w:tcPr>
          <w:p>
            <w:pPr>
              <w:spacing w:after="0"/>
              <w:rPr>
                <w:sz w:val="11"/>
                <w:szCs w:val="11"/>
                <w:color w:val="auto"/>
              </w:rPr>
            </w:pPr>
          </w:p>
        </w:tc>
        <w:tc>
          <w:tcPr>
            <w:tcW w:w="11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Level 1</w:t>
            </w:r>
          </w:p>
        </w:tc>
        <w:tc>
          <w:tcPr>
            <w:tcW w:w="130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Level 2</w:t>
            </w:r>
          </w:p>
        </w:tc>
        <w:tc>
          <w:tcPr>
            <w:tcW w:w="10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Level 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4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Amount</w:t>
            </w:r>
          </w:p>
        </w:tc>
        <w:tc>
          <w:tcPr>
            <w:tcW w:w="10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44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gridSpan w:val="3"/>
          </w:tcPr>
          <w:p>
            <w:pPr>
              <w:jc w:val="center"/>
              <w:ind w:right="160"/>
              <w:spacing w:after="0" w:line="151" w:lineRule="exact"/>
              <w:rPr>
                <w:sz w:val="20"/>
                <w:szCs w:val="20"/>
                <w:color w:val="auto"/>
              </w:rPr>
            </w:pPr>
            <w:r>
              <w:rPr>
                <w:rFonts w:ascii="Arial" w:cs="Arial" w:eastAsia="Arial" w:hAnsi="Arial"/>
                <w:sz w:val="14"/>
                <w:szCs w:val="14"/>
                <w:b w:val="1"/>
                <w:bCs w:val="1"/>
                <w:color w:val="auto"/>
                <w:w w:val="89"/>
              </w:rPr>
              <w:t>(In thousands)</w:t>
            </w:r>
          </w:p>
        </w:tc>
        <w:tc>
          <w:tcPr>
            <w:tcW w:w="9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Financial assets:</w:t>
            </w: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tcPr>
          <w:p>
            <w:pPr>
              <w:ind w:left="240"/>
              <w:spacing w:after="0"/>
              <w:rPr>
                <w:sz w:val="20"/>
                <w:szCs w:val="20"/>
                <w:color w:val="auto"/>
              </w:rPr>
            </w:pPr>
            <w:r>
              <w:rPr>
                <w:rFonts w:ascii="Arial" w:cs="Arial" w:eastAsia="Arial" w:hAnsi="Arial"/>
                <w:sz w:val="18"/>
                <w:szCs w:val="18"/>
                <w:color w:val="auto"/>
              </w:rPr>
              <w:t>Cash and cash equivalents</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1,420,888</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1,420,888</w:t>
            </w:r>
          </w:p>
        </w:tc>
        <w:tc>
          <w:tcPr>
            <w:tcW w:w="8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1,352,035</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68,853</w:t>
            </w:r>
          </w:p>
        </w:tc>
        <w:tc>
          <w:tcPr>
            <w:tcW w:w="32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Interest-bearing deposits at banks</w:t>
            </w: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5,078,903</w:t>
            </w: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5,078,903</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5,078,903</w:t>
            </w:r>
          </w:p>
        </w:tc>
        <w:tc>
          <w:tcPr>
            <w:tcW w:w="3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tcPr>
          <w:p>
            <w:pPr>
              <w:ind w:left="240"/>
              <w:spacing w:after="0"/>
              <w:rPr>
                <w:sz w:val="20"/>
                <w:szCs w:val="20"/>
                <w:color w:val="auto"/>
              </w:rPr>
            </w:pPr>
            <w:r>
              <w:rPr>
                <w:rFonts w:ascii="Arial" w:cs="Arial" w:eastAsia="Arial" w:hAnsi="Arial"/>
                <w:sz w:val="18"/>
                <w:szCs w:val="18"/>
                <w:color w:val="auto"/>
              </w:rPr>
              <w:t>Trading account assets</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132,909</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132,909</w:t>
            </w:r>
          </w:p>
        </w:tc>
        <w:tc>
          <w:tcPr>
            <w:tcW w:w="8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47,873</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85,036</w:t>
            </w:r>
          </w:p>
        </w:tc>
        <w:tc>
          <w:tcPr>
            <w:tcW w:w="32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Investment securities</w:t>
            </w: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14,664,525</w:t>
            </w: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14,653,074</w:t>
            </w:r>
          </w:p>
        </w:tc>
        <w:tc>
          <w:tcPr>
            <w:tcW w:w="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73,232</w:t>
            </w: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14,469,127</w:t>
            </w:r>
          </w:p>
        </w:tc>
        <w:tc>
          <w:tcPr>
            <w:tcW w:w="3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110,715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tcPr>
          <w:p>
            <w:pPr>
              <w:ind w:left="240"/>
              <w:spacing w:after="0"/>
              <w:rPr>
                <w:sz w:val="20"/>
                <w:szCs w:val="20"/>
                <w:color w:val="auto"/>
              </w:rPr>
            </w:pPr>
            <w:r>
              <w:rPr>
                <w:rFonts w:ascii="Arial" w:cs="Arial" w:eastAsia="Arial" w:hAnsi="Arial"/>
                <w:sz w:val="18"/>
                <w:szCs w:val="18"/>
                <w:color w:val="auto"/>
              </w:rPr>
              <w:t>Loans and leases:</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4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Commercial loans and leases</w:t>
            </w: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21,742,651</w:t>
            </w: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21,321,282</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21,321,282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tcPr>
          <w:p>
            <w:pPr>
              <w:ind w:left="480"/>
              <w:spacing w:after="0"/>
              <w:rPr>
                <w:sz w:val="20"/>
                <w:szCs w:val="20"/>
                <w:color w:val="auto"/>
              </w:rPr>
            </w:pPr>
            <w:r>
              <w:rPr>
                <w:rFonts w:ascii="Arial" w:cs="Arial" w:eastAsia="Arial" w:hAnsi="Arial"/>
                <w:sz w:val="18"/>
                <w:szCs w:val="18"/>
                <w:color w:val="auto"/>
              </w:rPr>
              <w:t>Commercial real estate loans</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33,366,373</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32,950,724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22,130</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32,928,594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4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Residential real estate loans</w:t>
            </w: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19,613,344</w:t>
            </w: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19,596,826</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4,440,645</w:t>
            </w:r>
          </w:p>
        </w:tc>
        <w:tc>
          <w:tcPr>
            <w:tcW w:w="3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15,156,181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tcPr>
          <w:p>
            <w:pPr>
              <w:ind w:left="480"/>
              <w:spacing w:after="0"/>
              <w:rPr>
                <w:sz w:val="20"/>
                <w:szCs w:val="20"/>
                <w:color w:val="auto"/>
              </w:rPr>
            </w:pPr>
            <w:r>
              <w:rPr>
                <w:rFonts w:ascii="Arial" w:cs="Arial" w:eastAsia="Arial" w:hAnsi="Arial"/>
                <w:sz w:val="18"/>
                <w:szCs w:val="18"/>
                <w:color w:val="auto"/>
              </w:rPr>
              <w:t>Consumer loans</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13,266,615</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13,161,517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5"/>
              </w:rPr>
              <w:t>13,161,517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4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Allowance for credit losses</w:t>
            </w: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99"/>
              </w:rPr>
              <w:t>(1,017,198)</w:t>
            </w: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720"/>
              <w:spacing w:after="0"/>
              <w:rPr>
                <w:sz w:val="20"/>
                <w:szCs w:val="20"/>
                <w:color w:val="auto"/>
              </w:rPr>
            </w:pPr>
            <w:r>
              <w:rPr>
                <w:rFonts w:ascii="Arial" w:cs="Arial" w:eastAsia="Arial" w:hAnsi="Arial"/>
                <w:sz w:val="18"/>
                <w:szCs w:val="18"/>
                <w:color w:val="auto"/>
              </w:rPr>
              <w:t>Loans and leases, net</w:t>
            </w:r>
          </w:p>
        </w:tc>
        <w:tc>
          <w:tcPr>
            <w:tcW w:w="9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86,971,785</w:t>
            </w:r>
          </w:p>
        </w:tc>
        <w:tc>
          <w:tcPr>
            <w:tcW w:w="300" w:type="dxa"/>
            <w:vAlign w:val="bottom"/>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87,030,349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4,462,775</w:t>
            </w:r>
          </w:p>
        </w:tc>
        <w:tc>
          <w:tcPr>
            <w:tcW w:w="32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82,567,574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Accrued interest receivable</w:t>
            </w: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327,170</w:t>
            </w: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327,170</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327,170</w:t>
            </w:r>
          </w:p>
        </w:tc>
        <w:tc>
          <w:tcPr>
            <w:tcW w:w="3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tcPr>
          <w:p>
            <w:pPr>
              <w:spacing w:after="0"/>
              <w:rPr>
                <w:sz w:val="20"/>
                <w:szCs w:val="20"/>
                <w:color w:val="auto"/>
              </w:rPr>
            </w:pPr>
            <w:r>
              <w:rPr>
                <w:rFonts w:ascii="Arial" w:cs="Arial" w:eastAsia="Arial" w:hAnsi="Arial"/>
                <w:sz w:val="18"/>
                <w:szCs w:val="18"/>
                <w:color w:val="auto"/>
              </w:rPr>
              <w:t>Financial liabilities:</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Noninterest-bearing deposits</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90"/>
              </w:rPr>
              <w:t>(33,975,180)</w:t>
            </w: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7"/>
              </w:rPr>
              <w:t>(33,975,180)</w:t>
            </w: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w w:val="99"/>
              </w:rPr>
              <w:t>(33,975,180)</w:t>
            </w: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tcPr>
          <w:p>
            <w:pPr>
              <w:ind w:left="240"/>
              <w:spacing w:after="0"/>
              <w:rPr>
                <w:sz w:val="20"/>
                <w:szCs w:val="20"/>
                <w:color w:val="auto"/>
              </w:rPr>
            </w:pPr>
            <w:r>
              <w:rPr>
                <w:rFonts w:ascii="Arial" w:cs="Arial" w:eastAsia="Arial" w:hAnsi="Arial"/>
                <w:sz w:val="18"/>
                <w:szCs w:val="18"/>
                <w:color w:val="auto"/>
              </w:rPr>
              <w:t>Savings and interest-checking deposits</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(51,698,008)</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(51,698,008)</w:t>
            </w:r>
          </w:p>
        </w:tc>
        <w:tc>
          <w:tcPr>
            <w:tcW w:w="22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(51,698,008)</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Time deposits</w:t>
            </w: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99"/>
              </w:rPr>
              <w:t>(6,580,962)</w:t>
            </w: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(6,635,048)</w:t>
            </w: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(6,635,048)</w:t>
            </w: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tcPr>
          <w:p>
            <w:pPr>
              <w:ind w:left="240"/>
              <w:spacing w:after="0"/>
              <w:rPr>
                <w:sz w:val="20"/>
                <w:szCs w:val="20"/>
                <w:color w:val="auto"/>
              </w:rPr>
            </w:pPr>
            <w:r>
              <w:rPr>
                <w:rFonts w:ascii="Arial" w:cs="Arial" w:eastAsia="Arial" w:hAnsi="Arial"/>
                <w:sz w:val="18"/>
                <w:szCs w:val="18"/>
                <w:color w:val="auto"/>
              </w:rPr>
              <w:t>Deposits at Cayman Islands office</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(177,996)</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(177,996)</w:t>
            </w:r>
          </w:p>
        </w:tc>
        <w:tc>
          <w:tcPr>
            <w:tcW w:w="22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(177,996)</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Short-term borrowings</w:t>
            </w: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(175,099)</w:t>
            </w: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(175,099)</w:t>
            </w: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(175,099)</w:t>
            </w: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tcPr>
          <w:p>
            <w:pPr>
              <w:ind w:left="240"/>
              <w:spacing w:after="0"/>
              <w:rPr>
                <w:sz w:val="20"/>
                <w:szCs w:val="20"/>
                <w:color w:val="auto"/>
              </w:rPr>
            </w:pPr>
            <w:r>
              <w:rPr>
                <w:rFonts w:ascii="Arial" w:cs="Arial" w:eastAsia="Arial" w:hAnsi="Arial"/>
                <w:sz w:val="18"/>
                <w:szCs w:val="18"/>
                <w:color w:val="auto"/>
              </w:rPr>
              <w:t>Long-term borrowings</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(8,141,430)</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(8,193,783)</w:t>
            </w:r>
          </w:p>
        </w:tc>
        <w:tc>
          <w:tcPr>
            <w:tcW w:w="22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(8,193,783)</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Accrued interest payable</w:t>
            </w: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(75,641)</w:t>
            </w: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(75,641)</w:t>
            </w: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(75,641)</w:t>
            </w: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tcPr>
          <w:p>
            <w:pPr>
              <w:ind w:left="240"/>
              <w:spacing w:after="0"/>
              <w:rPr>
                <w:sz w:val="20"/>
                <w:szCs w:val="20"/>
                <w:color w:val="auto"/>
              </w:rPr>
            </w:pPr>
            <w:r>
              <w:rPr>
                <w:rFonts w:ascii="Arial" w:cs="Arial" w:eastAsia="Arial" w:hAnsi="Arial"/>
                <w:sz w:val="18"/>
                <w:szCs w:val="18"/>
                <w:color w:val="auto"/>
              </w:rPr>
              <w:t>Trading account liabilities</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(137,390)</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(137,390)</w:t>
            </w:r>
          </w:p>
        </w:tc>
        <w:tc>
          <w:tcPr>
            <w:tcW w:w="22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(137,390)</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Other financial instruments:</w:t>
            </w: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460" w:type="dxa"/>
            <w:vAlign w:val="bottom"/>
          </w:tcPr>
          <w:p>
            <w:pPr>
              <w:ind w:left="240"/>
              <w:spacing w:after="0"/>
              <w:rPr>
                <w:sz w:val="20"/>
                <w:szCs w:val="20"/>
                <w:color w:val="auto"/>
              </w:rPr>
            </w:pPr>
            <w:r>
              <w:rPr>
                <w:rFonts w:ascii="Arial" w:cs="Arial" w:eastAsia="Arial" w:hAnsi="Arial"/>
                <w:sz w:val="18"/>
                <w:szCs w:val="18"/>
                <w:color w:val="auto"/>
              </w:rPr>
              <w:t>Commitments to originate real estate</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60" w:type="dxa"/>
            <w:vAlign w:val="bottom"/>
          </w:tcPr>
          <w:p>
            <w:pPr>
              <w:ind w:left="380"/>
              <w:spacing w:after="0"/>
              <w:rPr>
                <w:sz w:val="20"/>
                <w:szCs w:val="20"/>
                <w:color w:val="auto"/>
              </w:rPr>
            </w:pPr>
            <w:r>
              <w:rPr>
                <w:rFonts w:ascii="Arial" w:cs="Arial" w:eastAsia="Arial" w:hAnsi="Arial"/>
                <w:sz w:val="18"/>
                <w:szCs w:val="18"/>
                <w:color w:val="auto"/>
              </w:rPr>
              <w:t>loans for sale</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8,303</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8,303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8,303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Commitments to sell real estate loans</w:t>
            </w: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1,958</w:t>
            </w: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1,958</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1,958</w:t>
            </w:r>
          </w:p>
        </w:tc>
        <w:tc>
          <w:tcPr>
            <w:tcW w:w="3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tcPr>
          <w:p>
            <w:pPr>
              <w:ind w:left="240"/>
              <w:spacing w:after="0"/>
              <w:rPr>
                <w:sz w:val="20"/>
                <w:szCs w:val="20"/>
                <w:color w:val="auto"/>
              </w:rPr>
            </w:pPr>
            <w:r>
              <w:rPr>
                <w:rFonts w:ascii="Arial" w:cs="Arial" w:eastAsia="Arial" w:hAnsi="Arial"/>
                <w:sz w:val="18"/>
                <w:szCs w:val="18"/>
                <w:color w:val="auto"/>
              </w:rPr>
              <w:t>Other credit-related commitments</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(125,281)</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(125,281)</w:t>
            </w:r>
          </w:p>
        </w:tc>
        <w:tc>
          <w:tcPr>
            <w:tcW w:w="22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(125,281)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rate swap agreements used for interest</w:t>
            </w: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rate risk management</w:t>
            </w: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639</w:t>
            </w: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639</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639</w:t>
            </w:r>
          </w:p>
        </w:tc>
        <w:tc>
          <w:tcPr>
            <w:tcW w:w="3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0"/>
        </w:trPr>
        <w:tc>
          <w:tcPr>
            <w:tcW w:w="4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ind w:right="494"/>
              <w:spacing w:after="0"/>
              <w:rPr>
                <w:sz w:val="20"/>
                <w:szCs w:val="20"/>
                <w:color w:val="auto"/>
              </w:rPr>
            </w:pPr>
            <w:r>
              <w:rPr>
                <w:rFonts w:ascii="Arial" w:cs="Arial" w:eastAsia="Arial" w:hAnsi="Arial"/>
                <w:sz w:val="18"/>
                <w:szCs w:val="18"/>
                <w:color w:val="auto"/>
                <w:w w:val="93"/>
              </w:rPr>
              <w:t>172</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46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651" w:right="219" w:bottom="1440" w:gutter="0" w:footer="0" w:header="0"/>
        </w:sectPr>
      </w:pPr>
    </w:p>
    <w:bookmarkStart w:id="172" w:name="page173"/>
    <w:bookmarkEnd w:id="172"/>
    <w:tbl>
      <w:tblPr>
        <w:tblLayout w:type="fixed"/>
        <w:tblInd w:w="0" w:type="dxa"/>
        <w:tblCellMar>
          <w:top w:w="0" w:type="dxa"/>
          <w:left w:w="0" w:type="dxa"/>
          <w:bottom w:w="0" w:type="dxa"/>
          <w:right w:w="0" w:type="dxa"/>
        </w:tblCellMar>
      </w:tblPr>
      <w:tr>
        <w:trPr>
          <w:trHeight w:val="167"/>
        </w:trPr>
        <w:tc>
          <w:tcPr>
            <w:tcW w:w="5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w w:val="88"/>
              </w:rPr>
              <w:t>December 31, 2016</w:t>
            </w:r>
          </w:p>
        </w:tc>
        <w:tc>
          <w:tcPr>
            <w:tcW w:w="9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5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right"/>
              <w:ind w:right="560"/>
              <w:spacing w:after="0" w:line="129" w:lineRule="exact"/>
              <w:rPr>
                <w:sz w:val="20"/>
                <w:szCs w:val="20"/>
                <w:color w:val="auto"/>
              </w:rPr>
            </w:pPr>
            <w:r>
              <w:rPr>
                <w:rFonts w:ascii="Arial" w:cs="Arial" w:eastAsia="Arial" w:hAnsi="Arial"/>
                <w:sz w:val="14"/>
                <w:szCs w:val="14"/>
                <w:b w:val="1"/>
                <w:bCs w:val="1"/>
                <w:color w:val="auto"/>
              </w:rPr>
              <w:t>Carrying</w:t>
            </w:r>
          </w:p>
        </w:tc>
        <w:tc>
          <w:tcPr>
            <w:tcW w:w="1080" w:type="dxa"/>
            <w:vAlign w:val="bottom"/>
            <w:gridSpan w:val="2"/>
          </w:tcPr>
          <w:p>
            <w:pPr>
              <w:jc w:val="right"/>
              <w:ind w:right="300"/>
              <w:spacing w:after="0" w:line="129" w:lineRule="exact"/>
              <w:rPr>
                <w:sz w:val="20"/>
                <w:szCs w:val="20"/>
                <w:color w:val="auto"/>
              </w:rPr>
            </w:pPr>
            <w:r>
              <w:rPr>
                <w:rFonts w:ascii="Arial" w:cs="Arial" w:eastAsia="Arial" w:hAnsi="Arial"/>
                <w:sz w:val="14"/>
                <w:szCs w:val="14"/>
                <w:b w:val="1"/>
                <w:bCs w:val="1"/>
                <w:color w:val="auto"/>
              </w:rPr>
              <w:t>Estimated</w:t>
            </w:r>
          </w:p>
        </w:tc>
        <w:tc>
          <w:tcPr>
            <w:tcW w:w="220" w:type="dxa"/>
            <w:vAlign w:val="bottom"/>
          </w:tcPr>
          <w:p>
            <w:pPr>
              <w:spacing w:after="0"/>
              <w:rPr>
                <w:sz w:val="11"/>
                <w:szCs w:val="11"/>
                <w:color w:val="auto"/>
              </w:rPr>
            </w:pPr>
          </w:p>
        </w:tc>
        <w:tc>
          <w:tcPr>
            <w:tcW w:w="11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Level 1</w:t>
            </w:r>
          </w:p>
        </w:tc>
        <w:tc>
          <w:tcPr>
            <w:tcW w:w="132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Level 2</w:t>
            </w:r>
          </w:p>
        </w:tc>
        <w:tc>
          <w:tcPr>
            <w:tcW w:w="10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67"/>
        </w:trPr>
        <w:tc>
          <w:tcPr>
            <w:tcW w:w="5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Amount</w:t>
            </w:r>
          </w:p>
        </w:tc>
        <w:tc>
          <w:tcPr>
            <w:tcW w:w="10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53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3"/>
          </w:tcPr>
          <w:p>
            <w:pPr>
              <w:jc w:val="center"/>
              <w:ind w:right="200"/>
              <w:spacing w:after="0" w:line="151" w:lineRule="exact"/>
              <w:rPr>
                <w:sz w:val="20"/>
                <w:szCs w:val="20"/>
                <w:color w:val="auto"/>
              </w:rPr>
            </w:pPr>
            <w:r>
              <w:rPr>
                <w:rFonts w:ascii="Arial" w:cs="Arial" w:eastAsia="Arial" w:hAnsi="Arial"/>
                <w:sz w:val="14"/>
                <w:szCs w:val="14"/>
                <w:b w:val="1"/>
                <w:bCs w:val="1"/>
                <w:color w:val="auto"/>
                <w:w w:val="91"/>
              </w:rPr>
              <w:t>(In thousands)</w:t>
            </w:r>
          </w:p>
        </w:tc>
        <w:tc>
          <w:tcPr>
            <w:tcW w:w="96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Financial assets:</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tcPr>
          <w:p>
            <w:pPr>
              <w:ind w:left="240"/>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1,320,549</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1,320,549</w:t>
            </w:r>
          </w:p>
        </w:tc>
        <w:tc>
          <w:tcPr>
            <w:tcW w:w="12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1,249,654</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70,895</w:t>
            </w:r>
          </w:p>
        </w:tc>
        <w:tc>
          <w:tcPr>
            <w:tcW w:w="36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5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Interest-bearing deposits at banks</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5,000,638</w:t>
            </w: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5,000,638</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5,000,638</w:t>
            </w:r>
          </w:p>
        </w:tc>
        <w:tc>
          <w:tcPr>
            <w:tcW w:w="3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300" w:type="dxa"/>
            <w:vAlign w:val="bottom"/>
          </w:tcPr>
          <w:p>
            <w:pPr>
              <w:ind w:left="240"/>
              <w:spacing w:after="0"/>
              <w:rPr>
                <w:sz w:val="20"/>
                <w:szCs w:val="20"/>
                <w:color w:val="auto"/>
              </w:rPr>
            </w:pPr>
            <w:r>
              <w:rPr>
                <w:rFonts w:ascii="Arial" w:cs="Arial" w:eastAsia="Arial" w:hAnsi="Arial"/>
                <w:sz w:val="18"/>
                <w:szCs w:val="18"/>
                <w:color w:val="auto"/>
              </w:rPr>
              <w:t>Trading account assets</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323,867</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323,867</w:t>
            </w:r>
          </w:p>
        </w:tc>
        <w:tc>
          <w:tcPr>
            <w:tcW w:w="12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46,135</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277,732</w:t>
            </w:r>
          </w:p>
        </w:tc>
        <w:tc>
          <w:tcPr>
            <w:tcW w:w="36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5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Investment securities</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16,250,468</w:t>
            </w: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16,244,412</w:t>
            </w:r>
          </w:p>
        </w:tc>
        <w:tc>
          <w:tcPr>
            <w:tcW w:w="1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301,711</w:t>
            </w: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15,821,176</w:t>
            </w: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121,525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tcPr>
          <w:p>
            <w:pPr>
              <w:ind w:left="240"/>
              <w:spacing w:after="0"/>
              <w:rPr>
                <w:sz w:val="20"/>
                <w:szCs w:val="20"/>
                <w:color w:val="auto"/>
              </w:rPr>
            </w:pPr>
            <w:r>
              <w:rPr>
                <w:rFonts w:ascii="Arial" w:cs="Arial" w:eastAsia="Arial" w:hAnsi="Arial"/>
                <w:sz w:val="18"/>
                <w:szCs w:val="18"/>
                <w:color w:val="auto"/>
              </w:rPr>
              <w:t>Loans and leases:</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Commercial loans and leases</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22,610,047</w:t>
            </w: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22,239,428</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22,239,428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tcPr>
          <w:p>
            <w:pPr>
              <w:ind w:left="480"/>
              <w:spacing w:after="0"/>
              <w:rPr>
                <w:sz w:val="20"/>
                <w:szCs w:val="20"/>
                <w:color w:val="auto"/>
              </w:rPr>
            </w:pPr>
            <w:r>
              <w:rPr>
                <w:rFonts w:ascii="Arial" w:cs="Arial" w:eastAsia="Arial" w:hAnsi="Arial"/>
                <w:sz w:val="18"/>
                <w:szCs w:val="18"/>
                <w:color w:val="auto"/>
              </w:rPr>
              <w:t>Commercial real estate loans</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33,506,394</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33,129,428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642,590</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32,486,838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Residential real estate loans</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22,590,912</w:t>
            </w: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22,638,167</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4,912,488</w:t>
            </w: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17,725,679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tcPr>
          <w:p>
            <w:pPr>
              <w:ind w:left="480"/>
              <w:spacing w:after="0"/>
              <w:rPr>
                <w:sz w:val="20"/>
                <w:szCs w:val="20"/>
                <w:color w:val="auto"/>
              </w:rPr>
            </w:pPr>
            <w:r>
              <w:rPr>
                <w:rFonts w:ascii="Arial" w:cs="Arial" w:eastAsia="Arial" w:hAnsi="Arial"/>
                <w:sz w:val="18"/>
                <w:szCs w:val="18"/>
                <w:color w:val="auto"/>
              </w:rPr>
              <w:t>Consumer loans</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12,146,063</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12,061,590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5"/>
              </w:rPr>
              <w:t>12,061,590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Allowance for credit losses</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(988,997)</w:t>
            </w: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00" w:type="dxa"/>
            <w:vAlign w:val="bottom"/>
          </w:tcPr>
          <w:p>
            <w:pPr>
              <w:ind w:left="720"/>
              <w:spacing w:after="0"/>
              <w:rPr>
                <w:sz w:val="20"/>
                <w:szCs w:val="20"/>
                <w:color w:val="auto"/>
              </w:rPr>
            </w:pPr>
            <w:r>
              <w:rPr>
                <w:rFonts w:ascii="Arial" w:cs="Arial" w:eastAsia="Arial" w:hAnsi="Arial"/>
                <w:sz w:val="18"/>
                <w:szCs w:val="18"/>
                <w:color w:val="auto"/>
              </w:rPr>
              <w:t>Loans and leases, net</w:t>
            </w: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89,864,419</w:t>
            </w:r>
          </w:p>
        </w:tc>
        <w:tc>
          <w:tcPr>
            <w:tcW w:w="34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90,068,613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5,555,078</w:t>
            </w:r>
          </w:p>
        </w:tc>
        <w:tc>
          <w:tcPr>
            <w:tcW w:w="36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84,513,535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Accrued interest receivable</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308,805</w:t>
            </w: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308,805</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308,805</w:t>
            </w:r>
          </w:p>
        </w:tc>
        <w:tc>
          <w:tcPr>
            <w:tcW w:w="3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300" w:type="dxa"/>
            <w:vAlign w:val="bottom"/>
          </w:tcPr>
          <w:p>
            <w:pPr>
              <w:spacing w:after="0"/>
              <w:rPr>
                <w:sz w:val="20"/>
                <w:szCs w:val="20"/>
                <w:color w:val="auto"/>
              </w:rPr>
            </w:pPr>
            <w:r>
              <w:rPr>
                <w:rFonts w:ascii="Arial" w:cs="Arial" w:eastAsia="Arial" w:hAnsi="Arial"/>
                <w:sz w:val="18"/>
                <w:szCs w:val="18"/>
                <w:color w:val="auto"/>
              </w:rPr>
              <w:t>Financial liabilities:</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Noninterest-bearing deposits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w w:val="90"/>
              </w:rPr>
              <w:t>(32,813,896)</w:t>
            </w: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97"/>
              </w:rPr>
              <w:t>(32,813,896)</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w w:val="97"/>
              </w:rPr>
              <w:t>(32,813,896)</w:t>
            </w: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300" w:type="dxa"/>
            <w:vAlign w:val="bottom"/>
          </w:tcPr>
          <w:p>
            <w:pPr>
              <w:ind w:left="240"/>
              <w:spacing w:after="0"/>
              <w:rPr>
                <w:sz w:val="20"/>
                <w:szCs w:val="20"/>
                <w:color w:val="auto"/>
              </w:rPr>
            </w:pPr>
            <w:r>
              <w:rPr>
                <w:rFonts w:ascii="Arial" w:cs="Arial" w:eastAsia="Arial" w:hAnsi="Arial"/>
                <w:sz w:val="18"/>
                <w:szCs w:val="18"/>
                <w:color w:val="auto"/>
              </w:rPr>
              <w:t>Savings and interest-checking deposits</w:t>
            </w:r>
          </w:p>
        </w:tc>
        <w:tc>
          <w:tcPr>
            <w:tcW w:w="100" w:type="dxa"/>
            <w:vAlign w:val="bottom"/>
          </w:tcPr>
          <w:p>
            <w:pPr>
              <w:spacing w:after="0"/>
              <w:rPr>
                <w:sz w:val="19"/>
                <w:szCs w:val="19"/>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(52,346,207)</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(52,346,207)</w:t>
            </w:r>
          </w:p>
        </w:tc>
        <w:tc>
          <w:tcPr>
            <w:tcW w:w="220" w:type="dxa"/>
            <w:vAlign w:val="bottom"/>
          </w:tcPr>
          <w:p>
            <w:pPr>
              <w:spacing w:after="0"/>
              <w:rPr>
                <w:sz w:val="19"/>
                <w:szCs w:val="19"/>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(52,346,207)</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5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Time deposits</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w w:val="90"/>
              </w:rPr>
              <w:t>(10,131,846)</w:t>
            </w: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97"/>
              </w:rPr>
              <w:t>(10,222,585)</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w w:val="97"/>
              </w:rPr>
              <w:t>(10,222,585)</w:t>
            </w: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300" w:type="dxa"/>
            <w:vAlign w:val="bottom"/>
          </w:tcPr>
          <w:p>
            <w:pPr>
              <w:ind w:left="240"/>
              <w:spacing w:after="0"/>
              <w:rPr>
                <w:sz w:val="20"/>
                <w:szCs w:val="20"/>
                <w:color w:val="auto"/>
              </w:rPr>
            </w:pPr>
            <w:r>
              <w:rPr>
                <w:rFonts w:ascii="Arial" w:cs="Arial" w:eastAsia="Arial" w:hAnsi="Arial"/>
                <w:sz w:val="18"/>
                <w:szCs w:val="18"/>
                <w:color w:val="auto"/>
              </w:rPr>
              <w:t>Deposits at Cayman Islands office</w:t>
            </w:r>
          </w:p>
        </w:tc>
        <w:tc>
          <w:tcPr>
            <w:tcW w:w="100" w:type="dxa"/>
            <w:vAlign w:val="bottom"/>
          </w:tcPr>
          <w:p>
            <w:pPr>
              <w:spacing w:after="0"/>
              <w:rPr>
                <w:sz w:val="19"/>
                <w:szCs w:val="19"/>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(201,927)</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(201,927)</w:t>
            </w:r>
          </w:p>
        </w:tc>
        <w:tc>
          <w:tcPr>
            <w:tcW w:w="220" w:type="dxa"/>
            <w:vAlign w:val="bottom"/>
          </w:tcPr>
          <w:p>
            <w:pPr>
              <w:spacing w:after="0"/>
              <w:rPr>
                <w:sz w:val="19"/>
                <w:szCs w:val="19"/>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(201,927)</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5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Short-term borrowings</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(163,442)</w:t>
            </w: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(163,442)</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(163,442)</w:t>
            </w: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300" w:type="dxa"/>
            <w:vAlign w:val="bottom"/>
          </w:tcPr>
          <w:p>
            <w:pPr>
              <w:ind w:left="240"/>
              <w:spacing w:after="0"/>
              <w:rPr>
                <w:sz w:val="20"/>
                <w:szCs w:val="20"/>
                <w:color w:val="auto"/>
              </w:rPr>
            </w:pPr>
            <w:r>
              <w:rPr>
                <w:rFonts w:ascii="Arial" w:cs="Arial" w:eastAsia="Arial" w:hAnsi="Arial"/>
                <w:sz w:val="18"/>
                <w:szCs w:val="18"/>
                <w:color w:val="auto"/>
              </w:rPr>
              <w:t>Long-term borrowings</w:t>
            </w:r>
          </w:p>
        </w:tc>
        <w:tc>
          <w:tcPr>
            <w:tcW w:w="100" w:type="dxa"/>
            <w:vAlign w:val="bottom"/>
          </w:tcPr>
          <w:p>
            <w:pPr>
              <w:spacing w:after="0"/>
              <w:rPr>
                <w:sz w:val="19"/>
                <w:szCs w:val="19"/>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(9,493,835)</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(9,473,844)</w:t>
            </w:r>
          </w:p>
        </w:tc>
        <w:tc>
          <w:tcPr>
            <w:tcW w:w="220" w:type="dxa"/>
            <w:vAlign w:val="bottom"/>
          </w:tcPr>
          <w:p>
            <w:pPr>
              <w:spacing w:after="0"/>
              <w:rPr>
                <w:sz w:val="19"/>
                <w:szCs w:val="19"/>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(9,473,844)</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5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Accrued interest payable</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(75,172)</w:t>
            </w: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(75,172)</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(75,172)</w:t>
            </w: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300" w:type="dxa"/>
            <w:vAlign w:val="bottom"/>
          </w:tcPr>
          <w:p>
            <w:pPr>
              <w:ind w:left="240"/>
              <w:spacing w:after="0"/>
              <w:rPr>
                <w:sz w:val="20"/>
                <w:szCs w:val="20"/>
                <w:color w:val="auto"/>
              </w:rPr>
            </w:pPr>
            <w:r>
              <w:rPr>
                <w:rFonts w:ascii="Arial" w:cs="Arial" w:eastAsia="Arial" w:hAnsi="Arial"/>
                <w:sz w:val="18"/>
                <w:szCs w:val="18"/>
                <w:color w:val="auto"/>
              </w:rPr>
              <w:t>Trading account liabilities</w:t>
            </w:r>
          </w:p>
        </w:tc>
        <w:tc>
          <w:tcPr>
            <w:tcW w:w="100" w:type="dxa"/>
            <w:vAlign w:val="bottom"/>
          </w:tcPr>
          <w:p>
            <w:pPr>
              <w:spacing w:after="0"/>
              <w:rPr>
                <w:sz w:val="19"/>
                <w:szCs w:val="19"/>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(174,376)</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(174,376)</w:t>
            </w:r>
          </w:p>
        </w:tc>
        <w:tc>
          <w:tcPr>
            <w:tcW w:w="220" w:type="dxa"/>
            <w:vAlign w:val="bottom"/>
          </w:tcPr>
          <w:p>
            <w:pPr>
              <w:spacing w:after="0"/>
              <w:rPr>
                <w:sz w:val="19"/>
                <w:szCs w:val="19"/>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(174,376)</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Other financial instruments:</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300" w:type="dxa"/>
            <w:vAlign w:val="bottom"/>
          </w:tcPr>
          <w:p>
            <w:pPr>
              <w:ind w:left="240"/>
              <w:spacing w:after="0"/>
              <w:rPr>
                <w:sz w:val="20"/>
                <w:szCs w:val="20"/>
                <w:color w:val="auto"/>
              </w:rPr>
            </w:pPr>
            <w:r>
              <w:rPr>
                <w:rFonts w:ascii="Arial" w:cs="Arial" w:eastAsia="Arial" w:hAnsi="Arial"/>
                <w:sz w:val="18"/>
                <w:szCs w:val="18"/>
                <w:color w:val="auto"/>
              </w:rPr>
              <w:t>Commitments to originate real estate</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00" w:type="dxa"/>
            <w:vAlign w:val="bottom"/>
          </w:tcPr>
          <w:p>
            <w:pPr>
              <w:ind w:left="380"/>
              <w:spacing w:after="0"/>
              <w:rPr>
                <w:sz w:val="20"/>
                <w:szCs w:val="20"/>
                <w:color w:val="auto"/>
              </w:rPr>
            </w:pPr>
            <w:r>
              <w:rPr>
                <w:rFonts w:ascii="Arial" w:cs="Arial" w:eastAsia="Arial" w:hAnsi="Arial"/>
                <w:sz w:val="18"/>
                <w:szCs w:val="18"/>
                <w:color w:val="auto"/>
              </w:rPr>
              <w:t>loans for sale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7,325</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7,325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7,325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Commitments to sell real estate loans</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36,653</w:t>
            </w: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36,653</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36,653</w:t>
            </w:r>
          </w:p>
        </w:tc>
        <w:tc>
          <w:tcPr>
            <w:tcW w:w="3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300" w:type="dxa"/>
            <w:vAlign w:val="bottom"/>
          </w:tcPr>
          <w:p>
            <w:pPr>
              <w:ind w:left="240"/>
              <w:spacing w:after="0"/>
              <w:rPr>
                <w:sz w:val="20"/>
                <w:szCs w:val="20"/>
                <w:color w:val="auto"/>
              </w:rPr>
            </w:pPr>
            <w:r>
              <w:rPr>
                <w:rFonts w:ascii="Arial" w:cs="Arial" w:eastAsia="Arial" w:hAnsi="Arial"/>
                <w:sz w:val="18"/>
                <w:szCs w:val="18"/>
                <w:color w:val="auto"/>
              </w:rPr>
              <w:t>Other credit-related commitments</w:t>
            </w:r>
          </w:p>
        </w:tc>
        <w:tc>
          <w:tcPr>
            <w:tcW w:w="100" w:type="dxa"/>
            <w:vAlign w:val="bottom"/>
          </w:tcPr>
          <w:p>
            <w:pPr>
              <w:spacing w:after="0"/>
              <w:rPr>
                <w:sz w:val="19"/>
                <w:szCs w:val="19"/>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(136,295)</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(136,295)</w:t>
            </w:r>
          </w:p>
        </w:tc>
        <w:tc>
          <w:tcPr>
            <w:tcW w:w="220" w:type="dxa"/>
            <w:vAlign w:val="bottom"/>
          </w:tcPr>
          <w:p>
            <w:pPr>
              <w:spacing w:after="0"/>
              <w:rPr>
                <w:sz w:val="19"/>
                <w:szCs w:val="19"/>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(136,295)</w:t>
            </w:r>
          </w:p>
        </w:tc>
        <w:tc>
          <w:tcPr>
            <w:tcW w:w="0" w:type="dxa"/>
            <w:vAlign w:val="bottom"/>
          </w:tcPr>
          <w:p>
            <w:pPr>
              <w:spacing w:after="0"/>
              <w:rPr>
                <w:sz w:val="1"/>
                <w:szCs w:val="1"/>
                <w:color w:val="auto"/>
              </w:rPr>
            </w:pPr>
          </w:p>
        </w:tc>
      </w:tr>
      <w:tr>
        <w:trPr>
          <w:trHeight w:val="211"/>
        </w:trPr>
        <w:tc>
          <w:tcPr>
            <w:tcW w:w="5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rate swap agreements used for interest</w:t>
            </w: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rate risk management</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11,892</w:t>
            </w: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11,892</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11,892</w:t>
            </w:r>
          </w:p>
        </w:tc>
        <w:tc>
          <w:tcPr>
            <w:tcW w:w="3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36" w:lineRule="exact"/>
        <w:rPr>
          <w:sz w:val="20"/>
          <w:szCs w:val="20"/>
          <w:color w:val="auto"/>
        </w:rPr>
      </w:pPr>
    </w:p>
    <w:p>
      <w:pPr>
        <w:ind w:firstLine="598"/>
        <w:spacing w:after="0" w:line="250" w:lineRule="auto"/>
        <w:rPr>
          <w:sz w:val="20"/>
          <w:szCs w:val="20"/>
          <w:color w:val="auto"/>
        </w:rPr>
      </w:pPr>
      <w:r>
        <w:rPr>
          <w:rFonts w:ascii="Arial" w:cs="Arial" w:eastAsia="Arial" w:hAnsi="Arial"/>
          <w:sz w:val="20"/>
          <w:szCs w:val="20"/>
          <w:color w:val="auto"/>
        </w:rPr>
        <w:t>With the exception of marketable securities, certain off-balance sheet financial instruments and mortgage loans originated for sale, the Company’s financial instruments are not readily marketable and market prices do not exist. The Company, in attempting to comply with the provisions of GAAP that require disclosures of fair value of financial instruments, has not attempted to market its financial instruments to potential buyers, if any exist. Since negotiated prices in illiquid markets depend greatly upon the then present motivations of the buyer and seller, it is reasonable to assume that actual sales prices could vary widely from any estimate of fair value made without the benefit of negotiations. Additionally, changes in market interest rates can dramatically impact the value of financial instruments in a short period of time. The following assumptions, methods and calculations were used in determining the estimated fair value of financial instruments not measured at fair value in the consolidated balance sheet.</w:t>
      </w:r>
    </w:p>
    <w:p>
      <w:pPr>
        <w:spacing w:after="0" w:line="291" w:lineRule="exact"/>
        <w:rPr>
          <w:sz w:val="20"/>
          <w:szCs w:val="20"/>
          <w:color w:val="auto"/>
        </w:rPr>
      </w:pPr>
    </w:p>
    <w:p>
      <w:pPr>
        <w:ind w:right="40"/>
        <w:spacing w:after="0" w:line="256" w:lineRule="auto"/>
        <w:rPr>
          <w:sz w:val="20"/>
          <w:szCs w:val="20"/>
          <w:color w:val="auto"/>
        </w:rPr>
      </w:pPr>
      <w:r>
        <w:rPr>
          <w:rFonts w:ascii="Arial" w:cs="Arial" w:eastAsia="Arial" w:hAnsi="Arial"/>
          <w:sz w:val="20"/>
          <w:szCs w:val="20"/>
          <w:b w:val="1"/>
          <w:bCs w:val="1"/>
          <w:i w:val="1"/>
          <w:iCs w:val="1"/>
          <w:color w:val="auto"/>
        </w:rPr>
        <w:t>Cash and cash equivalents, interest-bearing deposits at banks, deposits at Cayman Islands office, short-term borrowings, accrued interest receivable and accrued interest payable</w:t>
      </w:r>
    </w:p>
    <w:p>
      <w:pPr>
        <w:ind w:right="80"/>
        <w:spacing w:after="0" w:line="256" w:lineRule="auto"/>
        <w:rPr>
          <w:sz w:val="20"/>
          <w:szCs w:val="20"/>
          <w:color w:val="auto"/>
        </w:rPr>
      </w:pPr>
      <w:r>
        <w:rPr>
          <w:rFonts w:ascii="Arial" w:cs="Arial" w:eastAsia="Arial" w:hAnsi="Arial"/>
          <w:sz w:val="20"/>
          <w:szCs w:val="20"/>
          <w:color w:val="auto"/>
        </w:rPr>
        <w:t>Due to the nature of cash and cash equivalents and the near maturity of interest-bearing deposits at banks, deposits at Cayman Islands office, short-term borrowings, accrued interest receivable and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406" w:right="239" w:bottom="1440" w:gutter="0" w:footer="0" w:header="0"/>
        </w:sectPr>
      </w:pPr>
    </w:p>
    <w:bookmarkStart w:id="173" w:name="page174"/>
    <w:bookmarkEnd w:id="173"/>
    <w:p>
      <w:pPr>
        <w:spacing w:after="0"/>
        <w:rPr>
          <w:sz w:val="20"/>
          <w:szCs w:val="20"/>
          <w:color w:val="auto"/>
        </w:rPr>
      </w:pPr>
      <w:r>
        <w:rPr>
          <w:rFonts w:ascii="Arial" w:cs="Arial" w:eastAsia="Arial" w:hAnsi="Arial"/>
          <w:sz w:val="19"/>
          <w:szCs w:val="19"/>
          <w:color w:val="auto"/>
        </w:rPr>
        <w:t>accrued interest payable, the Company estimated that the carrying amount of such instruments approximated estimated fair value.</w:t>
      </w:r>
    </w:p>
    <w:p>
      <w:pPr>
        <w:spacing w:after="0" w:line="33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Investment securities</w:t>
      </w:r>
    </w:p>
    <w:p>
      <w:pPr>
        <w:spacing w:after="0" w:line="25" w:lineRule="exact"/>
        <w:rPr>
          <w:sz w:val="20"/>
          <w:szCs w:val="20"/>
          <w:color w:val="auto"/>
        </w:rPr>
      </w:pPr>
    </w:p>
    <w:p>
      <w:pPr>
        <w:spacing w:after="0" w:line="286" w:lineRule="auto"/>
        <w:rPr>
          <w:sz w:val="20"/>
          <w:szCs w:val="20"/>
          <w:color w:val="auto"/>
        </w:rPr>
      </w:pPr>
      <w:r>
        <w:rPr>
          <w:rFonts w:ascii="Arial" w:cs="Arial" w:eastAsia="Arial" w:hAnsi="Arial"/>
          <w:sz w:val="18"/>
          <w:szCs w:val="18"/>
          <w:color w:val="auto"/>
        </w:rPr>
        <w:t>Estimated fair values of investments in readily marketable securities were generally based on quoted market prices. Investment securities that were not readily marketable were assigned amounts based on estimates provided by outside parties or modeling techniques that relied upon discounted calculations of projected cash flows or, in the case of other investment securities, which include capital stock of the Federal Reserve Bank of New York and the Federal Home Loan Bank of New York, at an amount equal to the carrying amount.</w:t>
      </w: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Loans and leases</w:t>
      </w:r>
    </w:p>
    <w:p>
      <w:pPr>
        <w:spacing w:after="0" w:line="25" w:lineRule="exact"/>
        <w:rPr>
          <w:sz w:val="20"/>
          <w:szCs w:val="20"/>
          <w:color w:val="auto"/>
        </w:rPr>
      </w:pPr>
    </w:p>
    <w:p>
      <w:pPr>
        <w:ind w:right="200"/>
        <w:spacing w:after="0" w:line="250" w:lineRule="auto"/>
        <w:rPr>
          <w:sz w:val="20"/>
          <w:szCs w:val="20"/>
          <w:color w:val="auto"/>
        </w:rPr>
      </w:pPr>
      <w:r>
        <w:rPr>
          <w:rFonts w:ascii="Arial" w:cs="Arial" w:eastAsia="Arial" w:hAnsi="Arial"/>
          <w:sz w:val="20"/>
          <w:szCs w:val="20"/>
          <w:color w:val="auto"/>
        </w:rPr>
        <w:t>In general, discount rates used to calculate values for loan products were based on the Company’s pricing at the respective period end. A higher discount rate was assumed with respect to estimated cash flows associated with nonaccrual loans. Projected loan cash flows were adjusted for estimated credit losses. However, such estimates made by the Company may not be indicative of assumptions and adjustments that a purchaser of the Company’s loans and leases would seek.</w:t>
      </w: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Deposits</w:t>
      </w:r>
    </w:p>
    <w:p>
      <w:pPr>
        <w:spacing w:after="0" w:line="25" w:lineRule="exact"/>
        <w:rPr>
          <w:sz w:val="20"/>
          <w:szCs w:val="20"/>
          <w:color w:val="auto"/>
        </w:rPr>
      </w:pPr>
    </w:p>
    <w:p>
      <w:pPr>
        <w:ind w:right="80"/>
        <w:spacing w:after="0" w:line="246" w:lineRule="auto"/>
        <w:rPr>
          <w:sz w:val="20"/>
          <w:szCs w:val="20"/>
          <w:color w:val="auto"/>
        </w:rPr>
      </w:pPr>
      <w:r>
        <w:rPr>
          <w:rFonts w:ascii="Arial" w:cs="Arial" w:eastAsia="Arial" w:hAnsi="Arial"/>
          <w:sz w:val="20"/>
          <w:szCs w:val="20"/>
          <w:color w:val="auto"/>
        </w:rPr>
        <w:t>Pursuant to GAAP, the estimated fair value ascribed to noninterest-bearing deposits, savings deposits and interest-checking deposits must be established at carrying value because of the customers’ ability to withdraw funds immediately. Time deposit accounts are required to be revalued based upon prevailing market interest rates for similar maturity instruments. As a result, amounts assigned to time deposits were based on discounted cash flow calculations using prevailing market interest rates based on the Company’s pricing at the respective date for deposits with comparable remaining terms to maturity.</w:t>
      </w:r>
    </w:p>
    <w:p>
      <w:pPr>
        <w:spacing w:after="0" w:line="4" w:lineRule="exact"/>
        <w:rPr>
          <w:sz w:val="20"/>
          <w:szCs w:val="20"/>
          <w:color w:val="auto"/>
        </w:rPr>
      </w:pPr>
    </w:p>
    <w:p>
      <w:pPr>
        <w:ind w:right="200" w:firstLine="598"/>
        <w:spacing w:after="0" w:line="251" w:lineRule="auto"/>
        <w:rPr>
          <w:sz w:val="20"/>
          <w:szCs w:val="20"/>
          <w:color w:val="auto"/>
        </w:rPr>
      </w:pPr>
      <w:r>
        <w:rPr>
          <w:rFonts w:ascii="Arial" w:cs="Arial" w:eastAsia="Arial" w:hAnsi="Arial"/>
          <w:sz w:val="20"/>
          <w:szCs w:val="20"/>
          <w:color w:val="auto"/>
        </w:rPr>
        <w:t>The Company believes that deposit accounts have a value greater than that prescribed by GAAP. The Company feels, however, that the value associated with these deposits is greatly influenced by characteristics of the buyer, such as the ability to reduce the costs of servicing the deposits and deposit attrition which often occurs following an acquisition.</w:t>
      </w: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Long-term borrowings</w:t>
      </w:r>
    </w:p>
    <w:p>
      <w:pPr>
        <w:spacing w:after="0" w:line="25" w:lineRule="exact"/>
        <w:rPr>
          <w:sz w:val="20"/>
          <w:szCs w:val="20"/>
          <w:color w:val="auto"/>
        </w:rPr>
      </w:pPr>
    </w:p>
    <w:p>
      <w:pPr>
        <w:ind w:right="100"/>
        <w:spacing w:after="0" w:line="256" w:lineRule="auto"/>
        <w:rPr>
          <w:sz w:val="20"/>
          <w:szCs w:val="20"/>
          <w:color w:val="auto"/>
        </w:rPr>
      </w:pPr>
      <w:r>
        <w:rPr>
          <w:rFonts w:ascii="Arial" w:cs="Arial" w:eastAsia="Arial" w:hAnsi="Arial"/>
          <w:sz w:val="20"/>
          <w:szCs w:val="20"/>
          <w:color w:val="auto"/>
        </w:rPr>
        <w:t>The amounts assigned to long-term borrowings were based on quoted market prices, when available, or were based on discounted cash flow calculations using prevailing market interest rates for borrowings of similar terms and credit risk.</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commitments and contingencies</w:t>
      </w:r>
    </w:p>
    <w:p>
      <w:pPr>
        <w:spacing w:after="0" w:line="25" w:lineRule="exact"/>
        <w:rPr>
          <w:sz w:val="20"/>
          <w:szCs w:val="20"/>
          <w:color w:val="auto"/>
        </w:rPr>
      </w:pPr>
    </w:p>
    <w:p>
      <w:pPr>
        <w:spacing w:after="0" w:line="263" w:lineRule="auto"/>
        <w:rPr>
          <w:sz w:val="20"/>
          <w:szCs w:val="20"/>
          <w:color w:val="auto"/>
        </w:rPr>
      </w:pPr>
      <w:r>
        <w:rPr>
          <w:rFonts w:ascii="Arial" w:cs="Arial" w:eastAsia="Arial" w:hAnsi="Arial"/>
          <w:sz w:val="19"/>
          <w:szCs w:val="19"/>
          <w:color w:val="auto"/>
        </w:rPr>
        <w:t>As described in note 21, in the normal course of business, various commitments and contingent liabilities are outstanding, such as loan commitments, credit guarantees and letters of credit. The Company’s pricing of such financial instruments is based largely on credit quality and relationship, probability of funding and other requirements. Loan commitments often have fixed expiration dates and contain termination and other clauses which provide for relief from funding in the event of significant deterioration in the credit quality of the customer. The rates and terms of the Company’s loan commitments, credit guarantees and letters of credit are competitive with other financial institutions operating in markets served by the Company. The Company believes that the carrying amounts, which are included in other liabilities, are reasonable estimates of the fair value of these financial instruments.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00"/>
          </w:cols>
          <w:pgMar w:left="240" w:top="336" w:right="259" w:bottom="1440" w:gutter="0" w:footer="0" w:header="0"/>
        </w:sectPr>
      </w:pPr>
    </w:p>
    <w:bookmarkStart w:id="174" w:name="page175"/>
    <w:bookmarkEnd w:id="174"/>
    <w:p>
      <w:pPr>
        <w:ind w:right="20" w:firstLine="598"/>
        <w:spacing w:after="0" w:line="265" w:lineRule="auto"/>
        <w:rPr>
          <w:sz w:val="20"/>
          <w:szCs w:val="20"/>
          <w:color w:val="auto"/>
        </w:rPr>
      </w:pPr>
      <w:r>
        <w:rPr>
          <w:rFonts w:ascii="Arial" w:cs="Arial" w:eastAsia="Arial" w:hAnsi="Arial"/>
          <w:sz w:val="19"/>
          <w:szCs w:val="19"/>
          <w:color w:val="auto"/>
        </w:rPr>
        <w:t>The Company does not believe that the estimated information presented herein is representative of the earnings power or value of the Company. The preceding analysis, which is inherently limited in depicting fair value, also does not consider any value associated with existing customer relationships nor the ability of the Company to create value through loan origination, deposit gathering or fee generating activities. Many of the estimates presented herein are based upon the use of highly subjective information and assumptions and, accordingly, the results may not be precise. Management believes that fair value estimates may not be comparable between financial institutions due to the wide range of permitted valuation techniques and numerous estimates which must be made. Furthermore, because the disclosed fair value amounts were estimated as of the balance sheet date, the amounts actually realized or paid upon maturity or settlement of the various financial instruments could be significantly different.</w:t>
      </w:r>
    </w:p>
    <w:p>
      <w:pPr>
        <w:spacing w:after="0" w:line="352"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21.</w:t>
      </w:r>
      <w:r>
        <w:rPr>
          <w:sz w:val="20"/>
          <w:szCs w:val="20"/>
          <w:color w:val="auto"/>
        </w:rPr>
        <w:tab/>
      </w:r>
      <w:r>
        <w:rPr>
          <w:rFonts w:ascii="Arial" w:cs="Arial" w:eastAsia="Arial" w:hAnsi="Arial"/>
          <w:sz w:val="17"/>
          <w:szCs w:val="17"/>
          <w:b w:val="1"/>
          <w:bCs w:val="1"/>
          <w:color w:val="auto"/>
        </w:rPr>
        <w:t>Commitments and contingencies</w:t>
      </w:r>
    </w:p>
    <w:p>
      <w:pPr>
        <w:spacing w:after="0" w:line="29" w:lineRule="exact"/>
        <w:rPr>
          <w:sz w:val="20"/>
          <w:szCs w:val="20"/>
          <w:color w:val="auto"/>
        </w:rPr>
      </w:pPr>
    </w:p>
    <w:p>
      <w:pPr>
        <w:ind w:right="860"/>
        <w:spacing w:after="0" w:line="311" w:lineRule="auto"/>
        <w:rPr>
          <w:sz w:val="20"/>
          <w:szCs w:val="20"/>
          <w:color w:val="auto"/>
        </w:rPr>
      </w:pPr>
      <w:r>
        <w:rPr>
          <w:rFonts w:ascii="Arial" w:cs="Arial" w:eastAsia="Arial" w:hAnsi="Arial"/>
          <w:sz w:val="18"/>
          <w:szCs w:val="18"/>
          <w:color w:val="auto"/>
        </w:rPr>
        <w:t>In the normal course of business, various commitments and contingent liabilities are outstanding. The following table presents the Company’s significant commitments. Certain of these commitments are not included in the Company’s consolidated balance sheet.</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1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b w:val="1"/>
                <w:bCs w:val="1"/>
                <w:color w:val="auto"/>
              </w:rPr>
              <w:t>December 31</w:t>
            </w: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1"/>
        </w:trPr>
        <w:tc>
          <w:tcPr>
            <w:tcW w:w="81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tcPr>
          <w:p>
            <w:pPr>
              <w:jc w:val="right"/>
              <w:ind w:right="1250"/>
              <w:spacing w:after="0" w:line="151" w:lineRule="exact"/>
              <w:rPr>
                <w:sz w:val="20"/>
                <w:szCs w:val="20"/>
                <w:color w:val="auto"/>
              </w:rPr>
            </w:pPr>
            <w:r>
              <w:rPr>
                <w:rFonts w:ascii="Arial" w:cs="Arial" w:eastAsia="Arial" w:hAnsi="Arial"/>
                <w:sz w:val="14"/>
                <w:szCs w:val="14"/>
                <w:b w:val="1"/>
                <w:bCs w:val="1"/>
                <w:color w:val="auto"/>
              </w:rPr>
              <w:t>2017</w:t>
            </w:r>
          </w:p>
        </w:tc>
        <w:tc>
          <w:tcPr>
            <w:tcW w:w="1020" w:type="dxa"/>
            <w:vAlign w:val="bottom"/>
            <w:tcBorders>
              <w:bottom w:val="single" w:sz="8" w:color="auto"/>
            </w:tcBorders>
          </w:tcPr>
          <w:p>
            <w:pPr>
              <w:jc w:val="right"/>
              <w:ind w:right="466"/>
              <w:spacing w:after="0" w:line="151"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r>
      <w:tr>
        <w:trPr>
          <w:trHeight w:val="151"/>
        </w:trPr>
        <w:tc>
          <w:tcPr>
            <w:tcW w:w="8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60" w:type="dxa"/>
            <w:vAlign w:val="bottom"/>
          </w:tcPr>
          <w:p>
            <w:pPr>
              <w:jc w:val="right"/>
              <w:ind w:right="50"/>
              <w:spacing w:after="0" w:line="151" w:lineRule="exact"/>
              <w:rPr>
                <w:sz w:val="20"/>
                <w:szCs w:val="20"/>
                <w:color w:val="auto"/>
              </w:rPr>
            </w:pPr>
            <w:r>
              <w:rPr>
                <w:rFonts w:ascii="Arial" w:cs="Arial" w:eastAsia="Arial" w:hAnsi="Arial"/>
                <w:sz w:val="14"/>
                <w:szCs w:val="14"/>
                <w:b w:val="1"/>
                <w:bCs w:val="1"/>
                <w:color w:val="auto"/>
              </w:rPr>
              <w:t>(In thousands)</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7"/>
        </w:trPr>
        <w:tc>
          <w:tcPr>
            <w:tcW w:w="8140" w:type="dxa"/>
            <w:vAlign w:val="bottom"/>
            <w:shd w:val="clear" w:color="auto" w:fill="CFF0FC"/>
          </w:tcPr>
          <w:p>
            <w:pPr>
              <w:spacing w:after="0"/>
              <w:rPr>
                <w:sz w:val="20"/>
                <w:szCs w:val="20"/>
                <w:color w:val="auto"/>
              </w:rPr>
            </w:pPr>
            <w:r>
              <w:rPr>
                <w:rFonts w:ascii="Arial" w:cs="Arial" w:eastAsia="Arial" w:hAnsi="Arial"/>
                <w:sz w:val="19"/>
                <w:szCs w:val="19"/>
                <w:color w:val="auto"/>
              </w:rPr>
              <w:t>Commitments to extend credit</w:t>
            </w:r>
          </w:p>
        </w:tc>
        <w:tc>
          <w:tcPr>
            <w:tcW w:w="300" w:type="dxa"/>
            <w:vAlign w:val="bottom"/>
            <w:shd w:val="clear" w:color="auto" w:fill="CFF0FC"/>
          </w:tcPr>
          <w:p>
            <w:pPr>
              <w:spacing w:after="0"/>
              <w:rPr>
                <w:sz w:val="20"/>
                <w:szCs w:val="20"/>
                <w:color w:val="auto"/>
              </w:rPr>
            </w:pPr>
          </w:p>
        </w:tc>
        <w:tc>
          <w:tcPr>
            <w:tcW w:w="186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8140" w:type="dxa"/>
            <w:vAlign w:val="bottom"/>
          </w:tcPr>
          <w:p>
            <w:pPr>
              <w:ind w:left="240"/>
              <w:spacing w:after="0"/>
              <w:rPr>
                <w:sz w:val="20"/>
                <w:szCs w:val="20"/>
                <w:color w:val="auto"/>
              </w:rPr>
            </w:pPr>
            <w:r>
              <w:rPr>
                <w:rFonts w:ascii="Arial" w:cs="Arial" w:eastAsia="Arial" w:hAnsi="Arial"/>
                <w:sz w:val="19"/>
                <w:szCs w:val="19"/>
                <w:color w:val="auto"/>
              </w:rPr>
              <w:t>Home equity lines of credit</w:t>
            </w:r>
          </w:p>
        </w:tc>
        <w:tc>
          <w:tcPr>
            <w:tcW w:w="300" w:type="dxa"/>
            <w:vAlign w:val="bottom"/>
          </w:tcPr>
          <w:p>
            <w:pPr>
              <w:jc w:val="right"/>
              <w:ind w:right="104"/>
              <w:spacing w:after="0"/>
              <w:rPr>
                <w:sz w:val="20"/>
                <w:szCs w:val="20"/>
                <w:color w:val="auto"/>
              </w:rPr>
            </w:pPr>
            <w:r>
              <w:rPr>
                <w:rFonts w:ascii="Arial" w:cs="Arial" w:eastAsia="Arial" w:hAnsi="Arial"/>
                <w:sz w:val="19"/>
                <w:szCs w:val="19"/>
                <w:color w:val="auto"/>
                <w:w w:val="75"/>
              </w:rPr>
              <w:t>$</w:t>
            </w:r>
          </w:p>
        </w:tc>
        <w:tc>
          <w:tcPr>
            <w:tcW w:w="1860" w:type="dxa"/>
            <w:vAlign w:val="bottom"/>
          </w:tcPr>
          <w:p>
            <w:pPr>
              <w:jc w:val="right"/>
              <w:ind w:right="690"/>
              <w:spacing w:after="0"/>
              <w:rPr>
                <w:sz w:val="20"/>
                <w:szCs w:val="20"/>
                <w:color w:val="auto"/>
              </w:rPr>
            </w:pPr>
            <w:r>
              <w:rPr>
                <w:rFonts w:ascii="Arial" w:cs="Arial" w:eastAsia="Arial" w:hAnsi="Arial"/>
                <w:sz w:val="19"/>
                <w:szCs w:val="19"/>
                <w:color w:val="auto"/>
              </w:rPr>
              <w:t>5,482,622</w:t>
            </w:r>
          </w:p>
        </w:tc>
        <w:tc>
          <w:tcPr>
            <w:tcW w:w="1020" w:type="dxa"/>
            <w:vAlign w:val="bottom"/>
          </w:tcPr>
          <w:p>
            <w:pPr>
              <w:jc w:val="right"/>
              <w:spacing w:after="0"/>
              <w:rPr>
                <w:sz w:val="20"/>
                <w:szCs w:val="20"/>
                <w:color w:val="auto"/>
              </w:rPr>
            </w:pPr>
            <w:r>
              <w:rPr>
                <w:rFonts w:ascii="Arial" w:cs="Arial" w:eastAsia="Arial" w:hAnsi="Arial"/>
                <w:sz w:val="19"/>
                <w:szCs w:val="19"/>
                <w:color w:val="auto"/>
              </w:rPr>
              <w:t>5,499,609</w:t>
            </w:r>
          </w:p>
        </w:tc>
        <w:tc>
          <w:tcPr>
            <w:tcW w:w="100" w:type="dxa"/>
            <w:vAlign w:val="bottom"/>
          </w:tcPr>
          <w:p>
            <w:pPr>
              <w:spacing w:after="0"/>
              <w:rPr>
                <w:sz w:val="20"/>
                <w:szCs w:val="20"/>
                <w:color w:val="auto"/>
              </w:rPr>
            </w:pPr>
          </w:p>
        </w:tc>
      </w:tr>
      <w:tr>
        <w:trPr>
          <w:trHeight w:val="237"/>
        </w:trPr>
        <w:tc>
          <w:tcPr>
            <w:tcW w:w="8140" w:type="dxa"/>
            <w:vAlign w:val="bottom"/>
            <w:shd w:val="clear" w:color="auto" w:fill="CFF0FC"/>
          </w:tcPr>
          <w:p>
            <w:pPr>
              <w:ind w:left="240"/>
              <w:spacing w:after="0"/>
              <w:rPr>
                <w:sz w:val="20"/>
                <w:szCs w:val="20"/>
                <w:color w:val="auto"/>
              </w:rPr>
            </w:pPr>
            <w:r>
              <w:rPr>
                <w:rFonts w:ascii="Arial" w:cs="Arial" w:eastAsia="Arial" w:hAnsi="Arial"/>
                <w:sz w:val="19"/>
                <w:szCs w:val="19"/>
                <w:color w:val="auto"/>
              </w:rPr>
              <w:t>Commercial real estate loans to be sold</w:t>
            </w:r>
          </w:p>
        </w:tc>
        <w:tc>
          <w:tcPr>
            <w:tcW w:w="300" w:type="dxa"/>
            <w:vAlign w:val="bottom"/>
            <w:shd w:val="clear" w:color="auto" w:fill="CFF0FC"/>
          </w:tcPr>
          <w:p>
            <w:pPr>
              <w:spacing w:after="0"/>
              <w:rPr>
                <w:sz w:val="20"/>
                <w:szCs w:val="20"/>
                <w:color w:val="auto"/>
              </w:rPr>
            </w:pPr>
          </w:p>
        </w:tc>
        <w:tc>
          <w:tcPr>
            <w:tcW w:w="1860" w:type="dxa"/>
            <w:vAlign w:val="bottom"/>
            <w:shd w:val="clear" w:color="auto" w:fill="CFF0FC"/>
          </w:tcPr>
          <w:p>
            <w:pPr>
              <w:jc w:val="right"/>
              <w:ind w:right="690"/>
              <w:spacing w:after="0"/>
              <w:rPr>
                <w:sz w:val="20"/>
                <w:szCs w:val="20"/>
                <w:color w:val="auto"/>
              </w:rPr>
            </w:pPr>
            <w:r>
              <w:rPr>
                <w:rFonts w:ascii="Arial" w:cs="Arial" w:eastAsia="Arial" w:hAnsi="Arial"/>
                <w:sz w:val="19"/>
                <w:szCs w:val="19"/>
                <w:color w:val="auto"/>
              </w:rPr>
              <w:t>194,763</w:t>
            </w:r>
          </w:p>
        </w:tc>
        <w:tc>
          <w:tcPr>
            <w:tcW w:w="10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70,100</w:t>
            </w:r>
          </w:p>
        </w:tc>
        <w:tc>
          <w:tcPr>
            <w:tcW w:w="100" w:type="dxa"/>
            <w:vAlign w:val="bottom"/>
            <w:shd w:val="clear" w:color="auto" w:fill="CFF0FC"/>
          </w:tcPr>
          <w:p>
            <w:pPr>
              <w:spacing w:after="0"/>
              <w:rPr>
                <w:sz w:val="20"/>
                <w:szCs w:val="20"/>
                <w:color w:val="auto"/>
              </w:rPr>
            </w:pPr>
          </w:p>
        </w:tc>
      </w:tr>
      <w:tr>
        <w:trPr>
          <w:trHeight w:val="237"/>
        </w:trPr>
        <w:tc>
          <w:tcPr>
            <w:tcW w:w="8140" w:type="dxa"/>
            <w:vAlign w:val="bottom"/>
          </w:tcPr>
          <w:p>
            <w:pPr>
              <w:ind w:left="240"/>
              <w:spacing w:after="0"/>
              <w:rPr>
                <w:sz w:val="20"/>
                <w:szCs w:val="20"/>
                <w:color w:val="auto"/>
              </w:rPr>
            </w:pPr>
            <w:r>
              <w:rPr>
                <w:rFonts w:ascii="Arial" w:cs="Arial" w:eastAsia="Arial" w:hAnsi="Arial"/>
                <w:sz w:val="19"/>
                <w:szCs w:val="19"/>
                <w:color w:val="auto"/>
              </w:rPr>
              <w:t>Other commercial real estate</w:t>
            </w:r>
          </w:p>
        </w:tc>
        <w:tc>
          <w:tcPr>
            <w:tcW w:w="300" w:type="dxa"/>
            <w:vAlign w:val="bottom"/>
          </w:tcPr>
          <w:p>
            <w:pPr>
              <w:spacing w:after="0"/>
              <w:rPr>
                <w:sz w:val="20"/>
                <w:szCs w:val="20"/>
                <w:color w:val="auto"/>
              </w:rPr>
            </w:pPr>
          </w:p>
        </w:tc>
        <w:tc>
          <w:tcPr>
            <w:tcW w:w="1860" w:type="dxa"/>
            <w:vAlign w:val="bottom"/>
          </w:tcPr>
          <w:p>
            <w:pPr>
              <w:jc w:val="right"/>
              <w:ind w:right="690"/>
              <w:spacing w:after="0"/>
              <w:rPr>
                <w:sz w:val="20"/>
                <w:szCs w:val="20"/>
                <w:color w:val="auto"/>
              </w:rPr>
            </w:pPr>
            <w:r>
              <w:rPr>
                <w:rFonts w:ascii="Arial" w:cs="Arial" w:eastAsia="Arial" w:hAnsi="Arial"/>
                <w:sz w:val="19"/>
                <w:szCs w:val="19"/>
                <w:color w:val="auto"/>
              </w:rPr>
              <w:t>6,050,569</w:t>
            </w:r>
          </w:p>
        </w:tc>
        <w:tc>
          <w:tcPr>
            <w:tcW w:w="1020" w:type="dxa"/>
            <w:vAlign w:val="bottom"/>
          </w:tcPr>
          <w:p>
            <w:pPr>
              <w:jc w:val="right"/>
              <w:spacing w:after="0"/>
              <w:rPr>
                <w:sz w:val="20"/>
                <w:szCs w:val="20"/>
                <w:color w:val="auto"/>
              </w:rPr>
            </w:pPr>
            <w:r>
              <w:rPr>
                <w:rFonts w:ascii="Arial" w:cs="Arial" w:eastAsia="Arial" w:hAnsi="Arial"/>
                <w:sz w:val="19"/>
                <w:szCs w:val="19"/>
                <w:color w:val="auto"/>
              </w:rPr>
              <w:t>6,451,709</w:t>
            </w:r>
          </w:p>
        </w:tc>
        <w:tc>
          <w:tcPr>
            <w:tcW w:w="100" w:type="dxa"/>
            <w:vAlign w:val="bottom"/>
          </w:tcPr>
          <w:p>
            <w:pPr>
              <w:spacing w:after="0"/>
              <w:rPr>
                <w:sz w:val="20"/>
                <w:szCs w:val="20"/>
                <w:color w:val="auto"/>
              </w:rPr>
            </w:pPr>
          </w:p>
        </w:tc>
      </w:tr>
      <w:tr>
        <w:trPr>
          <w:trHeight w:val="237"/>
        </w:trPr>
        <w:tc>
          <w:tcPr>
            <w:tcW w:w="8140" w:type="dxa"/>
            <w:vAlign w:val="bottom"/>
            <w:shd w:val="clear" w:color="auto" w:fill="CFF0FC"/>
          </w:tcPr>
          <w:p>
            <w:pPr>
              <w:ind w:left="240"/>
              <w:spacing w:after="0"/>
              <w:rPr>
                <w:sz w:val="20"/>
                <w:szCs w:val="20"/>
                <w:color w:val="auto"/>
              </w:rPr>
            </w:pPr>
            <w:r>
              <w:rPr>
                <w:rFonts w:ascii="Arial" w:cs="Arial" w:eastAsia="Arial" w:hAnsi="Arial"/>
                <w:sz w:val="19"/>
                <w:szCs w:val="19"/>
                <w:color w:val="auto"/>
              </w:rPr>
              <w:t>Residential real estate loans to be sold</w:t>
            </w:r>
          </w:p>
        </w:tc>
        <w:tc>
          <w:tcPr>
            <w:tcW w:w="300" w:type="dxa"/>
            <w:vAlign w:val="bottom"/>
            <w:shd w:val="clear" w:color="auto" w:fill="CFF0FC"/>
          </w:tcPr>
          <w:p>
            <w:pPr>
              <w:spacing w:after="0"/>
              <w:rPr>
                <w:sz w:val="20"/>
                <w:szCs w:val="20"/>
                <w:color w:val="auto"/>
              </w:rPr>
            </w:pPr>
          </w:p>
        </w:tc>
        <w:tc>
          <w:tcPr>
            <w:tcW w:w="1860" w:type="dxa"/>
            <w:vAlign w:val="bottom"/>
            <w:shd w:val="clear" w:color="auto" w:fill="CFF0FC"/>
          </w:tcPr>
          <w:p>
            <w:pPr>
              <w:jc w:val="right"/>
              <w:ind w:right="690"/>
              <w:spacing w:after="0"/>
              <w:rPr>
                <w:sz w:val="20"/>
                <w:szCs w:val="20"/>
                <w:color w:val="auto"/>
              </w:rPr>
            </w:pPr>
            <w:r>
              <w:rPr>
                <w:rFonts w:ascii="Arial" w:cs="Arial" w:eastAsia="Arial" w:hAnsi="Arial"/>
                <w:sz w:val="19"/>
                <w:szCs w:val="19"/>
                <w:color w:val="auto"/>
              </w:rPr>
              <w:t>347,113</w:t>
            </w:r>
          </w:p>
        </w:tc>
        <w:tc>
          <w:tcPr>
            <w:tcW w:w="10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478,950</w:t>
            </w:r>
          </w:p>
        </w:tc>
        <w:tc>
          <w:tcPr>
            <w:tcW w:w="100" w:type="dxa"/>
            <w:vAlign w:val="bottom"/>
            <w:shd w:val="clear" w:color="auto" w:fill="CFF0FC"/>
          </w:tcPr>
          <w:p>
            <w:pPr>
              <w:spacing w:after="0"/>
              <w:rPr>
                <w:sz w:val="20"/>
                <w:szCs w:val="20"/>
                <w:color w:val="auto"/>
              </w:rPr>
            </w:pPr>
          </w:p>
        </w:tc>
      </w:tr>
      <w:tr>
        <w:trPr>
          <w:trHeight w:val="237"/>
        </w:trPr>
        <w:tc>
          <w:tcPr>
            <w:tcW w:w="8140" w:type="dxa"/>
            <w:vAlign w:val="bottom"/>
          </w:tcPr>
          <w:p>
            <w:pPr>
              <w:ind w:left="240"/>
              <w:spacing w:after="0"/>
              <w:rPr>
                <w:sz w:val="20"/>
                <w:szCs w:val="20"/>
                <w:color w:val="auto"/>
              </w:rPr>
            </w:pPr>
            <w:r>
              <w:rPr>
                <w:rFonts w:ascii="Arial" w:cs="Arial" w:eastAsia="Arial" w:hAnsi="Arial"/>
                <w:sz w:val="19"/>
                <w:szCs w:val="19"/>
                <w:color w:val="auto"/>
              </w:rPr>
              <w:t>Other residential real estate</w:t>
            </w:r>
          </w:p>
        </w:tc>
        <w:tc>
          <w:tcPr>
            <w:tcW w:w="300" w:type="dxa"/>
            <w:vAlign w:val="bottom"/>
          </w:tcPr>
          <w:p>
            <w:pPr>
              <w:spacing w:after="0"/>
              <w:rPr>
                <w:sz w:val="20"/>
                <w:szCs w:val="20"/>
                <w:color w:val="auto"/>
              </w:rPr>
            </w:pPr>
          </w:p>
        </w:tc>
        <w:tc>
          <w:tcPr>
            <w:tcW w:w="1860" w:type="dxa"/>
            <w:vAlign w:val="bottom"/>
          </w:tcPr>
          <w:p>
            <w:pPr>
              <w:jc w:val="right"/>
              <w:ind w:right="690"/>
              <w:spacing w:after="0"/>
              <w:rPr>
                <w:sz w:val="20"/>
                <w:szCs w:val="20"/>
                <w:color w:val="auto"/>
              </w:rPr>
            </w:pPr>
            <w:r>
              <w:rPr>
                <w:rFonts w:ascii="Arial" w:cs="Arial" w:eastAsia="Arial" w:hAnsi="Arial"/>
                <w:sz w:val="19"/>
                <w:szCs w:val="19"/>
                <w:color w:val="auto"/>
              </w:rPr>
              <w:t>201,426</w:t>
            </w:r>
          </w:p>
        </w:tc>
        <w:tc>
          <w:tcPr>
            <w:tcW w:w="1020" w:type="dxa"/>
            <w:vAlign w:val="bottom"/>
          </w:tcPr>
          <w:p>
            <w:pPr>
              <w:jc w:val="right"/>
              <w:spacing w:after="0"/>
              <w:rPr>
                <w:sz w:val="20"/>
                <w:szCs w:val="20"/>
                <w:color w:val="auto"/>
              </w:rPr>
            </w:pPr>
            <w:r>
              <w:rPr>
                <w:rFonts w:ascii="Arial" w:cs="Arial" w:eastAsia="Arial" w:hAnsi="Arial"/>
                <w:sz w:val="19"/>
                <w:szCs w:val="19"/>
                <w:color w:val="auto"/>
              </w:rPr>
              <w:t>232,721</w:t>
            </w:r>
          </w:p>
        </w:tc>
        <w:tc>
          <w:tcPr>
            <w:tcW w:w="100" w:type="dxa"/>
            <w:vAlign w:val="bottom"/>
          </w:tcPr>
          <w:p>
            <w:pPr>
              <w:spacing w:after="0"/>
              <w:rPr>
                <w:sz w:val="20"/>
                <w:szCs w:val="20"/>
                <w:color w:val="auto"/>
              </w:rPr>
            </w:pPr>
          </w:p>
        </w:tc>
      </w:tr>
      <w:tr>
        <w:trPr>
          <w:trHeight w:val="237"/>
        </w:trPr>
        <w:tc>
          <w:tcPr>
            <w:tcW w:w="8140" w:type="dxa"/>
            <w:vAlign w:val="bottom"/>
            <w:shd w:val="clear" w:color="auto" w:fill="CFF0FC"/>
          </w:tcPr>
          <w:p>
            <w:pPr>
              <w:ind w:left="240"/>
              <w:spacing w:after="0"/>
              <w:rPr>
                <w:sz w:val="20"/>
                <w:szCs w:val="20"/>
                <w:color w:val="auto"/>
              </w:rPr>
            </w:pPr>
            <w:r>
              <w:rPr>
                <w:rFonts w:ascii="Arial" w:cs="Arial" w:eastAsia="Arial" w:hAnsi="Arial"/>
                <w:sz w:val="19"/>
                <w:szCs w:val="19"/>
                <w:color w:val="auto"/>
              </w:rPr>
              <w:t>Commercial and other</w:t>
            </w:r>
          </w:p>
        </w:tc>
        <w:tc>
          <w:tcPr>
            <w:tcW w:w="300" w:type="dxa"/>
            <w:vAlign w:val="bottom"/>
            <w:shd w:val="clear" w:color="auto" w:fill="CFF0FC"/>
          </w:tcPr>
          <w:p>
            <w:pPr>
              <w:spacing w:after="0"/>
              <w:rPr>
                <w:sz w:val="20"/>
                <w:szCs w:val="20"/>
                <w:color w:val="auto"/>
              </w:rPr>
            </w:pPr>
          </w:p>
        </w:tc>
        <w:tc>
          <w:tcPr>
            <w:tcW w:w="1860" w:type="dxa"/>
            <w:vAlign w:val="bottom"/>
            <w:shd w:val="clear" w:color="auto" w:fill="CFF0FC"/>
          </w:tcPr>
          <w:p>
            <w:pPr>
              <w:jc w:val="right"/>
              <w:ind w:right="690"/>
              <w:spacing w:after="0"/>
              <w:rPr>
                <w:sz w:val="20"/>
                <w:szCs w:val="20"/>
                <w:color w:val="auto"/>
              </w:rPr>
            </w:pPr>
            <w:r>
              <w:rPr>
                <w:rFonts w:ascii="Arial" w:cs="Arial" w:eastAsia="Arial" w:hAnsi="Arial"/>
                <w:sz w:val="19"/>
                <w:szCs w:val="19"/>
                <w:color w:val="auto"/>
              </w:rPr>
              <w:t>12,733,815</w:t>
            </w:r>
          </w:p>
        </w:tc>
        <w:tc>
          <w:tcPr>
            <w:tcW w:w="10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12,298,473</w:t>
            </w:r>
          </w:p>
        </w:tc>
        <w:tc>
          <w:tcPr>
            <w:tcW w:w="100" w:type="dxa"/>
            <w:vAlign w:val="bottom"/>
            <w:shd w:val="clear" w:color="auto" w:fill="CFF0FC"/>
          </w:tcPr>
          <w:p>
            <w:pPr>
              <w:spacing w:after="0"/>
              <w:rPr>
                <w:sz w:val="20"/>
                <w:szCs w:val="20"/>
                <w:color w:val="auto"/>
              </w:rPr>
            </w:pPr>
          </w:p>
        </w:tc>
      </w:tr>
      <w:tr>
        <w:trPr>
          <w:trHeight w:val="237"/>
        </w:trPr>
        <w:tc>
          <w:tcPr>
            <w:tcW w:w="8140" w:type="dxa"/>
            <w:vAlign w:val="bottom"/>
          </w:tcPr>
          <w:p>
            <w:pPr>
              <w:spacing w:after="0"/>
              <w:rPr>
                <w:sz w:val="20"/>
                <w:szCs w:val="20"/>
                <w:color w:val="auto"/>
              </w:rPr>
            </w:pPr>
            <w:r>
              <w:rPr>
                <w:rFonts w:ascii="Arial" w:cs="Arial" w:eastAsia="Arial" w:hAnsi="Arial"/>
                <w:sz w:val="19"/>
                <w:szCs w:val="19"/>
                <w:color w:val="auto"/>
              </w:rPr>
              <w:t>Standby letters of credit</w:t>
            </w:r>
          </w:p>
        </w:tc>
        <w:tc>
          <w:tcPr>
            <w:tcW w:w="300" w:type="dxa"/>
            <w:vAlign w:val="bottom"/>
          </w:tcPr>
          <w:p>
            <w:pPr>
              <w:spacing w:after="0"/>
              <w:rPr>
                <w:sz w:val="20"/>
                <w:szCs w:val="20"/>
                <w:color w:val="auto"/>
              </w:rPr>
            </w:pPr>
          </w:p>
        </w:tc>
        <w:tc>
          <w:tcPr>
            <w:tcW w:w="1860" w:type="dxa"/>
            <w:vAlign w:val="bottom"/>
          </w:tcPr>
          <w:p>
            <w:pPr>
              <w:jc w:val="right"/>
              <w:ind w:right="690"/>
              <w:spacing w:after="0"/>
              <w:rPr>
                <w:sz w:val="20"/>
                <w:szCs w:val="20"/>
                <w:color w:val="auto"/>
              </w:rPr>
            </w:pPr>
            <w:r>
              <w:rPr>
                <w:rFonts w:ascii="Arial" w:cs="Arial" w:eastAsia="Arial" w:hAnsi="Arial"/>
                <w:sz w:val="19"/>
                <w:szCs w:val="19"/>
                <w:color w:val="auto"/>
              </w:rPr>
              <w:t>2,497,844</w:t>
            </w:r>
          </w:p>
        </w:tc>
        <w:tc>
          <w:tcPr>
            <w:tcW w:w="1020" w:type="dxa"/>
            <w:vAlign w:val="bottom"/>
          </w:tcPr>
          <w:p>
            <w:pPr>
              <w:jc w:val="right"/>
              <w:spacing w:after="0"/>
              <w:rPr>
                <w:sz w:val="20"/>
                <w:szCs w:val="20"/>
                <w:color w:val="auto"/>
              </w:rPr>
            </w:pPr>
            <w:r>
              <w:rPr>
                <w:rFonts w:ascii="Arial" w:cs="Arial" w:eastAsia="Arial" w:hAnsi="Arial"/>
                <w:sz w:val="19"/>
                <w:szCs w:val="19"/>
                <w:color w:val="auto"/>
              </w:rPr>
              <w:t>2,987,091</w:t>
            </w:r>
          </w:p>
        </w:tc>
        <w:tc>
          <w:tcPr>
            <w:tcW w:w="100" w:type="dxa"/>
            <w:vAlign w:val="bottom"/>
          </w:tcPr>
          <w:p>
            <w:pPr>
              <w:spacing w:after="0"/>
              <w:rPr>
                <w:sz w:val="20"/>
                <w:szCs w:val="20"/>
                <w:color w:val="auto"/>
              </w:rPr>
            </w:pPr>
          </w:p>
        </w:tc>
      </w:tr>
      <w:tr>
        <w:trPr>
          <w:trHeight w:val="237"/>
        </w:trPr>
        <w:tc>
          <w:tcPr>
            <w:tcW w:w="8140" w:type="dxa"/>
            <w:vAlign w:val="bottom"/>
            <w:shd w:val="clear" w:color="auto" w:fill="CFF0FC"/>
          </w:tcPr>
          <w:p>
            <w:pPr>
              <w:spacing w:after="0"/>
              <w:rPr>
                <w:sz w:val="20"/>
                <w:szCs w:val="20"/>
                <w:color w:val="auto"/>
              </w:rPr>
            </w:pPr>
            <w:r>
              <w:rPr>
                <w:rFonts w:ascii="Arial" w:cs="Arial" w:eastAsia="Arial" w:hAnsi="Arial"/>
                <w:sz w:val="19"/>
                <w:szCs w:val="19"/>
                <w:color w:val="auto"/>
              </w:rPr>
              <w:t>Commercial letters of credit</w:t>
            </w:r>
          </w:p>
        </w:tc>
        <w:tc>
          <w:tcPr>
            <w:tcW w:w="300" w:type="dxa"/>
            <w:vAlign w:val="bottom"/>
            <w:shd w:val="clear" w:color="auto" w:fill="CFF0FC"/>
          </w:tcPr>
          <w:p>
            <w:pPr>
              <w:spacing w:after="0"/>
              <w:rPr>
                <w:sz w:val="20"/>
                <w:szCs w:val="20"/>
                <w:color w:val="auto"/>
              </w:rPr>
            </w:pPr>
          </w:p>
        </w:tc>
        <w:tc>
          <w:tcPr>
            <w:tcW w:w="1860" w:type="dxa"/>
            <w:vAlign w:val="bottom"/>
            <w:shd w:val="clear" w:color="auto" w:fill="CFF0FC"/>
          </w:tcPr>
          <w:p>
            <w:pPr>
              <w:jc w:val="right"/>
              <w:ind w:right="690"/>
              <w:spacing w:after="0"/>
              <w:rPr>
                <w:sz w:val="20"/>
                <w:szCs w:val="20"/>
                <w:color w:val="auto"/>
              </w:rPr>
            </w:pPr>
            <w:r>
              <w:rPr>
                <w:rFonts w:ascii="Arial" w:cs="Arial" w:eastAsia="Arial" w:hAnsi="Arial"/>
                <w:sz w:val="19"/>
                <w:szCs w:val="19"/>
                <w:color w:val="auto"/>
              </w:rPr>
              <w:t>46,739</w:t>
            </w:r>
          </w:p>
        </w:tc>
        <w:tc>
          <w:tcPr>
            <w:tcW w:w="10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44,723</w:t>
            </w:r>
          </w:p>
        </w:tc>
        <w:tc>
          <w:tcPr>
            <w:tcW w:w="100" w:type="dxa"/>
            <w:vAlign w:val="bottom"/>
            <w:shd w:val="clear" w:color="auto" w:fill="CFF0FC"/>
          </w:tcPr>
          <w:p>
            <w:pPr>
              <w:spacing w:after="0"/>
              <w:rPr>
                <w:sz w:val="20"/>
                <w:szCs w:val="20"/>
                <w:color w:val="auto"/>
              </w:rPr>
            </w:pPr>
          </w:p>
        </w:tc>
      </w:tr>
      <w:tr>
        <w:trPr>
          <w:trHeight w:val="237"/>
        </w:trPr>
        <w:tc>
          <w:tcPr>
            <w:tcW w:w="8140" w:type="dxa"/>
            <w:vAlign w:val="bottom"/>
          </w:tcPr>
          <w:p>
            <w:pPr>
              <w:spacing w:after="0"/>
              <w:rPr>
                <w:sz w:val="20"/>
                <w:szCs w:val="20"/>
                <w:color w:val="auto"/>
              </w:rPr>
            </w:pPr>
            <w:r>
              <w:rPr>
                <w:rFonts w:ascii="Arial" w:cs="Arial" w:eastAsia="Arial" w:hAnsi="Arial"/>
                <w:sz w:val="19"/>
                <w:szCs w:val="19"/>
                <w:color w:val="auto"/>
              </w:rPr>
              <w:t>Financial guarantees and indemnification contracts</w:t>
            </w:r>
          </w:p>
        </w:tc>
        <w:tc>
          <w:tcPr>
            <w:tcW w:w="300" w:type="dxa"/>
            <w:vAlign w:val="bottom"/>
          </w:tcPr>
          <w:p>
            <w:pPr>
              <w:spacing w:after="0"/>
              <w:rPr>
                <w:sz w:val="20"/>
                <w:szCs w:val="20"/>
                <w:color w:val="auto"/>
              </w:rPr>
            </w:pPr>
          </w:p>
        </w:tc>
        <w:tc>
          <w:tcPr>
            <w:tcW w:w="1860" w:type="dxa"/>
            <w:vAlign w:val="bottom"/>
          </w:tcPr>
          <w:p>
            <w:pPr>
              <w:jc w:val="right"/>
              <w:ind w:right="690"/>
              <w:spacing w:after="0"/>
              <w:rPr>
                <w:sz w:val="20"/>
                <w:szCs w:val="20"/>
                <w:color w:val="auto"/>
              </w:rPr>
            </w:pPr>
            <w:r>
              <w:rPr>
                <w:rFonts w:ascii="Arial" w:cs="Arial" w:eastAsia="Arial" w:hAnsi="Arial"/>
                <w:sz w:val="19"/>
                <w:szCs w:val="19"/>
                <w:color w:val="auto"/>
              </w:rPr>
              <w:t>3,434,381</w:t>
            </w:r>
          </w:p>
        </w:tc>
        <w:tc>
          <w:tcPr>
            <w:tcW w:w="1020" w:type="dxa"/>
            <w:vAlign w:val="bottom"/>
          </w:tcPr>
          <w:p>
            <w:pPr>
              <w:jc w:val="right"/>
              <w:spacing w:after="0"/>
              <w:rPr>
                <w:sz w:val="20"/>
                <w:szCs w:val="20"/>
                <w:color w:val="auto"/>
              </w:rPr>
            </w:pPr>
            <w:r>
              <w:rPr>
                <w:rFonts w:ascii="Arial" w:cs="Arial" w:eastAsia="Arial" w:hAnsi="Arial"/>
                <w:sz w:val="19"/>
                <w:szCs w:val="19"/>
                <w:color w:val="auto"/>
              </w:rPr>
              <w:t>3,043,580</w:t>
            </w:r>
          </w:p>
        </w:tc>
        <w:tc>
          <w:tcPr>
            <w:tcW w:w="100" w:type="dxa"/>
            <w:vAlign w:val="bottom"/>
          </w:tcPr>
          <w:p>
            <w:pPr>
              <w:spacing w:after="0"/>
              <w:rPr>
                <w:sz w:val="20"/>
                <w:szCs w:val="20"/>
                <w:color w:val="auto"/>
              </w:rPr>
            </w:pPr>
          </w:p>
        </w:tc>
      </w:tr>
      <w:tr>
        <w:trPr>
          <w:trHeight w:val="237"/>
        </w:trPr>
        <w:tc>
          <w:tcPr>
            <w:tcW w:w="8140" w:type="dxa"/>
            <w:vAlign w:val="bottom"/>
            <w:shd w:val="clear" w:color="auto" w:fill="CFF0FC"/>
          </w:tcPr>
          <w:p>
            <w:pPr>
              <w:spacing w:after="0"/>
              <w:rPr>
                <w:sz w:val="20"/>
                <w:szCs w:val="20"/>
                <w:color w:val="auto"/>
              </w:rPr>
            </w:pPr>
            <w:r>
              <w:rPr>
                <w:rFonts w:ascii="Arial" w:cs="Arial" w:eastAsia="Arial" w:hAnsi="Arial"/>
                <w:sz w:val="19"/>
                <w:szCs w:val="19"/>
                <w:color w:val="auto"/>
              </w:rPr>
              <w:t>Commitments to sell real estate loans</w:t>
            </w:r>
          </w:p>
        </w:tc>
        <w:tc>
          <w:tcPr>
            <w:tcW w:w="300" w:type="dxa"/>
            <w:vAlign w:val="bottom"/>
            <w:shd w:val="clear" w:color="auto" w:fill="CFF0FC"/>
          </w:tcPr>
          <w:p>
            <w:pPr>
              <w:spacing w:after="0"/>
              <w:rPr>
                <w:sz w:val="20"/>
                <w:szCs w:val="20"/>
                <w:color w:val="auto"/>
              </w:rPr>
            </w:pPr>
          </w:p>
        </w:tc>
        <w:tc>
          <w:tcPr>
            <w:tcW w:w="1860" w:type="dxa"/>
            <w:vAlign w:val="bottom"/>
            <w:shd w:val="clear" w:color="auto" w:fill="CFF0FC"/>
          </w:tcPr>
          <w:p>
            <w:pPr>
              <w:jc w:val="right"/>
              <w:ind w:right="690"/>
              <w:spacing w:after="0"/>
              <w:rPr>
                <w:sz w:val="20"/>
                <w:szCs w:val="20"/>
                <w:color w:val="auto"/>
              </w:rPr>
            </w:pPr>
            <w:r>
              <w:rPr>
                <w:rFonts w:ascii="Arial" w:cs="Arial" w:eastAsia="Arial" w:hAnsi="Arial"/>
                <w:sz w:val="19"/>
                <w:szCs w:val="19"/>
                <w:color w:val="auto"/>
              </w:rPr>
              <w:t>812,217</w:t>
            </w:r>
          </w:p>
        </w:tc>
        <w:tc>
          <w:tcPr>
            <w:tcW w:w="10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1,489,237</w:t>
            </w:r>
          </w:p>
        </w:tc>
        <w:tc>
          <w:tcPr>
            <w:tcW w:w="100" w:type="dxa"/>
            <w:vAlign w:val="bottom"/>
            <w:shd w:val="clear" w:color="auto" w:fill="CFF0FC"/>
          </w:tcPr>
          <w:p>
            <w:pPr>
              <w:spacing w:after="0"/>
              <w:rPr>
                <w:sz w:val="20"/>
                <w:szCs w:val="20"/>
                <w:color w:val="auto"/>
              </w:rPr>
            </w:pPr>
          </w:p>
        </w:tc>
      </w:tr>
    </w:tbl>
    <w:p>
      <w:pPr>
        <w:spacing w:after="0" w:line="236" w:lineRule="exact"/>
        <w:rPr>
          <w:sz w:val="20"/>
          <w:szCs w:val="20"/>
          <w:color w:val="auto"/>
        </w:rPr>
      </w:pPr>
    </w:p>
    <w:p>
      <w:pPr>
        <w:ind w:right="140" w:firstLine="598"/>
        <w:spacing w:after="0" w:line="262" w:lineRule="auto"/>
        <w:rPr>
          <w:sz w:val="20"/>
          <w:szCs w:val="20"/>
          <w:color w:val="auto"/>
        </w:rPr>
      </w:pPr>
      <w:r>
        <w:rPr>
          <w:rFonts w:ascii="Arial" w:cs="Arial" w:eastAsia="Arial" w:hAnsi="Arial"/>
          <w:sz w:val="19"/>
          <w:szCs w:val="19"/>
          <w:color w:val="auto"/>
        </w:rPr>
        <w:t>Commitments to extend credit are agreements to lend to customers, generally having fixed expiration dates or other termination clauses that may require payment of a fee. Standby and commercial letters of credit are conditional commitments issued to guarantee the performance of a customer to a third party. Standby letters of credit generally are contingent upon the failure of the customer to perform according to the terms of the underlying contract with the third party, whereas commercial letters of credit are issued to facilitate commerce and typically result in the commitment being funded when the underlying transaction is consummated between the customer and a third party. The credit risk associated with commitments to extend credit and standby and commercial letters of credit is essentially the same as that involved with extending loans to customers and is subject to normal credit policies. Collateral may be obtained based on management’s assessment of the customer’s creditworthiness.</w:t>
      </w:r>
    </w:p>
    <w:p>
      <w:pPr>
        <w:spacing w:after="0" w:line="2" w:lineRule="exact"/>
        <w:rPr>
          <w:sz w:val="20"/>
          <w:szCs w:val="20"/>
          <w:color w:val="auto"/>
        </w:rPr>
      </w:pPr>
    </w:p>
    <w:p>
      <w:pPr>
        <w:ind w:right="100" w:firstLine="598"/>
        <w:spacing w:after="0" w:line="250" w:lineRule="auto"/>
        <w:rPr>
          <w:sz w:val="20"/>
          <w:szCs w:val="20"/>
          <w:color w:val="auto"/>
        </w:rPr>
      </w:pPr>
      <w:r>
        <w:rPr>
          <w:rFonts w:ascii="Arial" w:cs="Arial" w:eastAsia="Arial" w:hAnsi="Arial"/>
          <w:sz w:val="20"/>
          <w:szCs w:val="20"/>
          <w:color w:val="auto"/>
        </w:rPr>
        <w:t>Financial guarantees and indemnification contracts are oftentimes similar to standby letters of credit and include mandatory purchase agreements issued to ensure that customer obligations are fulfilled, recourse obligations associated with sold loans, and other guarantees of customer performance or compliance with designated rules and regulations. Included in financial guarantees and indemnification contracts are loan principal amounts sold with recourse in conjunction with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73" w:right="239" w:bottom="1440" w:gutter="0" w:footer="0" w:header="0"/>
        </w:sectPr>
      </w:pPr>
    </w:p>
    <w:bookmarkStart w:id="175" w:name="page176"/>
    <w:bookmarkEnd w:id="175"/>
    <w:p>
      <w:pPr>
        <w:ind w:right="460"/>
        <w:spacing w:after="0" w:line="269" w:lineRule="auto"/>
        <w:rPr>
          <w:sz w:val="20"/>
          <w:szCs w:val="20"/>
          <w:color w:val="auto"/>
        </w:rPr>
      </w:pPr>
      <w:r>
        <w:rPr>
          <w:rFonts w:ascii="Arial" w:cs="Arial" w:eastAsia="Arial" w:hAnsi="Arial"/>
          <w:sz w:val="19"/>
          <w:szCs w:val="19"/>
          <w:color w:val="auto"/>
        </w:rPr>
        <w:t>Company’s involvement in the Fannie Mae DUS program. The Company’s maximum credit risk for recourse associated with loans sold under this program totaled approximately $3.3 billion and $2.8 billion at December 31, 2017 and 2016, respectively.</w:t>
      </w:r>
    </w:p>
    <w:p>
      <w:pPr>
        <w:spacing w:after="0" w:line="1" w:lineRule="exact"/>
        <w:rPr>
          <w:sz w:val="20"/>
          <w:szCs w:val="20"/>
          <w:color w:val="auto"/>
        </w:rPr>
      </w:pPr>
    </w:p>
    <w:p>
      <w:pPr>
        <w:ind w:right="60" w:firstLine="598"/>
        <w:spacing w:after="0" w:line="246" w:lineRule="auto"/>
        <w:rPr>
          <w:sz w:val="20"/>
          <w:szCs w:val="20"/>
          <w:color w:val="auto"/>
        </w:rPr>
      </w:pPr>
      <w:r>
        <w:rPr>
          <w:rFonts w:ascii="Arial" w:cs="Arial" w:eastAsia="Arial" w:hAnsi="Arial"/>
          <w:sz w:val="20"/>
          <w:szCs w:val="20"/>
          <w:color w:val="auto"/>
        </w:rPr>
        <w:t>Since many loan commitments, standby letters of credit, and guarantees and indemnification contracts expire without being funded in whole or in part, the contract amounts are not necessarily indicative of future cash flows.</w:t>
      </w:r>
    </w:p>
    <w:p>
      <w:pPr>
        <w:spacing w:after="0" w:line="2" w:lineRule="exact"/>
        <w:rPr>
          <w:sz w:val="20"/>
          <w:szCs w:val="20"/>
          <w:color w:val="auto"/>
        </w:rPr>
      </w:pPr>
    </w:p>
    <w:p>
      <w:pPr>
        <w:jc w:val="both"/>
        <w:ind w:firstLine="598"/>
        <w:spacing w:after="0" w:line="246" w:lineRule="auto"/>
        <w:rPr>
          <w:sz w:val="20"/>
          <w:szCs w:val="20"/>
          <w:color w:val="auto"/>
        </w:rPr>
      </w:pPr>
      <w:r>
        <w:rPr>
          <w:rFonts w:ascii="Arial" w:cs="Arial" w:eastAsia="Arial" w:hAnsi="Arial"/>
          <w:sz w:val="20"/>
          <w:szCs w:val="20"/>
          <w:color w:val="auto"/>
        </w:rPr>
        <w:t>The Company utilizes commitments to sell real estate loans to hedge exposure to changes in the fair value of real estate loans held for sale. Such commitments are considered derivatives and along with commitments to originate real estate loans to be held for sale are generally recorded in the consolidated balance sheet at estimated fair market value.</w:t>
      </w:r>
    </w:p>
    <w:p>
      <w:pPr>
        <w:spacing w:after="0" w:line="2" w:lineRule="exact"/>
        <w:rPr>
          <w:sz w:val="20"/>
          <w:szCs w:val="20"/>
          <w:color w:val="auto"/>
        </w:rPr>
      </w:pPr>
    </w:p>
    <w:p>
      <w:pPr>
        <w:ind w:right="120" w:firstLine="598"/>
        <w:spacing w:after="0" w:line="251" w:lineRule="auto"/>
        <w:rPr>
          <w:sz w:val="20"/>
          <w:szCs w:val="20"/>
          <w:color w:val="auto"/>
        </w:rPr>
      </w:pPr>
      <w:r>
        <w:rPr>
          <w:rFonts w:ascii="Arial" w:cs="Arial" w:eastAsia="Arial" w:hAnsi="Arial"/>
          <w:sz w:val="20"/>
          <w:szCs w:val="20"/>
          <w:color w:val="auto"/>
        </w:rPr>
        <w:t>The Company occupies certain banking offices and uses certain equipment under noncancelable operating lease agreements expiring at various dates over the next 21 years. Minimum lease payments under noncancelable operating leases are summarized in the following table:</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(In thousands)</w:t>
            </w:r>
          </w:p>
        </w:tc>
      </w:tr>
      <w:tr>
        <w:trPr>
          <w:trHeight w:val="250"/>
        </w:trPr>
        <w:tc>
          <w:tcPr>
            <w:tcW w:w="9980" w:type="dxa"/>
            <w:vAlign w:val="bottom"/>
            <w:shd w:val="clear" w:color="auto" w:fill="CFF0FC"/>
          </w:tcPr>
          <w:p>
            <w:pPr>
              <w:spacing w:after="0"/>
              <w:rPr>
                <w:sz w:val="20"/>
                <w:szCs w:val="20"/>
                <w:color w:val="auto"/>
              </w:rPr>
            </w:pPr>
            <w:r>
              <w:rPr>
                <w:rFonts w:ascii="Arial" w:cs="Arial" w:eastAsia="Arial" w:hAnsi="Arial"/>
                <w:sz w:val="20"/>
                <w:szCs w:val="20"/>
                <w:color w:val="auto"/>
              </w:rPr>
              <w:t>Year ending December 31:</w:t>
            </w:r>
          </w:p>
        </w:tc>
        <w:tc>
          <w:tcPr>
            <w:tcW w:w="16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50"/>
        </w:trPr>
        <w:tc>
          <w:tcPr>
            <w:tcW w:w="9980" w:type="dxa"/>
            <w:vAlign w:val="bottom"/>
          </w:tcPr>
          <w:p>
            <w:pPr>
              <w:ind w:left="240"/>
              <w:spacing w:after="0"/>
              <w:rPr>
                <w:sz w:val="20"/>
                <w:szCs w:val="20"/>
                <w:color w:val="auto"/>
              </w:rPr>
            </w:pPr>
            <w:r>
              <w:rPr>
                <w:rFonts w:ascii="Arial" w:cs="Arial" w:eastAsia="Arial" w:hAnsi="Arial"/>
                <w:sz w:val="20"/>
                <w:szCs w:val="20"/>
                <w:color w:val="auto"/>
              </w:rPr>
              <w:t>2018</w:t>
            </w:r>
          </w:p>
        </w:tc>
        <w:tc>
          <w:tcPr>
            <w:tcW w:w="16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92,824</w:t>
            </w:r>
          </w:p>
        </w:tc>
        <w:tc>
          <w:tcPr>
            <w:tcW w:w="120" w:type="dxa"/>
            <w:vAlign w:val="bottom"/>
          </w:tcPr>
          <w:p>
            <w:pPr>
              <w:spacing w:after="0"/>
              <w:rPr>
                <w:sz w:val="21"/>
                <w:szCs w:val="21"/>
                <w:color w:val="auto"/>
              </w:rPr>
            </w:pPr>
          </w:p>
        </w:tc>
      </w:tr>
      <w:tr>
        <w:trPr>
          <w:trHeight w:val="250"/>
        </w:trPr>
        <w:tc>
          <w:tcPr>
            <w:tcW w:w="9980" w:type="dxa"/>
            <w:vAlign w:val="bottom"/>
            <w:shd w:val="clear" w:color="auto" w:fill="CFF0FC"/>
          </w:tcPr>
          <w:p>
            <w:pPr>
              <w:ind w:left="240"/>
              <w:spacing w:after="0"/>
              <w:rPr>
                <w:sz w:val="20"/>
                <w:szCs w:val="20"/>
                <w:color w:val="auto"/>
              </w:rPr>
            </w:pPr>
            <w:r>
              <w:rPr>
                <w:rFonts w:ascii="Arial" w:cs="Arial" w:eastAsia="Arial" w:hAnsi="Arial"/>
                <w:sz w:val="20"/>
                <w:szCs w:val="20"/>
                <w:color w:val="auto"/>
              </w:rPr>
              <w:t>2019</w:t>
            </w:r>
          </w:p>
        </w:tc>
        <w:tc>
          <w:tcPr>
            <w:tcW w:w="16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87,298</w:t>
            </w:r>
          </w:p>
        </w:tc>
        <w:tc>
          <w:tcPr>
            <w:tcW w:w="120" w:type="dxa"/>
            <w:vAlign w:val="bottom"/>
            <w:shd w:val="clear" w:color="auto" w:fill="CFF0FC"/>
          </w:tcPr>
          <w:p>
            <w:pPr>
              <w:spacing w:after="0"/>
              <w:rPr>
                <w:sz w:val="21"/>
                <w:szCs w:val="21"/>
                <w:color w:val="auto"/>
              </w:rPr>
            </w:pPr>
          </w:p>
        </w:tc>
      </w:tr>
      <w:tr>
        <w:trPr>
          <w:trHeight w:val="250"/>
        </w:trPr>
        <w:tc>
          <w:tcPr>
            <w:tcW w:w="9980" w:type="dxa"/>
            <w:vAlign w:val="bottom"/>
          </w:tcPr>
          <w:p>
            <w:pPr>
              <w:ind w:left="240"/>
              <w:spacing w:after="0"/>
              <w:rPr>
                <w:sz w:val="20"/>
                <w:szCs w:val="20"/>
                <w:color w:val="auto"/>
              </w:rPr>
            </w:pPr>
            <w:r>
              <w:rPr>
                <w:rFonts w:ascii="Arial" w:cs="Arial" w:eastAsia="Arial" w:hAnsi="Arial"/>
                <w:sz w:val="20"/>
                <w:szCs w:val="20"/>
                <w:color w:val="auto"/>
              </w:rPr>
              <w:t>2020</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70,490</w:t>
            </w:r>
          </w:p>
        </w:tc>
        <w:tc>
          <w:tcPr>
            <w:tcW w:w="120" w:type="dxa"/>
            <w:vAlign w:val="bottom"/>
          </w:tcPr>
          <w:p>
            <w:pPr>
              <w:spacing w:after="0"/>
              <w:rPr>
                <w:sz w:val="21"/>
                <w:szCs w:val="21"/>
                <w:color w:val="auto"/>
              </w:rPr>
            </w:pPr>
          </w:p>
        </w:tc>
      </w:tr>
      <w:tr>
        <w:trPr>
          <w:trHeight w:val="250"/>
        </w:trPr>
        <w:tc>
          <w:tcPr>
            <w:tcW w:w="9980" w:type="dxa"/>
            <w:vAlign w:val="bottom"/>
            <w:shd w:val="clear" w:color="auto" w:fill="CFF0FC"/>
          </w:tcPr>
          <w:p>
            <w:pPr>
              <w:ind w:left="240"/>
              <w:spacing w:after="0"/>
              <w:rPr>
                <w:sz w:val="20"/>
                <w:szCs w:val="20"/>
                <w:color w:val="auto"/>
              </w:rPr>
            </w:pPr>
            <w:r>
              <w:rPr>
                <w:rFonts w:ascii="Arial" w:cs="Arial" w:eastAsia="Arial" w:hAnsi="Arial"/>
                <w:sz w:val="20"/>
                <w:szCs w:val="20"/>
                <w:color w:val="auto"/>
              </w:rPr>
              <w:t>2021</w:t>
            </w:r>
          </w:p>
        </w:tc>
        <w:tc>
          <w:tcPr>
            <w:tcW w:w="16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54,685</w:t>
            </w:r>
          </w:p>
        </w:tc>
        <w:tc>
          <w:tcPr>
            <w:tcW w:w="120" w:type="dxa"/>
            <w:vAlign w:val="bottom"/>
            <w:shd w:val="clear" w:color="auto" w:fill="CFF0FC"/>
          </w:tcPr>
          <w:p>
            <w:pPr>
              <w:spacing w:after="0"/>
              <w:rPr>
                <w:sz w:val="21"/>
                <w:szCs w:val="21"/>
                <w:color w:val="auto"/>
              </w:rPr>
            </w:pPr>
          </w:p>
        </w:tc>
      </w:tr>
      <w:tr>
        <w:trPr>
          <w:trHeight w:val="250"/>
        </w:trPr>
        <w:tc>
          <w:tcPr>
            <w:tcW w:w="9980" w:type="dxa"/>
            <w:vAlign w:val="bottom"/>
          </w:tcPr>
          <w:p>
            <w:pPr>
              <w:ind w:left="240"/>
              <w:spacing w:after="0"/>
              <w:rPr>
                <w:sz w:val="20"/>
                <w:szCs w:val="20"/>
                <w:color w:val="auto"/>
              </w:rPr>
            </w:pPr>
            <w:r>
              <w:rPr>
                <w:rFonts w:ascii="Arial" w:cs="Arial" w:eastAsia="Arial" w:hAnsi="Arial"/>
                <w:sz w:val="20"/>
                <w:szCs w:val="20"/>
                <w:color w:val="auto"/>
              </w:rPr>
              <w:t>2022</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41,953</w:t>
            </w:r>
          </w:p>
        </w:tc>
        <w:tc>
          <w:tcPr>
            <w:tcW w:w="120" w:type="dxa"/>
            <w:vAlign w:val="bottom"/>
          </w:tcPr>
          <w:p>
            <w:pPr>
              <w:spacing w:after="0"/>
              <w:rPr>
                <w:sz w:val="21"/>
                <w:szCs w:val="21"/>
                <w:color w:val="auto"/>
              </w:rPr>
            </w:pPr>
          </w:p>
        </w:tc>
      </w:tr>
      <w:tr>
        <w:trPr>
          <w:trHeight w:val="250"/>
        </w:trPr>
        <w:tc>
          <w:tcPr>
            <w:tcW w:w="9980" w:type="dxa"/>
            <w:vAlign w:val="bottom"/>
            <w:shd w:val="clear" w:color="auto" w:fill="CFF0FC"/>
          </w:tcPr>
          <w:p>
            <w:pPr>
              <w:ind w:left="240"/>
              <w:spacing w:after="0"/>
              <w:rPr>
                <w:sz w:val="20"/>
                <w:szCs w:val="20"/>
                <w:color w:val="auto"/>
              </w:rPr>
            </w:pPr>
            <w:r>
              <w:rPr>
                <w:rFonts w:ascii="Arial" w:cs="Arial" w:eastAsia="Arial" w:hAnsi="Arial"/>
                <w:sz w:val="20"/>
                <w:szCs w:val="20"/>
                <w:color w:val="auto"/>
              </w:rPr>
              <w:t>Later years</w:t>
            </w:r>
          </w:p>
        </w:tc>
        <w:tc>
          <w:tcPr>
            <w:tcW w:w="16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82,195</w:t>
            </w:r>
          </w:p>
        </w:tc>
        <w:tc>
          <w:tcPr>
            <w:tcW w:w="120" w:type="dxa"/>
            <w:vAlign w:val="bottom"/>
            <w:shd w:val="clear" w:color="auto" w:fill="CFF0FC"/>
          </w:tcPr>
          <w:p>
            <w:pPr>
              <w:spacing w:after="0"/>
              <w:rPr>
                <w:sz w:val="21"/>
                <w:szCs w:val="21"/>
                <w:color w:val="auto"/>
              </w:rPr>
            </w:pPr>
          </w:p>
        </w:tc>
      </w:tr>
      <w:tr>
        <w:trPr>
          <w:trHeight w:val="243"/>
        </w:trPr>
        <w:tc>
          <w:tcPr>
            <w:tcW w:w="998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429,445</w:t>
            </w:r>
          </w:p>
        </w:tc>
        <w:tc>
          <w:tcPr>
            <w:tcW w:w="120" w:type="dxa"/>
            <w:vAlign w:val="bottom"/>
          </w:tcPr>
          <w:p>
            <w:pPr>
              <w:spacing w:after="0"/>
              <w:rPr>
                <w:sz w:val="21"/>
                <w:szCs w:val="21"/>
                <w:color w:val="auto"/>
              </w:rPr>
            </w:pPr>
          </w:p>
        </w:tc>
      </w:tr>
      <w:tr>
        <w:trPr>
          <w:trHeight w:val="20"/>
        </w:trPr>
        <w:tc>
          <w:tcPr>
            <w:tcW w:w="9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6" w:lineRule="exact"/>
        <w:rPr>
          <w:sz w:val="20"/>
          <w:szCs w:val="20"/>
          <w:color w:val="auto"/>
        </w:rPr>
      </w:pPr>
    </w:p>
    <w:p>
      <w:pPr>
        <w:ind w:right="20" w:firstLine="598"/>
        <w:spacing w:after="0" w:line="277" w:lineRule="auto"/>
        <w:rPr>
          <w:sz w:val="20"/>
          <w:szCs w:val="20"/>
          <w:color w:val="auto"/>
        </w:rPr>
      </w:pPr>
      <w:r>
        <w:rPr>
          <w:rFonts w:ascii="Arial" w:cs="Arial" w:eastAsia="Arial" w:hAnsi="Arial"/>
          <w:sz w:val="18"/>
          <w:szCs w:val="18"/>
          <w:color w:val="auto"/>
        </w:rPr>
        <w:t>The Company is contractually obligated to repurchase previously sold residential real estate loans that do not ultimately meet investor sale criteria related to underwriting procedures or loan documentation. When required to do so, the Company may reimburse loan purchasers for losses incurred or may repurchase certain loans. The Company reduces residential mortgage banking revenues by an estimate for losses related to its obligations to loan purchasers. The amount of those charges is based on the volume of loans sold, the level of reimbursement requests received from loan purchasers and estimates of losses that may be associated with previously sold loans. At December 31, 2017, the Company believes that its obligation to loan purchasers was not material to the Company’s consolidated financial position.</w:t>
      </w:r>
    </w:p>
    <w:p>
      <w:pPr>
        <w:spacing w:after="0" w:line="4" w:lineRule="exact"/>
        <w:rPr>
          <w:sz w:val="20"/>
          <w:szCs w:val="20"/>
          <w:color w:val="auto"/>
        </w:rPr>
      </w:pPr>
    </w:p>
    <w:p>
      <w:pPr>
        <w:ind w:right="80" w:firstLine="598"/>
        <w:spacing w:after="0" w:line="274" w:lineRule="auto"/>
        <w:rPr>
          <w:sz w:val="20"/>
          <w:szCs w:val="20"/>
          <w:color w:val="auto"/>
        </w:rPr>
      </w:pPr>
      <w:r>
        <w:rPr>
          <w:rFonts w:ascii="Arial" w:cs="Arial" w:eastAsia="Arial" w:hAnsi="Arial"/>
          <w:sz w:val="18"/>
          <w:szCs w:val="18"/>
          <w:color w:val="auto"/>
        </w:rPr>
        <w:t>Prior to M&amp;T’s acquisition of Wilmington Trust Corporation, the Department of Justice (“DOJ”) commenced an investigation of Wilmington Trust Corporation relating to Wilmington Trust Corporation’s financial reporting and securities filings, as well as certain commercial real estate lending relationships involving its subsidiary bank, Wilmington Trust Company, all of which relate to filings and activities occurring prior to the acquisition of Wilmington Trust Corporation by M&amp;T. On January 6, 2016, the U.S. Attorney for the District of Delaware obtained an indictment against Wilmington Trust Corporation relating to alleged conduct that occurred prior to M&amp;T’s acquisition of Wilmington Trust Corporation in May 2011 (</w:t>
      </w:r>
      <w:r>
        <w:rPr>
          <w:rFonts w:ascii="Arial" w:cs="Arial" w:eastAsia="Arial" w:hAnsi="Arial"/>
          <w:sz w:val="18"/>
          <w:szCs w:val="18"/>
          <w:i w:val="1"/>
          <w:iCs w:val="1"/>
          <w:color w:val="auto"/>
        </w:rPr>
        <w:t>United States v. Wilmington Trust Corp</w:t>
      </w:r>
      <w:r>
        <w:rPr>
          <w:rFonts w:ascii="Arial" w:cs="Arial" w:eastAsia="Arial" w:hAnsi="Arial"/>
          <w:sz w:val="18"/>
          <w:szCs w:val="18"/>
          <w:color w:val="auto"/>
        </w:rPr>
        <w:t>., et al, District of Delaware, Crim. No.</w:t>
      </w:r>
    </w:p>
    <w:p>
      <w:pPr>
        <w:spacing w:after="0" w:line="1" w:lineRule="exact"/>
        <w:rPr>
          <w:sz w:val="20"/>
          <w:szCs w:val="20"/>
          <w:color w:val="auto"/>
        </w:rPr>
      </w:pPr>
    </w:p>
    <w:p>
      <w:pPr>
        <w:ind w:right="140"/>
        <w:spacing w:after="0" w:line="265" w:lineRule="auto"/>
        <w:rPr>
          <w:sz w:val="20"/>
          <w:szCs w:val="20"/>
          <w:color w:val="auto"/>
        </w:rPr>
      </w:pPr>
      <w:r>
        <w:rPr>
          <w:rFonts w:ascii="Arial" w:cs="Arial" w:eastAsia="Arial" w:hAnsi="Arial"/>
          <w:sz w:val="19"/>
          <w:szCs w:val="19"/>
          <w:color w:val="auto"/>
        </w:rPr>
        <w:t>15-23-RGA). On October 9, 2017, Wilmington Trust Corporation reached a civil settlement with the U.S. Attorney’s Office for the District of Delaware to resolve this matter. Under the terms of the agreement, Wilmington Trust Corporation agreed to pay $60 million. The settlement amount included $16 million previously paid by Wilmington Trust Corporation to the U.S. Securities and Exchange Commission in a related action. Wilmington Trust Corporation did not admit any liability, nor was there any finding of wrongdoing. All indictments and charges against Wilmington Trust Corporation were dismissed by Court order on October 12, 2017.</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76" w:name="page177"/>
    <w:bookmarkEnd w:id="176"/>
    <w:p>
      <w:pPr>
        <w:ind w:right="140" w:firstLine="598"/>
        <w:spacing w:after="0" w:line="281" w:lineRule="auto"/>
        <w:rPr>
          <w:sz w:val="20"/>
          <w:szCs w:val="20"/>
          <w:color w:val="auto"/>
        </w:rPr>
      </w:pPr>
      <w:r>
        <w:rPr>
          <w:rFonts w:ascii="Arial" w:cs="Arial" w:eastAsia="Arial" w:hAnsi="Arial"/>
          <w:sz w:val="18"/>
          <w:szCs w:val="18"/>
          <w:color w:val="auto"/>
        </w:rPr>
        <w:t>M&amp;T and its subsidiaries are subject in the normal course of business to various pending and threatened legal proceedings and other matters in which claims for monetary damages are asserted. On an on-going basis management, after consultation with legal counsel, assesses the Company’s liabilities and contingencies in connection with such proceedings. For those matters where it is probable that the Company will incur losses and the amounts of the losses can be reasonably estimated, the Company records an expense and corresponding liability in its consolidated financial statements. To the extent the pending or threatened litigation could result in exposure in excess of that liability, the amount of such excess is not currently estimable. Although not considered probable, the range of reasonably possible losses for such matters in the aggregate, beyond the existing recorded liability, was between $0 and $50 million. Although the Company does not believe that the outcome of pending litigations will be material to the Company’s consolidated financial position, it cannot rule out the possibility that such outcomes will be material to the consolidated results of operations for a particular reporting period in the future.</w:t>
      </w:r>
    </w:p>
    <w:p>
      <w:pPr>
        <w:spacing w:after="0" w:line="298"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22.</w:t>
      </w:r>
      <w:r>
        <w:rPr>
          <w:sz w:val="20"/>
          <w:szCs w:val="20"/>
          <w:color w:val="auto"/>
        </w:rPr>
        <w:tab/>
      </w:r>
      <w:r>
        <w:rPr>
          <w:rFonts w:ascii="Arial" w:cs="Arial" w:eastAsia="Arial" w:hAnsi="Arial"/>
          <w:sz w:val="18"/>
          <w:szCs w:val="18"/>
          <w:b w:val="1"/>
          <w:bCs w:val="1"/>
          <w:color w:val="auto"/>
        </w:rPr>
        <w:t>Segment information</w:t>
      </w:r>
    </w:p>
    <w:p>
      <w:pPr>
        <w:spacing w:after="0" w:line="29"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Reportable segments have been determined based upon the Company’s internal profitability reporting system, which is organized by strategic business unit. Certain strategic business units have been combined for segment information reporting purposes where the nature of the products and services, the type of customer and the distribution of those products and services are similar. The reportable segments are Business Banking, Commercial Banking, Commercial Real Estate, Discretionary Portfolio, Residential Mortgage Banking and Retail Banking.</w:t>
      </w:r>
    </w:p>
    <w:p>
      <w:pPr>
        <w:spacing w:after="0" w:line="4"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color w:val="auto"/>
        </w:rPr>
        <w:t>The financial information of the Company’s segments was compiled utilizing the accounting policies described in note 1 with certain exceptions. The more significant of these exceptions are described herein. The Company allocates interest income or interest expense using a methodology that charges users of funds (assets) interest expense and credits providers of funds (liabilities) with income based on the maturity, prepayment and/or repricing characteristics of the assets and liabilities. A provision for credit losses is allocated to segments in an amount based largely on actual net charge-offs incurred by the segment during the period plus or minus an amount necessary to adjust the segment’s allowance for credit losses due to changes in loan balances. In contrast, the level of the consolidated provision for credit losses is determined using the methodologies described in notes 1 and 5. The net effects of these allocations are recorded in the “All Other” category. Indirect fixed and variable expenses incurred by certain centralized support areas are allocated to segments based on actual usage (for example, volume measurements) and other criteria. Certain types of administrative expenses and bankwide expense accruals (including amortization of core deposit and other intangible assets associated with acquisitions of financial institutions) are generally not allocated to segments. Income taxes are allocated to segments based on the Company’s marginal statutory tax rate adjusted for any tax-exempt income or non-deductible expenses. Equity is allocated to the segments based on regulatory capital requirements and in proportion to an assessment of the inherent risks associated with the business of the segment (including interest, credit and operating risk).</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73" w:right="239" w:bottom="1440" w:gutter="0" w:footer="0" w:header="0"/>
        </w:sectPr>
      </w:pPr>
    </w:p>
    <w:bookmarkStart w:id="177" w:name="page178"/>
    <w:bookmarkEnd w:id="177"/>
    <w:p>
      <w:pPr>
        <w:ind w:right="140" w:firstLine="598"/>
        <w:spacing w:after="0" w:line="285" w:lineRule="auto"/>
        <w:rPr>
          <w:sz w:val="20"/>
          <w:szCs w:val="20"/>
          <w:color w:val="auto"/>
        </w:rPr>
      </w:pPr>
      <w:r>
        <w:rPr>
          <w:rFonts w:ascii="Arial" w:cs="Arial" w:eastAsia="Arial" w:hAnsi="Arial"/>
          <w:sz w:val="18"/>
          <w:szCs w:val="18"/>
          <w:color w:val="auto"/>
        </w:rPr>
        <w:t>The management accounting policies and processes utilized in compiling segment financial information are highly subjective and, unlike financial accounting, are not based on authoritative guidance similar to GAAP. As a result, reported segment results are not necessarily comparable with similar information reported by other financial institutions. Furthermore, changes in management structure or allocation methodologies and procedures may result in changes in reported segment financial data. During 2017, the Company revised its funds transfer pricing allocation related to certain deposit categories. Accordingly, financial information presented herein for 2016 and 2015 has been reclassified to provide segment information on a comparable basis, as noted in the following tables.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5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7"/>
          </w:tcPr>
          <w:p>
            <w:pPr>
              <w:jc w:val="center"/>
              <w:ind w:right="140"/>
              <w:spacing w:after="0"/>
              <w:rPr>
                <w:sz w:val="20"/>
                <w:szCs w:val="20"/>
                <w:color w:val="auto"/>
              </w:rPr>
            </w:pPr>
            <w:r>
              <w:rPr>
                <w:rFonts w:ascii="Arial" w:cs="Arial" w:eastAsia="Arial" w:hAnsi="Arial"/>
                <w:sz w:val="14"/>
                <w:szCs w:val="14"/>
                <w:b w:val="1"/>
                <w:bCs w:val="1"/>
                <w:color w:val="auto"/>
                <w:w w:val="90"/>
              </w:rPr>
              <w:t>For the Year Ended December 31, 2016</w:t>
            </w:r>
          </w:p>
        </w:tc>
        <w:tc>
          <w:tcPr>
            <w:tcW w:w="7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35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100" w:type="dxa"/>
            <w:vAlign w:val="bottom"/>
            <w:gridSpan w:val="3"/>
          </w:tcPr>
          <w:p>
            <w:pPr>
              <w:jc w:val="center"/>
              <w:ind w:right="300"/>
              <w:spacing w:after="0" w:line="129" w:lineRule="exact"/>
              <w:rPr>
                <w:sz w:val="20"/>
                <w:szCs w:val="20"/>
                <w:color w:val="auto"/>
              </w:rPr>
            </w:pPr>
            <w:r>
              <w:rPr>
                <w:rFonts w:ascii="Arial" w:cs="Arial" w:eastAsia="Arial" w:hAnsi="Arial"/>
                <w:sz w:val="14"/>
                <w:szCs w:val="14"/>
                <w:b w:val="1"/>
                <w:bCs w:val="1"/>
                <w:color w:val="auto"/>
                <w:w w:val="93"/>
              </w:rPr>
              <w:t>Net Interest</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Net Interest</w:t>
            </w:r>
          </w:p>
        </w:tc>
        <w:tc>
          <w:tcPr>
            <w:tcW w:w="320" w:type="dxa"/>
            <w:vAlign w:val="bottom"/>
          </w:tcPr>
          <w:p>
            <w:pPr>
              <w:spacing w:after="0"/>
              <w:rPr>
                <w:sz w:val="11"/>
                <w:szCs w:val="11"/>
                <w:color w:val="auto"/>
              </w:rPr>
            </w:pPr>
          </w:p>
        </w:tc>
        <w:tc>
          <w:tcPr>
            <w:tcW w:w="1120" w:type="dxa"/>
            <w:vAlign w:val="bottom"/>
            <w:gridSpan w:val="3"/>
          </w:tcPr>
          <w:p>
            <w:pPr>
              <w:jc w:val="center"/>
              <w:ind w:right="280"/>
              <w:spacing w:after="0" w:line="129" w:lineRule="exact"/>
              <w:rPr>
                <w:sz w:val="20"/>
                <w:szCs w:val="20"/>
                <w:color w:val="auto"/>
              </w:rPr>
            </w:pPr>
            <w:r>
              <w:rPr>
                <w:rFonts w:ascii="Arial" w:cs="Arial" w:eastAsia="Arial" w:hAnsi="Arial"/>
                <w:sz w:val="14"/>
                <w:szCs w:val="14"/>
                <w:b w:val="1"/>
                <w:bCs w:val="1"/>
                <w:color w:val="auto"/>
                <w:w w:val="90"/>
              </w:rPr>
              <w:t>Net Income</w:t>
            </w: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Net Income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35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380"/>
              <w:spacing w:after="0" w:line="145" w:lineRule="exact"/>
              <w:rPr>
                <w:sz w:val="20"/>
                <w:szCs w:val="20"/>
                <w:color w:val="auto"/>
              </w:rPr>
            </w:pPr>
            <w:r>
              <w:rPr>
                <w:rFonts w:ascii="Arial" w:cs="Arial" w:eastAsia="Arial" w:hAnsi="Arial"/>
                <w:sz w:val="14"/>
                <w:szCs w:val="14"/>
                <w:b w:val="1"/>
                <w:bCs w:val="1"/>
                <w:color w:val="auto"/>
                <w:w w:val="87"/>
              </w:rPr>
              <w:t>Income as</w:t>
            </w:r>
          </w:p>
        </w:tc>
        <w:tc>
          <w:tcPr>
            <w:tcW w:w="8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Impact of</w:t>
            </w: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80"/>
              <w:spacing w:after="0" w:line="145" w:lineRule="exact"/>
              <w:rPr>
                <w:sz w:val="20"/>
                <w:szCs w:val="20"/>
                <w:color w:val="auto"/>
              </w:rPr>
            </w:pPr>
            <w:r>
              <w:rPr>
                <w:rFonts w:ascii="Arial" w:cs="Arial" w:eastAsia="Arial" w:hAnsi="Arial"/>
                <w:sz w:val="14"/>
                <w:szCs w:val="14"/>
                <w:b w:val="1"/>
                <w:bCs w:val="1"/>
                <w:color w:val="auto"/>
                <w:w w:val="84"/>
              </w:rPr>
              <w:t>(Loss) as</w:t>
            </w:r>
          </w:p>
        </w:tc>
        <w:tc>
          <w:tcPr>
            <w:tcW w:w="10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Impact of</w:t>
            </w:r>
          </w:p>
        </w:tc>
        <w:tc>
          <w:tcPr>
            <w:tcW w:w="9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5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380"/>
              <w:spacing w:after="0" w:line="145" w:lineRule="exact"/>
              <w:rPr>
                <w:sz w:val="20"/>
                <w:szCs w:val="20"/>
                <w:color w:val="auto"/>
              </w:rPr>
            </w:pPr>
            <w:r>
              <w:rPr>
                <w:rFonts w:ascii="Arial" w:cs="Arial" w:eastAsia="Arial" w:hAnsi="Arial"/>
                <w:sz w:val="14"/>
                <w:szCs w:val="14"/>
                <w:b w:val="1"/>
                <w:bCs w:val="1"/>
                <w:color w:val="auto"/>
                <w:w w:val="90"/>
              </w:rPr>
              <w:t>Previously</w:t>
            </w:r>
          </w:p>
        </w:tc>
        <w:tc>
          <w:tcPr>
            <w:tcW w:w="8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140"/>
              <w:spacing w:after="0" w:line="145" w:lineRule="exact"/>
              <w:rPr>
                <w:sz w:val="20"/>
                <w:szCs w:val="20"/>
                <w:color w:val="auto"/>
              </w:rPr>
            </w:pPr>
            <w:r>
              <w:rPr>
                <w:rFonts w:ascii="Arial" w:cs="Arial" w:eastAsia="Arial" w:hAnsi="Arial"/>
                <w:sz w:val="14"/>
                <w:szCs w:val="14"/>
                <w:b w:val="1"/>
                <w:bCs w:val="1"/>
                <w:color w:val="auto"/>
                <w:w w:val="87"/>
              </w:rPr>
              <w:t>Income as</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400"/>
              <w:spacing w:after="0" w:line="145" w:lineRule="exact"/>
              <w:rPr>
                <w:sz w:val="20"/>
                <w:szCs w:val="20"/>
                <w:color w:val="auto"/>
              </w:rPr>
            </w:pPr>
            <w:r>
              <w:rPr>
                <w:rFonts w:ascii="Arial" w:cs="Arial" w:eastAsia="Arial" w:hAnsi="Arial"/>
                <w:sz w:val="14"/>
                <w:szCs w:val="14"/>
                <w:b w:val="1"/>
                <w:bCs w:val="1"/>
                <w:color w:val="auto"/>
                <w:w w:val="87"/>
              </w:rPr>
              <w:t>Previously</w:t>
            </w:r>
          </w:p>
        </w:tc>
        <w:tc>
          <w:tcPr>
            <w:tcW w:w="1000" w:type="dxa"/>
            <w:vAlign w:val="bottom"/>
            <w:gridSpan w:val="2"/>
            <w:vMerge w:val="continue"/>
          </w:tcPr>
          <w:p>
            <w:pPr>
              <w:spacing w:after="0"/>
              <w:rPr>
                <w:sz w:val="12"/>
                <w:szCs w:val="12"/>
                <w:color w:val="auto"/>
              </w:rPr>
            </w:pPr>
          </w:p>
        </w:tc>
        <w:tc>
          <w:tcPr>
            <w:tcW w:w="92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84"/>
              </w:rPr>
              <w:t>(Loss) as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5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Reported</w:t>
            </w: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4"/>
              </w:rPr>
              <w:t>Changes</w:t>
            </w:r>
          </w:p>
        </w:tc>
        <w:tc>
          <w:tcPr>
            <w:tcW w:w="180" w:type="dxa"/>
            <w:vAlign w:val="bottom"/>
          </w:tcPr>
          <w:p>
            <w:pPr>
              <w:spacing w:after="0"/>
              <w:rPr>
                <w:sz w:val="14"/>
                <w:szCs w:val="14"/>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Reclassified</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Reported</w:t>
            </w: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Changes</w:t>
            </w: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Reclassified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5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2380" w:type="dxa"/>
            <w:vAlign w:val="bottom"/>
            <w:tcBorders>
              <w:top w:val="single" w:sz="8" w:color="auto"/>
            </w:tcBorders>
            <w:gridSpan w:val="6"/>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70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35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Business Banking</w:t>
            </w:r>
          </w:p>
        </w:tc>
        <w:tc>
          <w:tcPr>
            <w:tcW w:w="1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354,333</w:t>
            </w: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17,556</w:t>
            </w: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371,889</w:t>
            </w:r>
          </w:p>
        </w:tc>
        <w:tc>
          <w:tcPr>
            <w:tcW w:w="100" w:type="dxa"/>
            <w:vAlign w:val="bottom"/>
            <w:shd w:val="clear" w:color="auto" w:fill="CFF0FC"/>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93,346</w:t>
            </w: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10,412</w:t>
            </w: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103,758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80" w:type="dxa"/>
            <w:vAlign w:val="bottom"/>
          </w:tcPr>
          <w:p>
            <w:pPr>
              <w:spacing w:after="0"/>
              <w:rPr>
                <w:sz w:val="20"/>
                <w:szCs w:val="20"/>
                <w:color w:val="auto"/>
              </w:rPr>
            </w:pPr>
            <w:r>
              <w:rPr>
                <w:rFonts w:ascii="Arial" w:cs="Arial" w:eastAsia="Arial" w:hAnsi="Arial"/>
                <w:sz w:val="18"/>
                <w:szCs w:val="18"/>
                <w:color w:val="auto"/>
              </w:rPr>
              <w:t>Commercial Banking</w:t>
            </w: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785,874</w:t>
            </w:r>
          </w:p>
        </w:tc>
        <w:tc>
          <w:tcPr>
            <w:tcW w:w="28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(535)</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785,339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411,696</w:t>
            </w:r>
          </w:p>
        </w:tc>
        <w:tc>
          <w:tcPr>
            <w:tcW w:w="28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(317)</w:t>
            </w:r>
          </w:p>
        </w:tc>
        <w:tc>
          <w:tcPr>
            <w:tcW w:w="820" w:type="dxa"/>
            <w:vAlign w:val="bottom"/>
          </w:tcPr>
          <w:p>
            <w:pPr>
              <w:jc w:val="right"/>
              <w:spacing w:after="0"/>
              <w:rPr>
                <w:sz w:val="20"/>
                <w:szCs w:val="20"/>
                <w:color w:val="auto"/>
              </w:rPr>
            </w:pPr>
            <w:r>
              <w:rPr>
                <w:rFonts w:ascii="Arial" w:cs="Arial" w:eastAsia="Arial" w:hAnsi="Arial"/>
                <w:sz w:val="18"/>
                <w:szCs w:val="18"/>
                <w:color w:val="auto"/>
              </w:rPr>
              <w:t>411,379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Commercial Real Estate</w:t>
            </w:r>
          </w:p>
        </w:tc>
        <w:tc>
          <w:tcPr>
            <w:tcW w:w="14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608,385</w:t>
            </w:r>
          </w:p>
        </w:tc>
        <w:tc>
          <w:tcPr>
            <w:tcW w:w="2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608,385</w:t>
            </w:r>
          </w:p>
        </w:tc>
        <w:tc>
          <w:tcPr>
            <w:tcW w:w="100" w:type="dxa"/>
            <w:vAlign w:val="bottom"/>
            <w:shd w:val="clear" w:color="auto" w:fill="CFF0FC"/>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350,358</w:t>
            </w:r>
          </w:p>
        </w:tc>
        <w:tc>
          <w:tcPr>
            <w:tcW w:w="2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350,358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80" w:type="dxa"/>
            <w:vAlign w:val="bottom"/>
          </w:tcPr>
          <w:p>
            <w:pPr>
              <w:spacing w:after="0"/>
              <w:rPr>
                <w:sz w:val="20"/>
                <w:szCs w:val="20"/>
                <w:color w:val="auto"/>
              </w:rPr>
            </w:pPr>
            <w:r>
              <w:rPr>
                <w:rFonts w:ascii="Arial" w:cs="Arial" w:eastAsia="Arial" w:hAnsi="Arial"/>
                <w:sz w:val="18"/>
                <w:szCs w:val="18"/>
                <w:color w:val="auto"/>
              </w:rPr>
              <w:t>Discretionary Portfolio</w:t>
            </w: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345,926</w:t>
            </w:r>
          </w:p>
        </w:tc>
        <w:tc>
          <w:tcPr>
            <w:tcW w:w="28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345,926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163,538</w:t>
            </w:r>
          </w:p>
        </w:tc>
        <w:tc>
          <w:tcPr>
            <w:tcW w:w="280" w:type="dxa"/>
            <w:vAlign w:val="bottom"/>
          </w:tcPr>
          <w:p>
            <w:pPr>
              <w:spacing w:after="0"/>
              <w:rPr>
                <w:sz w:val="19"/>
                <w:szCs w:val="19"/>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163,538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Residential Mortgage Banking</w:t>
            </w:r>
          </w:p>
        </w:tc>
        <w:tc>
          <w:tcPr>
            <w:tcW w:w="14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70,655</w:t>
            </w:r>
          </w:p>
        </w:tc>
        <w:tc>
          <w:tcPr>
            <w:tcW w:w="2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(40,846)</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29,809</w:t>
            </w:r>
          </w:p>
        </w:tc>
        <w:tc>
          <w:tcPr>
            <w:tcW w:w="100" w:type="dxa"/>
            <w:vAlign w:val="bottom"/>
            <w:shd w:val="clear" w:color="auto" w:fill="CFF0FC"/>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79,678</w:t>
            </w:r>
          </w:p>
        </w:tc>
        <w:tc>
          <w:tcPr>
            <w:tcW w:w="2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(24,225)</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55,453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80" w:type="dxa"/>
            <w:vAlign w:val="bottom"/>
          </w:tcPr>
          <w:p>
            <w:pPr>
              <w:spacing w:after="0"/>
              <w:rPr>
                <w:sz w:val="20"/>
                <w:szCs w:val="20"/>
                <w:color w:val="auto"/>
              </w:rPr>
            </w:pPr>
            <w:r>
              <w:rPr>
                <w:rFonts w:ascii="Arial" w:cs="Arial" w:eastAsia="Arial" w:hAnsi="Arial"/>
                <w:sz w:val="18"/>
                <w:szCs w:val="18"/>
                <w:color w:val="auto"/>
              </w:rPr>
              <w:t>Retail Banking</w:t>
            </w: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7"/>
              </w:rPr>
              <w:t>1,074,125</w:t>
            </w: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33,263</w:t>
            </w:r>
          </w:p>
        </w:tc>
        <w:tc>
          <w:tcPr>
            <w:tcW w:w="1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1,107,388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274,646</w:t>
            </w: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19,727</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294,373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All Other</w:t>
            </w:r>
          </w:p>
        </w:tc>
        <w:tc>
          <w:tcPr>
            <w:tcW w:w="14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230,589</w:t>
            </w:r>
          </w:p>
        </w:tc>
        <w:tc>
          <w:tcPr>
            <w:tcW w:w="2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(9,438)</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221,151</w:t>
            </w:r>
          </w:p>
        </w:tc>
        <w:tc>
          <w:tcPr>
            <w:tcW w:w="100" w:type="dxa"/>
            <w:vAlign w:val="bottom"/>
            <w:shd w:val="clear" w:color="auto" w:fill="CFF0FC"/>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(58,148)</w:t>
            </w: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(5,597)</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(63,745)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8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440" w:type="dxa"/>
            <w:vAlign w:val="bottom"/>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580" w:type="dxa"/>
            <w:vAlign w:val="bottom"/>
            <w:vMerge w:val="continue"/>
          </w:tcPr>
          <w:p>
            <w:pPr>
              <w:spacing w:after="0"/>
              <w:rPr>
                <w:sz w:val="18"/>
                <w:szCs w:val="18"/>
                <w:color w:val="auto"/>
              </w:rPr>
            </w:pPr>
          </w:p>
        </w:tc>
        <w:tc>
          <w:tcPr>
            <w:tcW w:w="2260" w:type="dxa"/>
            <w:vAlign w:val="bottom"/>
            <w:gridSpan w:val="3"/>
          </w:tcPr>
          <w:p>
            <w:pPr>
              <w:jc w:val="right"/>
              <w:spacing w:after="0"/>
              <w:rPr>
                <w:sz w:val="20"/>
                <w:szCs w:val="20"/>
                <w:color w:val="auto"/>
              </w:rPr>
            </w:pPr>
            <w:r>
              <w:rPr>
                <w:rFonts w:ascii="Arial" w:cs="Arial" w:eastAsia="Arial" w:hAnsi="Arial"/>
                <w:sz w:val="18"/>
                <w:szCs w:val="18"/>
                <w:color w:val="auto"/>
              </w:rPr>
              <w:t>$ 3,469,887</w:t>
            </w:r>
          </w:p>
        </w:tc>
        <w:tc>
          <w:tcPr>
            <w:tcW w:w="2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3,469,887</w:t>
            </w:r>
          </w:p>
        </w:tc>
        <w:tc>
          <w:tcPr>
            <w:tcW w:w="10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$ 1,315,114</w:t>
            </w:r>
          </w:p>
        </w:tc>
        <w:tc>
          <w:tcPr>
            <w:tcW w:w="28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7"/>
              </w:rPr>
              <w:t>1,315,114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35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7"/>
          </w:tcPr>
          <w:p>
            <w:pPr>
              <w:jc w:val="center"/>
              <w:ind w:right="140"/>
              <w:spacing w:after="0"/>
              <w:rPr>
                <w:sz w:val="20"/>
                <w:szCs w:val="20"/>
                <w:color w:val="auto"/>
              </w:rPr>
            </w:pPr>
            <w:r>
              <w:rPr>
                <w:rFonts w:ascii="Arial" w:cs="Arial" w:eastAsia="Arial" w:hAnsi="Arial"/>
                <w:sz w:val="14"/>
                <w:szCs w:val="14"/>
                <w:b w:val="1"/>
                <w:bCs w:val="1"/>
                <w:color w:val="auto"/>
                <w:w w:val="90"/>
              </w:rPr>
              <w:t>For the Year Ended December 31, 2015</w:t>
            </w:r>
          </w:p>
        </w:tc>
        <w:tc>
          <w:tcPr>
            <w:tcW w:w="7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35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100" w:type="dxa"/>
            <w:vAlign w:val="bottom"/>
            <w:gridSpan w:val="3"/>
          </w:tcPr>
          <w:p>
            <w:pPr>
              <w:jc w:val="center"/>
              <w:ind w:right="300"/>
              <w:spacing w:after="0" w:line="129" w:lineRule="exact"/>
              <w:rPr>
                <w:sz w:val="20"/>
                <w:szCs w:val="20"/>
                <w:color w:val="auto"/>
              </w:rPr>
            </w:pPr>
            <w:r>
              <w:rPr>
                <w:rFonts w:ascii="Arial" w:cs="Arial" w:eastAsia="Arial" w:hAnsi="Arial"/>
                <w:sz w:val="14"/>
                <w:szCs w:val="14"/>
                <w:b w:val="1"/>
                <w:bCs w:val="1"/>
                <w:color w:val="auto"/>
                <w:w w:val="93"/>
              </w:rPr>
              <w:t>Net Interest</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Net Interest</w:t>
            </w:r>
          </w:p>
        </w:tc>
        <w:tc>
          <w:tcPr>
            <w:tcW w:w="320" w:type="dxa"/>
            <w:vAlign w:val="bottom"/>
          </w:tcPr>
          <w:p>
            <w:pPr>
              <w:spacing w:after="0"/>
              <w:rPr>
                <w:sz w:val="11"/>
                <w:szCs w:val="11"/>
                <w:color w:val="auto"/>
              </w:rPr>
            </w:pPr>
          </w:p>
        </w:tc>
        <w:tc>
          <w:tcPr>
            <w:tcW w:w="1120" w:type="dxa"/>
            <w:vAlign w:val="bottom"/>
            <w:gridSpan w:val="3"/>
          </w:tcPr>
          <w:p>
            <w:pPr>
              <w:jc w:val="center"/>
              <w:ind w:right="280"/>
              <w:spacing w:after="0" w:line="129" w:lineRule="exact"/>
              <w:rPr>
                <w:sz w:val="20"/>
                <w:szCs w:val="20"/>
                <w:color w:val="auto"/>
              </w:rPr>
            </w:pPr>
            <w:r>
              <w:rPr>
                <w:rFonts w:ascii="Arial" w:cs="Arial" w:eastAsia="Arial" w:hAnsi="Arial"/>
                <w:sz w:val="14"/>
                <w:szCs w:val="14"/>
                <w:b w:val="1"/>
                <w:bCs w:val="1"/>
                <w:color w:val="auto"/>
                <w:w w:val="90"/>
              </w:rPr>
              <w:t>Net Income</w:t>
            </w: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Net Income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35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380"/>
              <w:spacing w:after="0" w:line="145" w:lineRule="exact"/>
              <w:rPr>
                <w:sz w:val="20"/>
                <w:szCs w:val="20"/>
                <w:color w:val="auto"/>
              </w:rPr>
            </w:pPr>
            <w:r>
              <w:rPr>
                <w:rFonts w:ascii="Arial" w:cs="Arial" w:eastAsia="Arial" w:hAnsi="Arial"/>
                <w:sz w:val="14"/>
                <w:szCs w:val="14"/>
                <w:b w:val="1"/>
                <w:bCs w:val="1"/>
                <w:color w:val="auto"/>
                <w:w w:val="87"/>
              </w:rPr>
              <w:t>Income as</w:t>
            </w:r>
          </w:p>
        </w:tc>
        <w:tc>
          <w:tcPr>
            <w:tcW w:w="8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Impact of</w:t>
            </w: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80"/>
              <w:spacing w:after="0" w:line="145" w:lineRule="exact"/>
              <w:rPr>
                <w:sz w:val="20"/>
                <w:szCs w:val="20"/>
                <w:color w:val="auto"/>
              </w:rPr>
            </w:pPr>
            <w:r>
              <w:rPr>
                <w:rFonts w:ascii="Arial" w:cs="Arial" w:eastAsia="Arial" w:hAnsi="Arial"/>
                <w:sz w:val="14"/>
                <w:szCs w:val="14"/>
                <w:b w:val="1"/>
                <w:bCs w:val="1"/>
                <w:color w:val="auto"/>
                <w:w w:val="84"/>
              </w:rPr>
              <w:t>(Loss) as</w:t>
            </w:r>
          </w:p>
        </w:tc>
        <w:tc>
          <w:tcPr>
            <w:tcW w:w="10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Impact of</w:t>
            </w:r>
          </w:p>
        </w:tc>
        <w:tc>
          <w:tcPr>
            <w:tcW w:w="9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5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380"/>
              <w:spacing w:after="0" w:line="145" w:lineRule="exact"/>
              <w:rPr>
                <w:sz w:val="20"/>
                <w:szCs w:val="20"/>
                <w:color w:val="auto"/>
              </w:rPr>
            </w:pPr>
            <w:r>
              <w:rPr>
                <w:rFonts w:ascii="Arial" w:cs="Arial" w:eastAsia="Arial" w:hAnsi="Arial"/>
                <w:sz w:val="14"/>
                <w:szCs w:val="14"/>
                <w:b w:val="1"/>
                <w:bCs w:val="1"/>
                <w:color w:val="auto"/>
                <w:w w:val="90"/>
              </w:rPr>
              <w:t>Previously</w:t>
            </w:r>
          </w:p>
        </w:tc>
        <w:tc>
          <w:tcPr>
            <w:tcW w:w="8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140"/>
              <w:spacing w:after="0" w:line="145" w:lineRule="exact"/>
              <w:rPr>
                <w:sz w:val="20"/>
                <w:szCs w:val="20"/>
                <w:color w:val="auto"/>
              </w:rPr>
            </w:pPr>
            <w:r>
              <w:rPr>
                <w:rFonts w:ascii="Arial" w:cs="Arial" w:eastAsia="Arial" w:hAnsi="Arial"/>
                <w:sz w:val="14"/>
                <w:szCs w:val="14"/>
                <w:b w:val="1"/>
                <w:bCs w:val="1"/>
                <w:color w:val="auto"/>
                <w:w w:val="87"/>
              </w:rPr>
              <w:t>Income as</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400"/>
              <w:spacing w:after="0" w:line="145" w:lineRule="exact"/>
              <w:rPr>
                <w:sz w:val="20"/>
                <w:szCs w:val="20"/>
                <w:color w:val="auto"/>
              </w:rPr>
            </w:pPr>
            <w:r>
              <w:rPr>
                <w:rFonts w:ascii="Arial" w:cs="Arial" w:eastAsia="Arial" w:hAnsi="Arial"/>
                <w:sz w:val="14"/>
                <w:szCs w:val="14"/>
                <w:b w:val="1"/>
                <w:bCs w:val="1"/>
                <w:color w:val="auto"/>
                <w:w w:val="87"/>
              </w:rPr>
              <w:t>Previously</w:t>
            </w:r>
          </w:p>
        </w:tc>
        <w:tc>
          <w:tcPr>
            <w:tcW w:w="1000" w:type="dxa"/>
            <w:vAlign w:val="bottom"/>
            <w:gridSpan w:val="2"/>
            <w:vMerge w:val="continue"/>
          </w:tcPr>
          <w:p>
            <w:pPr>
              <w:spacing w:after="0"/>
              <w:rPr>
                <w:sz w:val="12"/>
                <w:szCs w:val="12"/>
                <w:color w:val="auto"/>
              </w:rPr>
            </w:pPr>
          </w:p>
        </w:tc>
        <w:tc>
          <w:tcPr>
            <w:tcW w:w="92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84"/>
              </w:rPr>
              <w:t>(Loss) as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5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Reported</w:t>
            </w: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4"/>
              </w:rPr>
              <w:t>Changes</w:t>
            </w:r>
          </w:p>
        </w:tc>
        <w:tc>
          <w:tcPr>
            <w:tcW w:w="180" w:type="dxa"/>
            <w:vAlign w:val="bottom"/>
          </w:tcPr>
          <w:p>
            <w:pPr>
              <w:spacing w:after="0"/>
              <w:rPr>
                <w:sz w:val="14"/>
                <w:szCs w:val="14"/>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Reclassified</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Reported</w:t>
            </w: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Changes</w:t>
            </w: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Reclassified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5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2380" w:type="dxa"/>
            <w:vAlign w:val="bottom"/>
            <w:tcBorders>
              <w:top w:val="single" w:sz="8" w:color="auto"/>
            </w:tcBorders>
            <w:gridSpan w:val="6"/>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70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6"/>
        </w:trPr>
        <w:tc>
          <w:tcPr>
            <w:tcW w:w="3580" w:type="dxa"/>
            <w:vAlign w:val="bottom"/>
          </w:tcPr>
          <w:p>
            <w:pPr>
              <w:spacing w:after="0"/>
              <w:rPr>
                <w:sz w:val="20"/>
                <w:szCs w:val="20"/>
                <w:color w:val="auto"/>
              </w:rPr>
            </w:pPr>
            <w:r>
              <w:rPr>
                <w:rFonts w:ascii="Arial" w:cs="Arial" w:eastAsia="Arial" w:hAnsi="Arial"/>
                <w:sz w:val="18"/>
                <w:szCs w:val="18"/>
                <w:color w:val="auto"/>
              </w:rPr>
              <w:t>Business Banking</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338,855</w:t>
            </w:r>
          </w:p>
        </w:tc>
        <w:tc>
          <w:tcPr>
            <w:tcW w:w="2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18,523</w:t>
            </w:r>
          </w:p>
        </w:tc>
        <w:tc>
          <w:tcPr>
            <w:tcW w:w="1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357,378</w:t>
            </w:r>
          </w:p>
        </w:tc>
        <w:tc>
          <w:tcPr>
            <w:tcW w:w="10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98,758</w:t>
            </w:r>
          </w:p>
        </w:tc>
        <w:tc>
          <w:tcPr>
            <w:tcW w:w="2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10,986</w:t>
            </w:r>
          </w:p>
        </w:tc>
        <w:tc>
          <w:tcPr>
            <w:tcW w:w="3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109,744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Commercial Banking</w:t>
            </w:r>
          </w:p>
        </w:tc>
        <w:tc>
          <w:tcPr>
            <w:tcW w:w="14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753,604</w:t>
            </w:r>
          </w:p>
        </w:tc>
        <w:tc>
          <w:tcPr>
            <w:tcW w:w="2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(242)</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753,362</w:t>
            </w:r>
          </w:p>
        </w:tc>
        <w:tc>
          <w:tcPr>
            <w:tcW w:w="100" w:type="dxa"/>
            <w:vAlign w:val="bottom"/>
            <w:shd w:val="clear" w:color="auto" w:fill="CFF0FC"/>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431,030</w:t>
            </w:r>
          </w:p>
        </w:tc>
        <w:tc>
          <w:tcPr>
            <w:tcW w:w="2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(144)</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430,886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8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577,922</w:t>
            </w:r>
          </w:p>
        </w:tc>
        <w:tc>
          <w:tcPr>
            <w:tcW w:w="28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577,922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340,641</w:t>
            </w:r>
          </w:p>
        </w:tc>
        <w:tc>
          <w:tcPr>
            <w:tcW w:w="280" w:type="dxa"/>
            <w:vAlign w:val="bottom"/>
          </w:tcPr>
          <w:p>
            <w:pPr>
              <w:spacing w:after="0"/>
              <w:rPr>
                <w:sz w:val="19"/>
                <w:szCs w:val="19"/>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340,641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Discretionary Portfolio</w:t>
            </w:r>
          </w:p>
        </w:tc>
        <w:tc>
          <w:tcPr>
            <w:tcW w:w="14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97,626</w:t>
            </w:r>
          </w:p>
        </w:tc>
        <w:tc>
          <w:tcPr>
            <w:tcW w:w="2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97,626</w:t>
            </w:r>
          </w:p>
        </w:tc>
        <w:tc>
          <w:tcPr>
            <w:tcW w:w="100" w:type="dxa"/>
            <w:vAlign w:val="bottom"/>
            <w:shd w:val="clear" w:color="auto" w:fill="CFF0FC"/>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59,272</w:t>
            </w:r>
          </w:p>
        </w:tc>
        <w:tc>
          <w:tcPr>
            <w:tcW w:w="2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59,272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80" w:type="dxa"/>
            <w:vAlign w:val="bottom"/>
          </w:tcPr>
          <w:p>
            <w:pPr>
              <w:spacing w:after="0"/>
              <w:rPr>
                <w:sz w:val="20"/>
                <w:szCs w:val="20"/>
                <w:color w:val="auto"/>
              </w:rPr>
            </w:pPr>
            <w:r>
              <w:rPr>
                <w:rFonts w:ascii="Arial" w:cs="Arial" w:eastAsia="Arial" w:hAnsi="Arial"/>
                <w:sz w:val="18"/>
                <w:szCs w:val="18"/>
                <w:color w:val="auto"/>
              </w:rPr>
              <w:t>Residential Mortgage Banking</w:t>
            </w: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63,939</w:t>
            </w:r>
          </w:p>
        </w:tc>
        <w:tc>
          <w:tcPr>
            <w:tcW w:w="28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(23,970)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39,969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88,578</w:t>
            </w:r>
          </w:p>
        </w:tc>
        <w:tc>
          <w:tcPr>
            <w:tcW w:w="28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(14,216)</w:t>
            </w:r>
          </w:p>
        </w:tc>
        <w:tc>
          <w:tcPr>
            <w:tcW w:w="820" w:type="dxa"/>
            <w:vAlign w:val="bottom"/>
          </w:tcPr>
          <w:p>
            <w:pPr>
              <w:jc w:val="right"/>
              <w:spacing w:after="0"/>
              <w:rPr>
                <w:sz w:val="20"/>
                <w:szCs w:val="20"/>
                <w:color w:val="auto"/>
              </w:rPr>
            </w:pPr>
            <w:r>
              <w:rPr>
                <w:rFonts w:ascii="Arial" w:cs="Arial" w:eastAsia="Arial" w:hAnsi="Arial"/>
                <w:sz w:val="18"/>
                <w:szCs w:val="18"/>
                <w:color w:val="auto"/>
              </w:rPr>
              <w:t>74,362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Retail Banking</w:t>
            </w:r>
          </w:p>
        </w:tc>
        <w:tc>
          <w:tcPr>
            <w:tcW w:w="14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917,041</w:t>
            </w: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34,699</w:t>
            </w: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951,740</w:t>
            </w:r>
          </w:p>
        </w:tc>
        <w:tc>
          <w:tcPr>
            <w:tcW w:w="100" w:type="dxa"/>
            <w:vAlign w:val="bottom"/>
            <w:shd w:val="clear" w:color="auto" w:fill="CFF0FC"/>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267,518</w:t>
            </w: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20,579</w:t>
            </w: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288,097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80" w:type="dxa"/>
            <w:vAlign w:val="bottom"/>
          </w:tcPr>
          <w:p>
            <w:pPr>
              <w:spacing w:after="0"/>
              <w:rPr>
                <w:sz w:val="20"/>
                <w:szCs w:val="20"/>
                <w:color w:val="auto"/>
              </w:rPr>
            </w:pPr>
            <w:r>
              <w:rPr>
                <w:rFonts w:ascii="Arial" w:cs="Arial" w:eastAsia="Arial" w:hAnsi="Arial"/>
                <w:sz w:val="18"/>
                <w:szCs w:val="18"/>
                <w:color w:val="auto"/>
              </w:rPr>
              <w:t>All Other</w:t>
            </w: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93,600</w:t>
            </w:r>
          </w:p>
        </w:tc>
        <w:tc>
          <w:tcPr>
            <w:tcW w:w="28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(29,010)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64,590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(206,130)</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(17,205)</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(223,335)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w:t>
            </w:r>
          </w:p>
        </w:tc>
        <w:tc>
          <w:tcPr>
            <w:tcW w:w="1440" w:type="dxa"/>
            <w:vAlign w:val="bottom"/>
            <w:shd w:val="clear" w:color="auto" w:fill="CFF0FC"/>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580" w:type="dxa"/>
            <w:vAlign w:val="bottom"/>
            <w:vMerge w:val="continue"/>
            <w:shd w:val="clear" w:color="auto" w:fill="CFF0FC"/>
          </w:tcPr>
          <w:p>
            <w:pPr>
              <w:spacing w:after="0"/>
              <w:rPr>
                <w:sz w:val="19"/>
                <w:szCs w:val="19"/>
                <w:color w:val="auto"/>
              </w:rPr>
            </w:pPr>
          </w:p>
        </w:tc>
        <w:tc>
          <w:tcPr>
            <w:tcW w:w="22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$ 2,842,587</w:t>
            </w:r>
          </w:p>
        </w:tc>
        <w:tc>
          <w:tcPr>
            <w:tcW w:w="2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2,842,587</w:t>
            </w:r>
          </w:p>
        </w:tc>
        <w:tc>
          <w:tcPr>
            <w:tcW w:w="100" w:type="dxa"/>
            <w:vAlign w:val="bottom"/>
            <w:shd w:val="clear" w:color="auto" w:fill="CFF0FC"/>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84"/>
              </w:rPr>
              <w:t>$ 1,079,667</w:t>
            </w:r>
          </w:p>
        </w:tc>
        <w:tc>
          <w:tcPr>
            <w:tcW w:w="2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1,079,667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80" w:type="dxa"/>
            <w:vAlign w:val="bottom"/>
            <w:tcBorders>
              <w:top w:val="single" w:sz="8" w:color="CFF0FC"/>
            </w:tcBorders>
          </w:tcPr>
          <w:p>
            <w:pPr>
              <w:spacing w:after="0" w:line="20" w:lineRule="exact"/>
              <w:rPr>
                <w:sz w:val="1"/>
                <w:szCs w:val="1"/>
                <w:color w:val="auto"/>
              </w:rPr>
            </w:pPr>
          </w:p>
        </w:tc>
        <w:tc>
          <w:tcPr>
            <w:tcW w:w="14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35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178</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358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336" w:right="219" w:bottom="1440" w:gutter="0" w:footer="0" w:header="0"/>
        </w:sectPr>
      </w:pPr>
    </w:p>
    <w:bookmarkStart w:id="178" w:name="page179"/>
    <w:bookmarkEnd w:id="178"/>
    <w:p>
      <w:pPr>
        <w:ind w:right="280" w:firstLine="598"/>
        <w:spacing w:after="0" w:line="275" w:lineRule="auto"/>
        <w:rPr>
          <w:sz w:val="20"/>
          <w:szCs w:val="20"/>
          <w:color w:val="auto"/>
        </w:rPr>
      </w:pPr>
      <w:r>
        <w:rPr>
          <w:rFonts w:ascii="Arial" w:cs="Arial" w:eastAsia="Arial" w:hAnsi="Arial"/>
          <w:sz w:val="20"/>
          <w:szCs w:val="20"/>
          <w:color w:val="auto"/>
        </w:rPr>
        <w:t>Information about the Company’s segments is presented in the accompanying table. Income statement amounts are in thousands of dollars. Balance sheet amounts are in millions of dollars.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1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40" w:type="dxa"/>
            <w:vAlign w:val="bottom"/>
            <w:gridSpan w:val="12"/>
          </w:tcPr>
          <w:p>
            <w:pPr>
              <w:jc w:val="right"/>
              <w:ind w:right="120"/>
              <w:spacing w:after="0"/>
              <w:rPr>
                <w:sz w:val="20"/>
                <w:szCs w:val="20"/>
                <w:color w:val="auto"/>
              </w:rPr>
            </w:pPr>
            <w:r>
              <w:rPr>
                <w:rFonts w:ascii="Arial" w:cs="Arial" w:eastAsia="Arial" w:hAnsi="Arial"/>
                <w:sz w:val="11"/>
                <w:szCs w:val="11"/>
                <w:b w:val="1"/>
                <w:bCs w:val="1"/>
                <w:color w:val="auto"/>
                <w:w w:val="96"/>
              </w:rPr>
              <w:t>For the Years Ended December 31, 2017, 2016 and 2015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4"/>
          </w:tcPr>
          <w:p>
            <w:pPr>
              <w:jc w:val="center"/>
              <w:spacing w:after="0"/>
              <w:rPr>
                <w:sz w:val="20"/>
                <w:szCs w:val="20"/>
                <w:color w:val="auto"/>
              </w:rPr>
            </w:pPr>
            <w:r>
              <w:rPr>
                <w:rFonts w:ascii="Arial" w:cs="Arial" w:eastAsia="Arial" w:hAnsi="Arial"/>
                <w:sz w:val="11"/>
                <w:szCs w:val="11"/>
                <w:b w:val="1"/>
                <w:bCs w:val="1"/>
                <w:color w:val="auto"/>
                <w:w w:val="90"/>
              </w:rPr>
              <w:t>Business Banking</w:t>
            </w: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gridSpan w:val="7"/>
          </w:tcPr>
          <w:p>
            <w:pPr>
              <w:jc w:val="center"/>
              <w:ind w:left="323"/>
              <w:spacing w:after="0"/>
              <w:rPr>
                <w:sz w:val="20"/>
                <w:szCs w:val="20"/>
                <w:color w:val="auto"/>
              </w:rPr>
            </w:pPr>
            <w:r>
              <w:rPr>
                <w:rFonts w:ascii="Arial" w:cs="Arial" w:eastAsia="Arial" w:hAnsi="Arial"/>
                <w:sz w:val="11"/>
                <w:szCs w:val="11"/>
                <w:b w:val="1"/>
                <w:bCs w:val="1"/>
                <w:color w:val="auto"/>
                <w:w w:val="95"/>
              </w:rPr>
              <w:t>Commercial Banking</w:t>
            </w:r>
          </w:p>
        </w:tc>
        <w:tc>
          <w:tcPr>
            <w:tcW w:w="4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gridSpan w:val="7"/>
          </w:tcPr>
          <w:p>
            <w:pPr>
              <w:jc w:val="right"/>
              <w:ind w:right="20"/>
              <w:spacing w:after="0"/>
              <w:rPr>
                <w:sz w:val="20"/>
                <w:szCs w:val="20"/>
                <w:color w:val="auto"/>
              </w:rPr>
            </w:pPr>
            <w:r>
              <w:rPr>
                <w:rFonts w:ascii="Arial" w:cs="Arial" w:eastAsia="Arial" w:hAnsi="Arial"/>
                <w:sz w:val="11"/>
                <w:szCs w:val="11"/>
                <w:b w:val="1"/>
                <w:bCs w:val="1"/>
                <w:color w:val="auto"/>
              </w:rPr>
              <w:t>Commercial Real Estate</w:t>
            </w:r>
          </w:p>
        </w:tc>
        <w:tc>
          <w:tcPr>
            <w:tcW w:w="4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gridSpan w:val="6"/>
          </w:tcPr>
          <w:p>
            <w:pPr>
              <w:jc w:val="right"/>
              <w:spacing w:after="0"/>
              <w:rPr>
                <w:sz w:val="20"/>
                <w:szCs w:val="20"/>
                <w:color w:val="auto"/>
              </w:rPr>
            </w:pPr>
            <w:r>
              <w:rPr>
                <w:rFonts w:ascii="Arial" w:cs="Arial" w:eastAsia="Arial" w:hAnsi="Arial"/>
                <w:sz w:val="11"/>
                <w:szCs w:val="11"/>
                <w:b w:val="1"/>
                <w:bCs w:val="1"/>
                <w:color w:val="auto"/>
              </w:rPr>
              <w:t>Discretionary Portfolio</w:t>
            </w:r>
          </w:p>
        </w:tc>
        <w:tc>
          <w:tcPr>
            <w:tcW w:w="5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880" w:type="dxa"/>
            <w:vAlign w:val="bottom"/>
            <w:tcBorders>
              <w:bottom w:val="single" w:sz="8" w:color="CFF0FC"/>
            </w:tcBorders>
          </w:tcPr>
          <w:p>
            <w:pPr>
              <w:spacing w:after="0"/>
              <w:rPr>
                <w:sz w:val="11"/>
                <w:szCs w:val="11"/>
                <w:color w:val="auto"/>
              </w:rPr>
            </w:pPr>
          </w:p>
        </w:tc>
        <w:tc>
          <w:tcPr>
            <w:tcW w:w="54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rPr>
              <w:t>2017</w:t>
            </w:r>
          </w:p>
        </w:tc>
        <w:tc>
          <w:tcPr>
            <w:tcW w:w="22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center"/>
              <w:ind w:right="63"/>
              <w:spacing w:after="0"/>
              <w:rPr>
                <w:sz w:val="20"/>
                <w:szCs w:val="20"/>
                <w:color w:val="auto"/>
              </w:rPr>
            </w:pPr>
            <w:r>
              <w:rPr>
                <w:rFonts w:ascii="Arial" w:cs="Arial" w:eastAsia="Arial" w:hAnsi="Arial"/>
                <w:sz w:val="11"/>
                <w:szCs w:val="11"/>
                <w:b w:val="1"/>
                <w:bCs w:val="1"/>
                <w:color w:val="auto"/>
                <w:w w:val="89"/>
              </w:rPr>
              <w:t>2016</w:t>
            </w:r>
          </w:p>
        </w:tc>
        <w:tc>
          <w:tcPr>
            <w:tcW w:w="180" w:type="dxa"/>
            <w:vAlign w:val="bottom"/>
            <w:tcBorders>
              <w:bottom w:val="single" w:sz="8" w:color="CFF0FC"/>
            </w:tcBorders>
          </w:tcPr>
          <w:p>
            <w:pPr>
              <w:spacing w:after="0"/>
              <w:rPr>
                <w:sz w:val="11"/>
                <w:szCs w:val="11"/>
                <w:color w:val="auto"/>
              </w:rPr>
            </w:pPr>
          </w:p>
        </w:tc>
        <w:tc>
          <w:tcPr>
            <w:tcW w:w="2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rPr>
              <w:t>2015</w:t>
            </w:r>
          </w:p>
        </w:tc>
        <w:tc>
          <w:tcPr>
            <w:tcW w:w="22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rPr>
              <w:t>2017</w:t>
            </w:r>
          </w:p>
        </w:tc>
        <w:tc>
          <w:tcPr>
            <w:tcW w:w="22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center"/>
              <w:ind w:right="43"/>
              <w:spacing w:after="0"/>
              <w:rPr>
                <w:sz w:val="20"/>
                <w:szCs w:val="20"/>
                <w:color w:val="auto"/>
              </w:rPr>
            </w:pPr>
            <w:r>
              <w:rPr>
                <w:rFonts w:ascii="Arial" w:cs="Arial" w:eastAsia="Arial" w:hAnsi="Arial"/>
                <w:sz w:val="11"/>
                <w:szCs w:val="11"/>
                <w:b w:val="1"/>
                <w:bCs w:val="1"/>
                <w:color w:val="auto"/>
                <w:w w:val="97"/>
              </w:rPr>
              <w:t>2016</w:t>
            </w:r>
          </w:p>
        </w:tc>
        <w:tc>
          <w:tcPr>
            <w:tcW w:w="140" w:type="dxa"/>
            <w:vAlign w:val="bottom"/>
            <w:tcBorders>
              <w:bottom w:val="single" w:sz="8" w:color="CFF0FC"/>
            </w:tcBorders>
          </w:tcPr>
          <w:p>
            <w:pPr>
              <w:spacing w:after="0"/>
              <w:rPr>
                <w:sz w:val="11"/>
                <w:szCs w:val="11"/>
                <w:color w:val="auto"/>
              </w:rPr>
            </w:pPr>
          </w:p>
        </w:tc>
        <w:tc>
          <w:tcPr>
            <w:tcW w:w="6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rPr>
              <w:t>2015</w:t>
            </w:r>
          </w:p>
        </w:tc>
        <w:tc>
          <w:tcPr>
            <w:tcW w:w="22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rPr>
              <w:t>2017</w:t>
            </w:r>
          </w:p>
        </w:tc>
        <w:tc>
          <w:tcPr>
            <w:tcW w:w="20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2016</w:t>
            </w:r>
          </w:p>
        </w:tc>
        <w:tc>
          <w:tcPr>
            <w:tcW w:w="120" w:type="dxa"/>
            <w:vAlign w:val="bottom"/>
            <w:tcBorders>
              <w:bottom w:val="single" w:sz="8" w:color="CFF0FC"/>
            </w:tcBorders>
          </w:tcPr>
          <w:p>
            <w:pPr>
              <w:spacing w:after="0"/>
              <w:rPr>
                <w:sz w:val="11"/>
                <w:szCs w:val="11"/>
                <w:color w:val="auto"/>
              </w:rPr>
            </w:pPr>
          </w:p>
        </w:tc>
        <w:tc>
          <w:tcPr>
            <w:tcW w:w="10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2015</w:t>
            </w:r>
          </w:p>
        </w:tc>
        <w:tc>
          <w:tcPr>
            <w:tcW w:w="20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rPr>
              <w:t>2017</w:t>
            </w:r>
          </w:p>
        </w:tc>
        <w:tc>
          <w:tcPr>
            <w:tcW w:w="22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rPr>
              <w:t>2016</w:t>
            </w:r>
          </w:p>
        </w:tc>
        <w:tc>
          <w:tcPr>
            <w:tcW w:w="22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rPr>
              <w:t>2015</w:t>
            </w:r>
          </w:p>
        </w:tc>
        <w:tc>
          <w:tcPr>
            <w:tcW w:w="6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880" w:type="dxa"/>
            <w:vAlign w:val="bottom"/>
            <w:shd w:val="clear" w:color="auto" w:fill="CFF0FC"/>
          </w:tcPr>
          <w:p>
            <w:pPr>
              <w:spacing w:after="0"/>
              <w:rPr>
                <w:sz w:val="20"/>
                <w:szCs w:val="20"/>
                <w:color w:val="auto"/>
              </w:rPr>
            </w:pPr>
            <w:r>
              <w:rPr>
                <w:rFonts w:ascii="Arial" w:cs="Arial" w:eastAsia="Arial" w:hAnsi="Arial"/>
                <w:sz w:val="11"/>
                <w:szCs w:val="11"/>
                <w:color w:val="auto"/>
              </w:rPr>
              <w:t>Net interest income(a)</w:t>
            </w: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5"/>
              </w:rPr>
              <w:t>393,948</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5"/>
              </w:rPr>
              <w:t>371,889</w:t>
            </w:r>
          </w:p>
        </w:tc>
        <w:tc>
          <w:tcPr>
            <w:tcW w:w="180" w:type="dxa"/>
            <w:vAlign w:val="bottom"/>
            <w:shd w:val="clear" w:color="auto" w:fill="CFF0FC"/>
          </w:tcPr>
          <w:p>
            <w:pPr>
              <w:spacing w:after="0"/>
              <w:rPr>
                <w:sz w:val="11"/>
                <w:szCs w:val="11"/>
                <w:color w:val="auto"/>
              </w:rPr>
            </w:pPr>
          </w:p>
        </w:tc>
        <w:tc>
          <w:tcPr>
            <w:tcW w:w="10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w w:val="97"/>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5"/>
              </w:rPr>
              <w:t>357,378</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jc w:val="right"/>
              <w:ind w:right="17"/>
              <w:spacing w:after="0"/>
              <w:rPr>
                <w:sz w:val="20"/>
                <w:szCs w:val="20"/>
                <w:color w:val="auto"/>
              </w:rPr>
            </w:pPr>
            <w:r>
              <w:rPr>
                <w:rFonts w:ascii="Arial" w:cs="Arial" w:eastAsia="Arial" w:hAnsi="Arial"/>
                <w:sz w:val="5"/>
                <w:szCs w:val="5"/>
                <w:color w:val="auto"/>
                <w:w w:val="70"/>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809,301</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785,339</w:t>
            </w:r>
          </w:p>
        </w:tc>
        <w:tc>
          <w:tcPr>
            <w:tcW w:w="140" w:type="dxa"/>
            <w:vAlign w:val="bottom"/>
            <w:shd w:val="clear" w:color="auto" w:fill="CFF0FC"/>
          </w:tcPr>
          <w:p>
            <w:pPr>
              <w:spacing w:after="0"/>
              <w:rPr>
                <w:sz w:val="11"/>
                <w:szCs w:val="11"/>
                <w:color w:val="auto"/>
              </w:rPr>
            </w:pPr>
          </w:p>
        </w:tc>
        <w:tc>
          <w:tcPr>
            <w:tcW w:w="16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753,362</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649,378</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1"/>
                <w:szCs w:val="11"/>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608,385</w:t>
            </w:r>
          </w:p>
        </w:tc>
        <w:tc>
          <w:tcPr>
            <w:tcW w:w="120" w:type="dxa"/>
            <w:vAlign w:val="bottom"/>
            <w:shd w:val="clear" w:color="auto" w:fill="CFF0FC"/>
          </w:tcPr>
          <w:p>
            <w:pPr>
              <w:spacing w:after="0"/>
              <w:rPr>
                <w:sz w:val="11"/>
                <w:szCs w:val="11"/>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577,922</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277,095</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jc w:val="right"/>
              <w:ind w:right="17"/>
              <w:spacing w:after="0"/>
              <w:rPr>
                <w:sz w:val="20"/>
                <w:szCs w:val="20"/>
                <w:color w:val="auto"/>
              </w:rPr>
            </w:pPr>
            <w:r>
              <w:rPr>
                <w:rFonts w:ascii="Arial" w:cs="Arial" w:eastAsia="Arial" w:hAnsi="Arial"/>
                <w:sz w:val="5"/>
                <w:szCs w:val="5"/>
                <w:color w:val="auto"/>
                <w:w w:val="70"/>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345,926</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97,626</w:t>
            </w:r>
          </w:p>
        </w:tc>
        <w:tc>
          <w:tcPr>
            <w:tcW w:w="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880" w:type="dxa"/>
            <w:vAlign w:val="bottom"/>
            <w:tcBorders>
              <w:bottom w:val="single" w:sz="8" w:color="CFF0FC"/>
            </w:tcBorders>
          </w:tcPr>
          <w:p>
            <w:pPr>
              <w:spacing w:after="0"/>
              <w:rPr>
                <w:sz w:val="20"/>
                <w:szCs w:val="20"/>
                <w:color w:val="auto"/>
              </w:rPr>
            </w:pPr>
            <w:r>
              <w:rPr>
                <w:rFonts w:ascii="Arial" w:cs="Arial" w:eastAsia="Arial" w:hAnsi="Arial"/>
                <w:sz w:val="11"/>
                <w:szCs w:val="11"/>
                <w:color w:val="auto"/>
              </w:rPr>
              <w:t>Noninterest income</w:t>
            </w:r>
          </w:p>
        </w:tc>
        <w:tc>
          <w:tcPr>
            <w:tcW w:w="54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5"/>
              </w:rPr>
              <w:t>112,512</w:t>
            </w:r>
          </w:p>
        </w:tc>
        <w:tc>
          <w:tcPr>
            <w:tcW w:w="22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5"/>
              </w:rPr>
              <w:t>108,783</w:t>
            </w:r>
          </w:p>
        </w:tc>
        <w:tc>
          <w:tcPr>
            <w:tcW w:w="180" w:type="dxa"/>
            <w:vAlign w:val="bottom"/>
            <w:tcBorders>
              <w:bottom w:val="single" w:sz="8" w:color="CFF0FC"/>
            </w:tcBorders>
          </w:tcPr>
          <w:p>
            <w:pPr>
              <w:spacing w:after="0"/>
              <w:rPr>
                <w:sz w:val="12"/>
                <w:szCs w:val="12"/>
                <w:color w:val="auto"/>
              </w:rPr>
            </w:pPr>
          </w:p>
        </w:tc>
        <w:tc>
          <w:tcPr>
            <w:tcW w:w="2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5"/>
              </w:rPr>
              <w:t>108,195</w:t>
            </w:r>
          </w:p>
        </w:tc>
        <w:tc>
          <w:tcPr>
            <w:tcW w:w="22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283,447</w:t>
            </w:r>
          </w:p>
        </w:tc>
        <w:tc>
          <w:tcPr>
            <w:tcW w:w="22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274,923</w:t>
            </w:r>
          </w:p>
        </w:tc>
        <w:tc>
          <w:tcPr>
            <w:tcW w:w="140" w:type="dxa"/>
            <w:vAlign w:val="bottom"/>
            <w:tcBorders>
              <w:bottom w:val="single" w:sz="8" w:color="CFF0FC"/>
            </w:tcBorders>
          </w:tcPr>
          <w:p>
            <w:pPr>
              <w:spacing w:after="0"/>
              <w:rPr>
                <w:sz w:val="12"/>
                <w:szCs w:val="12"/>
                <w:color w:val="auto"/>
              </w:rPr>
            </w:pPr>
          </w:p>
        </w:tc>
        <w:tc>
          <w:tcPr>
            <w:tcW w:w="6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290,142</w:t>
            </w:r>
          </w:p>
        </w:tc>
        <w:tc>
          <w:tcPr>
            <w:tcW w:w="22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169,966</w:t>
            </w:r>
          </w:p>
        </w:tc>
        <w:tc>
          <w:tcPr>
            <w:tcW w:w="20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179,706</w:t>
            </w:r>
          </w:p>
        </w:tc>
        <w:tc>
          <w:tcPr>
            <w:tcW w:w="12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142,948</w:t>
            </w:r>
          </w:p>
        </w:tc>
        <w:tc>
          <w:tcPr>
            <w:tcW w:w="20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23,851</w:t>
            </w:r>
          </w:p>
        </w:tc>
        <w:tc>
          <w:tcPr>
            <w:tcW w:w="22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26,075</w:t>
            </w:r>
          </w:p>
        </w:tc>
        <w:tc>
          <w:tcPr>
            <w:tcW w:w="22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28,114</w:t>
            </w:r>
          </w:p>
        </w:tc>
        <w:tc>
          <w:tcPr>
            <w:tcW w:w="6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8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5"/>
              </w:rPr>
              <w:t>506,460</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5"/>
              </w:rPr>
              <w:t>480,672</w:t>
            </w:r>
          </w:p>
        </w:tc>
        <w:tc>
          <w:tcPr>
            <w:tcW w:w="1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5"/>
              </w:rPr>
              <w:t>465,573</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3"/>
              </w:rPr>
              <w:t>1,092,748</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3"/>
              </w:rPr>
              <w:t>1,060,262</w:t>
            </w:r>
          </w:p>
        </w:tc>
        <w:tc>
          <w:tcPr>
            <w:tcW w:w="1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3"/>
              </w:rPr>
              <w:t>1,043,504</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819,344</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788,091</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720,870</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300,946</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372,001</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125,740</w:t>
            </w:r>
          </w:p>
        </w:tc>
        <w:tc>
          <w:tcPr>
            <w:tcW w:w="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880" w:type="dxa"/>
            <w:vAlign w:val="bottom"/>
          </w:tcPr>
          <w:p>
            <w:pPr>
              <w:spacing w:after="0"/>
              <w:rPr>
                <w:sz w:val="20"/>
                <w:szCs w:val="20"/>
                <w:color w:val="auto"/>
              </w:rPr>
            </w:pPr>
            <w:r>
              <w:rPr>
                <w:rFonts w:ascii="Arial" w:cs="Arial" w:eastAsia="Arial" w:hAnsi="Arial"/>
                <w:sz w:val="11"/>
                <w:szCs w:val="11"/>
                <w:color w:val="auto"/>
              </w:rPr>
              <w:t>Provision for credit losses</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15,598</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12,709</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15,513</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11,876</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34,903</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25,089</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(7,524)</w:t>
            </w:r>
          </w:p>
        </w:tc>
        <w:tc>
          <w:tcPr>
            <w:tcW w:w="100" w:type="dxa"/>
            <w:vAlign w:val="bottom"/>
          </w:tcPr>
          <w:p>
            <w:pPr>
              <w:spacing w:after="0"/>
              <w:rPr>
                <w:sz w:val="12"/>
                <w:szCs w:val="12"/>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1"/>
                <w:szCs w:val="11"/>
                <w:color w:val="auto"/>
              </w:rPr>
              <w:t>(3,447)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1"/>
                <w:szCs w:val="11"/>
                <w:color w:val="auto"/>
              </w:rPr>
              <w:t>(8,003)</w:t>
            </w: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31,119</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32,925</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7,599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880" w:type="dxa"/>
            <w:vAlign w:val="bottom"/>
            <w:shd w:val="clear" w:color="auto" w:fill="CFF0FC"/>
          </w:tcPr>
          <w:p>
            <w:pPr>
              <w:spacing w:after="0"/>
              <w:rPr>
                <w:sz w:val="20"/>
                <w:szCs w:val="20"/>
                <w:color w:val="auto"/>
              </w:rPr>
            </w:pPr>
            <w:r>
              <w:rPr>
                <w:rFonts w:ascii="Arial" w:cs="Arial" w:eastAsia="Arial" w:hAnsi="Arial"/>
                <w:sz w:val="11"/>
                <w:szCs w:val="11"/>
                <w:color w:val="auto"/>
              </w:rPr>
              <w:t>Amortization of core deposit</w:t>
            </w:r>
          </w:p>
        </w:tc>
        <w:tc>
          <w:tcPr>
            <w:tcW w:w="5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880" w:type="dxa"/>
            <w:vAlign w:val="bottom"/>
            <w:shd w:val="clear" w:color="auto" w:fill="CFF0FC"/>
          </w:tcPr>
          <w:p>
            <w:pPr>
              <w:ind w:left="100"/>
              <w:spacing w:after="0"/>
              <w:rPr>
                <w:sz w:val="20"/>
                <w:szCs w:val="20"/>
                <w:color w:val="auto"/>
              </w:rPr>
            </w:pPr>
            <w:r>
              <w:rPr>
                <w:rFonts w:ascii="Arial" w:cs="Arial" w:eastAsia="Arial" w:hAnsi="Arial"/>
                <w:sz w:val="11"/>
                <w:szCs w:val="11"/>
                <w:color w:val="auto"/>
              </w:rPr>
              <w:t>and other intangible assets</w:t>
            </w:r>
          </w:p>
        </w:tc>
        <w:tc>
          <w:tcPr>
            <w:tcW w:w="5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1,060</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56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8"/>
        </w:trPr>
        <w:tc>
          <w:tcPr>
            <w:tcW w:w="1880" w:type="dxa"/>
            <w:vAlign w:val="bottom"/>
          </w:tcPr>
          <w:p>
            <w:pPr>
              <w:spacing w:after="0"/>
              <w:rPr>
                <w:sz w:val="20"/>
                <w:szCs w:val="20"/>
                <w:color w:val="auto"/>
              </w:rPr>
            </w:pPr>
            <w:r>
              <w:rPr>
                <w:rFonts w:ascii="Arial" w:cs="Arial" w:eastAsia="Arial" w:hAnsi="Arial"/>
                <w:sz w:val="11"/>
                <w:szCs w:val="11"/>
                <w:color w:val="auto"/>
              </w:rPr>
              <w:t>Depreciation and other</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880" w:type="dxa"/>
            <w:vAlign w:val="bottom"/>
          </w:tcPr>
          <w:p>
            <w:pPr>
              <w:ind w:left="100"/>
              <w:spacing w:after="0"/>
              <w:rPr>
                <w:sz w:val="20"/>
                <w:szCs w:val="20"/>
                <w:color w:val="auto"/>
              </w:rPr>
            </w:pPr>
            <w:r>
              <w:rPr>
                <w:rFonts w:ascii="Arial" w:cs="Arial" w:eastAsia="Arial" w:hAnsi="Arial"/>
                <w:sz w:val="11"/>
                <w:szCs w:val="11"/>
                <w:color w:val="auto"/>
              </w:rPr>
              <w:t>amortization</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393</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404</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407</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509</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520</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566</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24,410</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20,120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19,247</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279</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472</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679</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880" w:type="dxa"/>
            <w:vAlign w:val="bottom"/>
            <w:shd w:val="clear" w:color="auto" w:fill="CFF0FC"/>
          </w:tcPr>
          <w:p>
            <w:pPr>
              <w:spacing w:after="0"/>
              <w:rPr>
                <w:sz w:val="20"/>
                <w:szCs w:val="20"/>
                <w:color w:val="auto"/>
              </w:rPr>
            </w:pPr>
            <w:r>
              <w:rPr>
                <w:rFonts w:ascii="Arial" w:cs="Arial" w:eastAsia="Arial" w:hAnsi="Arial"/>
                <w:sz w:val="11"/>
                <w:szCs w:val="11"/>
                <w:color w:val="auto"/>
              </w:rPr>
              <w:t>Other noninterest expense</w:t>
            </w:r>
          </w:p>
        </w:tc>
        <w:tc>
          <w:tcPr>
            <w:tcW w:w="540" w:type="dxa"/>
            <w:vAlign w:val="bottom"/>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w w:val="95"/>
              </w:rPr>
              <w:t>294,493</w:t>
            </w:r>
          </w:p>
        </w:tc>
        <w:tc>
          <w:tcPr>
            <w:tcW w:w="220" w:type="dxa"/>
            <w:vAlign w:val="bottom"/>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w w:val="95"/>
              </w:rPr>
              <w:t>292,124</w:t>
            </w:r>
          </w:p>
        </w:tc>
        <w:tc>
          <w:tcPr>
            <w:tcW w:w="1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w w:val="95"/>
              </w:rPr>
              <w:t>264,163</w:t>
            </w:r>
          </w:p>
        </w:tc>
        <w:tc>
          <w:tcPr>
            <w:tcW w:w="220" w:type="dxa"/>
            <w:vAlign w:val="bottom"/>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339,936</w:t>
            </w:r>
          </w:p>
        </w:tc>
        <w:tc>
          <w:tcPr>
            <w:tcW w:w="220" w:type="dxa"/>
            <w:vAlign w:val="bottom"/>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327,616</w:t>
            </w:r>
          </w:p>
        </w:tc>
        <w:tc>
          <w:tcPr>
            <w:tcW w:w="1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288,303</w:t>
            </w:r>
          </w:p>
        </w:tc>
        <w:tc>
          <w:tcPr>
            <w:tcW w:w="220" w:type="dxa"/>
            <w:vAlign w:val="bottom"/>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207,493</w:t>
            </w:r>
          </w:p>
        </w:tc>
        <w:tc>
          <w:tcPr>
            <w:tcW w:w="200" w:type="dxa"/>
            <w:vAlign w:val="bottom"/>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204,965</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169,688</w:t>
            </w:r>
          </w:p>
        </w:tc>
        <w:tc>
          <w:tcPr>
            <w:tcW w:w="200" w:type="dxa"/>
            <w:vAlign w:val="bottom"/>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76,021</w:t>
            </w:r>
          </w:p>
        </w:tc>
        <w:tc>
          <w:tcPr>
            <w:tcW w:w="220" w:type="dxa"/>
            <w:vAlign w:val="bottom"/>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95,300</w:t>
            </w:r>
          </w:p>
        </w:tc>
        <w:tc>
          <w:tcPr>
            <w:tcW w:w="220" w:type="dxa"/>
            <w:vAlign w:val="bottom"/>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49,839</w:t>
            </w: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880" w:type="dxa"/>
            <w:vAlign w:val="bottom"/>
          </w:tcPr>
          <w:p>
            <w:pPr>
              <w:spacing w:after="0"/>
              <w:rPr>
                <w:sz w:val="20"/>
                <w:szCs w:val="20"/>
                <w:color w:val="auto"/>
              </w:rPr>
            </w:pPr>
            <w:r>
              <w:rPr>
                <w:rFonts w:ascii="Arial" w:cs="Arial" w:eastAsia="Arial" w:hAnsi="Arial"/>
                <w:sz w:val="11"/>
                <w:szCs w:val="11"/>
                <w:color w:val="auto"/>
              </w:rPr>
              <w:t>Income (loss) before taxes</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w w:val="95"/>
              </w:rPr>
              <w:t>195,976</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w w:val="95"/>
              </w:rPr>
              <w:t>175,435</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w w:val="95"/>
              </w:rPr>
              <w:t>185,490</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740,427</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697,223</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729,546</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593,905</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566,453</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539,938</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193,527</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243,304</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67,623</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880" w:type="dxa"/>
            <w:vAlign w:val="bottom"/>
            <w:shd w:val="clear" w:color="auto" w:fill="CFF0FC"/>
          </w:tcPr>
          <w:p>
            <w:pPr>
              <w:spacing w:after="0"/>
              <w:rPr>
                <w:sz w:val="20"/>
                <w:szCs w:val="20"/>
                <w:color w:val="auto"/>
              </w:rPr>
            </w:pPr>
            <w:r>
              <w:rPr>
                <w:rFonts w:ascii="Arial" w:cs="Arial" w:eastAsia="Arial" w:hAnsi="Arial"/>
                <w:sz w:val="11"/>
                <w:szCs w:val="11"/>
                <w:color w:val="auto"/>
              </w:rPr>
              <w:t>Income tax expense (benefit)</w:t>
            </w:r>
          </w:p>
        </w:tc>
        <w:tc>
          <w:tcPr>
            <w:tcW w:w="540" w:type="dxa"/>
            <w:vAlign w:val="bottom"/>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80,043</w:t>
            </w:r>
          </w:p>
        </w:tc>
        <w:tc>
          <w:tcPr>
            <w:tcW w:w="220" w:type="dxa"/>
            <w:vAlign w:val="bottom"/>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71,677</w:t>
            </w:r>
          </w:p>
        </w:tc>
        <w:tc>
          <w:tcPr>
            <w:tcW w:w="1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75,746</w:t>
            </w:r>
          </w:p>
        </w:tc>
        <w:tc>
          <w:tcPr>
            <w:tcW w:w="220" w:type="dxa"/>
            <w:vAlign w:val="bottom"/>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303,556</w:t>
            </w:r>
          </w:p>
        </w:tc>
        <w:tc>
          <w:tcPr>
            <w:tcW w:w="220" w:type="dxa"/>
            <w:vAlign w:val="bottom"/>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285,844</w:t>
            </w:r>
          </w:p>
        </w:tc>
        <w:tc>
          <w:tcPr>
            <w:tcW w:w="1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298,660</w:t>
            </w:r>
          </w:p>
        </w:tc>
        <w:tc>
          <w:tcPr>
            <w:tcW w:w="220" w:type="dxa"/>
            <w:vAlign w:val="bottom"/>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229,770</w:t>
            </w:r>
          </w:p>
        </w:tc>
        <w:tc>
          <w:tcPr>
            <w:tcW w:w="200" w:type="dxa"/>
            <w:vAlign w:val="bottom"/>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216,095</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199,297</w:t>
            </w:r>
          </w:p>
        </w:tc>
        <w:tc>
          <w:tcPr>
            <w:tcW w:w="200" w:type="dxa"/>
            <w:vAlign w:val="bottom"/>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58,559</w:t>
            </w:r>
          </w:p>
        </w:tc>
        <w:tc>
          <w:tcPr>
            <w:tcW w:w="220" w:type="dxa"/>
            <w:vAlign w:val="bottom"/>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79,766</w:t>
            </w:r>
          </w:p>
        </w:tc>
        <w:tc>
          <w:tcPr>
            <w:tcW w:w="220" w:type="dxa"/>
            <w:vAlign w:val="bottom"/>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8,351</w:t>
            </w: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880" w:type="dxa"/>
            <w:vAlign w:val="bottom"/>
          </w:tcPr>
          <w:p>
            <w:pPr>
              <w:spacing w:after="0"/>
              <w:rPr>
                <w:sz w:val="20"/>
                <w:szCs w:val="20"/>
                <w:color w:val="auto"/>
              </w:rPr>
            </w:pPr>
            <w:r>
              <w:rPr>
                <w:rFonts w:ascii="Arial" w:cs="Arial" w:eastAsia="Arial" w:hAnsi="Arial"/>
                <w:sz w:val="11"/>
                <w:szCs w:val="11"/>
                <w:color w:val="auto"/>
              </w:rPr>
              <w:t>Net income (loss)</w:t>
            </w:r>
          </w:p>
        </w:tc>
        <w:tc>
          <w:tcPr>
            <w:tcW w:w="6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20" w:type="dxa"/>
            <w:vAlign w:val="bottom"/>
          </w:tcPr>
          <w:p>
            <w:pPr>
              <w:jc w:val="right"/>
              <w:spacing w:after="0"/>
              <w:rPr>
                <w:sz w:val="20"/>
                <w:szCs w:val="20"/>
                <w:color w:val="auto"/>
              </w:rPr>
            </w:pPr>
            <w:r>
              <w:rPr>
                <w:rFonts w:ascii="Arial" w:cs="Arial" w:eastAsia="Arial" w:hAnsi="Arial"/>
                <w:sz w:val="11"/>
                <w:szCs w:val="11"/>
                <w:color w:val="auto"/>
                <w:w w:val="95"/>
              </w:rPr>
              <w:t>115,933</w:t>
            </w:r>
          </w:p>
        </w:tc>
        <w:tc>
          <w:tcPr>
            <w:tcW w:w="3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20" w:type="dxa"/>
            <w:vAlign w:val="bottom"/>
          </w:tcPr>
          <w:p>
            <w:pPr>
              <w:jc w:val="right"/>
              <w:spacing w:after="0"/>
              <w:rPr>
                <w:sz w:val="20"/>
                <w:szCs w:val="20"/>
                <w:color w:val="auto"/>
              </w:rPr>
            </w:pPr>
            <w:r>
              <w:rPr>
                <w:rFonts w:ascii="Arial" w:cs="Arial" w:eastAsia="Arial" w:hAnsi="Arial"/>
                <w:sz w:val="11"/>
                <w:szCs w:val="11"/>
                <w:color w:val="auto"/>
                <w:w w:val="95"/>
              </w:rPr>
              <w:t>103,758</w:t>
            </w:r>
          </w:p>
        </w:tc>
        <w:tc>
          <w:tcPr>
            <w:tcW w:w="180" w:type="dxa"/>
            <w:vAlign w:val="bottom"/>
          </w:tcPr>
          <w:p>
            <w:pPr>
              <w:spacing w:after="0"/>
              <w:rPr>
                <w:sz w:val="15"/>
                <w:szCs w:val="15"/>
                <w:color w:val="auto"/>
              </w:rPr>
            </w:pPr>
          </w:p>
        </w:tc>
        <w:tc>
          <w:tcPr>
            <w:tcW w:w="100" w:type="dxa"/>
            <w:vAlign w:val="bottom"/>
            <w:gridSpan w:val="2"/>
          </w:tcPr>
          <w:p>
            <w:pPr>
              <w:jc w:val="right"/>
              <w:ind w:right="20"/>
              <w:spacing w:after="0"/>
              <w:rPr>
                <w:sz w:val="20"/>
                <w:szCs w:val="20"/>
                <w:color w:val="auto"/>
              </w:rPr>
            </w:pPr>
            <w:r>
              <w:rPr>
                <w:rFonts w:ascii="Arial" w:cs="Arial" w:eastAsia="Arial" w:hAnsi="Arial"/>
                <w:sz w:val="11"/>
                <w:szCs w:val="11"/>
                <w:color w:val="auto"/>
                <w:w w:val="97"/>
              </w:rPr>
              <w:t>$</w:t>
            </w:r>
          </w:p>
        </w:tc>
        <w:tc>
          <w:tcPr>
            <w:tcW w:w="420" w:type="dxa"/>
            <w:vAlign w:val="bottom"/>
          </w:tcPr>
          <w:p>
            <w:pPr>
              <w:jc w:val="right"/>
              <w:spacing w:after="0"/>
              <w:rPr>
                <w:sz w:val="20"/>
                <w:szCs w:val="20"/>
                <w:color w:val="auto"/>
              </w:rPr>
            </w:pPr>
            <w:r>
              <w:rPr>
                <w:rFonts w:ascii="Arial" w:cs="Arial" w:eastAsia="Arial" w:hAnsi="Arial"/>
                <w:sz w:val="11"/>
                <w:szCs w:val="11"/>
                <w:color w:val="auto"/>
                <w:w w:val="95"/>
              </w:rPr>
              <w:t>109,744</w:t>
            </w:r>
          </w:p>
        </w:tc>
        <w:tc>
          <w:tcPr>
            <w:tcW w:w="220" w:type="dxa"/>
            <w:vAlign w:val="bottom"/>
          </w:tcPr>
          <w:p>
            <w:pPr>
              <w:spacing w:after="0"/>
              <w:rPr>
                <w:sz w:val="15"/>
                <w:szCs w:val="15"/>
                <w:color w:val="auto"/>
              </w:rPr>
            </w:pPr>
          </w:p>
        </w:tc>
        <w:tc>
          <w:tcPr>
            <w:tcW w:w="80" w:type="dxa"/>
            <w:vAlign w:val="bottom"/>
          </w:tcPr>
          <w:p>
            <w:pPr>
              <w:jc w:val="right"/>
              <w:ind w:right="17"/>
              <w:spacing w:after="0"/>
              <w:rPr>
                <w:sz w:val="20"/>
                <w:szCs w:val="20"/>
                <w:color w:val="auto"/>
              </w:rPr>
            </w:pPr>
            <w:r>
              <w:rPr>
                <w:rFonts w:ascii="Arial" w:cs="Arial" w:eastAsia="Arial" w:hAnsi="Arial"/>
                <w:sz w:val="5"/>
                <w:szCs w:val="5"/>
                <w:color w:val="auto"/>
                <w:w w:val="70"/>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436,871</w:t>
            </w:r>
          </w:p>
        </w:tc>
        <w:tc>
          <w:tcPr>
            <w:tcW w:w="30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411,379</w:t>
            </w:r>
          </w:p>
        </w:tc>
        <w:tc>
          <w:tcPr>
            <w:tcW w:w="140" w:type="dxa"/>
            <w:vAlign w:val="bottom"/>
          </w:tcPr>
          <w:p>
            <w:pPr>
              <w:spacing w:after="0"/>
              <w:rPr>
                <w:sz w:val="15"/>
                <w:szCs w:val="15"/>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430,886</w:t>
            </w:r>
          </w:p>
        </w:tc>
        <w:tc>
          <w:tcPr>
            <w:tcW w:w="30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364,135</w:t>
            </w:r>
          </w:p>
        </w:tc>
        <w:tc>
          <w:tcPr>
            <w:tcW w:w="200" w:type="dxa"/>
            <w:vAlign w:val="bottom"/>
          </w:tcPr>
          <w:p>
            <w:pPr>
              <w:spacing w:after="0"/>
              <w:rPr>
                <w:sz w:val="15"/>
                <w:szCs w:val="15"/>
                <w:color w:val="auto"/>
              </w:rPr>
            </w:pPr>
          </w:p>
        </w:tc>
        <w:tc>
          <w:tcPr>
            <w:tcW w:w="100" w:type="dxa"/>
            <w:vAlign w:val="bottom"/>
          </w:tcPr>
          <w:p>
            <w:pPr>
              <w:spacing w:after="0"/>
              <w:rPr>
                <w:sz w:val="20"/>
                <w:szCs w:val="20"/>
                <w:color w:val="auto"/>
              </w:rPr>
            </w:pPr>
            <w:r>
              <w:rPr>
                <w:rFonts w:ascii="Arial" w:cs="Arial" w:eastAsia="Arial" w:hAnsi="Arial"/>
                <w:sz w:val="11"/>
                <w:szCs w:val="11"/>
                <w:color w:val="auto"/>
              </w:rPr>
              <w:t>$</w:t>
            </w:r>
          </w:p>
        </w:tc>
        <w:tc>
          <w:tcPr>
            <w:tcW w:w="440" w:type="dxa"/>
            <w:vAlign w:val="bottom"/>
          </w:tcPr>
          <w:p>
            <w:pPr>
              <w:jc w:val="right"/>
              <w:spacing w:after="0"/>
              <w:rPr>
                <w:sz w:val="20"/>
                <w:szCs w:val="20"/>
                <w:color w:val="auto"/>
              </w:rPr>
            </w:pPr>
            <w:r>
              <w:rPr>
                <w:rFonts w:ascii="Arial" w:cs="Arial" w:eastAsia="Arial" w:hAnsi="Arial"/>
                <w:sz w:val="11"/>
                <w:szCs w:val="11"/>
                <w:color w:val="auto"/>
              </w:rPr>
              <w:t>350,358</w:t>
            </w:r>
          </w:p>
        </w:tc>
        <w:tc>
          <w:tcPr>
            <w:tcW w:w="120" w:type="dxa"/>
            <w:vAlign w:val="bottom"/>
          </w:tcPr>
          <w:p>
            <w:pPr>
              <w:spacing w:after="0"/>
              <w:rPr>
                <w:sz w:val="15"/>
                <w:szCs w:val="15"/>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40" w:type="dxa"/>
            <w:vAlign w:val="bottom"/>
          </w:tcPr>
          <w:p>
            <w:pPr>
              <w:jc w:val="right"/>
              <w:spacing w:after="0"/>
              <w:rPr>
                <w:sz w:val="20"/>
                <w:szCs w:val="20"/>
                <w:color w:val="auto"/>
              </w:rPr>
            </w:pPr>
            <w:r>
              <w:rPr>
                <w:rFonts w:ascii="Arial" w:cs="Arial" w:eastAsia="Arial" w:hAnsi="Arial"/>
                <w:sz w:val="11"/>
                <w:szCs w:val="11"/>
                <w:color w:val="auto"/>
              </w:rPr>
              <w:t>340,641</w:t>
            </w:r>
          </w:p>
        </w:tc>
        <w:tc>
          <w:tcPr>
            <w:tcW w:w="2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134,968</w:t>
            </w:r>
          </w:p>
        </w:tc>
        <w:tc>
          <w:tcPr>
            <w:tcW w:w="220" w:type="dxa"/>
            <w:vAlign w:val="bottom"/>
          </w:tcPr>
          <w:p>
            <w:pPr>
              <w:spacing w:after="0"/>
              <w:rPr>
                <w:sz w:val="15"/>
                <w:szCs w:val="15"/>
                <w:color w:val="auto"/>
              </w:rPr>
            </w:pPr>
          </w:p>
        </w:tc>
        <w:tc>
          <w:tcPr>
            <w:tcW w:w="80" w:type="dxa"/>
            <w:vAlign w:val="bottom"/>
          </w:tcPr>
          <w:p>
            <w:pPr>
              <w:jc w:val="right"/>
              <w:ind w:right="17"/>
              <w:spacing w:after="0"/>
              <w:rPr>
                <w:sz w:val="20"/>
                <w:szCs w:val="20"/>
                <w:color w:val="auto"/>
              </w:rPr>
            </w:pPr>
            <w:r>
              <w:rPr>
                <w:rFonts w:ascii="Arial" w:cs="Arial" w:eastAsia="Arial" w:hAnsi="Arial"/>
                <w:sz w:val="5"/>
                <w:szCs w:val="5"/>
                <w:color w:val="auto"/>
                <w:w w:val="70"/>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163,538</w:t>
            </w:r>
          </w:p>
        </w:tc>
        <w:tc>
          <w:tcPr>
            <w:tcW w:w="2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59,272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1880" w:type="dxa"/>
            <w:vAlign w:val="bottom"/>
            <w:tcBorders>
              <w:top w:val="single" w:sz="8" w:color="CFF0FC"/>
            </w:tcBorders>
            <w:shd w:val="clear" w:color="auto" w:fill="CFF0FC"/>
          </w:tcPr>
          <w:p>
            <w:pPr>
              <w:spacing w:after="0" w:line="118" w:lineRule="exact"/>
              <w:rPr>
                <w:sz w:val="20"/>
                <w:szCs w:val="20"/>
                <w:color w:val="auto"/>
              </w:rPr>
            </w:pPr>
            <w:r>
              <w:rPr>
                <w:rFonts w:ascii="Arial" w:cs="Arial" w:eastAsia="Arial" w:hAnsi="Arial"/>
                <w:sz w:val="11"/>
                <w:szCs w:val="11"/>
                <w:color w:val="auto"/>
              </w:rPr>
              <w:t>Average total assets</w:t>
            </w:r>
          </w:p>
        </w:tc>
        <w:tc>
          <w:tcPr>
            <w:tcW w:w="54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420" w:type="dxa"/>
            <w:vAlign w:val="bottom"/>
            <w:tcBorders>
              <w:top w:val="single" w:sz="8" w:color="auto"/>
            </w:tcBorders>
            <w:shd w:val="clear" w:color="auto" w:fill="CFF0FC"/>
          </w:tcPr>
          <w:p>
            <w:pPr>
              <w:spacing w:after="0"/>
              <w:rPr>
                <w:sz w:val="10"/>
                <w:szCs w:val="10"/>
                <w:color w:val="auto"/>
              </w:rPr>
            </w:pPr>
          </w:p>
        </w:tc>
        <w:tc>
          <w:tcPr>
            <w:tcW w:w="22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420" w:type="dxa"/>
            <w:vAlign w:val="bottom"/>
            <w:tcBorders>
              <w:top w:val="single" w:sz="8" w:color="auto"/>
            </w:tcBorders>
            <w:shd w:val="clear" w:color="auto" w:fill="CFF0FC"/>
          </w:tcPr>
          <w:p>
            <w:pPr>
              <w:spacing w:after="0"/>
              <w:rPr>
                <w:sz w:val="10"/>
                <w:szCs w:val="10"/>
                <w:color w:val="auto"/>
              </w:rPr>
            </w:pPr>
          </w:p>
        </w:tc>
        <w:tc>
          <w:tcPr>
            <w:tcW w:w="180" w:type="dxa"/>
            <w:vAlign w:val="bottom"/>
            <w:tcBorders>
              <w:top w:val="single" w:sz="8" w:color="CFF0FC"/>
            </w:tcBorders>
            <w:shd w:val="clear" w:color="auto" w:fill="CFF0FC"/>
          </w:tcPr>
          <w:p>
            <w:pPr>
              <w:spacing w:after="0"/>
              <w:rPr>
                <w:sz w:val="10"/>
                <w:szCs w:val="10"/>
                <w:color w:val="auto"/>
              </w:rPr>
            </w:pPr>
          </w:p>
        </w:tc>
        <w:tc>
          <w:tcPr>
            <w:tcW w:w="2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420" w:type="dxa"/>
            <w:vAlign w:val="bottom"/>
            <w:tcBorders>
              <w:top w:val="single" w:sz="8" w:color="auto"/>
            </w:tcBorders>
            <w:shd w:val="clear" w:color="auto" w:fill="CFF0FC"/>
          </w:tcPr>
          <w:p>
            <w:pPr>
              <w:spacing w:after="0"/>
              <w:rPr>
                <w:sz w:val="10"/>
                <w:szCs w:val="10"/>
                <w:color w:val="auto"/>
              </w:rPr>
            </w:pPr>
          </w:p>
        </w:tc>
        <w:tc>
          <w:tcPr>
            <w:tcW w:w="22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480" w:type="dxa"/>
            <w:vAlign w:val="bottom"/>
            <w:tcBorders>
              <w:top w:val="single" w:sz="8" w:color="auto"/>
            </w:tcBorders>
            <w:shd w:val="clear" w:color="auto" w:fill="CFF0FC"/>
          </w:tcPr>
          <w:p>
            <w:pPr>
              <w:spacing w:after="0"/>
              <w:rPr>
                <w:sz w:val="10"/>
                <w:szCs w:val="10"/>
                <w:color w:val="auto"/>
              </w:rPr>
            </w:pPr>
          </w:p>
        </w:tc>
        <w:tc>
          <w:tcPr>
            <w:tcW w:w="22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00" w:type="dxa"/>
            <w:vAlign w:val="bottom"/>
            <w:tcBorders>
              <w:top w:val="single" w:sz="8" w:color="auto"/>
            </w:tcBorders>
            <w:shd w:val="clear" w:color="auto" w:fill="CFF0FC"/>
          </w:tcPr>
          <w:p>
            <w:pPr>
              <w:spacing w:after="0"/>
              <w:rPr>
                <w:sz w:val="10"/>
                <w:szCs w:val="10"/>
                <w:color w:val="auto"/>
              </w:rPr>
            </w:pPr>
          </w:p>
        </w:tc>
        <w:tc>
          <w:tcPr>
            <w:tcW w:w="140" w:type="dxa"/>
            <w:vAlign w:val="bottom"/>
            <w:tcBorders>
              <w:top w:val="single" w:sz="8" w:color="CFF0FC"/>
            </w:tcBorders>
            <w:shd w:val="clear" w:color="auto" w:fill="CFF0FC"/>
          </w:tcPr>
          <w:p>
            <w:pPr>
              <w:spacing w:after="0"/>
              <w:rPr>
                <w:sz w:val="10"/>
                <w:szCs w:val="10"/>
                <w:color w:val="auto"/>
              </w:rPr>
            </w:pPr>
          </w:p>
        </w:tc>
        <w:tc>
          <w:tcPr>
            <w:tcW w:w="6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480" w:type="dxa"/>
            <w:vAlign w:val="bottom"/>
            <w:tcBorders>
              <w:top w:val="single" w:sz="8" w:color="auto"/>
            </w:tcBorders>
            <w:shd w:val="clear" w:color="auto" w:fill="CFF0FC"/>
          </w:tcPr>
          <w:p>
            <w:pPr>
              <w:spacing w:after="0"/>
              <w:rPr>
                <w:sz w:val="10"/>
                <w:szCs w:val="10"/>
                <w:color w:val="auto"/>
              </w:rPr>
            </w:pPr>
          </w:p>
        </w:tc>
        <w:tc>
          <w:tcPr>
            <w:tcW w:w="22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0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44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44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00" w:type="dxa"/>
            <w:vAlign w:val="bottom"/>
            <w:tcBorders>
              <w:top w:val="single" w:sz="8" w:color="auto"/>
            </w:tcBorders>
            <w:shd w:val="clear" w:color="auto" w:fill="CFF0FC"/>
          </w:tcPr>
          <w:p>
            <w:pPr>
              <w:spacing w:after="0"/>
              <w:rPr>
                <w:sz w:val="10"/>
                <w:szCs w:val="10"/>
                <w:color w:val="auto"/>
              </w:rPr>
            </w:pPr>
          </w:p>
        </w:tc>
        <w:tc>
          <w:tcPr>
            <w:tcW w:w="22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480" w:type="dxa"/>
            <w:vAlign w:val="bottom"/>
            <w:tcBorders>
              <w:top w:val="single" w:sz="8" w:color="auto"/>
            </w:tcBorders>
            <w:shd w:val="clear" w:color="auto" w:fill="CFF0FC"/>
          </w:tcPr>
          <w:p>
            <w:pPr>
              <w:spacing w:after="0"/>
              <w:rPr>
                <w:sz w:val="10"/>
                <w:szCs w:val="10"/>
                <w:color w:val="auto"/>
              </w:rPr>
            </w:pPr>
          </w:p>
        </w:tc>
        <w:tc>
          <w:tcPr>
            <w:tcW w:w="22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00" w:type="dxa"/>
            <w:vAlign w:val="bottom"/>
            <w:tcBorders>
              <w:top w:val="single" w:sz="8" w:color="auto"/>
            </w:tcBorders>
            <w:shd w:val="clear" w:color="auto" w:fill="CFF0FC"/>
          </w:tcPr>
          <w:p>
            <w:pPr>
              <w:spacing w:after="0"/>
              <w:rPr>
                <w:sz w:val="10"/>
                <w:szCs w:val="10"/>
                <w:color w:val="auto"/>
              </w:rPr>
            </w:pPr>
          </w:p>
        </w:tc>
        <w:tc>
          <w:tcPr>
            <w:tcW w:w="6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1880" w:type="dxa"/>
            <w:vAlign w:val="bottom"/>
            <w:shd w:val="clear" w:color="auto" w:fill="CFF0FC"/>
          </w:tcPr>
          <w:p>
            <w:pPr>
              <w:ind w:left="100"/>
              <w:spacing w:after="0"/>
              <w:rPr>
                <w:sz w:val="20"/>
                <w:szCs w:val="20"/>
                <w:color w:val="auto"/>
              </w:rPr>
            </w:pPr>
            <w:r>
              <w:rPr>
                <w:rFonts w:ascii="Arial" w:cs="Arial" w:eastAsia="Arial" w:hAnsi="Arial"/>
                <w:sz w:val="11"/>
                <w:szCs w:val="11"/>
                <w:color w:val="auto"/>
              </w:rPr>
              <w:t>(in millions)</w:t>
            </w: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5,602</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5,456</w:t>
            </w:r>
          </w:p>
        </w:tc>
        <w:tc>
          <w:tcPr>
            <w:tcW w:w="180" w:type="dxa"/>
            <w:vAlign w:val="bottom"/>
            <w:shd w:val="clear" w:color="auto" w:fill="CFF0FC"/>
          </w:tcPr>
          <w:p>
            <w:pPr>
              <w:spacing w:after="0"/>
              <w:rPr>
                <w:sz w:val="11"/>
                <w:szCs w:val="11"/>
                <w:color w:val="auto"/>
              </w:rPr>
            </w:pPr>
          </w:p>
        </w:tc>
        <w:tc>
          <w:tcPr>
            <w:tcW w:w="10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w w:val="97"/>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5,339</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jc w:val="right"/>
              <w:ind w:right="17"/>
              <w:spacing w:after="0"/>
              <w:rPr>
                <w:sz w:val="20"/>
                <w:szCs w:val="20"/>
                <w:color w:val="auto"/>
              </w:rPr>
            </w:pPr>
            <w:r>
              <w:rPr>
                <w:rFonts w:ascii="Arial" w:cs="Arial" w:eastAsia="Arial" w:hAnsi="Arial"/>
                <w:sz w:val="5"/>
                <w:szCs w:val="5"/>
                <w:color w:val="auto"/>
                <w:w w:val="70"/>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26,573</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25,592</w:t>
            </w:r>
          </w:p>
        </w:tc>
        <w:tc>
          <w:tcPr>
            <w:tcW w:w="140" w:type="dxa"/>
            <w:vAlign w:val="bottom"/>
            <w:shd w:val="clear" w:color="auto" w:fill="CFF0FC"/>
          </w:tcPr>
          <w:p>
            <w:pPr>
              <w:spacing w:after="0"/>
              <w:rPr>
                <w:sz w:val="11"/>
                <w:szCs w:val="11"/>
                <w:color w:val="auto"/>
              </w:rPr>
            </w:pPr>
          </w:p>
        </w:tc>
        <w:tc>
          <w:tcPr>
            <w:tcW w:w="16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24,143</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22,741</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1"/>
                <w:szCs w:val="11"/>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21,131</w:t>
            </w:r>
          </w:p>
        </w:tc>
        <w:tc>
          <w:tcPr>
            <w:tcW w:w="120" w:type="dxa"/>
            <w:vAlign w:val="bottom"/>
            <w:shd w:val="clear" w:color="auto" w:fill="CFF0FC"/>
          </w:tcPr>
          <w:p>
            <w:pPr>
              <w:spacing w:after="0"/>
              <w:rPr>
                <w:sz w:val="11"/>
                <w:szCs w:val="11"/>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18,827</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37,203</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jc w:val="right"/>
              <w:ind w:right="17"/>
              <w:spacing w:after="0"/>
              <w:rPr>
                <w:sz w:val="20"/>
                <w:szCs w:val="20"/>
                <w:color w:val="auto"/>
              </w:rPr>
            </w:pPr>
            <w:r>
              <w:rPr>
                <w:rFonts w:ascii="Arial" w:cs="Arial" w:eastAsia="Arial" w:hAnsi="Arial"/>
                <w:sz w:val="5"/>
                <w:szCs w:val="5"/>
                <w:color w:val="auto"/>
                <w:w w:val="70"/>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40,867</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26,648</w:t>
            </w:r>
          </w:p>
        </w:tc>
        <w:tc>
          <w:tcPr>
            <w:tcW w:w="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8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1"/>
                <w:szCs w:val="11"/>
                <w:color w:val="auto"/>
              </w:rPr>
              <w:t>Capital expenditures</w:t>
            </w:r>
          </w:p>
        </w:tc>
        <w:tc>
          <w:tcPr>
            <w:tcW w:w="5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1880" w:type="dxa"/>
            <w:vAlign w:val="bottom"/>
            <w:vMerge w:val="continue"/>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1880" w:type="dxa"/>
            <w:vAlign w:val="bottom"/>
          </w:tcPr>
          <w:p>
            <w:pPr>
              <w:ind w:left="100"/>
              <w:spacing w:after="0"/>
              <w:rPr>
                <w:sz w:val="20"/>
                <w:szCs w:val="20"/>
                <w:color w:val="auto"/>
              </w:rPr>
            </w:pPr>
            <w:r>
              <w:rPr>
                <w:rFonts w:ascii="Arial" w:cs="Arial" w:eastAsia="Arial" w:hAnsi="Arial"/>
                <w:sz w:val="11"/>
                <w:szCs w:val="11"/>
                <w:color w:val="auto"/>
              </w:rPr>
              <w:t>(in millions)</w:t>
            </w:r>
          </w:p>
        </w:tc>
        <w:tc>
          <w:tcPr>
            <w:tcW w:w="54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3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gridSpan w:val="2"/>
          </w:tcPr>
          <w:p>
            <w:pPr>
              <w:jc w:val="right"/>
              <w:ind w:right="20"/>
              <w:spacing w:after="0"/>
              <w:rPr>
                <w:sz w:val="20"/>
                <w:szCs w:val="20"/>
                <w:color w:val="auto"/>
              </w:rPr>
            </w:pPr>
            <w:r>
              <w:rPr>
                <w:rFonts w:ascii="Arial" w:cs="Arial" w:eastAsia="Arial" w:hAnsi="Arial"/>
                <w:sz w:val="11"/>
                <w:szCs w:val="11"/>
                <w:color w:val="auto"/>
                <w:w w:val="97"/>
              </w:rPr>
              <w:t>$</w:t>
            </w:r>
          </w:p>
        </w:tc>
        <w:tc>
          <w:tcPr>
            <w:tcW w:w="6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jc w:val="right"/>
              <w:ind w:right="17"/>
              <w:spacing w:after="0"/>
              <w:rPr>
                <w:sz w:val="20"/>
                <w:szCs w:val="20"/>
                <w:color w:val="auto"/>
              </w:rPr>
            </w:pPr>
            <w:r>
              <w:rPr>
                <w:rFonts w:ascii="Arial" w:cs="Arial" w:eastAsia="Arial" w:hAnsi="Arial"/>
                <w:sz w:val="5"/>
                <w:szCs w:val="5"/>
                <w:color w:val="auto"/>
                <w:w w:val="70"/>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1</w:t>
            </w:r>
          </w:p>
        </w:tc>
        <w:tc>
          <w:tcPr>
            <w:tcW w:w="200" w:type="dxa"/>
            <w:vAlign w:val="bottom"/>
          </w:tcPr>
          <w:p>
            <w:pPr>
              <w:spacing w:after="0"/>
              <w:rPr>
                <w:sz w:val="11"/>
                <w:szCs w:val="11"/>
                <w:color w:val="auto"/>
              </w:rPr>
            </w:pPr>
          </w:p>
        </w:tc>
        <w:tc>
          <w:tcPr>
            <w:tcW w:w="100" w:type="dxa"/>
            <w:vAlign w:val="bottom"/>
          </w:tcPr>
          <w:p>
            <w:pPr>
              <w:spacing w:after="0"/>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0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jc w:val="right"/>
              <w:ind w:right="17"/>
              <w:spacing w:after="0"/>
              <w:rPr>
                <w:sz w:val="20"/>
                <w:szCs w:val="20"/>
                <w:color w:val="auto"/>
              </w:rPr>
            </w:pPr>
            <w:r>
              <w:rPr>
                <w:rFonts w:ascii="Arial" w:cs="Arial" w:eastAsia="Arial" w:hAnsi="Arial"/>
                <w:sz w:val="5"/>
                <w:szCs w:val="5"/>
                <w:color w:val="auto"/>
                <w:w w:val="70"/>
              </w:rPr>
              <w:t>$</w:t>
            </w:r>
          </w:p>
        </w:tc>
        <w:tc>
          <w:tcPr>
            <w:tcW w:w="7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8"/>
        </w:trPr>
        <w:tc>
          <w:tcPr>
            <w:tcW w:w="1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gridSpan w:val="7"/>
            <w:vMerge w:val="restart"/>
          </w:tcPr>
          <w:p>
            <w:pPr>
              <w:jc w:val="right"/>
              <w:ind w:right="20"/>
              <w:spacing w:after="0"/>
              <w:rPr>
                <w:sz w:val="20"/>
                <w:szCs w:val="20"/>
                <w:color w:val="auto"/>
              </w:rPr>
            </w:pPr>
            <w:r>
              <w:rPr>
                <w:rFonts w:ascii="Arial" w:cs="Arial" w:eastAsia="Arial" w:hAnsi="Arial"/>
                <w:sz w:val="11"/>
                <w:szCs w:val="11"/>
                <w:b w:val="1"/>
                <w:bCs w:val="1"/>
                <w:color w:val="auto"/>
              </w:rPr>
              <w:t>Residential Mortgage</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940" w:type="dxa"/>
            <w:vAlign w:val="bottom"/>
            <w:gridSpan w:val="12"/>
          </w:tcPr>
          <w:p>
            <w:pPr>
              <w:jc w:val="right"/>
              <w:ind w:right="120"/>
              <w:spacing w:after="0"/>
              <w:rPr>
                <w:sz w:val="20"/>
                <w:szCs w:val="20"/>
                <w:color w:val="auto"/>
              </w:rPr>
            </w:pPr>
            <w:r>
              <w:rPr>
                <w:rFonts w:ascii="Arial" w:cs="Arial" w:eastAsia="Arial" w:hAnsi="Arial"/>
                <w:sz w:val="11"/>
                <w:szCs w:val="11"/>
                <w:b w:val="1"/>
                <w:bCs w:val="1"/>
                <w:color w:val="auto"/>
                <w:w w:val="96"/>
              </w:rPr>
              <w:t>For the Years Ended December 31, 2017, 2016 and 2015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8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20" w:type="dxa"/>
            <w:vAlign w:val="bottom"/>
            <w:gridSpan w:val="7"/>
            <w:vMerge w:val="continue"/>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1"/>
                <w:szCs w:val="11"/>
                <w:b w:val="1"/>
                <w:bCs w:val="1"/>
                <w:color w:val="auto"/>
                <w:w w:val="96"/>
              </w:rPr>
              <w:t>Banking</w:t>
            </w: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4"/>
          </w:tcPr>
          <w:p>
            <w:pPr>
              <w:jc w:val="center"/>
              <w:ind w:left="3"/>
              <w:spacing w:after="0"/>
              <w:rPr>
                <w:sz w:val="20"/>
                <w:szCs w:val="20"/>
                <w:color w:val="auto"/>
              </w:rPr>
            </w:pPr>
            <w:r>
              <w:rPr>
                <w:rFonts w:ascii="Arial" w:cs="Arial" w:eastAsia="Arial" w:hAnsi="Arial"/>
                <w:sz w:val="11"/>
                <w:szCs w:val="11"/>
                <w:b w:val="1"/>
                <w:bCs w:val="1"/>
                <w:color w:val="auto"/>
                <w:w w:val="94"/>
              </w:rPr>
              <w:t>Retail Banking</w:t>
            </w: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3"/>
          </w:tcPr>
          <w:p>
            <w:pPr>
              <w:ind w:left="20"/>
              <w:spacing w:after="0"/>
              <w:rPr>
                <w:sz w:val="20"/>
                <w:szCs w:val="20"/>
                <w:color w:val="auto"/>
              </w:rPr>
            </w:pPr>
            <w:r>
              <w:rPr>
                <w:rFonts w:ascii="Arial" w:cs="Arial" w:eastAsia="Arial" w:hAnsi="Arial"/>
                <w:sz w:val="11"/>
                <w:szCs w:val="11"/>
                <w:b w:val="1"/>
                <w:bCs w:val="1"/>
                <w:color w:val="auto"/>
              </w:rPr>
              <w:t>All Other</w:t>
            </w: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ind w:left="60"/>
              <w:spacing w:after="0"/>
              <w:rPr>
                <w:sz w:val="20"/>
                <w:szCs w:val="20"/>
                <w:color w:val="auto"/>
              </w:rPr>
            </w:pPr>
            <w:r>
              <w:rPr>
                <w:rFonts w:ascii="Arial" w:cs="Arial" w:eastAsia="Arial" w:hAnsi="Arial"/>
                <w:sz w:val="11"/>
                <w:szCs w:val="11"/>
                <w:b w:val="1"/>
                <w:bCs w:val="1"/>
                <w:color w:val="auto"/>
              </w:rPr>
              <w:t>Total</w:t>
            </w: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880" w:type="dxa"/>
            <w:vAlign w:val="bottom"/>
            <w:tcBorders>
              <w:bottom w:val="single" w:sz="8" w:color="CFF0FC"/>
            </w:tcBorders>
          </w:tcPr>
          <w:p>
            <w:pPr>
              <w:spacing w:after="0"/>
              <w:rPr>
                <w:sz w:val="11"/>
                <w:szCs w:val="11"/>
                <w:color w:val="auto"/>
              </w:rPr>
            </w:pPr>
          </w:p>
        </w:tc>
        <w:tc>
          <w:tcPr>
            <w:tcW w:w="54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rPr>
              <w:t>2017</w:t>
            </w:r>
          </w:p>
        </w:tc>
        <w:tc>
          <w:tcPr>
            <w:tcW w:w="22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center"/>
              <w:ind w:right="63"/>
              <w:spacing w:after="0"/>
              <w:rPr>
                <w:sz w:val="20"/>
                <w:szCs w:val="20"/>
                <w:color w:val="auto"/>
              </w:rPr>
            </w:pPr>
            <w:r>
              <w:rPr>
                <w:rFonts w:ascii="Arial" w:cs="Arial" w:eastAsia="Arial" w:hAnsi="Arial"/>
                <w:sz w:val="11"/>
                <w:szCs w:val="11"/>
                <w:b w:val="1"/>
                <w:bCs w:val="1"/>
                <w:color w:val="auto"/>
                <w:w w:val="89"/>
              </w:rPr>
              <w:t>2016</w:t>
            </w:r>
          </w:p>
        </w:tc>
        <w:tc>
          <w:tcPr>
            <w:tcW w:w="180" w:type="dxa"/>
            <w:vAlign w:val="bottom"/>
            <w:tcBorders>
              <w:bottom w:val="single" w:sz="8" w:color="CFF0FC"/>
            </w:tcBorders>
          </w:tcPr>
          <w:p>
            <w:pPr>
              <w:spacing w:after="0"/>
              <w:rPr>
                <w:sz w:val="11"/>
                <w:szCs w:val="11"/>
                <w:color w:val="auto"/>
              </w:rPr>
            </w:pPr>
          </w:p>
        </w:tc>
        <w:tc>
          <w:tcPr>
            <w:tcW w:w="2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rPr>
              <w:t>2015</w:t>
            </w:r>
          </w:p>
        </w:tc>
        <w:tc>
          <w:tcPr>
            <w:tcW w:w="22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rPr>
              <w:t>2017</w:t>
            </w:r>
          </w:p>
        </w:tc>
        <w:tc>
          <w:tcPr>
            <w:tcW w:w="22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center"/>
              <w:ind w:right="43"/>
              <w:spacing w:after="0"/>
              <w:rPr>
                <w:sz w:val="20"/>
                <w:szCs w:val="20"/>
                <w:color w:val="auto"/>
              </w:rPr>
            </w:pPr>
            <w:r>
              <w:rPr>
                <w:rFonts w:ascii="Arial" w:cs="Arial" w:eastAsia="Arial" w:hAnsi="Arial"/>
                <w:sz w:val="11"/>
                <w:szCs w:val="11"/>
                <w:b w:val="1"/>
                <w:bCs w:val="1"/>
                <w:color w:val="auto"/>
                <w:w w:val="97"/>
              </w:rPr>
              <w:t>2016</w:t>
            </w:r>
          </w:p>
        </w:tc>
        <w:tc>
          <w:tcPr>
            <w:tcW w:w="140" w:type="dxa"/>
            <w:vAlign w:val="bottom"/>
            <w:tcBorders>
              <w:bottom w:val="single" w:sz="8" w:color="CFF0FC"/>
            </w:tcBorders>
          </w:tcPr>
          <w:p>
            <w:pPr>
              <w:spacing w:after="0"/>
              <w:rPr>
                <w:sz w:val="11"/>
                <w:szCs w:val="11"/>
                <w:color w:val="auto"/>
              </w:rPr>
            </w:pPr>
          </w:p>
        </w:tc>
        <w:tc>
          <w:tcPr>
            <w:tcW w:w="6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rPr>
              <w:t>2015</w:t>
            </w:r>
          </w:p>
        </w:tc>
        <w:tc>
          <w:tcPr>
            <w:tcW w:w="22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rPr>
              <w:t>2017</w:t>
            </w:r>
          </w:p>
        </w:tc>
        <w:tc>
          <w:tcPr>
            <w:tcW w:w="20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2016</w:t>
            </w:r>
          </w:p>
        </w:tc>
        <w:tc>
          <w:tcPr>
            <w:tcW w:w="120" w:type="dxa"/>
            <w:vAlign w:val="bottom"/>
            <w:tcBorders>
              <w:bottom w:val="single" w:sz="8" w:color="CFF0FC"/>
            </w:tcBorders>
          </w:tcPr>
          <w:p>
            <w:pPr>
              <w:spacing w:after="0"/>
              <w:rPr>
                <w:sz w:val="11"/>
                <w:szCs w:val="11"/>
                <w:color w:val="auto"/>
              </w:rPr>
            </w:pPr>
          </w:p>
        </w:tc>
        <w:tc>
          <w:tcPr>
            <w:tcW w:w="10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2015</w:t>
            </w:r>
          </w:p>
        </w:tc>
        <w:tc>
          <w:tcPr>
            <w:tcW w:w="20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rPr>
              <w:t>2017</w:t>
            </w:r>
          </w:p>
        </w:tc>
        <w:tc>
          <w:tcPr>
            <w:tcW w:w="22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rPr>
              <w:t>2016</w:t>
            </w:r>
          </w:p>
        </w:tc>
        <w:tc>
          <w:tcPr>
            <w:tcW w:w="22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rPr>
              <w:t>2015</w:t>
            </w:r>
          </w:p>
        </w:tc>
        <w:tc>
          <w:tcPr>
            <w:tcW w:w="6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880" w:type="dxa"/>
            <w:vAlign w:val="bottom"/>
            <w:shd w:val="clear" w:color="auto" w:fill="CFF0FC"/>
          </w:tcPr>
          <w:p>
            <w:pPr>
              <w:spacing w:after="0"/>
              <w:rPr>
                <w:sz w:val="20"/>
                <w:szCs w:val="20"/>
                <w:color w:val="auto"/>
              </w:rPr>
            </w:pPr>
            <w:r>
              <w:rPr>
                <w:rFonts w:ascii="Arial" w:cs="Arial" w:eastAsia="Arial" w:hAnsi="Arial"/>
                <w:sz w:val="11"/>
                <w:szCs w:val="11"/>
                <w:color w:val="auto"/>
              </w:rPr>
              <w:t>Net interest income(a)</w:t>
            </w: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30,328</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29,809</w:t>
            </w:r>
          </w:p>
        </w:tc>
        <w:tc>
          <w:tcPr>
            <w:tcW w:w="180" w:type="dxa"/>
            <w:vAlign w:val="bottom"/>
            <w:shd w:val="clear" w:color="auto" w:fill="CFF0FC"/>
          </w:tcPr>
          <w:p>
            <w:pPr>
              <w:spacing w:after="0"/>
              <w:rPr>
                <w:sz w:val="11"/>
                <w:szCs w:val="11"/>
                <w:color w:val="auto"/>
              </w:rPr>
            </w:pPr>
          </w:p>
        </w:tc>
        <w:tc>
          <w:tcPr>
            <w:tcW w:w="10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w w:val="97"/>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39,969</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jc w:val="right"/>
              <w:ind w:right="17"/>
              <w:spacing w:after="0"/>
              <w:rPr>
                <w:sz w:val="20"/>
                <w:szCs w:val="20"/>
                <w:color w:val="auto"/>
              </w:rPr>
            </w:pPr>
            <w:r>
              <w:rPr>
                <w:rFonts w:ascii="Arial" w:cs="Arial" w:eastAsia="Arial" w:hAnsi="Arial"/>
                <w:sz w:val="5"/>
                <w:szCs w:val="5"/>
                <w:color w:val="auto"/>
                <w:w w:val="70"/>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3"/>
              </w:rPr>
              <w:t>1,210,066</w:t>
            </w:r>
          </w:p>
        </w:tc>
        <w:tc>
          <w:tcPr>
            <w:tcW w:w="800" w:type="dxa"/>
            <w:vAlign w:val="bottom"/>
            <w:gridSpan w:val="3"/>
            <w:shd w:val="clear" w:color="auto" w:fill="CFF0FC"/>
          </w:tcPr>
          <w:p>
            <w:pPr>
              <w:jc w:val="right"/>
              <w:spacing w:after="0"/>
              <w:rPr>
                <w:sz w:val="20"/>
                <w:szCs w:val="20"/>
                <w:color w:val="auto"/>
              </w:rPr>
            </w:pPr>
            <w:r>
              <w:rPr>
                <w:rFonts w:ascii="Arial" w:cs="Arial" w:eastAsia="Arial" w:hAnsi="Arial"/>
                <w:sz w:val="11"/>
                <w:szCs w:val="11"/>
                <w:color w:val="auto"/>
              </w:rPr>
              <w:t>$ 1,107,388</w:t>
            </w:r>
          </w:p>
        </w:tc>
        <w:tc>
          <w:tcPr>
            <w:tcW w:w="140" w:type="dxa"/>
            <w:vAlign w:val="bottom"/>
            <w:shd w:val="clear" w:color="auto" w:fill="CFF0FC"/>
          </w:tcPr>
          <w:p>
            <w:pPr>
              <w:spacing w:after="0"/>
              <w:rPr>
                <w:sz w:val="11"/>
                <w:szCs w:val="11"/>
                <w:color w:val="auto"/>
              </w:rPr>
            </w:pPr>
          </w:p>
        </w:tc>
        <w:tc>
          <w:tcPr>
            <w:tcW w:w="16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951,740</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410,928</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1"/>
                <w:szCs w:val="11"/>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221,151</w:t>
            </w:r>
          </w:p>
        </w:tc>
        <w:tc>
          <w:tcPr>
            <w:tcW w:w="120" w:type="dxa"/>
            <w:vAlign w:val="bottom"/>
            <w:shd w:val="clear" w:color="auto" w:fill="CFF0FC"/>
          </w:tcPr>
          <w:p>
            <w:pPr>
              <w:spacing w:after="0"/>
              <w:rPr>
                <w:sz w:val="11"/>
                <w:szCs w:val="11"/>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64,590</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3"/>
              </w:rPr>
              <w:t>3,781,044</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jc w:val="right"/>
              <w:ind w:right="17"/>
              <w:spacing w:after="0"/>
              <w:rPr>
                <w:sz w:val="20"/>
                <w:szCs w:val="20"/>
                <w:color w:val="auto"/>
              </w:rPr>
            </w:pPr>
            <w:r>
              <w:rPr>
                <w:rFonts w:ascii="Arial" w:cs="Arial" w:eastAsia="Arial" w:hAnsi="Arial"/>
                <w:sz w:val="5"/>
                <w:szCs w:val="5"/>
                <w:color w:val="auto"/>
                <w:w w:val="70"/>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3"/>
              </w:rPr>
              <w:t>3,469,887</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3"/>
              </w:rPr>
              <w:t>2,842,587</w:t>
            </w:r>
          </w:p>
        </w:tc>
        <w:tc>
          <w:tcPr>
            <w:tcW w:w="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880" w:type="dxa"/>
            <w:vAlign w:val="bottom"/>
            <w:tcBorders>
              <w:bottom w:val="single" w:sz="8" w:color="CFF0FC"/>
            </w:tcBorders>
          </w:tcPr>
          <w:p>
            <w:pPr>
              <w:spacing w:after="0"/>
              <w:rPr>
                <w:sz w:val="20"/>
                <w:szCs w:val="20"/>
                <w:color w:val="auto"/>
              </w:rPr>
            </w:pPr>
            <w:r>
              <w:rPr>
                <w:rFonts w:ascii="Arial" w:cs="Arial" w:eastAsia="Arial" w:hAnsi="Arial"/>
                <w:sz w:val="11"/>
                <w:szCs w:val="11"/>
                <w:color w:val="auto"/>
              </w:rPr>
              <w:t>Noninterest income</w:t>
            </w:r>
          </w:p>
        </w:tc>
        <w:tc>
          <w:tcPr>
            <w:tcW w:w="54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5"/>
              </w:rPr>
              <w:t>321,589</w:t>
            </w:r>
          </w:p>
        </w:tc>
        <w:tc>
          <w:tcPr>
            <w:tcW w:w="22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5"/>
              </w:rPr>
              <w:t>342,858</w:t>
            </w:r>
          </w:p>
        </w:tc>
        <w:tc>
          <w:tcPr>
            <w:tcW w:w="180" w:type="dxa"/>
            <w:vAlign w:val="bottom"/>
            <w:tcBorders>
              <w:bottom w:val="single" w:sz="8" w:color="CFF0FC"/>
            </w:tcBorders>
          </w:tcPr>
          <w:p>
            <w:pPr>
              <w:spacing w:after="0"/>
              <w:rPr>
                <w:sz w:val="12"/>
                <w:szCs w:val="12"/>
                <w:color w:val="auto"/>
              </w:rPr>
            </w:pPr>
          </w:p>
        </w:tc>
        <w:tc>
          <w:tcPr>
            <w:tcW w:w="2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5"/>
              </w:rPr>
              <w:t>336,099</w:t>
            </w:r>
          </w:p>
        </w:tc>
        <w:tc>
          <w:tcPr>
            <w:tcW w:w="22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329,833</w:t>
            </w:r>
          </w:p>
        </w:tc>
        <w:tc>
          <w:tcPr>
            <w:tcW w:w="22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323,176</w:t>
            </w:r>
          </w:p>
        </w:tc>
        <w:tc>
          <w:tcPr>
            <w:tcW w:w="140" w:type="dxa"/>
            <w:vAlign w:val="bottom"/>
            <w:tcBorders>
              <w:bottom w:val="single" w:sz="8" w:color="CFF0FC"/>
            </w:tcBorders>
          </w:tcPr>
          <w:p>
            <w:pPr>
              <w:spacing w:after="0"/>
              <w:rPr>
                <w:sz w:val="12"/>
                <w:szCs w:val="12"/>
                <w:color w:val="auto"/>
              </w:rPr>
            </w:pPr>
          </w:p>
        </w:tc>
        <w:tc>
          <w:tcPr>
            <w:tcW w:w="6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324,953</w:t>
            </w:r>
          </w:p>
        </w:tc>
        <w:tc>
          <w:tcPr>
            <w:tcW w:w="22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609,945</w:t>
            </w:r>
          </w:p>
        </w:tc>
        <w:tc>
          <w:tcPr>
            <w:tcW w:w="20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570,475</w:t>
            </w:r>
          </w:p>
        </w:tc>
        <w:tc>
          <w:tcPr>
            <w:tcW w:w="12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594,586</w:t>
            </w:r>
          </w:p>
        </w:tc>
        <w:tc>
          <w:tcPr>
            <w:tcW w:w="20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3"/>
              </w:rPr>
              <w:t>1,851,143</w:t>
            </w:r>
          </w:p>
        </w:tc>
        <w:tc>
          <w:tcPr>
            <w:tcW w:w="22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3"/>
              </w:rPr>
              <w:t>1,825,996</w:t>
            </w:r>
          </w:p>
        </w:tc>
        <w:tc>
          <w:tcPr>
            <w:tcW w:w="22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3"/>
              </w:rPr>
              <w:t>1,825,037</w:t>
            </w:r>
          </w:p>
        </w:tc>
        <w:tc>
          <w:tcPr>
            <w:tcW w:w="6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8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5"/>
              </w:rPr>
              <w:t>351,917</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5"/>
              </w:rPr>
              <w:t>372,667</w:t>
            </w:r>
          </w:p>
        </w:tc>
        <w:tc>
          <w:tcPr>
            <w:tcW w:w="1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5"/>
              </w:rPr>
              <w:t>376,068</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3"/>
              </w:rPr>
              <w:t>1,539,899</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3"/>
              </w:rPr>
              <w:t>1,430,564</w:t>
            </w:r>
          </w:p>
        </w:tc>
        <w:tc>
          <w:tcPr>
            <w:tcW w:w="1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3"/>
              </w:rPr>
              <w:t>1,276,693</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3"/>
              </w:rPr>
              <w:t>1,020,873</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791,626</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659,176</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3"/>
              </w:rPr>
              <w:t>5,632,187</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3"/>
              </w:rPr>
              <w:t>5,295,883</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3"/>
              </w:rPr>
              <w:t>4,667,624</w:t>
            </w:r>
          </w:p>
        </w:tc>
        <w:tc>
          <w:tcPr>
            <w:tcW w:w="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880" w:type="dxa"/>
            <w:vAlign w:val="bottom"/>
          </w:tcPr>
          <w:p>
            <w:pPr>
              <w:spacing w:after="0"/>
              <w:rPr>
                <w:sz w:val="20"/>
                <w:szCs w:val="20"/>
                <w:color w:val="auto"/>
              </w:rPr>
            </w:pPr>
            <w:r>
              <w:rPr>
                <w:rFonts w:ascii="Arial" w:cs="Arial" w:eastAsia="Arial" w:hAnsi="Arial"/>
                <w:sz w:val="11"/>
                <w:szCs w:val="11"/>
                <w:color w:val="auto"/>
              </w:rPr>
              <w:t>Provision for credit losses</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1,254</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1"/>
                <w:szCs w:val="11"/>
                <w:color w:val="auto"/>
              </w:rPr>
              <w:t>(3,617)</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1"/>
                <w:szCs w:val="11"/>
                <w:color w:val="auto"/>
              </w:rPr>
              <w:t>(5,225)</w:t>
            </w: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107,412</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120,437</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72,953</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8,265</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1"/>
                <w:szCs w:val="11"/>
                <w:color w:val="auto"/>
              </w:rPr>
              <w:t>(3,910)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62,074</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168,000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190,000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170,000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880" w:type="dxa"/>
            <w:vAlign w:val="bottom"/>
            <w:shd w:val="clear" w:color="auto" w:fill="CFF0FC"/>
          </w:tcPr>
          <w:p>
            <w:pPr>
              <w:spacing w:after="0"/>
              <w:rPr>
                <w:sz w:val="20"/>
                <w:szCs w:val="20"/>
                <w:color w:val="auto"/>
              </w:rPr>
            </w:pPr>
            <w:r>
              <w:rPr>
                <w:rFonts w:ascii="Arial" w:cs="Arial" w:eastAsia="Arial" w:hAnsi="Arial"/>
                <w:sz w:val="11"/>
                <w:szCs w:val="11"/>
                <w:color w:val="auto"/>
              </w:rPr>
              <w:t>Amortization of core deposit</w:t>
            </w:r>
          </w:p>
        </w:tc>
        <w:tc>
          <w:tcPr>
            <w:tcW w:w="5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880" w:type="dxa"/>
            <w:vAlign w:val="bottom"/>
            <w:shd w:val="clear" w:color="auto" w:fill="CFF0FC"/>
          </w:tcPr>
          <w:p>
            <w:pPr>
              <w:ind w:left="100"/>
              <w:spacing w:after="0"/>
              <w:rPr>
                <w:sz w:val="20"/>
                <w:szCs w:val="20"/>
                <w:color w:val="auto"/>
              </w:rPr>
            </w:pPr>
            <w:r>
              <w:rPr>
                <w:rFonts w:ascii="Arial" w:cs="Arial" w:eastAsia="Arial" w:hAnsi="Arial"/>
                <w:sz w:val="11"/>
                <w:szCs w:val="11"/>
                <w:color w:val="auto"/>
              </w:rPr>
              <w:t>and other intangible assets</w:t>
            </w:r>
          </w:p>
        </w:tc>
        <w:tc>
          <w:tcPr>
            <w:tcW w:w="5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30,306</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42,613</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26,424</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31,366</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42,613</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26,424</w:t>
            </w:r>
          </w:p>
        </w:tc>
        <w:tc>
          <w:tcPr>
            <w:tcW w:w="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880" w:type="dxa"/>
            <w:vAlign w:val="bottom"/>
          </w:tcPr>
          <w:p>
            <w:pPr>
              <w:spacing w:after="0"/>
              <w:rPr>
                <w:sz w:val="20"/>
                <w:szCs w:val="20"/>
                <w:color w:val="auto"/>
              </w:rPr>
            </w:pPr>
            <w:r>
              <w:rPr>
                <w:rFonts w:ascii="Arial" w:cs="Arial" w:eastAsia="Arial" w:hAnsi="Arial"/>
                <w:sz w:val="11"/>
                <w:szCs w:val="11"/>
                <w:color w:val="auto"/>
              </w:rPr>
              <w:t>Depreciation and other</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880" w:type="dxa"/>
            <w:vAlign w:val="bottom"/>
          </w:tcPr>
          <w:p>
            <w:pPr>
              <w:ind w:left="100"/>
              <w:spacing w:after="0"/>
              <w:rPr>
                <w:sz w:val="20"/>
                <w:szCs w:val="20"/>
                <w:color w:val="auto"/>
              </w:rPr>
            </w:pPr>
            <w:r>
              <w:rPr>
                <w:rFonts w:ascii="Arial" w:cs="Arial" w:eastAsia="Arial" w:hAnsi="Arial"/>
                <w:sz w:val="11"/>
                <w:szCs w:val="11"/>
                <w:color w:val="auto"/>
              </w:rPr>
              <w:t>amortization</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32,011</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30,264</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27,883</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38,234</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37,657</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35,291</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69,923</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68,541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64,852</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165,759</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157,978</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148,925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880" w:type="dxa"/>
            <w:vAlign w:val="bottom"/>
            <w:shd w:val="clear" w:color="auto" w:fill="CFF0FC"/>
          </w:tcPr>
          <w:p>
            <w:pPr>
              <w:spacing w:after="0"/>
              <w:rPr>
                <w:sz w:val="20"/>
                <w:szCs w:val="20"/>
                <w:color w:val="auto"/>
              </w:rPr>
            </w:pPr>
            <w:r>
              <w:rPr>
                <w:rFonts w:ascii="Arial" w:cs="Arial" w:eastAsia="Arial" w:hAnsi="Arial"/>
                <w:sz w:val="11"/>
                <w:szCs w:val="11"/>
                <w:color w:val="auto"/>
              </w:rPr>
              <w:t>Other noninterest expense</w:t>
            </w:r>
          </w:p>
        </w:tc>
        <w:tc>
          <w:tcPr>
            <w:tcW w:w="540" w:type="dxa"/>
            <w:vAlign w:val="bottom"/>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w w:val="95"/>
              </w:rPr>
              <w:t>247,639</w:t>
            </w:r>
          </w:p>
        </w:tc>
        <w:tc>
          <w:tcPr>
            <w:tcW w:w="220" w:type="dxa"/>
            <w:vAlign w:val="bottom"/>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w w:val="95"/>
              </w:rPr>
              <w:t>258,141</w:t>
            </w:r>
          </w:p>
        </w:tc>
        <w:tc>
          <w:tcPr>
            <w:tcW w:w="1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w w:val="95"/>
              </w:rPr>
              <w:t>233,651</w:t>
            </w:r>
          </w:p>
        </w:tc>
        <w:tc>
          <w:tcPr>
            <w:tcW w:w="220" w:type="dxa"/>
            <w:vAlign w:val="bottom"/>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758,153</w:t>
            </w:r>
          </w:p>
        </w:tc>
        <w:tc>
          <w:tcPr>
            <w:tcW w:w="220" w:type="dxa"/>
            <w:vAlign w:val="bottom"/>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776,123</w:t>
            </w:r>
          </w:p>
        </w:tc>
        <w:tc>
          <w:tcPr>
            <w:tcW w:w="1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682,594</w:t>
            </w:r>
          </w:p>
        </w:tc>
        <w:tc>
          <w:tcPr>
            <w:tcW w:w="220" w:type="dxa"/>
            <w:vAlign w:val="bottom"/>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w w:val="93"/>
              </w:rPr>
              <w:t>1,019,465</w:t>
            </w:r>
          </w:p>
        </w:tc>
        <w:tc>
          <w:tcPr>
            <w:tcW w:w="200" w:type="dxa"/>
            <w:vAlign w:val="bottom"/>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892,625</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959,345</w:t>
            </w:r>
          </w:p>
        </w:tc>
        <w:tc>
          <w:tcPr>
            <w:tcW w:w="200" w:type="dxa"/>
            <w:vAlign w:val="bottom"/>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w w:val="93"/>
              </w:rPr>
              <w:t>2,943,200</w:t>
            </w:r>
          </w:p>
        </w:tc>
        <w:tc>
          <w:tcPr>
            <w:tcW w:w="220" w:type="dxa"/>
            <w:vAlign w:val="bottom"/>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w w:val="93"/>
              </w:rPr>
              <w:t>2,846,894</w:t>
            </w:r>
          </w:p>
        </w:tc>
        <w:tc>
          <w:tcPr>
            <w:tcW w:w="220" w:type="dxa"/>
            <w:vAlign w:val="bottom"/>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w w:val="93"/>
              </w:rPr>
              <w:t>2,647,583</w:t>
            </w: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880" w:type="dxa"/>
            <w:vAlign w:val="bottom"/>
          </w:tcPr>
          <w:p>
            <w:pPr>
              <w:spacing w:after="0"/>
              <w:rPr>
                <w:sz w:val="20"/>
                <w:szCs w:val="20"/>
                <w:color w:val="auto"/>
              </w:rPr>
            </w:pPr>
            <w:r>
              <w:rPr>
                <w:rFonts w:ascii="Arial" w:cs="Arial" w:eastAsia="Arial" w:hAnsi="Arial"/>
                <w:sz w:val="11"/>
                <w:szCs w:val="11"/>
                <w:color w:val="auto"/>
              </w:rPr>
              <w:t>Income (loss) before taxes</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71,013</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87,879</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w w:val="95"/>
              </w:rPr>
              <w:t>119,759</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636,100</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496,347</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485,855</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(107,086)</w:t>
            </w:r>
          </w:p>
        </w:tc>
        <w:tc>
          <w:tcPr>
            <w:tcW w:w="100" w:type="dxa"/>
            <w:vAlign w:val="bottom"/>
          </w:tcPr>
          <w:p>
            <w:pPr>
              <w:spacing w:after="0"/>
              <w:rPr>
                <w:sz w:val="11"/>
                <w:szCs w:val="11"/>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1"/>
                <w:szCs w:val="11"/>
                <w:color w:val="auto"/>
                <w:w w:val="97"/>
              </w:rPr>
              <w:t>(208,243)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1"/>
                <w:szCs w:val="11"/>
                <w:color w:val="auto"/>
                <w:w w:val="97"/>
              </w:rPr>
              <w:t>(453,519)</w:t>
            </w: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w w:val="93"/>
              </w:rPr>
              <w:t>2,323,862</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w w:val="93"/>
              </w:rPr>
              <w:t>2,058,398</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w w:val="93"/>
              </w:rPr>
              <w:t>1,674,692</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880" w:type="dxa"/>
            <w:vAlign w:val="bottom"/>
            <w:shd w:val="clear" w:color="auto" w:fill="CFF0FC"/>
          </w:tcPr>
          <w:p>
            <w:pPr>
              <w:spacing w:after="0"/>
              <w:rPr>
                <w:sz w:val="20"/>
                <w:szCs w:val="20"/>
                <w:color w:val="auto"/>
              </w:rPr>
            </w:pPr>
            <w:r>
              <w:rPr>
                <w:rFonts w:ascii="Arial" w:cs="Arial" w:eastAsia="Arial" w:hAnsi="Arial"/>
                <w:sz w:val="11"/>
                <w:szCs w:val="11"/>
                <w:color w:val="auto"/>
              </w:rPr>
              <w:t>Income tax expense (benefit)</w:t>
            </w:r>
          </w:p>
        </w:tc>
        <w:tc>
          <w:tcPr>
            <w:tcW w:w="5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25,446</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32,426</w:t>
            </w:r>
          </w:p>
        </w:tc>
        <w:tc>
          <w:tcPr>
            <w:tcW w:w="1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45,397</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258,934</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201,974</w:t>
            </w:r>
          </w:p>
        </w:tc>
        <w:tc>
          <w:tcPr>
            <w:tcW w:w="1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197,758</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(40,752)</w:t>
            </w:r>
          </w:p>
        </w:tc>
        <w:tc>
          <w:tcPr>
            <w:tcW w:w="100" w:type="dxa"/>
            <w:vAlign w:val="bottom"/>
            <w:shd w:val="clear" w:color="auto" w:fill="CFF0FC"/>
          </w:tcPr>
          <w:p>
            <w:pPr>
              <w:spacing w:after="0"/>
              <w:rPr>
                <w:sz w:val="12"/>
                <w:szCs w:val="12"/>
                <w:color w:val="auto"/>
              </w:rPr>
            </w:pPr>
          </w:p>
        </w:tc>
        <w:tc>
          <w:tcPr>
            <w:tcW w:w="56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w w:val="97"/>
              </w:rPr>
              <w:t>(144,498)</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w w:val="97"/>
              </w:rPr>
              <w:t>(230,184)</w:t>
            </w: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915,556</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743,284</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595,025</w:t>
            </w: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880" w:type="dxa"/>
            <w:vAlign w:val="bottom"/>
          </w:tcPr>
          <w:p>
            <w:pPr>
              <w:spacing w:after="0"/>
              <w:rPr>
                <w:sz w:val="20"/>
                <w:szCs w:val="20"/>
                <w:color w:val="auto"/>
              </w:rPr>
            </w:pPr>
            <w:r>
              <w:rPr>
                <w:rFonts w:ascii="Arial" w:cs="Arial" w:eastAsia="Arial" w:hAnsi="Arial"/>
                <w:sz w:val="11"/>
                <w:szCs w:val="11"/>
                <w:color w:val="auto"/>
              </w:rPr>
              <w:t>Net income (loss)</w:t>
            </w:r>
          </w:p>
        </w:tc>
        <w:tc>
          <w:tcPr>
            <w:tcW w:w="54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45,567</w:t>
            </w:r>
          </w:p>
        </w:tc>
        <w:tc>
          <w:tcPr>
            <w:tcW w:w="3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55,453</w:t>
            </w:r>
          </w:p>
        </w:tc>
        <w:tc>
          <w:tcPr>
            <w:tcW w:w="180" w:type="dxa"/>
            <w:vAlign w:val="bottom"/>
          </w:tcPr>
          <w:p>
            <w:pPr>
              <w:spacing w:after="0"/>
              <w:rPr>
                <w:sz w:val="15"/>
                <w:szCs w:val="15"/>
                <w:color w:val="auto"/>
              </w:rPr>
            </w:pPr>
          </w:p>
        </w:tc>
        <w:tc>
          <w:tcPr>
            <w:tcW w:w="100" w:type="dxa"/>
            <w:vAlign w:val="bottom"/>
            <w:gridSpan w:val="2"/>
          </w:tcPr>
          <w:p>
            <w:pPr>
              <w:jc w:val="right"/>
              <w:ind w:right="20"/>
              <w:spacing w:after="0"/>
              <w:rPr>
                <w:sz w:val="20"/>
                <w:szCs w:val="20"/>
                <w:color w:val="auto"/>
              </w:rPr>
            </w:pPr>
            <w:r>
              <w:rPr>
                <w:rFonts w:ascii="Arial" w:cs="Arial" w:eastAsia="Arial" w:hAnsi="Arial"/>
                <w:sz w:val="11"/>
                <w:szCs w:val="11"/>
                <w:color w:val="auto"/>
                <w:w w:val="97"/>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74,362</w:t>
            </w:r>
          </w:p>
        </w:tc>
        <w:tc>
          <w:tcPr>
            <w:tcW w:w="220" w:type="dxa"/>
            <w:vAlign w:val="bottom"/>
          </w:tcPr>
          <w:p>
            <w:pPr>
              <w:spacing w:after="0"/>
              <w:rPr>
                <w:sz w:val="15"/>
                <w:szCs w:val="15"/>
                <w:color w:val="auto"/>
              </w:rPr>
            </w:pPr>
          </w:p>
        </w:tc>
        <w:tc>
          <w:tcPr>
            <w:tcW w:w="80" w:type="dxa"/>
            <w:vAlign w:val="bottom"/>
          </w:tcPr>
          <w:p>
            <w:pPr>
              <w:jc w:val="right"/>
              <w:ind w:right="17"/>
              <w:spacing w:after="0"/>
              <w:rPr>
                <w:sz w:val="20"/>
                <w:szCs w:val="20"/>
                <w:color w:val="auto"/>
              </w:rPr>
            </w:pPr>
            <w:r>
              <w:rPr>
                <w:rFonts w:ascii="Arial" w:cs="Arial" w:eastAsia="Arial" w:hAnsi="Arial"/>
                <w:sz w:val="5"/>
                <w:szCs w:val="5"/>
                <w:color w:val="auto"/>
                <w:w w:val="70"/>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377,166</w:t>
            </w:r>
          </w:p>
        </w:tc>
        <w:tc>
          <w:tcPr>
            <w:tcW w:w="30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294,373</w:t>
            </w:r>
          </w:p>
        </w:tc>
        <w:tc>
          <w:tcPr>
            <w:tcW w:w="140" w:type="dxa"/>
            <w:vAlign w:val="bottom"/>
          </w:tcPr>
          <w:p>
            <w:pPr>
              <w:spacing w:after="0"/>
              <w:rPr>
                <w:sz w:val="15"/>
                <w:szCs w:val="15"/>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288,097</w:t>
            </w:r>
          </w:p>
        </w:tc>
        <w:tc>
          <w:tcPr>
            <w:tcW w:w="30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(66,334 )</w:t>
            </w:r>
          </w:p>
        </w:tc>
        <w:tc>
          <w:tcPr>
            <w:tcW w:w="100" w:type="dxa"/>
            <w:vAlign w:val="bottom"/>
          </w:tcPr>
          <w:p>
            <w:pPr>
              <w:spacing w:after="0"/>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1"/>
                <w:szCs w:val="11"/>
                <w:color w:val="auto"/>
              </w:rPr>
              <w:t>(63,745 )</w:t>
            </w:r>
          </w:p>
        </w:tc>
        <w:tc>
          <w:tcPr>
            <w:tcW w:w="20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1"/>
                <w:szCs w:val="11"/>
                <w:color w:val="auto"/>
                <w:w w:val="91"/>
              </w:rPr>
              <w:t>(223,335 )</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1"/>
                <w:szCs w:val="11"/>
                <w:color w:val="auto"/>
                <w:w w:val="93"/>
              </w:rPr>
              <w:t>1,408,306</w:t>
            </w:r>
          </w:p>
        </w:tc>
        <w:tc>
          <w:tcPr>
            <w:tcW w:w="220" w:type="dxa"/>
            <w:vAlign w:val="bottom"/>
          </w:tcPr>
          <w:p>
            <w:pPr>
              <w:spacing w:after="0"/>
              <w:rPr>
                <w:sz w:val="15"/>
                <w:szCs w:val="15"/>
                <w:color w:val="auto"/>
              </w:rPr>
            </w:pPr>
          </w:p>
        </w:tc>
        <w:tc>
          <w:tcPr>
            <w:tcW w:w="80" w:type="dxa"/>
            <w:vAlign w:val="bottom"/>
          </w:tcPr>
          <w:p>
            <w:pPr>
              <w:jc w:val="right"/>
              <w:ind w:right="17"/>
              <w:spacing w:after="0"/>
              <w:rPr>
                <w:sz w:val="20"/>
                <w:szCs w:val="20"/>
                <w:color w:val="auto"/>
              </w:rPr>
            </w:pPr>
            <w:r>
              <w:rPr>
                <w:rFonts w:ascii="Arial" w:cs="Arial" w:eastAsia="Arial" w:hAnsi="Arial"/>
                <w:sz w:val="5"/>
                <w:szCs w:val="5"/>
                <w:color w:val="auto"/>
                <w:w w:val="70"/>
              </w:rPr>
              <w:t>$</w:t>
            </w:r>
          </w:p>
        </w:tc>
        <w:tc>
          <w:tcPr>
            <w:tcW w:w="480" w:type="dxa"/>
            <w:vAlign w:val="bottom"/>
          </w:tcPr>
          <w:p>
            <w:pPr>
              <w:jc w:val="right"/>
              <w:spacing w:after="0"/>
              <w:rPr>
                <w:sz w:val="20"/>
                <w:szCs w:val="20"/>
                <w:color w:val="auto"/>
              </w:rPr>
            </w:pPr>
            <w:r>
              <w:rPr>
                <w:rFonts w:ascii="Arial" w:cs="Arial" w:eastAsia="Arial" w:hAnsi="Arial"/>
                <w:sz w:val="11"/>
                <w:szCs w:val="11"/>
                <w:color w:val="auto"/>
                <w:w w:val="93"/>
              </w:rPr>
              <w:t>1,315,114</w:t>
            </w:r>
          </w:p>
        </w:tc>
        <w:tc>
          <w:tcPr>
            <w:tcW w:w="2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1"/>
                <w:szCs w:val="11"/>
                <w:color w:val="auto"/>
                <w:w w:val="93"/>
              </w:rPr>
              <w:t>1,079,667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1880" w:type="dxa"/>
            <w:vAlign w:val="bottom"/>
            <w:tcBorders>
              <w:top w:val="single" w:sz="8" w:color="CFF0FC"/>
            </w:tcBorders>
            <w:shd w:val="clear" w:color="auto" w:fill="CFF0FC"/>
          </w:tcPr>
          <w:p>
            <w:pPr>
              <w:spacing w:after="0" w:line="118" w:lineRule="exact"/>
              <w:rPr>
                <w:sz w:val="20"/>
                <w:szCs w:val="20"/>
                <w:color w:val="auto"/>
              </w:rPr>
            </w:pPr>
            <w:r>
              <w:rPr>
                <w:rFonts w:ascii="Arial" w:cs="Arial" w:eastAsia="Arial" w:hAnsi="Arial"/>
                <w:sz w:val="11"/>
                <w:szCs w:val="11"/>
                <w:color w:val="auto"/>
              </w:rPr>
              <w:t>Average total assets</w:t>
            </w:r>
          </w:p>
        </w:tc>
        <w:tc>
          <w:tcPr>
            <w:tcW w:w="54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420" w:type="dxa"/>
            <w:vAlign w:val="bottom"/>
            <w:tcBorders>
              <w:top w:val="single" w:sz="8" w:color="auto"/>
            </w:tcBorders>
            <w:shd w:val="clear" w:color="auto" w:fill="CFF0FC"/>
          </w:tcPr>
          <w:p>
            <w:pPr>
              <w:spacing w:after="0"/>
              <w:rPr>
                <w:sz w:val="10"/>
                <w:szCs w:val="10"/>
                <w:color w:val="auto"/>
              </w:rPr>
            </w:pPr>
          </w:p>
        </w:tc>
        <w:tc>
          <w:tcPr>
            <w:tcW w:w="22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420" w:type="dxa"/>
            <w:vAlign w:val="bottom"/>
            <w:tcBorders>
              <w:top w:val="single" w:sz="8" w:color="auto"/>
            </w:tcBorders>
            <w:shd w:val="clear" w:color="auto" w:fill="CFF0FC"/>
          </w:tcPr>
          <w:p>
            <w:pPr>
              <w:spacing w:after="0"/>
              <w:rPr>
                <w:sz w:val="10"/>
                <w:szCs w:val="10"/>
                <w:color w:val="auto"/>
              </w:rPr>
            </w:pPr>
          </w:p>
        </w:tc>
        <w:tc>
          <w:tcPr>
            <w:tcW w:w="180" w:type="dxa"/>
            <w:vAlign w:val="bottom"/>
            <w:tcBorders>
              <w:top w:val="single" w:sz="8" w:color="CFF0FC"/>
            </w:tcBorders>
            <w:shd w:val="clear" w:color="auto" w:fill="CFF0FC"/>
          </w:tcPr>
          <w:p>
            <w:pPr>
              <w:spacing w:after="0"/>
              <w:rPr>
                <w:sz w:val="10"/>
                <w:szCs w:val="10"/>
                <w:color w:val="auto"/>
              </w:rPr>
            </w:pPr>
          </w:p>
        </w:tc>
        <w:tc>
          <w:tcPr>
            <w:tcW w:w="2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420" w:type="dxa"/>
            <w:vAlign w:val="bottom"/>
            <w:tcBorders>
              <w:top w:val="single" w:sz="8" w:color="auto"/>
            </w:tcBorders>
            <w:shd w:val="clear" w:color="auto" w:fill="CFF0FC"/>
          </w:tcPr>
          <w:p>
            <w:pPr>
              <w:spacing w:after="0"/>
              <w:rPr>
                <w:sz w:val="10"/>
                <w:szCs w:val="10"/>
                <w:color w:val="auto"/>
              </w:rPr>
            </w:pPr>
          </w:p>
        </w:tc>
        <w:tc>
          <w:tcPr>
            <w:tcW w:w="22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480" w:type="dxa"/>
            <w:vAlign w:val="bottom"/>
            <w:tcBorders>
              <w:top w:val="single" w:sz="8" w:color="auto"/>
            </w:tcBorders>
            <w:shd w:val="clear" w:color="auto" w:fill="CFF0FC"/>
          </w:tcPr>
          <w:p>
            <w:pPr>
              <w:spacing w:after="0"/>
              <w:rPr>
                <w:sz w:val="10"/>
                <w:szCs w:val="10"/>
                <w:color w:val="auto"/>
              </w:rPr>
            </w:pPr>
          </w:p>
        </w:tc>
        <w:tc>
          <w:tcPr>
            <w:tcW w:w="22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00" w:type="dxa"/>
            <w:vAlign w:val="bottom"/>
            <w:tcBorders>
              <w:top w:val="single" w:sz="8" w:color="auto"/>
            </w:tcBorders>
            <w:shd w:val="clear" w:color="auto" w:fill="CFF0FC"/>
          </w:tcPr>
          <w:p>
            <w:pPr>
              <w:spacing w:after="0"/>
              <w:rPr>
                <w:sz w:val="10"/>
                <w:szCs w:val="10"/>
                <w:color w:val="auto"/>
              </w:rPr>
            </w:pPr>
          </w:p>
        </w:tc>
        <w:tc>
          <w:tcPr>
            <w:tcW w:w="140" w:type="dxa"/>
            <w:vAlign w:val="bottom"/>
            <w:tcBorders>
              <w:top w:val="single" w:sz="8" w:color="CFF0FC"/>
            </w:tcBorders>
            <w:shd w:val="clear" w:color="auto" w:fill="CFF0FC"/>
          </w:tcPr>
          <w:p>
            <w:pPr>
              <w:spacing w:after="0"/>
              <w:rPr>
                <w:sz w:val="10"/>
                <w:szCs w:val="10"/>
                <w:color w:val="auto"/>
              </w:rPr>
            </w:pPr>
          </w:p>
        </w:tc>
        <w:tc>
          <w:tcPr>
            <w:tcW w:w="6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480" w:type="dxa"/>
            <w:vAlign w:val="bottom"/>
            <w:tcBorders>
              <w:top w:val="single" w:sz="8" w:color="auto"/>
            </w:tcBorders>
            <w:shd w:val="clear" w:color="auto" w:fill="CFF0FC"/>
          </w:tcPr>
          <w:p>
            <w:pPr>
              <w:spacing w:after="0"/>
              <w:rPr>
                <w:sz w:val="10"/>
                <w:szCs w:val="10"/>
                <w:color w:val="auto"/>
              </w:rPr>
            </w:pPr>
          </w:p>
        </w:tc>
        <w:tc>
          <w:tcPr>
            <w:tcW w:w="22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0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44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44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00" w:type="dxa"/>
            <w:vAlign w:val="bottom"/>
            <w:tcBorders>
              <w:top w:val="single" w:sz="8" w:color="auto"/>
            </w:tcBorders>
            <w:shd w:val="clear" w:color="auto" w:fill="CFF0FC"/>
          </w:tcPr>
          <w:p>
            <w:pPr>
              <w:spacing w:after="0"/>
              <w:rPr>
                <w:sz w:val="10"/>
                <w:szCs w:val="10"/>
                <w:color w:val="auto"/>
              </w:rPr>
            </w:pPr>
          </w:p>
        </w:tc>
        <w:tc>
          <w:tcPr>
            <w:tcW w:w="22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480" w:type="dxa"/>
            <w:vAlign w:val="bottom"/>
            <w:tcBorders>
              <w:top w:val="single" w:sz="8" w:color="auto"/>
            </w:tcBorders>
            <w:shd w:val="clear" w:color="auto" w:fill="CFF0FC"/>
          </w:tcPr>
          <w:p>
            <w:pPr>
              <w:spacing w:after="0"/>
              <w:rPr>
                <w:sz w:val="10"/>
                <w:szCs w:val="10"/>
                <w:color w:val="auto"/>
              </w:rPr>
            </w:pPr>
          </w:p>
        </w:tc>
        <w:tc>
          <w:tcPr>
            <w:tcW w:w="22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00" w:type="dxa"/>
            <w:vAlign w:val="bottom"/>
            <w:tcBorders>
              <w:top w:val="single" w:sz="8" w:color="auto"/>
            </w:tcBorders>
            <w:shd w:val="clear" w:color="auto" w:fill="CFF0FC"/>
          </w:tcPr>
          <w:p>
            <w:pPr>
              <w:spacing w:after="0"/>
              <w:rPr>
                <w:sz w:val="10"/>
                <w:szCs w:val="10"/>
                <w:color w:val="auto"/>
              </w:rPr>
            </w:pPr>
          </w:p>
        </w:tc>
        <w:tc>
          <w:tcPr>
            <w:tcW w:w="6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1880" w:type="dxa"/>
            <w:vAlign w:val="bottom"/>
            <w:shd w:val="clear" w:color="auto" w:fill="CFF0FC"/>
          </w:tcPr>
          <w:p>
            <w:pPr>
              <w:ind w:left="100"/>
              <w:spacing w:after="0"/>
              <w:rPr>
                <w:sz w:val="20"/>
                <w:szCs w:val="20"/>
                <w:color w:val="auto"/>
              </w:rPr>
            </w:pPr>
            <w:r>
              <w:rPr>
                <w:rFonts w:ascii="Arial" w:cs="Arial" w:eastAsia="Arial" w:hAnsi="Arial"/>
                <w:sz w:val="11"/>
                <w:szCs w:val="11"/>
                <w:color w:val="auto"/>
              </w:rPr>
              <w:t>(in millions)</w:t>
            </w: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2,355</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2,569</w:t>
            </w:r>
          </w:p>
        </w:tc>
        <w:tc>
          <w:tcPr>
            <w:tcW w:w="180" w:type="dxa"/>
            <w:vAlign w:val="bottom"/>
            <w:shd w:val="clear" w:color="auto" w:fill="CFF0FC"/>
          </w:tcPr>
          <w:p>
            <w:pPr>
              <w:spacing w:after="0"/>
              <w:rPr>
                <w:sz w:val="11"/>
                <w:szCs w:val="11"/>
                <w:color w:val="auto"/>
              </w:rPr>
            </w:pPr>
          </w:p>
        </w:tc>
        <w:tc>
          <w:tcPr>
            <w:tcW w:w="10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w w:val="97"/>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2,918</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jc w:val="right"/>
              <w:ind w:right="17"/>
              <w:spacing w:after="0"/>
              <w:rPr>
                <w:sz w:val="20"/>
                <w:szCs w:val="20"/>
                <w:color w:val="auto"/>
              </w:rPr>
            </w:pPr>
            <w:r>
              <w:rPr>
                <w:rFonts w:ascii="Arial" w:cs="Arial" w:eastAsia="Arial" w:hAnsi="Arial"/>
                <w:sz w:val="5"/>
                <w:szCs w:val="5"/>
                <w:color w:val="auto"/>
                <w:w w:val="70"/>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12,702</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11,840</w:t>
            </w:r>
          </w:p>
        </w:tc>
        <w:tc>
          <w:tcPr>
            <w:tcW w:w="140" w:type="dxa"/>
            <w:vAlign w:val="bottom"/>
            <w:shd w:val="clear" w:color="auto" w:fill="CFF0FC"/>
          </w:tcPr>
          <w:p>
            <w:pPr>
              <w:spacing w:after="0"/>
              <w:rPr>
                <w:sz w:val="11"/>
                <w:szCs w:val="11"/>
                <w:color w:val="auto"/>
              </w:rPr>
            </w:pPr>
          </w:p>
        </w:tc>
        <w:tc>
          <w:tcPr>
            <w:tcW w:w="16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11,035</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13,684</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1"/>
                <w:szCs w:val="11"/>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16,885</w:t>
            </w:r>
          </w:p>
        </w:tc>
        <w:tc>
          <w:tcPr>
            <w:tcW w:w="120" w:type="dxa"/>
            <w:vAlign w:val="bottom"/>
            <w:shd w:val="clear" w:color="auto" w:fill="CFF0FC"/>
          </w:tcPr>
          <w:p>
            <w:pPr>
              <w:spacing w:after="0"/>
              <w:rPr>
                <w:sz w:val="11"/>
                <w:szCs w:val="11"/>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12,870</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120,860</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jc w:val="right"/>
              <w:ind w:right="17"/>
              <w:spacing w:after="0"/>
              <w:rPr>
                <w:sz w:val="20"/>
                <w:szCs w:val="20"/>
                <w:color w:val="auto"/>
              </w:rPr>
            </w:pPr>
            <w:r>
              <w:rPr>
                <w:rFonts w:ascii="Arial" w:cs="Arial" w:eastAsia="Arial" w:hAnsi="Arial"/>
                <w:sz w:val="5"/>
                <w:szCs w:val="5"/>
                <w:color w:val="auto"/>
                <w:w w:val="70"/>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124,340</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101,780</w:t>
            </w:r>
          </w:p>
        </w:tc>
        <w:tc>
          <w:tcPr>
            <w:tcW w:w="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8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1"/>
                <w:szCs w:val="11"/>
                <w:color w:val="auto"/>
              </w:rPr>
              <w:t>Capital expenditures</w:t>
            </w:r>
          </w:p>
        </w:tc>
        <w:tc>
          <w:tcPr>
            <w:tcW w:w="5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1880" w:type="dxa"/>
            <w:vAlign w:val="bottom"/>
            <w:vMerge w:val="continue"/>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1880" w:type="dxa"/>
            <w:vAlign w:val="bottom"/>
          </w:tcPr>
          <w:p>
            <w:pPr>
              <w:ind w:left="100"/>
              <w:spacing w:after="0"/>
              <w:rPr>
                <w:sz w:val="20"/>
                <w:szCs w:val="20"/>
                <w:color w:val="auto"/>
              </w:rPr>
            </w:pPr>
            <w:r>
              <w:rPr>
                <w:rFonts w:ascii="Arial" w:cs="Arial" w:eastAsia="Arial" w:hAnsi="Arial"/>
                <w:sz w:val="11"/>
                <w:szCs w:val="11"/>
                <w:color w:val="auto"/>
              </w:rPr>
              <w:t>(in millions)</w:t>
            </w:r>
          </w:p>
        </w:tc>
        <w:tc>
          <w:tcPr>
            <w:tcW w:w="6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3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gridSpan w:val="2"/>
          </w:tcPr>
          <w:p>
            <w:pPr>
              <w:jc w:val="right"/>
              <w:ind w:right="20"/>
              <w:spacing w:after="0"/>
              <w:rPr>
                <w:sz w:val="20"/>
                <w:szCs w:val="20"/>
                <w:color w:val="auto"/>
              </w:rPr>
            </w:pPr>
            <w:r>
              <w:rPr>
                <w:rFonts w:ascii="Arial" w:cs="Arial" w:eastAsia="Arial" w:hAnsi="Arial"/>
                <w:sz w:val="11"/>
                <w:szCs w:val="11"/>
                <w:color w:val="auto"/>
                <w:w w:val="97"/>
              </w:rPr>
              <w:t>$</w:t>
            </w:r>
          </w:p>
        </w:tc>
        <w:tc>
          <w:tcPr>
            <w:tcW w:w="6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jc w:val="right"/>
              <w:ind w:right="17"/>
              <w:spacing w:after="0"/>
              <w:rPr>
                <w:sz w:val="20"/>
                <w:szCs w:val="20"/>
                <w:color w:val="auto"/>
              </w:rPr>
            </w:pPr>
            <w:r>
              <w:rPr>
                <w:rFonts w:ascii="Arial" w:cs="Arial" w:eastAsia="Arial" w:hAnsi="Arial"/>
                <w:sz w:val="5"/>
                <w:szCs w:val="5"/>
                <w:color w:val="auto"/>
                <w:w w:val="70"/>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34</w:t>
            </w:r>
          </w:p>
        </w:tc>
        <w:tc>
          <w:tcPr>
            <w:tcW w:w="30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46</w:t>
            </w:r>
          </w:p>
        </w:tc>
        <w:tc>
          <w:tcPr>
            <w:tcW w:w="140" w:type="dxa"/>
            <w:vAlign w:val="bottom"/>
          </w:tcPr>
          <w:p>
            <w:pPr>
              <w:spacing w:after="0"/>
              <w:rPr>
                <w:sz w:val="11"/>
                <w:szCs w:val="11"/>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14</w:t>
            </w:r>
          </w:p>
        </w:tc>
        <w:tc>
          <w:tcPr>
            <w:tcW w:w="30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44</w:t>
            </w:r>
          </w:p>
        </w:tc>
        <w:tc>
          <w:tcPr>
            <w:tcW w:w="200" w:type="dxa"/>
            <w:vAlign w:val="bottom"/>
          </w:tcPr>
          <w:p>
            <w:pPr>
              <w:spacing w:after="0"/>
              <w:rPr>
                <w:sz w:val="11"/>
                <w:szCs w:val="11"/>
                <w:color w:val="auto"/>
              </w:rPr>
            </w:pPr>
          </w:p>
        </w:tc>
        <w:tc>
          <w:tcPr>
            <w:tcW w:w="100" w:type="dxa"/>
            <w:vAlign w:val="bottom"/>
          </w:tcPr>
          <w:p>
            <w:pPr>
              <w:spacing w:after="0"/>
              <w:rPr>
                <w:sz w:val="20"/>
                <w:szCs w:val="20"/>
                <w:color w:val="auto"/>
              </w:rPr>
            </w:pPr>
            <w:r>
              <w:rPr>
                <w:rFonts w:ascii="Arial" w:cs="Arial" w:eastAsia="Arial" w:hAnsi="Arial"/>
                <w:sz w:val="11"/>
                <w:szCs w:val="11"/>
                <w:color w:val="auto"/>
              </w:rPr>
              <w:t>$</w:t>
            </w:r>
          </w:p>
        </w:tc>
        <w:tc>
          <w:tcPr>
            <w:tcW w:w="440" w:type="dxa"/>
            <w:vAlign w:val="bottom"/>
          </w:tcPr>
          <w:p>
            <w:pPr>
              <w:jc w:val="right"/>
              <w:spacing w:after="0"/>
              <w:rPr>
                <w:sz w:val="20"/>
                <w:szCs w:val="20"/>
                <w:color w:val="auto"/>
              </w:rPr>
            </w:pPr>
            <w:r>
              <w:rPr>
                <w:rFonts w:ascii="Arial" w:cs="Arial" w:eastAsia="Arial" w:hAnsi="Arial"/>
                <w:sz w:val="11"/>
                <w:szCs w:val="11"/>
                <w:color w:val="auto"/>
              </w:rPr>
              <w:t>62</w:t>
            </w:r>
          </w:p>
        </w:tc>
        <w:tc>
          <w:tcPr>
            <w:tcW w:w="120" w:type="dxa"/>
            <w:vAlign w:val="bottom"/>
          </w:tcPr>
          <w:p>
            <w:pPr>
              <w:spacing w:after="0"/>
              <w:rPr>
                <w:sz w:val="11"/>
                <w:szCs w:val="11"/>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40" w:type="dxa"/>
            <w:vAlign w:val="bottom"/>
          </w:tcPr>
          <w:p>
            <w:pPr>
              <w:jc w:val="right"/>
              <w:spacing w:after="0"/>
              <w:rPr>
                <w:sz w:val="20"/>
                <w:szCs w:val="20"/>
                <w:color w:val="auto"/>
              </w:rPr>
            </w:pPr>
            <w:r>
              <w:rPr>
                <w:rFonts w:ascii="Arial" w:cs="Arial" w:eastAsia="Arial" w:hAnsi="Arial"/>
                <w:sz w:val="11"/>
                <w:szCs w:val="11"/>
                <w:color w:val="auto"/>
              </w:rPr>
              <w:t>68</w:t>
            </w:r>
          </w:p>
        </w:tc>
        <w:tc>
          <w:tcPr>
            <w:tcW w:w="20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79</w:t>
            </w:r>
          </w:p>
        </w:tc>
        <w:tc>
          <w:tcPr>
            <w:tcW w:w="220" w:type="dxa"/>
            <w:vAlign w:val="bottom"/>
          </w:tcPr>
          <w:p>
            <w:pPr>
              <w:spacing w:after="0"/>
              <w:rPr>
                <w:sz w:val="11"/>
                <w:szCs w:val="11"/>
                <w:color w:val="auto"/>
              </w:rPr>
            </w:pPr>
          </w:p>
        </w:tc>
        <w:tc>
          <w:tcPr>
            <w:tcW w:w="80" w:type="dxa"/>
            <w:vAlign w:val="bottom"/>
          </w:tcPr>
          <w:p>
            <w:pPr>
              <w:jc w:val="right"/>
              <w:ind w:right="17"/>
              <w:spacing w:after="0"/>
              <w:rPr>
                <w:sz w:val="20"/>
                <w:szCs w:val="20"/>
                <w:color w:val="auto"/>
              </w:rPr>
            </w:pPr>
            <w:r>
              <w:rPr>
                <w:rFonts w:ascii="Arial" w:cs="Arial" w:eastAsia="Arial" w:hAnsi="Arial"/>
                <w:sz w:val="5"/>
                <w:szCs w:val="5"/>
                <w:color w:val="auto"/>
                <w:w w:val="70"/>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108</w:t>
            </w:r>
          </w:p>
        </w:tc>
        <w:tc>
          <w:tcPr>
            <w:tcW w:w="22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82</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136017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150" w:lineRule="exact"/>
        <w:rPr>
          <w:sz w:val="20"/>
          <w:szCs w:val="20"/>
          <w:color w:val="auto"/>
        </w:rPr>
      </w:pPr>
    </w:p>
    <w:p>
      <w:pPr>
        <w:jc w:val="both"/>
        <w:ind w:left="600" w:right="120" w:hanging="595"/>
        <w:spacing w:after="0" w:line="243" w:lineRule="auto"/>
        <w:tabs>
          <w:tab w:leader="none" w:pos="600" w:val="left"/>
        </w:tabs>
        <w:numPr>
          <w:ilvl w:val="0"/>
          <w:numId w:val="59"/>
        </w:numPr>
        <w:rPr>
          <w:rFonts w:ascii="Arial" w:cs="Arial" w:eastAsia="Arial" w:hAnsi="Arial"/>
          <w:sz w:val="12"/>
          <w:szCs w:val="12"/>
          <w:i w:val="1"/>
          <w:iCs w:val="1"/>
          <w:color w:val="auto"/>
        </w:rPr>
      </w:pPr>
      <w:r>
        <w:rPr>
          <w:rFonts w:ascii="Arial" w:cs="Arial" w:eastAsia="Arial" w:hAnsi="Arial"/>
          <w:sz w:val="12"/>
          <w:szCs w:val="12"/>
          <w:i w:val="1"/>
          <w:iCs w:val="1"/>
          <w:color w:val="auto"/>
        </w:rPr>
        <w:t>Net interest income is the difference between actual taxable-equivalent interest earned on assets and interest paid on liabilities by a segment and a funding charge (credit) based on the Company’s internal funds transfer pricing methodology. Segments are charged a cost to fund any assets (e.g. loans) and are paid a funding credit for any funds provided (e.g. deposits). The taxable-equivalent adjustment aggregated $34,570,000 in 2017, $26,962,000 in 2016 and $24,463,000 in 2015 and is eliminated in “All Other” net interest income and income tax expense (benefit).</w:t>
      </w:r>
    </w:p>
    <w:p>
      <w:pPr>
        <w:spacing w:after="0" w:line="199" w:lineRule="exact"/>
        <w:rPr>
          <w:sz w:val="20"/>
          <w:szCs w:val="20"/>
          <w:color w:val="auto"/>
        </w:rPr>
      </w:pPr>
    </w:p>
    <w:p>
      <w:pPr>
        <w:ind w:firstLine="598"/>
        <w:spacing w:after="0" w:line="280" w:lineRule="auto"/>
        <w:rPr>
          <w:sz w:val="20"/>
          <w:szCs w:val="20"/>
          <w:color w:val="auto"/>
        </w:rPr>
      </w:pPr>
      <w:r>
        <w:rPr>
          <w:rFonts w:ascii="Arial" w:cs="Arial" w:eastAsia="Arial" w:hAnsi="Arial"/>
          <w:sz w:val="18"/>
          <w:szCs w:val="18"/>
          <w:color w:val="auto"/>
        </w:rPr>
        <w:t>The Business Banking segment provides deposit, lending, cash management and other financial services to small businesses and professionals through the Company’s banking office network and several other delivery channels, including business banking centers, telephone banking, Internet banking and automated teller machines. The Commercial Banking segment provides a wide range of credit products and banking services to middle-market and large commercial customers, mainly within the markets the Company serves. Among the services provided by this segment are commercial lending and leasing, letters of credit, deposit products and cash management services. The Commercial Real Estate segment provides credit services which are secured by various types of multifamily residential and commercial real estate and deposit services to its customers. Activities of this segment include the origination, sales and servicing of commercial real estate loans. Commercial real estate loans held for sale are included in the Commercial Real Estate Segment. The Discretionary Portfolio segment includes securities; residential real estate loans and other assets; short-term and long-term borrowed funds; brokered deposits; and Cayman Islands branch deposits. This segment also provides foreign exchange services to customers. Residential real estate loans obtained in the Hudson City acquisition on November 1, 2015 are included in this segment. The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47" w:right="239" w:bottom="1440" w:gutter="0" w:footer="0" w:header="0"/>
        </w:sectPr>
      </w:pPr>
    </w:p>
    <w:bookmarkStart w:id="179" w:name="page180"/>
    <w:bookmarkEnd w:id="179"/>
    <w:p>
      <w:pPr>
        <w:ind w:right="20"/>
        <w:spacing w:after="0" w:line="279" w:lineRule="auto"/>
        <w:rPr>
          <w:sz w:val="20"/>
          <w:szCs w:val="20"/>
          <w:color w:val="auto"/>
        </w:rPr>
      </w:pPr>
      <w:r>
        <w:rPr>
          <w:rFonts w:ascii="Arial" w:cs="Arial" w:eastAsia="Arial" w:hAnsi="Arial"/>
          <w:sz w:val="18"/>
          <w:szCs w:val="18"/>
          <w:color w:val="auto"/>
        </w:rPr>
        <w:t>Residential Mortgage Banking segment originates and services residential real estate loans for consumers and sells substantially all originated loans in the secondary market to investors or to the Discretionary Portfolio segment. The segment periodically purchases servicing rights to loans that have been originated by other entities. Residential real estate loans held for sale are included in the Residential Mortgage Banking segment. The Retail Banking segment offers a variety of services to consumers through several delivery channels that include banking offices, automated teller machines, and telephone, mobile and Internet banking. Consumer loans and deposits obtained in the acquisition of Hudson City have been included in this segment. The “All Other” category includes other operating activities of the Company that are not directly attributable to the reported segments; the difference between the provision for credit losses and the calculated provision allocated to the reportable segments; goodwill and core deposit and other intangible assets resulting from acquisitions of financial institutions; merger-related gains and expenses resulting from acquisitions; the net impact of the Company’s internal funds transfer pricing methodology; eliminations of transactions between reportable segments; certain nonrecurring transactions; the residual effects of unallocated support systems and general and administrative expenses; and the impact of interest rate risk management strategies. The amount of intersegment activity eliminated in arriving at consolidated totals was included in the “All Other” category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3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Year Ended December 31</w:t>
            </w:r>
          </w:p>
        </w:tc>
        <w:tc>
          <w:tcPr>
            <w:tcW w:w="4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1"/>
        </w:trPr>
        <w:tc>
          <w:tcPr>
            <w:tcW w:w="430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45"/>
              <w:spacing w:after="0" w:line="151"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center"/>
              <w:ind w:right="250"/>
              <w:spacing w:after="0" w:line="151" w:lineRule="exact"/>
              <w:rPr>
                <w:sz w:val="20"/>
                <w:szCs w:val="20"/>
                <w:color w:val="auto"/>
              </w:rPr>
            </w:pPr>
            <w:r>
              <w:rPr>
                <w:rFonts w:ascii="Arial" w:cs="Arial" w:eastAsia="Arial" w:hAnsi="Arial"/>
                <w:sz w:val="14"/>
                <w:szCs w:val="14"/>
                <w:b w:val="1"/>
                <w:bCs w:val="1"/>
                <w:color w:val="auto"/>
                <w:w w:val="89"/>
              </w:rPr>
              <w:t>2016</w:t>
            </w:r>
          </w:p>
        </w:tc>
        <w:tc>
          <w:tcPr>
            <w:tcW w:w="4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45"/>
              <w:spacing w:after="0" w:line="151"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r>
      <w:tr>
        <w:trPr>
          <w:trHeight w:val="176"/>
        </w:trPr>
        <w:tc>
          <w:tcPr>
            <w:tcW w:w="430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40" w:type="dxa"/>
            <w:vAlign w:val="bottom"/>
          </w:tcPr>
          <w:p>
            <w:pPr>
              <w:jc w:val="center"/>
              <w:ind w:right="250"/>
              <w:spacing w:after="0"/>
              <w:rPr>
                <w:sz w:val="20"/>
                <w:szCs w:val="20"/>
                <w:color w:val="auto"/>
              </w:rPr>
            </w:pPr>
            <w:r>
              <w:rPr>
                <w:rFonts w:ascii="Arial" w:cs="Arial" w:eastAsia="Arial" w:hAnsi="Arial"/>
                <w:sz w:val="14"/>
                <w:szCs w:val="14"/>
                <w:b w:val="1"/>
                <w:bCs w:val="1"/>
                <w:color w:val="auto"/>
                <w:w w:val="91"/>
              </w:rPr>
              <w:t>(In thousands)</w:t>
            </w: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82"/>
        </w:trPr>
        <w:tc>
          <w:tcPr>
            <w:tcW w:w="4300" w:type="dxa"/>
            <w:vAlign w:val="bottom"/>
          </w:tcPr>
          <w:p>
            <w:pPr>
              <w:spacing w:after="0"/>
              <w:rPr>
                <w:sz w:val="20"/>
                <w:szCs w:val="20"/>
                <w:color w:val="auto"/>
              </w:rPr>
            </w:pPr>
            <w:r>
              <w:rPr>
                <w:rFonts w:ascii="Arial" w:cs="Arial" w:eastAsia="Arial" w:hAnsi="Arial"/>
                <w:sz w:val="20"/>
                <w:szCs w:val="20"/>
                <w:color w:val="auto"/>
              </w:rPr>
              <w:t>Revenues</w:t>
            </w:r>
          </w:p>
        </w:tc>
        <w:tc>
          <w:tcPr>
            <w:tcW w:w="278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(43,941)</w:t>
            </w:r>
          </w:p>
        </w:tc>
        <w:tc>
          <w:tcPr>
            <w:tcW w:w="320" w:type="dxa"/>
            <w:vAlign w:val="bottom"/>
          </w:tcPr>
          <w:p>
            <w:pPr>
              <w:jc w:val="right"/>
              <w:spacing w:after="0"/>
              <w:rPr>
                <w:sz w:val="20"/>
                <w:szCs w:val="20"/>
                <w:color w:val="auto"/>
              </w:rPr>
            </w:pPr>
            <w:r>
              <w:rPr>
                <w:rFonts w:ascii="Arial" w:cs="Arial" w:eastAsia="Arial" w:hAnsi="Arial"/>
                <w:sz w:val="20"/>
                <w:szCs w:val="20"/>
                <w:color w:val="auto"/>
              </w:rPr>
              <w:t>$</w:t>
            </w:r>
          </w:p>
        </w:tc>
        <w:tc>
          <w:tcPr>
            <w:tcW w:w="1340" w:type="dxa"/>
            <w:vAlign w:val="bottom"/>
          </w:tcPr>
          <w:p>
            <w:pPr>
              <w:jc w:val="right"/>
              <w:ind w:right="10"/>
              <w:spacing w:after="0"/>
              <w:rPr>
                <w:sz w:val="20"/>
                <w:szCs w:val="20"/>
                <w:color w:val="auto"/>
              </w:rPr>
            </w:pPr>
            <w:r>
              <w:rPr>
                <w:rFonts w:ascii="Arial" w:cs="Arial" w:eastAsia="Arial" w:hAnsi="Arial"/>
                <w:sz w:val="20"/>
                <w:szCs w:val="20"/>
                <w:color w:val="auto"/>
              </w:rPr>
              <w:t>(48,625)</w:t>
            </w:r>
          </w:p>
        </w:tc>
        <w:tc>
          <w:tcPr>
            <w:tcW w:w="400" w:type="dxa"/>
            <w:vAlign w:val="bottom"/>
          </w:tcPr>
          <w:p>
            <w:pPr>
              <w:jc w:val="right"/>
              <w:ind w:right="119"/>
              <w:spacing w:after="0"/>
              <w:rPr>
                <w:sz w:val="20"/>
                <w:szCs w:val="20"/>
                <w:color w:val="auto"/>
              </w:rPr>
            </w:pPr>
            <w:r>
              <w:rPr>
                <w:rFonts w:ascii="Arial" w:cs="Arial" w:eastAsia="Arial" w:hAnsi="Arial"/>
                <w:sz w:val="20"/>
                <w:szCs w:val="20"/>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20"/>
                <w:szCs w:val="20"/>
                <w:color w:val="auto"/>
              </w:rPr>
              <w:t>(48,972)</w:t>
            </w:r>
          </w:p>
        </w:tc>
      </w:tr>
      <w:tr>
        <w:trPr>
          <w:trHeight w:val="250"/>
        </w:trPr>
        <w:tc>
          <w:tcPr>
            <w:tcW w:w="4300" w:type="dxa"/>
            <w:vAlign w:val="bottom"/>
            <w:shd w:val="clear" w:color="auto" w:fill="CFF0FC"/>
          </w:tcPr>
          <w:p>
            <w:pPr>
              <w:spacing w:after="0"/>
              <w:rPr>
                <w:sz w:val="20"/>
                <w:szCs w:val="20"/>
                <w:color w:val="auto"/>
              </w:rPr>
            </w:pPr>
            <w:r>
              <w:rPr>
                <w:rFonts w:ascii="Arial" w:cs="Arial" w:eastAsia="Arial" w:hAnsi="Arial"/>
                <w:sz w:val="20"/>
                <w:szCs w:val="20"/>
                <w:color w:val="auto"/>
              </w:rPr>
              <w:t>Expenses</w:t>
            </w:r>
          </w:p>
        </w:tc>
        <w:tc>
          <w:tcPr>
            <w:tcW w:w="24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(32,623)</w:t>
            </w:r>
          </w:p>
        </w:tc>
        <w:tc>
          <w:tcPr>
            <w:tcW w:w="320" w:type="dxa"/>
            <w:vAlign w:val="bottom"/>
            <w:shd w:val="clear" w:color="auto" w:fill="CFF0FC"/>
          </w:tcPr>
          <w:p>
            <w:pPr>
              <w:spacing w:after="0"/>
              <w:rPr>
                <w:sz w:val="21"/>
                <w:szCs w:val="21"/>
                <w:color w:val="auto"/>
              </w:rPr>
            </w:pPr>
          </w:p>
        </w:tc>
        <w:tc>
          <w:tcPr>
            <w:tcW w:w="1340" w:type="dxa"/>
            <w:vAlign w:val="bottom"/>
            <w:shd w:val="clear" w:color="auto" w:fill="CFF0FC"/>
          </w:tcPr>
          <w:p>
            <w:pPr>
              <w:jc w:val="right"/>
              <w:ind w:right="10"/>
              <w:spacing w:after="0"/>
              <w:rPr>
                <w:sz w:val="20"/>
                <w:szCs w:val="20"/>
                <w:color w:val="auto"/>
              </w:rPr>
            </w:pPr>
            <w:r>
              <w:rPr>
                <w:rFonts w:ascii="Arial" w:cs="Arial" w:eastAsia="Arial" w:hAnsi="Arial"/>
                <w:sz w:val="20"/>
                <w:szCs w:val="20"/>
                <w:color w:val="auto"/>
              </w:rPr>
              <w:t>(40,422)</w:t>
            </w:r>
          </w:p>
        </w:tc>
        <w:tc>
          <w:tcPr>
            <w:tcW w:w="40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(13,332)</w:t>
            </w:r>
          </w:p>
        </w:tc>
      </w:tr>
      <w:tr>
        <w:trPr>
          <w:trHeight w:val="250"/>
        </w:trPr>
        <w:tc>
          <w:tcPr>
            <w:tcW w:w="4300" w:type="dxa"/>
            <w:vAlign w:val="bottom"/>
          </w:tcPr>
          <w:p>
            <w:pPr>
              <w:spacing w:after="0"/>
              <w:rPr>
                <w:sz w:val="20"/>
                <w:szCs w:val="20"/>
                <w:color w:val="auto"/>
              </w:rPr>
            </w:pPr>
            <w:r>
              <w:rPr>
                <w:rFonts w:ascii="Arial" w:cs="Arial" w:eastAsia="Arial" w:hAnsi="Arial"/>
                <w:sz w:val="20"/>
                <w:szCs w:val="20"/>
                <w:color w:val="auto"/>
              </w:rPr>
              <w:t>Income taxes (benefit)</w:t>
            </w:r>
          </w:p>
        </w:tc>
        <w:tc>
          <w:tcPr>
            <w:tcW w:w="2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(4,606)</w:t>
            </w:r>
          </w:p>
        </w:tc>
        <w:tc>
          <w:tcPr>
            <w:tcW w:w="3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20"/>
                <w:szCs w:val="20"/>
                <w:color w:val="auto"/>
              </w:rPr>
              <w:t>(3,338)</w:t>
            </w:r>
          </w:p>
        </w:tc>
        <w:tc>
          <w:tcPr>
            <w:tcW w:w="400" w:type="dxa"/>
            <w:vAlign w:val="bottom"/>
          </w:tcPr>
          <w:p>
            <w:pPr>
              <w:spacing w:after="0"/>
              <w:rPr>
                <w:sz w:val="21"/>
                <w:szCs w:val="21"/>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20"/>
                <w:szCs w:val="20"/>
                <w:color w:val="auto"/>
              </w:rPr>
              <w:t>(14,503)</w:t>
            </w:r>
          </w:p>
        </w:tc>
      </w:tr>
      <w:tr>
        <w:trPr>
          <w:trHeight w:val="250"/>
        </w:trPr>
        <w:tc>
          <w:tcPr>
            <w:tcW w:w="4300" w:type="dxa"/>
            <w:vAlign w:val="bottom"/>
            <w:shd w:val="clear" w:color="auto" w:fill="CFF0FC"/>
          </w:tcPr>
          <w:p>
            <w:pPr>
              <w:spacing w:after="0"/>
              <w:rPr>
                <w:sz w:val="20"/>
                <w:szCs w:val="20"/>
                <w:color w:val="auto"/>
              </w:rPr>
            </w:pPr>
            <w:r>
              <w:rPr>
                <w:rFonts w:ascii="Arial" w:cs="Arial" w:eastAsia="Arial" w:hAnsi="Arial"/>
                <w:sz w:val="20"/>
                <w:szCs w:val="20"/>
                <w:color w:val="auto"/>
              </w:rPr>
              <w:t>Net income (loss)</w:t>
            </w:r>
          </w:p>
        </w:tc>
        <w:tc>
          <w:tcPr>
            <w:tcW w:w="24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(6,712)</w:t>
            </w:r>
          </w:p>
        </w:tc>
        <w:tc>
          <w:tcPr>
            <w:tcW w:w="320" w:type="dxa"/>
            <w:vAlign w:val="bottom"/>
            <w:shd w:val="clear" w:color="auto" w:fill="CFF0FC"/>
          </w:tcPr>
          <w:p>
            <w:pPr>
              <w:spacing w:after="0"/>
              <w:rPr>
                <w:sz w:val="21"/>
                <w:szCs w:val="21"/>
                <w:color w:val="auto"/>
              </w:rPr>
            </w:pPr>
          </w:p>
        </w:tc>
        <w:tc>
          <w:tcPr>
            <w:tcW w:w="1340" w:type="dxa"/>
            <w:vAlign w:val="bottom"/>
            <w:shd w:val="clear" w:color="auto" w:fill="CFF0FC"/>
          </w:tcPr>
          <w:p>
            <w:pPr>
              <w:jc w:val="right"/>
              <w:ind w:right="10"/>
              <w:spacing w:after="0"/>
              <w:rPr>
                <w:sz w:val="20"/>
                <w:szCs w:val="20"/>
                <w:color w:val="auto"/>
              </w:rPr>
            </w:pPr>
            <w:r>
              <w:rPr>
                <w:rFonts w:ascii="Arial" w:cs="Arial" w:eastAsia="Arial" w:hAnsi="Arial"/>
                <w:sz w:val="20"/>
                <w:szCs w:val="20"/>
                <w:color w:val="auto"/>
              </w:rPr>
              <w:t>(4,865)</w:t>
            </w:r>
          </w:p>
        </w:tc>
        <w:tc>
          <w:tcPr>
            <w:tcW w:w="40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(21,137)</w:t>
            </w:r>
          </w:p>
        </w:tc>
      </w:tr>
    </w:tbl>
    <w:p>
      <w:pPr>
        <w:spacing w:after="0" w:line="236" w:lineRule="exact"/>
        <w:rPr>
          <w:sz w:val="20"/>
          <w:szCs w:val="20"/>
          <w:color w:val="auto"/>
        </w:rPr>
      </w:pPr>
    </w:p>
    <w:p>
      <w:pPr>
        <w:jc w:val="both"/>
        <w:ind w:right="40" w:firstLine="598"/>
        <w:spacing w:after="0" w:line="275" w:lineRule="auto"/>
        <w:rPr>
          <w:sz w:val="20"/>
          <w:szCs w:val="20"/>
          <w:color w:val="auto"/>
        </w:rPr>
      </w:pPr>
      <w:r>
        <w:rPr>
          <w:rFonts w:ascii="Arial" w:cs="Arial" w:eastAsia="Arial" w:hAnsi="Arial"/>
          <w:sz w:val="20"/>
          <w:szCs w:val="20"/>
          <w:color w:val="auto"/>
        </w:rPr>
        <w:t>The Company conducts substantially all of its operations in the United States. There are no transactions with a single customer that in the aggregate result in revenues that exceed ten percent of consolidated total revenues.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46" w:right="239" w:bottom="1440" w:gutter="0" w:footer="0" w:header="0"/>
        </w:sectPr>
      </w:pPr>
    </w:p>
    <w:bookmarkStart w:id="180" w:name="page181"/>
    <w:bookmarkEnd w:id="180"/>
    <w:p>
      <w:pPr>
        <w:spacing w:after="0"/>
        <w:tabs>
          <w:tab w:leader="none" w:pos="440" w:val="left"/>
        </w:tabs>
        <w:rPr>
          <w:sz w:val="20"/>
          <w:szCs w:val="20"/>
          <w:color w:val="auto"/>
        </w:rPr>
      </w:pPr>
      <w:r>
        <w:rPr>
          <w:rFonts w:ascii="Arial" w:cs="Arial" w:eastAsia="Arial" w:hAnsi="Arial"/>
          <w:sz w:val="20"/>
          <w:szCs w:val="20"/>
          <w:b w:val="1"/>
          <w:bCs w:val="1"/>
          <w:color w:val="auto"/>
        </w:rPr>
        <w:t>23.</w:t>
      </w:r>
      <w:r>
        <w:rPr>
          <w:sz w:val="20"/>
          <w:szCs w:val="20"/>
          <w:color w:val="auto"/>
        </w:rPr>
        <w:tab/>
      </w:r>
      <w:r>
        <w:rPr>
          <w:rFonts w:ascii="Arial" w:cs="Arial" w:eastAsia="Arial" w:hAnsi="Arial"/>
          <w:sz w:val="18"/>
          <w:szCs w:val="18"/>
          <w:b w:val="1"/>
          <w:bCs w:val="1"/>
          <w:color w:val="auto"/>
        </w:rPr>
        <w:t>Regulatory matters</w:t>
      </w:r>
    </w:p>
    <w:p>
      <w:pPr>
        <w:spacing w:after="0" w:line="29" w:lineRule="exact"/>
        <w:rPr>
          <w:sz w:val="20"/>
          <w:szCs w:val="20"/>
          <w:color w:val="auto"/>
        </w:rPr>
      </w:pPr>
    </w:p>
    <w:p>
      <w:pPr>
        <w:ind w:right="80"/>
        <w:spacing w:after="0" w:line="246" w:lineRule="auto"/>
        <w:rPr>
          <w:sz w:val="20"/>
          <w:szCs w:val="20"/>
          <w:color w:val="auto"/>
        </w:rPr>
      </w:pPr>
      <w:r>
        <w:rPr>
          <w:rFonts w:ascii="Arial" w:cs="Arial" w:eastAsia="Arial" w:hAnsi="Arial"/>
          <w:sz w:val="20"/>
          <w:szCs w:val="20"/>
          <w:color w:val="auto"/>
        </w:rPr>
        <w:t>Payment of dividends by M&amp;T’s banking subsidiaries is restricted by various legal and regulatory limitations. Dividends from any banking subsidiary to M&amp;T are limited by the amount of earnings of the banking subsidiary in the current year and the preceding two years. For purposes of this test, at December 31, 2017, approximately $397 million was available for payment of dividends to M&amp;T from banking subsidiaries. Additionally, the Federal Reserve Board requires bank holding companies with $50 billion or more of total consolidated assets to submit annual capital plans. Such bank holding companies may pay dividends and repurchase stock only in accordance with a capital plan that the Federal Reserve Board has not objected to.</w:t>
      </w:r>
    </w:p>
    <w:p>
      <w:pPr>
        <w:spacing w:after="0" w:line="5" w:lineRule="exact"/>
        <w:rPr>
          <w:sz w:val="20"/>
          <w:szCs w:val="20"/>
          <w:color w:val="auto"/>
        </w:rPr>
      </w:pPr>
    </w:p>
    <w:p>
      <w:pPr>
        <w:ind w:right="200" w:firstLine="598"/>
        <w:spacing w:after="0" w:line="246" w:lineRule="auto"/>
        <w:rPr>
          <w:sz w:val="20"/>
          <w:szCs w:val="20"/>
          <w:color w:val="auto"/>
        </w:rPr>
      </w:pPr>
      <w:r>
        <w:rPr>
          <w:rFonts w:ascii="Arial" w:cs="Arial" w:eastAsia="Arial" w:hAnsi="Arial"/>
          <w:sz w:val="20"/>
          <w:szCs w:val="20"/>
          <w:color w:val="auto"/>
        </w:rPr>
        <w:t>Banking regulations prohibit extensions of credit by the subsidiary banks to M&amp;T unless appropriately secured by assets. Securities of affiliates are not eligible as collateral for this purpose.</w:t>
      </w:r>
    </w:p>
    <w:p>
      <w:pPr>
        <w:spacing w:after="0" w:line="2" w:lineRule="exact"/>
        <w:rPr>
          <w:sz w:val="20"/>
          <w:szCs w:val="20"/>
          <w:color w:val="auto"/>
        </w:rPr>
      </w:pPr>
    </w:p>
    <w:p>
      <w:pPr>
        <w:ind w:right="680" w:firstLine="598"/>
        <w:spacing w:after="0" w:line="246" w:lineRule="auto"/>
        <w:rPr>
          <w:sz w:val="20"/>
          <w:szCs w:val="20"/>
          <w:color w:val="auto"/>
        </w:rPr>
      </w:pPr>
      <w:r>
        <w:rPr>
          <w:rFonts w:ascii="Arial" w:cs="Arial" w:eastAsia="Arial" w:hAnsi="Arial"/>
          <w:sz w:val="20"/>
          <w:szCs w:val="20"/>
          <w:color w:val="auto"/>
        </w:rPr>
        <w:t>The bank subsidiaries are required to maintain reserves against certain deposit liabilities. During the maintenance periods that included December 31, 2017 and 2016, cash and due from banks and interest-earning deposits at banks included a daily average of $679,401,000 and $594,831,000, respectively, for such purpose.</w:t>
      </w:r>
    </w:p>
    <w:p>
      <w:pPr>
        <w:spacing w:after="0" w:line="2" w:lineRule="exact"/>
        <w:rPr>
          <w:sz w:val="20"/>
          <w:szCs w:val="20"/>
          <w:color w:val="auto"/>
        </w:rPr>
      </w:pPr>
    </w:p>
    <w:p>
      <w:pPr>
        <w:ind w:right="60" w:firstLine="598"/>
        <w:spacing w:after="0" w:line="250" w:lineRule="auto"/>
        <w:rPr>
          <w:sz w:val="20"/>
          <w:szCs w:val="20"/>
          <w:color w:val="auto"/>
        </w:rPr>
      </w:pPr>
      <w:r>
        <w:rPr>
          <w:rFonts w:ascii="Arial" w:cs="Arial" w:eastAsia="Arial" w:hAnsi="Arial"/>
          <w:sz w:val="20"/>
          <w:szCs w:val="20"/>
          <w:color w:val="auto"/>
        </w:rPr>
        <w:t>M&amp;T and its subsidiary banks are required to comply with applicable capital adequacy regulations established by the federal banking agencies. Failure to meet minimum capital requirements can result in certain mandatory, and possibly additional discretionary, actions by regulators that, if undertaken, could have a material effect on the Company’s financial statements. Pursuant to the rules in effect as of December 31, 2017, the required minimum and well capitalized capital ratios are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right"/>
              <w:ind w:right="430"/>
              <w:spacing w:after="0"/>
              <w:rPr>
                <w:sz w:val="20"/>
                <w:szCs w:val="20"/>
                <w:color w:val="auto"/>
              </w:rPr>
            </w:pPr>
            <w:r>
              <w:rPr>
                <w:rFonts w:ascii="Arial" w:cs="Arial" w:eastAsia="Arial" w:hAnsi="Arial"/>
                <w:sz w:val="14"/>
                <w:szCs w:val="14"/>
                <w:b w:val="1"/>
                <w:bCs w:val="1"/>
                <w:color w:val="auto"/>
              </w:rPr>
              <w:t>Well</w:t>
            </w:r>
          </w:p>
        </w:tc>
        <w:tc>
          <w:tcPr>
            <w:tcW w:w="0" w:type="dxa"/>
            <w:vAlign w:val="bottom"/>
          </w:tcPr>
          <w:p>
            <w:pPr>
              <w:spacing w:after="0"/>
              <w:rPr>
                <w:sz w:val="1"/>
                <w:szCs w:val="1"/>
                <w:color w:val="auto"/>
              </w:rPr>
            </w:pPr>
          </w:p>
        </w:tc>
      </w:tr>
      <w:tr>
        <w:trPr>
          <w:trHeight w:val="167"/>
        </w:trPr>
        <w:tc>
          <w:tcPr>
            <w:tcW w:w="8620" w:type="dxa"/>
            <w:vAlign w:val="bottom"/>
            <w:vMerge w:val="restart"/>
          </w:tcPr>
          <w:p>
            <w:pPr>
              <w:spacing w:after="0"/>
              <w:rPr>
                <w:sz w:val="20"/>
                <w:szCs w:val="20"/>
                <w:color w:val="auto"/>
              </w:rPr>
            </w:pPr>
            <w:r>
              <w:rPr>
                <w:rFonts w:ascii="Arial" w:cs="Arial" w:eastAsia="Arial" w:hAnsi="Arial"/>
                <w:sz w:val="20"/>
                <w:szCs w:val="20"/>
                <w:color w:val="auto"/>
              </w:rPr>
              <w:t>●  Common equity Tier 1 ("CET1") to risk-weighted assets</w:t>
            </w:r>
          </w:p>
        </w:tc>
        <w:tc>
          <w:tcPr>
            <w:tcW w:w="1480" w:type="dxa"/>
            <w:vAlign w:val="bottom"/>
            <w:gridSpan w:val="2"/>
          </w:tcPr>
          <w:p>
            <w:pPr>
              <w:ind w:left="360"/>
              <w:spacing w:after="0"/>
              <w:rPr>
                <w:sz w:val="20"/>
                <w:szCs w:val="20"/>
                <w:color w:val="auto"/>
              </w:rPr>
            </w:pPr>
            <w:r>
              <w:rPr>
                <w:rFonts w:ascii="Arial" w:cs="Arial" w:eastAsia="Arial" w:hAnsi="Arial"/>
                <w:sz w:val="14"/>
                <w:szCs w:val="14"/>
                <w:b w:val="1"/>
                <w:bCs w:val="1"/>
                <w:color w:val="auto"/>
              </w:rPr>
              <w:t>Minimum</w:t>
            </w:r>
          </w:p>
        </w:tc>
        <w:tc>
          <w:tcPr>
            <w:tcW w:w="1320" w:type="dxa"/>
            <w:vAlign w:val="bottom"/>
          </w:tcPr>
          <w:p>
            <w:pPr>
              <w:jc w:val="right"/>
              <w:ind w:right="230"/>
              <w:spacing w:after="0"/>
              <w:rPr>
                <w:sz w:val="20"/>
                <w:szCs w:val="20"/>
                <w:color w:val="auto"/>
              </w:rPr>
            </w:pPr>
            <w:r>
              <w:rPr>
                <w:rFonts w:ascii="Arial" w:cs="Arial" w:eastAsia="Arial" w:hAnsi="Arial"/>
                <w:sz w:val="14"/>
                <w:szCs w:val="14"/>
                <w:b w:val="1"/>
                <w:bCs w:val="1"/>
                <w:color w:val="auto"/>
              </w:rPr>
              <w:t>Capitalized</w:t>
            </w:r>
          </w:p>
        </w:tc>
        <w:tc>
          <w:tcPr>
            <w:tcW w:w="0" w:type="dxa"/>
            <w:vAlign w:val="bottom"/>
          </w:tcPr>
          <w:p>
            <w:pPr>
              <w:spacing w:after="0"/>
              <w:rPr>
                <w:sz w:val="1"/>
                <w:szCs w:val="1"/>
                <w:color w:val="auto"/>
              </w:rPr>
            </w:pPr>
          </w:p>
        </w:tc>
      </w:tr>
      <w:tr>
        <w:trPr>
          <w:trHeight w:val="243"/>
        </w:trPr>
        <w:tc>
          <w:tcPr>
            <w:tcW w:w="8620" w:type="dxa"/>
            <w:vAlign w:val="bottom"/>
            <w:vMerge w:val="continue"/>
          </w:tcPr>
          <w:p>
            <w:pPr>
              <w:spacing w:after="0"/>
              <w:rPr>
                <w:sz w:val="21"/>
                <w:szCs w:val="21"/>
                <w:color w:val="auto"/>
              </w:rPr>
            </w:pPr>
          </w:p>
        </w:tc>
        <w:tc>
          <w:tcPr>
            <w:tcW w:w="1320" w:type="dxa"/>
            <w:vAlign w:val="bottom"/>
            <w:tcBorders>
              <w:top w:val="single" w:sz="8" w:color="auto"/>
            </w:tcBorders>
          </w:tcPr>
          <w:p>
            <w:pPr>
              <w:jc w:val="right"/>
              <w:ind w:right="85"/>
              <w:spacing w:after="0"/>
              <w:rPr>
                <w:sz w:val="20"/>
                <w:szCs w:val="20"/>
                <w:color w:val="auto"/>
              </w:rPr>
            </w:pPr>
            <w:r>
              <w:rPr>
                <w:rFonts w:ascii="Arial" w:cs="Arial" w:eastAsia="Arial" w:hAnsi="Arial"/>
                <w:sz w:val="20"/>
                <w:szCs w:val="20"/>
                <w:color w:val="auto"/>
              </w:rPr>
              <w:t>4.5%</w:t>
            </w:r>
          </w:p>
        </w:tc>
        <w:tc>
          <w:tcPr>
            <w:tcW w:w="160" w:type="dxa"/>
            <w:vAlign w:val="bottom"/>
          </w:tcPr>
          <w:p>
            <w:pPr>
              <w:spacing w:after="0"/>
              <w:rPr>
                <w:sz w:val="21"/>
                <w:szCs w:val="21"/>
                <w:color w:val="auto"/>
              </w:rPr>
            </w:pPr>
          </w:p>
        </w:tc>
        <w:tc>
          <w:tcPr>
            <w:tcW w:w="1320" w:type="dxa"/>
            <w:vAlign w:val="bottom"/>
            <w:tcBorders>
              <w:top w:val="single" w:sz="8" w:color="auto"/>
            </w:tcBorders>
          </w:tcPr>
          <w:p>
            <w:pPr>
              <w:jc w:val="right"/>
              <w:ind w:right="90"/>
              <w:spacing w:after="0"/>
              <w:rPr>
                <w:sz w:val="20"/>
                <w:szCs w:val="20"/>
                <w:color w:val="auto"/>
              </w:rPr>
            </w:pPr>
            <w:r>
              <w:rPr>
                <w:rFonts w:ascii="Arial" w:cs="Arial" w:eastAsia="Arial" w:hAnsi="Arial"/>
                <w:sz w:val="20"/>
                <w:szCs w:val="20"/>
                <w:color w:val="auto"/>
              </w:rPr>
              <w:t>6.5%</w:t>
            </w:r>
          </w:p>
        </w:tc>
        <w:tc>
          <w:tcPr>
            <w:tcW w:w="0" w:type="dxa"/>
            <w:vAlign w:val="bottom"/>
          </w:tcPr>
          <w:p>
            <w:pPr>
              <w:spacing w:after="0"/>
              <w:rPr>
                <w:sz w:val="1"/>
                <w:szCs w:val="1"/>
                <w:color w:val="auto"/>
              </w:rPr>
            </w:pPr>
          </w:p>
        </w:tc>
      </w:tr>
      <w:tr>
        <w:trPr>
          <w:trHeight w:val="250"/>
        </w:trPr>
        <w:tc>
          <w:tcPr>
            <w:tcW w:w="8620" w:type="dxa"/>
            <w:vAlign w:val="bottom"/>
            <w:shd w:val="clear" w:color="auto" w:fill="CFF0FC"/>
          </w:tcPr>
          <w:p>
            <w:pPr>
              <w:spacing w:after="0"/>
              <w:rPr>
                <w:sz w:val="20"/>
                <w:szCs w:val="20"/>
                <w:color w:val="auto"/>
              </w:rPr>
            </w:pPr>
            <w:r>
              <w:rPr>
                <w:rFonts w:ascii="Arial" w:cs="Arial" w:eastAsia="Arial" w:hAnsi="Arial"/>
                <w:sz w:val="20"/>
                <w:szCs w:val="20"/>
                <w:color w:val="auto"/>
              </w:rPr>
              <w:t>●  Tier 1 capital to risk-weighted assets</w:t>
            </w:r>
          </w:p>
        </w:tc>
        <w:tc>
          <w:tcPr>
            <w:tcW w:w="1320" w:type="dxa"/>
            <w:vAlign w:val="bottom"/>
            <w:shd w:val="clear" w:color="auto" w:fill="CFF0FC"/>
          </w:tcPr>
          <w:p>
            <w:pPr>
              <w:jc w:val="right"/>
              <w:ind w:right="85"/>
              <w:spacing w:after="0"/>
              <w:rPr>
                <w:sz w:val="20"/>
                <w:szCs w:val="20"/>
                <w:color w:val="auto"/>
              </w:rPr>
            </w:pPr>
            <w:r>
              <w:rPr>
                <w:rFonts w:ascii="Arial" w:cs="Arial" w:eastAsia="Arial" w:hAnsi="Arial"/>
                <w:sz w:val="20"/>
                <w:szCs w:val="20"/>
                <w:color w:val="auto"/>
              </w:rPr>
              <w:t>6.0%</w:t>
            </w:r>
          </w:p>
        </w:tc>
        <w:tc>
          <w:tcPr>
            <w:tcW w:w="16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90"/>
              <w:spacing w:after="0"/>
              <w:rPr>
                <w:sz w:val="20"/>
                <w:szCs w:val="20"/>
                <w:color w:val="auto"/>
              </w:rPr>
            </w:pPr>
            <w:r>
              <w:rPr>
                <w:rFonts w:ascii="Arial" w:cs="Arial" w:eastAsia="Arial" w:hAnsi="Arial"/>
                <w:sz w:val="20"/>
                <w:szCs w:val="20"/>
                <w:color w:val="auto"/>
              </w:rPr>
              <w:t>8.0%</w:t>
            </w:r>
          </w:p>
        </w:tc>
        <w:tc>
          <w:tcPr>
            <w:tcW w:w="0" w:type="dxa"/>
            <w:vAlign w:val="bottom"/>
          </w:tcPr>
          <w:p>
            <w:pPr>
              <w:spacing w:after="0"/>
              <w:rPr>
                <w:sz w:val="1"/>
                <w:szCs w:val="1"/>
                <w:color w:val="auto"/>
              </w:rPr>
            </w:pPr>
          </w:p>
        </w:tc>
      </w:tr>
      <w:tr>
        <w:trPr>
          <w:trHeight w:val="250"/>
        </w:trPr>
        <w:tc>
          <w:tcPr>
            <w:tcW w:w="8620" w:type="dxa"/>
            <w:vAlign w:val="bottom"/>
          </w:tcPr>
          <w:p>
            <w:pPr>
              <w:spacing w:after="0"/>
              <w:rPr>
                <w:sz w:val="20"/>
                <w:szCs w:val="20"/>
                <w:color w:val="auto"/>
              </w:rPr>
            </w:pPr>
            <w:r>
              <w:rPr>
                <w:rFonts w:ascii="Arial" w:cs="Arial" w:eastAsia="Arial" w:hAnsi="Arial"/>
                <w:sz w:val="20"/>
                <w:szCs w:val="20"/>
                <w:color w:val="auto"/>
              </w:rPr>
              <w:t>●  Total capital to risk-weighted assets</w:t>
            </w:r>
          </w:p>
        </w:tc>
        <w:tc>
          <w:tcPr>
            <w:tcW w:w="1320" w:type="dxa"/>
            <w:vAlign w:val="bottom"/>
          </w:tcPr>
          <w:p>
            <w:pPr>
              <w:jc w:val="right"/>
              <w:ind w:right="85"/>
              <w:spacing w:after="0"/>
              <w:rPr>
                <w:sz w:val="20"/>
                <w:szCs w:val="20"/>
                <w:color w:val="auto"/>
              </w:rPr>
            </w:pPr>
            <w:r>
              <w:rPr>
                <w:rFonts w:ascii="Arial" w:cs="Arial" w:eastAsia="Arial" w:hAnsi="Arial"/>
                <w:sz w:val="20"/>
                <w:szCs w:val="20"/>
                <w:color w:val="auto"/>
              </w:rPr>
              <w:t>8.0%</w:t>
            </w:r>
          </w:p>
        </w:tc>
        <w:tc>
          <w:tcPr>
            <w:tcW w:w="160" w:type="dxa"/>
            <w:vAlign w:val="bottom"/>
          </w:tcPr>
          <w:p>
            <w:pPr>
              <w:spacing w:after="0"/>
              <w:rPr>
                <w:sz w:val="21"/>
                <w:szCs w:val="21"/>
                <w:color w:val="auto"/>
              </w:rPr>
            </w:pPr>
          </w:p>
        </w:tc>
        <w:tc>
          <w:tcPr>
            <w:tcW w:w="1320" w:type="dxa"/>
            <w:vAlign w:val="bottom"/>
          </w:tcPr>
          <w:p>
            <w:pPr>
              <w:jc w:val="right"/>
              <w:ind w:right="90"/>
              <w:spacing w:after="0"/>
              <w:rPr>
                <w:sz w:val="20"/>
                <w:szCs w:val="20"/>
                <w:color w:val="auto"/>
              </w:rPr>
            </w:pPr>
            <w:r>
              <w:rPr>
                <w:rFonts w:ascii="Arial" w:cs="Arial" w:eastAsia="Arial" w:hAnsi="Arial"/>
                <w:sz w:val="20"/>
                <w:szCs w:val="20"/>
                <w:color w:val="auto"/>
              </w:rPr>
              <w:t>10.0%</w:t>
            </w:r>
          </w:p>
        </w:tc>
        <w:tc>
          <w:tcPr>
            <w:tcW w:w="0" w:type="dxa"/>
            <w:vAlign w:val="bottom"/>
          </w:tcPr>
          <w:p>
            <w:pPr>
              <w:spacing w:after="0"/>
              <w:rPr>
                <w:sz w:val="1"/>
                <w:szCs w:val="1"/>
                <w:color w:val="auto"/>
              </w:rPr>
            </w:pPr>
          </w:p>
        </w:tc>
      </w:tr>
      <w:tr>
        <w:trPr>
          <w:trHeight w:val="250"/>
        </w:trPr>
        <w:tc>
          <w:tcPr>
            <w:tcW w:w="8620" w:type="dxa"/>
            <w:vAlign w:val="bottom"/>
            <w:shd w:val="clear" w:color="auto" w:fill="CFF0FC"/>
          </w:tcPr>
          <w:p>
            <w:pPr>
              <w:spacing w:after="0"/>
              <w:rPr>
                <w:sz w:val="20"/>
                <w:szCs w:val="20"/>
                <w:color w:val="auto"/>
              </w:rPr>
            </w:pPr>
            <w:r>
              <w:rPr>
                <w:rFonts w:ascii="Arial" w:cs="Arial" w:eastAsia="Arial" w:hAnsi="Arial"/>
                <w:sz w:val="20"/>
                <w:szCs w:val="20"/>
                <w:color w:val="auto"/>
              </w:rPr>
              <w:t>●  Leverage — Tier 1 capital to average total assets, as defined</w:t>
            </w:r>
          </w:p>
        </w:tc>
        <w:tc>
          <w:tcPr>
            <w:tcW w:w="1320" w:type="dxa"/>
            <w:vAlign w:val="bottom"/>
            <w:shd w:val="clear" w:color="auto" w:fill="CFF0FC"/>
          </w:tcPr>
          <w:p>
            <w:pPr>
              <w:jc w:val="right"/>
              <w:ind w:right="85"/>
              <w:spacing w:after="0"/>
              <w:rPr>
                <w:sz w:val="20"/>
                <w:szCs w:val="20"/>
                <w:color w:val="auto"/>
              </w:rPr>
            </w:pPr>
            <w:r>
              <w:rPr>
                <w:rFonts w:ascii="Arial" w:cs="Arial" w:eastAsia="Arial" w:hAnsi="Arial"/>
                <w:sz w:val="20"/>
                <w:szCs w:val="20"/>
                <w:color w:val="auto"/>
              </w:rPr>
              <w:t>4.0%</w:t>
            </w:r>
          </w:p>
        </w:tc>
        <w:tc>
          <w:tcPr>
            <w:tcW w:w="16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90"/>
              <w:spacing w:after="0"/>
              <w:rPr>
                <w:sz w:val="20"/>
                <w:szCs w:val="20"/>
                <w:color w:val="auto"/>
              </w:rPr>
            </w:pPr>
            <w:r>
              <w:rPr>
                <w:rFonts w:ascii="Arial" w:cs="Arial" w:eastAsia="Arial" w:hAnsi="Arial"/>
                <w:sz w:val="20"/>
                <w:szCs w:val="20"/>
                <w:color w:val="auto"/>
              </w:rPr>
              <w:t>5.0%</w:t>
            </w:r>
          </w:p>
        </w:tc>
        <w:tc>
          <w:tcPr>
            <w:tcW w:w="0" w:type="dxa"/>
            <w:vAlign w:val="bottom"/>
          </w:tcPr>
          <w:p>
            <w:pPr>
              <w:spacing w:after="0"/>
              <w:rPr>
                <w:sz w:val="1"/>
                <w:szCs w:val="1"/>
                <w:color w:val="auto"/>
              </w:rPr>
            </w:pPr>
          </w:p>
        </w:tc>
      </w:tr>
    </w:tbl>
    <w:p>
      <w:pPr>
        <w:spacing w:after="0" w:line="236" w:lineRule="exact"/>
        <w:rPr>
          <w:sz w:val="20"/>
          <w:szCs w:val="20"/>
          <w:color w:val="auto"/>
        </w:rPr>
      </w:pPr>
    </w:p>
    <w:p>
      <w:pPr>
        <w:ind w:right="120" w:firstLine="598"/>
        <w:spacing w:after="0" w:line="261" w:lineRule="auto"/>
        <w:rPr>
          <w:sz w:val="20"/>
          <w:szCs w:val="20"/>
          <w:color w:val="auto"/>
        </w:rPr>
      </w:pPr>
      <w:r>
        <w:rPr>
          <w:rFonts w:ascii="Arial" w:cs="Arial" w:eastAsia="Arial" w:hAnsi="Arial"/>
          <w:sz w:val="20"/>
          <w:szCs w:val="20"/>
          <w:color w:val="auto"/>
        </w:rPr>
        <w:t>In addition, capital regulations provide for the phase-in of a “capital conservation buffer” composed entirely of CET1 on top of these minimum risk-weighted asset ratios. When fully phased-in on January 1, 2019 the capital conservation buffer will be 2.5%. For 2017 and 2016, the phase-in transition portion of that buffer was 1.25% and .625%, respectively.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181" w:name="page182"/>
    <w:bookmarkEnd w:id="181"/>
    <w:p>
      <w:pPr>
        <w:ind w:left="600"/>
        <w:spacing w:after="0"/>
        <w:rPr>
          <w:sz w:val="20"/>
          <w:szCs w:val="20"/>
          <w:color w:val="auto"/>
        </w:rPr>
      </w:pPr>
      <w:r>
        <w:rPr>
          <w:rFonts w:ascii="Arial" w:cs="Arial" w:eastAsia="Arial" w:hAnsi="Arial"/>
          <w:sz w:val="18"/>
          <w:szCs w:val="18"/>
          <w:color w:val="auto"/>
        </w:rPr>
        <w:t>The capital ratios and amounts of the Company and its banking subsidiaries as of December 31, 2017 and 2016 are presented below:</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jc w:val="right"/>
              <w:ind w:right="643"/>
              <w:spacing w:after="0"/>
              <w:rPr>
                <w:sz w:val="20"/>
                <w:szCs w:val="20"/>
                <w:color w:val="auto"/>
              </w:rPr>
            </w:pPr>
            <w:r>
              <w:rPr>
                <w:rFonts w:ascii="Arial" w:cs="Arial" w:eastAsia="Arial" w:hAnsi="Arial"/>
                <w:sz w:val="14"/>
                <w:szCs w:val="14"/>
                <w:b w:val="1"/>
                <w:bCs w:val="1"/>
                <w:color w:val="auto"/>
              </w:rPr>
              <w:t>M&amp;T</w:t>
            </w:r>
          </w:p>
        </w:tc>
        <w:tc>
          <w:tcPr>
            <w:tcW w:w="300" w:type="dxa"/>
            <w:vAlign w:val="bottom"/>
          </w:tcPr>
          <w:p>
            <w:pPr>
              <w:spacing w:after="0"/>
              <w:rPr>
                <w:sz w:val="14"/>
                <w:szCs w:val="14"/>
                <w:color w:val="auto"/>
              </w:rPr>
            </w:pPr>
          </w:p>
        </w:tc>
        <w:tc>
          <w:tcPr>
            <w:tcW w:w="1380" w:type="dxa"/>
            <w:vAlign w:val="bottom"/>
            <w:vMerge w:val="restart"/>
          </w:tcPr>
          <w:p>
            <w:pPr>
              <w:jc w:val="right"/>
              <w:ind w:right="481"/>
              <w:spacing w:after="0"/>
              <w:rPr>
                <w:sz w:val="20"/>
                <w:szCs w:val="20"/>
                <w:color w:val="auto"/>
              </w:rPr>
            </w:pPr>
            <w:r>
              <w:rPr>
                <w:rFonts w:ascii="Arial" w:cs="Arial" w:eastAsia="Arial" w:hAnsi="Arial"/>
                <w:sz w:val="14"/>
                <w:szCs w:val="14"/>
                <w:b w:val="1"/>
                <w:bCs w:val="1"/>
                <w:color w:val="auto"/>
              </w:rPr>
              <w:t>M&amp;T Bank</w:t>
            </w:r>
          </w:p>
        </w:tc>
        <w:tc>
          <w:tcPr>
            <w:tcW w:w="280" w:type="dxa"/>
            <w:vAlign w:val="bottom"/>
          </w:tcPr>
          <w:p>
            <w:pPr>
              <w:spacing w:after="0"/>
              <w:rPr>
                <w:sz w:val="14"/>
                <w:szCs w:val="14"/>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Wilmington</w:t>
            </w:r>
          </w:p>
        </w:tc>
        <w:tc>
          <w:tcPr>
            <w:tcW w:w="0" w:type="dxa"/>
            <w:vAlign w:val="bottom"/>
          </w:tcPr>
          <w:p>
            <w:pPr>
              <w:spacing w:after="0"/>
              <w:rPr>
                <w:sz w:val="1"/>
                <w:szCs w:val="1"/>
                <w:color w:val="auto"/>
              </w:rPr>
            </w:pPr>
          </w:p>
        </w:tc>
      </w:tr>
      <w:tr>
        <w:trPr>
          <w:trHeight w:val="167"/>
        </w:trPr>
        <w:tc>
          <w:tcPr>
            <w:tcW w:w="45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jc w:val="right"/>
              <w:ind w:right="383"/>
              <w:spacing w:after="0"/>
              <w:rPr>
                <w:sz w:val="20"/>
                <w:szCs w:val="20"/>
                <w:color w:val="auto"/>
              </w:rPr>
            </w:pPr>
            <w:r>
              <w:rPr>
                <w:rFonts w:ascii="Arial" w:cs="Arial" w:eastAsia="Arial" w:hAnsi="Arial"/>
                <w:sz w:val="14"/>
                <w:szCs w:val="14"/>
                <w:b w:val="1"/>
                <w:bCs w:val="1"/>
                <w:color w:val="auto"/>
                <w:w w:val="93"/>
              </w:rPr>
              <w:t>(Consolidated)</w:t>
            </w:r>
          </w:p>
        </w:tc>
        <w:tc>
          <w:tcPr>
            <w:tcW w:w="30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Trust, N.A.</w:t>
            </w:r>
          </w:p>
        </w:tc>
        <w:tc>
          <w:tcPr>
            <w:tcW w:w="0" w:type="dxa"/>
            <w:vAlign w:val="bottom"/>
          </w:tcPr>
          <w:p>
            <w:pPr>
              <w:spacing w:after="0"/>
              <w:rPr>
                <w:sz w:val="1"/>
                <w:szCs w:val="1"/>
                <w:color w:val="auto"/>
              </w:rPr>
            </w:pPr>
          </w:p>
        </w:tc>
      </w:tr>
      <w:tr>
        <w:trPr>
          <w:trHeight w:val="151"/>
        </w:trPr>
        <w:tc>
          <w:tcPr>
            <w:tcW w:w="45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spacing w:after="0"/>
              <w:rPr>
                <w:sz w:val="13"/>
                <w:szCs w:val="13"/>
                <w:color w:val="auto"/>
              </w:rPr>
            </w:pPr>
          </w:p>
        </w:tc>
        <w:tc>
          <w:tcPr>
            <w:tcW w:w="1680" w:type="dxa"/>
            <w:vAlign w:val="bottom"/>
            <w:tcBorders>
              <w:top w:val="single" w:sz="8" w:color="auto"/>
            </w:tcBorders>
            <w:gridSpan w:val="2"/>
          </w:tcPr>
          <w:p>
            <w:pPr>
              <w:ind w:left="100"/>
              <w:spacing w:after="0" w:line="151" w:lineRule="exact"/>
              <w:rPr>
                <w:sz w:val="20"/>
                <w:szCs w:val="20"/>
                <w:color w:val="auto"/>
              </w:rPr>
            </w:pPr>
            <w:r>
              <w:rPr>
                <w:rFonts w:ascii="Arial" w:cs="Arial" w:eastAsia="Arial" w:hAnsi="Arial"/>
                <w:sz w:val="14"/>
                <w:szCs w:val="14"/>
                <w:b w:val="1"/>
                <w:bCs w:val="1"/>
                <w:color w:val="auto"/>
              </w:rPr>
              <w:t>(Dollars in thousands)</w:t>
            </w:r>
          </w:p>
        </w:tc>
        <w:tc>
          <w:tcPr>
            <w:tcW w:w="28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4500" w:type="dxa"/>
            <w:vAlign w:val="bottom"/>
            <w:shd w:val="clear" w:color="auto" w:fill="CFF0FC"/>
          </w:tcPr>
          <w:p>
            <w:pPr>
              <w:spacing w:after="0"/>
              <w:rPr>
                <w:sz w:val="20"/>
                <w:szCs w:val="20"/>
                <w:color w:val="auto"/>
              </w:rPr>
            </w:pPr>
            <w:r>
              <w:rPr>
                <w:rFonts w:ascii="Arial" w:cs="Arial" w:eastAsia="Arial" w:hAnsi="Arial"/>
                <w:sz w:val="20"/>
                <w:szCs w:val="20"/>
                <w:color w:val="auto"/>
              </w:rPr>
              <w:t>December 31, 2017:</w:t>
            </w:r>
          </w:p>
        </w:tc>
        <w:tc>
          <w:tcPr>
            <w:tcW w:w="20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500" w:type="dxa"/>
            <w:vAlign w:val="bottom"/>
          </w:tcPr>
          <w:p>
            <w:pPr>
              <w:spacing w:after="0"/>
              <w:rPr>
                <w:sz w:val="20"/>
                <w:szCs w:val="20"/>
                <w:color w:val="auto"/>
              </w:rPr>
            </w:pPr>
            <w:r>
              <w:rPr>
                <w:rFonts w:ascii="Arial" w:cs="Arial" w:eastAsia="Arial" w:hAnsi="Arial"/>
                <w:sz w:val="20"/>
                <w:szCs w:val="20"/>
                <w:color w:val="auto"/>
              </w:rPr>
              <w:t>Common equity Tier 1 capital</w:t>
            </w:r>
          </w:p>
        </w:tc>
        <w:tc>
          <w:tcPr>
            <w:tcW w:w="2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500" w:type="dxa"/>
            <w:vAlign w:val="bottom"/>
            <w:shd w:val="clear" w:color="auto" w:fill="CFF0FC"/>
          </w:tcPr>
          <w:p>
            <w:pPr>
              <w:ind w:left="240"/>
              <w:spacing w:after="0"/>
              <w:rPr>
                <w:sz w:val="20"/>
                <w:szCs w:val="20"/>
                <w:color w:val="auto"/>
              </w:rPr>
            </w:pPr>
            <w:r>
              <w:rPr>
                <w:rFonts w:ascii="Arial" w:cs="Arial" w:eastAsia="Arial" w:hAnsi="Arial"/>
                <w:sz w:val="20"/>
                <w:szCs w:val="20"/>
                <w:color w:val="auto"/>
              </w:rPr>
              <w:t>Amount</w:t>
            </w:r>
          </w:p>
        </w:tc>
        <w:tc>
          <w:tcPr>
            <w:tcW w:w="2220" w:type="dxa"/>
            <w:vAlign w:val="bottom"/>
            <w:gridSpan w:val="2"/>
            <w:shd w:val="clear" w:color="auto" w:fill="CFF0FC"/>
          </w:tcPr>
          <w:p>
            <w:pPr>
              <w:jc w:val="right"/>
              <w:ind w:right="60"/>
              <w:spacing w:after="0"/>
              <w:rPr>
                <w:sz w:val="20"/>
                <w:szCs w:val="20"/>
                <w:color w:val="auto"/>
              </w:rPr>
            </w:pPr>
            <w:r>
              <w:rPr>
                <w:rFonts w:ascii="Arial" w:cs="Arial" w:eastAsia="Arial" w:hAnsi="Arial"/>
                <w:sz w:val="20"/>
                <w:szCs w:val="20"/>
                <w:color w:val="auto"/>
              </w:rPr>
              <w:t>$</w:t>
            </w:r>
          </w:p>
        </w:tc>
        <w:tc>
          <w:tcPr>
            <w:tcW w:w="1420" w:type="dxa"/>
            <w:vAlign w:val="bottom"/>
            <w:shd w:val="clear" w:color="auto" w:fill="CFF0FC"/>
          </w:tcPr>
          <w:p>
            <w:pPr>
              <w:jc w:val="right"/>
              <w:ind w:right="163"/>
              <w:spacing w:after="0"/>
              <w:rPr>
                <w:sz w:val="20"/>
                <w:szCs w:val="20"/>
                <w:color w:val="auto"/>
              </w:rPr>
            </w:pPr>
            <w:r>
              <w:rPr>
                <w:rFonts w:ascii="Arial" w:cs="Arial" w:eastAsia="Arial" w:hAnsi="Arial"/>
                <w:sz w:val="20"/>
                <w:szCs w:val="20"/>
                <w:color w:val="auto"/>
              </w:rPr>
              <w:t>10,675,735</w:t>
            </w:r>
          </w:p>
        </w:tc>
        <w:tc>
          <w:tcPr>
            <w:tcW w:w="3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w:t>
            </w:r>
          </w:p>
        </w:tc>
        <w:tc>
          <w:tcPr>
            <w:tcW w:w="138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9,978,163</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529,988</w:t>
            </w:r>
          </w:p>
        </w:tc>
        <w:tc>
          <w:tcPr>
            <w:tcW w:w="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500" w:type="dxa"/>
            <w:vAlign w:val="bottom"/>
          </w:tcPr>
          <w:p>
            <w:pPr>
              <w:ind w:left="240"/>
              <w:spacing w:after="0"/>
              <w:rPr>
                <w:sz w:val="20"/>
                <w:szCs w:val="20"/>
                <w:color w:val="auto"/>
              </w:rPr>
            </w:pPr>
            <w:r>
              <w:rPr>
                <w:rFonts w:ascii="Arial" w:cs="Arial" w:eastAsia="Arial" w:hAnsi="Arial"/>
                <w:sz w:val="20"/>
                <w:szCs w:val="20"/>
                <w:color w:val="auto"/>
              </w:rPr>
              <w:t>Ratio(a)</w:t>
            </w:r>
          </w:p>
        </w:tc>
        <w:tc>
          <w:tcPr>
            <w:tcW w:w="2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10.99%</w:t>
            </w:r>
          </w:p>
        </w:tc>
        <w:tc>
          <w:tcPr>
            <w:tcW w:w="3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10.30%</w:t>
            </w:r>
          </w:p>
        </w:tc>
        <w:tc>
          <w:tcPr>
            <w:tcW w:w="280" w:type="dxa"/>
            <w:vAlign w:val="bottom"/>
          </w:tcPr>
          <w:p>
            <w:pPr>
              <w:spacing w:after="0"/>
              <w:rPr>
                <w:sz w:val="21"/>
                <w:szCs w:val="21"/>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20"/>
                <w:szCs w:val="20"/>
                <w:color w:val="auto"/>
              </w:rPr>
              <w:t>48.16%</w:t>
            </w:r>
          </w:p>
        </w:tc>
        <w:tc>
          <w:tcPr>
            <w:tcW w:w="0" w:type="dxa"/>
            <w:vAlign w:val="bottom"/>
          </w:tcPr>
          <w:p>
            <w:pPr>
              <w:spacing w:after="0"/>
              <w:rPr>
                <w:sz w:val="1"/>
                <w:szCs w:val="1"/>
                <w:color w:val="auto"/>
              </w:rPr>
            </w:pPr>
          </w:p>
        </w:tc>
      </w:tr>
      <w:tr>
        <w:trPr>
          <w:trHeight w:val="250"/>
        </w:trPr>
        <w:tc>
          <w:tcPr>
            <w:tcW w:w="4500" w:type="dxa"/>
            <w:vAlign w:val="bottom"/>
            <w:shd w:val="clear" w:color="auto" w:fill="CFF0FC"/>
          </w:tcPr>
          <w:p>
            <w:pPr>
              <w:spacing w:after="0"/>
              <w:rPr>
                <w:sz w:val="20"/>
                <w:szCs w:val="20"/>
                <w:color w:val="auto"/>
              </w:rPr>
            </w:pPr>
            <w:r>
              <w:rPr>
                <w:rFonts w:ascii="Arial" w:cs="Arial" w:eastAsia="Arial" w:hAnsi="Arial"/>
                <w:sz w:val="20"/>
                <w:szCs w:val="20"/>
                <w:color w:val="auto"/>
              </w:rPr>
              <w:t>Tier 1 capital</w:t>
            </w:r>
          </w:p>
        </w:tc>
        <w:tc>
          <w:tcPr>
            <w:tcW w:w="20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500" w:type="dxa"/>
            <w:vAlign w:val="bottom"/>
          </w:tcPr>
          <w:p>
            <w:pPr>
              <w:ind w:left="240"/>
              <w:spacing w:after="0"/>
              <w:rPr>
                <w:sz w:val="20"/>
                <w:szCs w:val="20"/>
                <w:color w:val="auto"/>
              </w:rPr>
            </w:pPr>
            <w:r>
              <w:rPr>
                <w:rFonts w:ascii="Arial" w:cs="Arial" w:eastAsia="Arial" w:hAnsi="Arial"/>
                <w:sz w:val="20"/>
                <w:szCs w:val="20"/>
                <w:color w:val="auto"/>
              </w:rPr>
              <w:t>Amount</w:t>
            </w:r>
          </w:p>
        </w:tc>
        <w:tc>
          <w:tcPr>
            <w:tcW w:w="2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63"/>
              <w:spacing w:after="0"/>
              <w:rPr>
                <w:sz w:val="20"/>
                <w:szCs w:val="20"/>
                <w:color w:val="auto"/>
              </w:rPr>
            </w:pPr>
            <w:r>
              <w:rPr>
                <w:rFonts w:ascii="Arial" w:cs="Arial" w:eastAsia="Arial" w:hAnsi="Arial"/>
                <w:sz w:val="20"/>
                <w:szCs w:val="20"/>
                <w:color w:val="auto"/>
              </w:rPr>
              <w:t>11,908,166</w:t>
            </w:r>
          </w:p>
        </w:tc>
        <w:tc>
          <w:tcPr>
            <w:tcW w:w="300" w:type="dxa"/>
            <w:vAlign w:val="bottom"/>
          </w:tcPr>
          <w:p>
            <w:pPr>
              <w:spacing w:after="0"/>
              <w:rPr>
                <w:sz w:val="21"/>
                <w:szCs w:val="21"/>
                <w:color w:val="auto"/>
              </w:rPr>
            </w:pPr>
          </w:p>
        </w:tc>
        <w:tc>
          <w:tcPr>
            <w:tcW w:w="1380" w:type="dxa"/>
            <w:vAlign w:val="bottom"/>
          </w:tcPr>
          <w:p>
            <w:pPr>
              <w:jc w:val="right"/>
              <w:ind w:right="161"/>
              <w:spacing w:after="0"/>
              <w:rPr>
                <w:sz w:val="20"/>
                <w:szCs w:val="20"/>
                <w:color w:val="auto"/>
              </w:rPr>
            </w:pPr>
            <w:r>
              <w:rPr>
                <w:rFonts w:ascii="Arial" w:cs="Arial" w:eastAsia="Arial" w:hAnsi="Arial"/>
                <w:sz w:val="20"/>
                <w:szCs w:val="20"/>
                <w:color w:val="auto"/>
              </w:rPr>
              <w:t>9,978,163</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529,988</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500" w:type="dxa"/>
            <w:vAlign w:val="bottom"/>
            <w:shd w:val="clear" w:color="auto" w:fill="CFF0FC"/>
          </w:tcPr>
          <w:p>
            <w:pPr>
              <w:ind w:left="240"/>
              <w:spacing w:after="0"/>
              <w:rPr>
                <w:sz w:val="20"/>
                <w:szCs w:val="20"/>
                <w:color w:val="auto"/>
              </w:rPr>
            </w:pPr>
            <w:r>
              <w:rPr>
                <w:rFonts w:ascii="Arial" w:cs="Arial" w:eastAsia="Arial" w:hAnsi="Arial"/>
                <w:sz w:val="20"/>
                <w:szCs w:val="20"/>
                <w:color w:val="auto"/>
              </w:rPr>
              <w:t>Ratio(a)</w:t>
            </w:r>
          </w:p>
        </w:tc>
        <w:tc>
          <w:tcPr>
            <w:tcW w:w="20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12.26%</w:t>
            </w:r>
          </w:p>
        </w:tc>
        <w:tc>
          <w:tcPr>
            <w:tcW w:w="30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10.30%</w:t>
            </w:r>
          </w:p>
        </w:tc>
        <w:tc>
          <w:tcPr>
            <w:tcW w:w="28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48.16%</w:t>
            </w:r>
          </w:p>
        </w:tc>
        <w:tc>
          <w:tcPr>
            <w:tcW w:w="0" w:type="dxa"/>
            <w:vAlign w:val="bottom"/>
          </w:tcPr>
          <w:p>
            <w:pPr>
              <w:spacing w:after="0"/>
              <w:rPr>
                <w:sz w:val="1"/>
                <w:szCs w:val="1"/>
                <w:color w:val="auto"/>
              </w:rPr>
            </w:pPr>
          </w:p>
        </w:tc>
      </w:tr>
      <w:tr>
        <w:trPr>
          <w:trHeight w:val="250"/>
        </w:trPr>
        <w:tc>
          <w:tcPr>
            <w:tcW w:w="4500" w:type="dxa"/>
            <w:vAlign w:val="bottom"/>
          </w:tcPr>
          <w:p>
            <w:pPr>
              <w:spacing w:after="0"/>
              <w:rPr>
                <w:sz w:val="20"/>
                <w:szCs w:val="20"/>
                <w:color w:val="auto"/>
              </w:rPr>
            </w:pPr>
            <w:r>
              <w:rPr>
                <w:rFonts w:ascii="Arial" w:cs="Arial" w:eastAsia="Arial" w:hAnsi="Arial"/>
                <w:sz w:val="20"/>
                <w:szCs w:val="20"/>
                <w:color w:val="auto"/>
              </w:rPr>
              <w:t>Total capital</w:t>
            </w:r>
          </w:p>
        </w:tc>
        <w:tc>
          <w:tcPr>
            <w:tcW w:w="2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500" w:type="dxa"/>
            <w:vAlign w:val="bottom"/>
            <w:shd w:val="clear" w:color="auto" w:fill="CFF0FC"/>
          </w:tcPr>
          <w:p>
            <w:pPr>
              <w:ind w:left="240"/>
              <w:spacing w:after="0"/>
              <w:rPr>
                <w:sz w:val="20"/>
                <w:szCs w:val="20"/>
                <w:color w:val="auto"/>
              </w:rPr>
            </w:pPr>
            <w:r>
              <w:rPr>
                <w:rFonts w:ascii="Arial" w:cs="Arial" w:eastAsia="Arial" w:hAnsi="Arial"/>
                <w:sz w:val="20"/>
                <w:szCs w:val="20"/>
                <w:color w:val="auto"/>
              </w:rPr>
              <w:t>Amount</w:t>
            </w:r>
          </w:p>
        </w:tc>
        <w:tc>
          <w:tcPr>
            <w:tcW w:w="20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163"/>
              <w:spacing w:after="0"/>
              <w:rPr>
                <w:sz w:val="20"/>
                <w:szCs w:val="20"/>
                <w:color w:val="auto"/>
              </w:rPr>
            </w:pPr>
            <w:r>
              <w:rPr>
                <w:rFonts w:ascii="Arial" w:cs="Arial" w:eastAsia="Arial" w:hAnsi="Arial"/>
                <w:sz w:val="20"/>
                <w:szCs w:val="20"/>
                <w:color w:val="auto"/>
              </w:rPr>
              <w:t>14,328,467</w:t>
            </w:r>
          </w:p>
        </w:tc>
        <w:tc>
          <w:tcPr>
            <w:tcW w:w="30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12,012,171</w:t>
            </w:r>
          </w:p>
        </w:tc>
        <w:tc>
          <w:tcPr>
            <w:tcW w:w="28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534,235</w:t>
            </w:r>
          </w:p>
        </w:tc>
        <w:tc>
          <w:tcPr>
            <w:tcW w:w="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500" w:type="dxa"/>
            <w:vAlign w:val="bottom"/>
          </w:tcPr>
          <w:p>
            <w:pPr>
              <w:ind w:left="240"/>
              <w:spacing w:after="0"/>
              <w:rPr>
                <w:sz w:val="20"/>
                <w:szCs w:val="20"/>
                <w:color w:val="auto"/>
              </w:rPr>
            </w:pPr>
            <w:r>
              <w:rPr>
                <w:rFonts w:ascii="Arial" w:cs="Arial" w:eastAsia="Arial" w:hAnsi="Arial"/>
                <w:sz w:val="20"/>
                <w:szCs w:val="20"/>
                <w:color w:val="auto"/>
              </w:rPr>
              <w:t>Ratio(a)</w:t>
            </w:r>
          </w:p>
        </w:tc>
        <w:tc>
          <w:tcPr>
            <w:tcW w:w="2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14.75%</w:t>
            </w:r>
          </w:p>
        </w:tc>
        <w:tc>
          <w:tcPr>
            <w:tcW w:w="3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12.40%</w:t>
            </w:r>
          </w:p>
        </w:tc>
        <w:tc>
          <w:tcPr>
            <w:tcW w:w="280" w:type="dxa"/>
            <w:vAlign w:val="bottom"/>
          </w:tcPr>
          <w:p>
            <w:pPr>
              <w:spacing w:after="0"/>
              <w:rPr>
                <w:sz w:val="21"/>
                <w:szCs w:val="21"/>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20"/>
                <w:szCs w:val="20"/>
                <w:color w:val="auto"/>
              </w:rPr>
              <w:t>48.54%</w:t>
            </w:r>
          </w:p>
        </w:tc>
        <w:tc>
          <w:tcPr>
            <w:tcW w:w="0" w:type="dxa"/>
            <w:vAlign w:val="bottom"/>
          </w:tcPr>
          <w:p>
            <w:pPr>
              <w:spacing w:after="0"/>
              <w:rPr>
                <w:sz w:val="1"/>
                <w:szCs w:val="1"/>
                <w:color w:val="auto"/>
              </w:rPr>
            </w:pPr>
          </w:p>
        </w:tc>
      </w:tr>
      <w:tr>
        <w:trPr>
          <w:trHeight w:val="250"/>
        </w:trPr>
        <w:tc>
          <w:tcPr>
            <w:tcW w:w="4500" w:type="dxa"/>
            <w:vAlign w:val="bottom"/>
            <w:shd w:val="clear" w:color="auto" w:fill="CFF0FC"/>
          </w:tcPr>
          <w:p>
            <w:pPr>
              <w:spacing w:after="0"/>
              <w:rPr>
                <w:sz w:val="20"/>
                <w:szCs w:val="20"/>
                <w:color w:val="auto"/>
              </w:rPr>
            </w:pPr>
            <w:r>
              <w:rPr>
                <w:rFonts w:ascii="Arial" w:cs="Arial" w:eastAsia="Arial" w:hAnsi="Arial"/>
                <w:sz w:val="20"/>
                <w:szCs w:val="20"/>
                <w:color w:val="auto"/>
              </w:rPr>
              <w:t>Leverage</w:t>
            </w:r>
          </w:p>
        </w:tc>
        <w:tc>
          <w:tcPr>
            <w:tcW w:w="20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500" w:type="dxa"/>
            <w:vAlign w:val="bottom"/>
          </w:tcPr>
          <w:p>
            <w:pPr>
              <w:ind w:left="240"/>
              <w:spacing w:after="0"/>
              <w:rPr>
                <w:sz w:val="20"/>
                <w:szCs w:val="20"/>
                <w:color w:val="auto"/>
              </w:rPr>
            </w:pPr>
            <w:r>
              <w:rPr>
                <w:rFonts w:ascii="Arial" w:cs="Arial" w:eastAsia="Arial" w:hAnsi="Arial"/>
                <w:sz w:val="20"/>
                <w:szCs w:val="20"/>
                <w:color w:val="auto"/>
              </w:rPr>
              <w:t>Amount</w:t>
            </w:r>
          </w:p>
        </w:tc>
        <w:tc>
          <w:tcPr>
            <w:tcW w:w="2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63"/>
              <w:spacing w:after="0"/>
              <w:rPr>
                <w:sz w:val="20"/>
                <w:szCs w:val="20"/>
                <w:color w:val="auto"/>
              </w:rPr>
            </w:pPr>
            <w:r>
              <w:rPr>
                <w:rFonts w:ascii="Arial" w:cs="Arial" w:eastAsia="Arial" w:hAnsi="Arial"/>
                <w:sz w:val="20"/>
                <w:szCs w:val="20"/>
                <w:color w:val="auto"/>
              </w:rPr>
              <w:t>11,908,166</w:t>
            </w:r>
          </w:p>
        </w:tc>
        <w:tc>
          <w:tcPr>
            <w:tcW w:w="300" w:type="dxa"/>
            <w:vAlign w:val="bottom"/>
          </w:tcPr>
          <w:p>
            <w:pPr>
              <w:spacing w:after="0"/>
              <w:rPr>
                <w:sz w:val="21"/>
                <w:szCs w:val="21"/>
                <w:color w:val="auto"/>
              </w:rPr>
            </w:pPr>
          </w:p>
        </w:tc>
        <w:tc>
          <w:tcPr>
            <w:tcW w:w="1380" w:type="dxa"/>
            <w:vAlign w:val="bottom"/>
          </w:tcPr>
          <w:p>
            <w:pPr>
              <w:jc w:val="right"/>
              <w:ind w:right="161"/>
              <w:spacing w:after="0"/>
              <w:rPr>
                <w:sz w:val="20"/>
                <w:szCs w:val="20"/>
                <w:color w:val="auto"/>
              </w:rPr>
            </w:pPr>
            <w:r>
              <w:rPr>
                <w:rFonts w:ascii="Arial" w:cs="Arial" w:eastAsia="Arial" w:hAnsi="Arial"/>
                <w:sz w:val="20"/>
                <w:szCs w:val="20"/>
                <w:color w:val="auto"/>
              </w:rPr>
              <w:t>9,978,163</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529,988</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500" w:type="dxa"/>
            <w:vAlign w:val="bottom"/>
            <w:shd w:val="clear" w:color="auto" w:fill="CFF0FC"/>
          </w:tcPr>
          <w:p>
            <w:pPr>
              <w:ind w:left="240"/>
              <w:spacing w:after="0"/>
              <w:rPr>
                <w:sz w:val="20"/>
                <w:szCs w:val="20"/>
                <w:color w:val="auto"/>
              </w:rPr>
            </w:pPr>
            <w:r>
              <w:rPr>
                <w:rFonts w:ascii="Arial" w:cs="Arial" w:eastAsia="Arial" w:hAnsi="Arial"/>
                <w:sz w:val="20"/>
                <w:szCs w:val="20"/>
                <w:color w:val="auto"/>
              </w:rPr>
              <w:t>Ratio(b)</w:t>
            </w:r>
          </w:p>
        </w:tc>
        <w:tc>
          <w:tcPr>
            <w:tcW w:w="20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10.31%</w:t>
            </w:r>
          </w:p>
        </w:tc>
        <w:tc>
          <w:tcPr>
            <w:tcW w:w="30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8.68%</w:t>
            </w:r>
          </w:p>
        </w:tc>
        <w:tc>
          <w:tcPr>
            <w:tcW w:w="28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13.03%</w:t>
            </w:r>
          </w:p>
        </w:tc>
        <w:tc>
          <w:tcPr>
            <w:tcW w:w="0" w:type="dxa"/>
            <w:vAlign w:val="bottom"/>
          </w:tcPr>
          <w:p>
            <w:pPr>
              <w:spacing w:after="0"/>
              <w:rPr>
                <w:sz w:val="1"/>
                <w:szCs w:val="1"/>
                <w:color w:val="auto"/>
              </w:rPr>
            </w:pPr>
          </w:p>
        </w:tc>
      </w:tr>
      <w:tr>
        <w:trPr>
          <w:trHeight w:val="250"/>
        </w:trPr>
        <w:tc>
          <w:tcPr>
            <w:tcW w:w="4500" w:type="dxa"/>
            <w:vAlign w:val="bottom"/>
          </w:tcPr>
          <w:p>
            <w:pPr>
              <w:spacing w:after="0"/>
              <w:rPr>
                <w:sz w:val="20"/>
                <w:szCs w:val="20"/>
                <w:color w:val="auto"/>
              </w:rPr>
            </w:pPr>
            <w:r>
              <w:rPr>
                <w:rFonts w:ascii="Arial" w:cs="Arial" w:eastAsia="Arial" w:hAnsi="Arial"/>
                <w:sz w:val="20"/>
                <w:szCs w:val="20"/>
                <w:color w:val="auto"/>
              </w:rPr>
              <w:t>December 31, 2016:</w:t>
            </w:r>
          </w:p>
        </w:tc>
        <w:tc>
          <w:tcPr>
            <w:tcW w:w="2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500" w:type="dxa"/>
            <w:vAlign w:val="bottom"/>
            <w:shd w:val="clear" w:color="auto" w:fill="CFF0FC"/>
          </w:tcPr>
          <w:p>
            <w:pPr>
              <w:spacing w:after="0"/>
              <w:rPr>
                <w:sz w:val="20"/>
                <w:szCs w:val="20"/>
                <w:color w:val="auto"/>
              </w:rPr>
            </w:pPr>
            <w:r>
              <w:rPr>
                <w:rFonts w:ascii="Arial" w:cs="Arial" w:eastAsia="Arial" w:hAnsi="Arial"/>
                <w:sz w:val="20"/>
                <w:szCs w:val="20"/>
                <w:color w:val="auto"/>
              </w:rPr>
              <w:t>Common equity Tier 1 capital</w:t>
            </w:r>
          </w:p>
        </w:tc>
        <w:tc>
          <w:tcPr>
            <w:tcW w:w="20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500" w:type="dxa"/>
            <w:vAlign w:val="bottom"/>
          </w:tcPr>
          <w:p>
            <w:pPr>
              <w:ind w:left="240"/>
              <w:spacing w:after="0"/>
              <w:rPr>
                <w:sz w:val="20"/>
                <w:szCs w:val="20"/>
                <w:color w:val="auto"/>
              </w:rPr>
            </w:pPr>
            <w:r>
              <w:rPr>
                <w:rFonts w:ascii="Arial" w:cs="Arial" w:eastAsia="Arial" w:hAnsi="Arial"/>
                <w:sz w:val="20"/>
                <w:szCs w:val="20"/>
                <w:color w:val="auto"/>
              </w:rPr>
              <w:t>Amount</w:t>
            </w:r>
          </w:p>
        </w:tc>
        <w:tc>
          <w:tcPr>
            <w:tcW w:w="222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420" w:type="dxa"/>
            <w:vAlign w:val="bottom"/>
          </w:tcPr>
          <w:p>
            <w:pPr>
              <w:jc w:val="right"/>
              <w:ind w:right="163"/>
              <w:spacing w:after="0"/>
              <w:rPr>
                <w:sz w:val="20"/>
                <w:szCs w:val="20"/>
                <w:color w:val="auto"/>
              </w:rPr>
            </w:pPr>
            <w:r>
              <w:rPr>
                <w:rFonts w:ascii="Arial" w:cs="Arial" w:eastAsia="Arial" w:hAnsi="Arial"/>
                <w:sz w:val="20"/>
                <w:szCs w:val="20"/>
                <w:color w:val="auto"/>
              </w:rPr>
              <w:t>10,849,642</w:t>
            </w:r>
          </w:p>
        </w:tc>
        <w:tc>
          <w:tcPr>
            <w:tcW w:w="300" w:type="dxa"/>
            <w:vAlign w:val="bottom"/>
          </w:tcPr>
          <w:p>
            <w:pPr>
              <w:ind w:left="100"/>
              <w:spacing w:after="0"/>
              <w:rPr>
                <w:sz w:val="20"/>
                <w:szCs w:val="20"/>
                <w:color w:val="auto"/>
              </w:rPr>
            </w:pPr>
            <w:r>
              <w:rPr>
                <w:rFonts w:ascii="Arial" w:cs="Arial" w:eastAsia="Arial" w:hAnsi="Arial"/>
                <w:sz w:val="20"/>
                <w:szCs w:val="20"/>
                <w:color w:val="auto"/>
              </w:rPr>
              <w:t>$</w:t>
            </w:r>
          </w:p>
        </w:tc>
        <w:tc>
          <w:tcPr>
            <w:tcW w:w="1380" w:type="dxa"/>
            <w:vAlign w:val="bottom"/>
          </w:tcPr>
          <w:p>
            <w:pPr>
              <w:jc w:val="right"/>
              <w:ind w:right="161"/>
              <w:spacing w:after="0"/>
              <w:rPr>
                <w:sz w:val="20"/>
                <w:szCs w:val="20"/>
                <w:color w:val="auto"/>
              </w:rPr>
            </w:pPr>
            <w:r>
              <w:rPr>
                <w:rFonts w:ascii="Arial" w:cs="Arial" w:eastAsia="Arial" w:hAnsi="Arial"/>
                <w:sz w:val="20"/>
                <w:szCs w:val="20"/>
                <w:color w:val="auto"/>
              </w:rPr>
              <w:t>10,115,688</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496,801</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500" w:type="dxa"/>
            <w:vAlign w:val="bottom"/>
            <w:shd w:val="clear" w:color="auto" w:fill="CFF0FC"/>
          </w:tcPr>
          <w:p>
            <w:pPr>
              <w:ind w:left="240"/>
              <w:spacing w:after="0"/>
              <w:rPr>
                <w:sz w:val="20"/>
                <w:szCs w:val="20"/>
                <w:color w:val="auto"/>
              </w:rPr>
            </w:pPr>
            <w:r>
              <w:rPr>
                <w:rFonts w:ascii="Arial" w:cs="Arial" w:eastAsia="Arial" w:hAnsi="Arial"/>
                <w:sz w:val="20"/>
                <w:szCs w:val="20"/>
                <w:color w:val="auto"/>
              </w:rPr>
              <w:t>Ratio(a)</w:t>
            </w:r>
          </w:p>
        </w:tc>
        <w:tc>
          <w:tcPr>
            <w:tcW w:w="20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10.70%</w:t>
            </w:r>
          </w:p>
        </w:tc>
        <w:tc>
          <w:tcPr>
            <w:tcW w:w="30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10.02%</w:t>
            </w:r>
          </w:p>
        </w:tc>
        <w:tc>
          <w:tcPr>
            <w:tcW w:w="28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57.08%</w:t>
            </w:r>
          </w:p>
        </w:tc>
        <w:tc>
          <w:tcPr>
            <w:tcW w:w="0" w:type="dxa"/>
            <w:vAlign w:val="bottom"/>
          </w:tcPr>
          <w:p>
            <w:pPr>
              <w:spacing w:after="0"/>
              <w:rPr>
                <w:sz w:val="1"/>
                <w:szCs w:val="1"/>
                <w:color w:val="auto"/>
              </w:rPr>
            </w:pPr>
          </w:p>
        </w:tc>
      </w:tr>
      <w:tr>
        <w:trPr>
          <w:trHeight w:val="250"/>
        </w:trPr>
        <w:tc>
          <w:tcPr>
            <w:tcW w:w="4500" w:type="dxa"/>
            <w:vAlign w:val="bottom"/>
          </w:tcPr>
          <w:p>
            <w:pPr>
              <w:spacing w:after="0"/>
              <w:rPr>
                <w:sz w:val="20"/>
                <w:szCs w:val="20"/>
                <w:color w:val="auto"/>
              </w:rPr>
            </w:pPr>
            <w:r>
              <w:rPr>
                <w:rFonts w:ascii="Arial" w:cs="Arial" w:eastAsia="Arial" w:hAnsi="Arial"/>
                <w:sz w:val="20"/>
                <w:szCs w:val="20"/>
                <w:color w:val="auto"/>
              </w:rPr>
              <w:t>Tier 1 capital</w:t>
            </w:r>
          </w:p>
        </w:tc>
        <w:tc>
          <w:tcPr>
            <w:tcW w:w="2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500" w:type="dxa"/>
            <w:vAlign w:val="bottom"/>
            <w:shd w:val="clear" w:color="auto" w:fill="CFF0FC"/>
          </w:tcPr>
          <w:p>
            <w:pPr>
              <w:ind w:left="240"/>
              <w:spacing w:after="0"/>
              <w:rPr>
                <w:sz w:val="20"/>
                <w:szCs w:val="20"/>
                <w:color w:val="auto"/>
              </w:rPr>
            </w:pPr>
            <w:r>
              <w:rPr>
                <w:rFonts w:ascii="Arial" w:cs="Arial" w:eastAsia="Arial" w:hAnsi="Arial"/>
                <w:sz w:val="20"/>
                <w:szCs w:val="20"/>
                <w:color w:val="auto"/>
              </w:rPr>
              <w:t>Amount</w:t>
            </w:r>
          </w:p>
        </w:tc>
        <w:tc>
          <w:tcPr>
            <w:tcW w:w="20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163"/>
              <w:spacing w:after="0"/>
              <w:rPr>
                <w:sz w:val="20"/>
                <w:szCs w:val="20"/>
                <w:color w:val="auto"/>
              </w:rPr>
            </w:pPr>
            <w:r>
              <w:rPr>
                <w:rFonts w:ascii="Arial" w:cs="Arial" w:eastAsia="Arial" w:hAnsi="Arial"/>
                <w:sz w:val="20"/>
                <w:szCs w:val="20"/>
                <w:color w:val="auto"/>
              </w:rPr>
              <w:t>12,083,948</w:t>
            </w:r>
          </w:p>
        </w:tc>
        <w:tc>
          <w:tcPr>
            <w:tcW w:w="30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10,115,688</w:t>
            </w:r>
          </w:p>
        </w:tc>
        <w:tc>
          <w:tcPr>
            <w:tcW w:w="28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496,801</w:t>
            </w:r>
          </w:p>
        </w:tc>
        <w:tc>
          <w:tcPr>
            <w:tcW w:w="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500" w:type="dxa"/>
            <w:vAlign w:val="bottom"/>
          </w:tcPr>
          <w:p>
            <w:pPr>
              <w:ind w:left="240"/>
              <w:spacing w:after="0"/>
              <w:rPr>
                <w:sz w:val="20"/>
                <w:szCs w:val="20"/>
                <w:color w:val="auto"/>
              </w:rPr>
            </w:pPr>
            <w:r>
              <w:rPr>
                <w:rFonts w:ascii="Arial" w:cs="Arial" w:eastAsia="Arial" w:hAnsi="Arial"/>
                <w:sz w:val="20"/>
                <w:szCs w:val="20"/>
                <w:color w:val="auto"/>
              </w:rPr>
              <w:t>Ratio(a)</w:t>
            </w:r>
          </w:p>
        </w:tc>
        <w:tc>
          <w:tcPr>
            <w:tcW w:w="2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11.92%</w:t>
            </w:r>
          </w:p>
        </w:tc>
        <w:tc>
          <w:tcPr>
            <w:tcW w:w="3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10.02%</w:t>
            </w:r>
          </w:p>
        </w:tc>
        <w:tc>
          <w:tcPr>
            <w:tcW w:w="280" w:type="dxa"/>
            <w:vAlign w:val="bottom"/>
          </w:tcPr>
          <w:p>
            <w:pPr>
              <w:spacing w:after="0"/>
              <w:rPr>
                <w:sz w:val="21"/>
                <w:szCs w:val="21"/>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20"/>
                <w:szCs w:val="20"/>
                <w:color w:val="auto"/>
              </w:rPr>
              <w:t>57.08%</w:t>
            </w:r>
          </w:p>
        </w:tc>
        <w:tc>
          <w:tcPr>
            <w:tcW w:w="0" w:type="dxa"/>
            <w:vAlign w:val="bottom"/>
          </w:tcPr>
          <w:p>
            <w:pPr>
              <w:spacing w:after="0"/>
              <w:rPr>
                <w:sz w:val="1"/>
                <w:szCs w:val="1"/>
                <w:color w:val="auto"/>
              </w:rPr>
            </w:pPr>
          </w:p>
        </w:tc>
      </w:tr>
      <w:tr>
        <w:trPr>
          <w:trHeight w:val="250"/>
        </w:trPr>
        <w:tc>
          <w:tcPr>
            <w:tcW w:w="4500" w:type="dxa"/>
            <w:vAlign w:val="bottom"/>
            <w:shd w:val="clear" w:color="auto" w:fill="CFF0FC"/>
          </w:tcPr>
          <w:p>
            <w:pPr>
              <w:spacing w:after="0"/>
              <w:rPr>
                <w:sz w:val="20"/>
                <w:szCs w:val="20"/>
                <w:color w:val="auto"/>
              </w:rPr>
            </w:pPr>
            <w:r>
              <w:rPr>
                <w:rFonts w:ascii="Arial" w:cs="Arial" w:eastAsia="Arial" w:hAnsi="Arial"/>
                <w:sz w:val="20"/>
                <w:szCs w:val="20"/>
                <w:color w:val="auto"/>
              </w:rPr>
              <w:t>Total capital</w:t>
            </w:r>
          </w:p>
        </w:tc>
        <w:tc>
          <w:tcPr>
            <w:tcW w:w="20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500" w:type="dxa"/>
            <w:vAlign w:val="bottom"/>
          </w:tcPr>
          <w:p>
            <w:pPr>
              <w:ind w:left="240"/>
              <w:spacing w:after="0"/>
              <w:rPr>
                <w:sz w:val="20"/>
                <w:szCs w:val="20"/>
                <w:color w:val="auto"/>
              </w:rPr>
            </w:pPr>
            <w:r>
              <w:rPr>
                <w:rFonts w:ascii="Arial" w:cs="Arial" w:eastAsia="Arial" w:hAnsi="Arial"/>
                <w:sz w:val="20"/>
                <w:szCs w:val="20"/>
                <w:color w:val="auto"/>
              </w:rPr>
              <w:t>Amount</w:t>
            </w:r>
          </w:p>
        </w:tc>
        <w:tc>
          <w:tcPr>
            <w:tcW w:w="2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63"/>
              <w:spacing w:after="0"/>
              <w:rPr>
                <w:sz w:val="20"/>
                <w:szCs w:val="20"/>
                <w:color w:val="auto"/>
              </w:rPr>
            </w:pPr>
            <w:r>
              <w:rPr>
                <w:rFonts w:ascii="Arial" w:cs="Arial" w:eastAsia="Arial" w:hAnsi="Arial"/>
                <w:sz w:val="20"/>
                <w:szCs w:val="20"/>
                <w:color w:val="auto"/>
              </w:rPr>
              <w:t>14,282,492</w:t>
            </w:r>
          </w:p>
        </w:tc>
        <w:tc>
          <w:tcPr>
            <w:tcW w:w="300" w:type="dxa"/>
            <w:vAlign w:val="bottom"/>
          </w:tcPr>
          <w:p>
            <w:pPr>
              <w:spacing w:after="0"/>
              <w:rPr>
                <w:sz w:val="21"/>
                <w:szCs w:val="21"/>
                <w:color w:val="auto"/>
              </w:rPr>
            </w:pPr>
          </w:p>
        </w:tc>
        <w:tc>
          <w:tcPr>
            <w:tcW w:w="1380" w:type="dxa"/>
            <w:vAlign w:val="bottom"/>
          </w:tcPr>
          <w:p>
            <w:pPr>
              <w:jc w:val="right"/>
              <w:ind w:right="161"/>
              <w:spacing w:after="0"/>
              <w:rPr>
                <w:sz w:val="20"/>
                <w:szCs w:val="20"/>
                <w:color w:val="auto"/>
              </w:rPr>
            </w:pPr>
            <w:r>
              <w:rPr>
                <w:rFonts w:ascii="Arial" w:cs="Arial" w:eastAsia="Arial" w:hAnsi="Arial"/>
                <w:sz w:val="20"/>
                <w:szCs w:val="20"/>
                <w:color w:val="auto"/>
              </w:rPr>
              <w:t>11,812,114</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501,111</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500" w:type="dxa"/>
            <w:vAlign w:val="bottom"/>
            <w:shd w:val="clear" w:color="auto" w:fill="CFF0FC"/>
          </w:tcPr>
          <w:p>
            <w:pPr>
              <w:ind w:left="240"/>
              <w:spacing w:after="0"/>
              <w:rPr>
                <w:sz w:val="20"/>
                <w:szCs w:val="20"/>
                <w:color w:val="auto"/>
              </w:rPr>
            </w:pPr>
            <w:r>
              <w:rPr>
                <w:rFonts w:ascii="Arial" w:cs="Arial" w:eastAsia="Arial" w:hAnsi="Arial"/>
                <w:sz w:val="20"/>
                <w:szCs w:val="20"/>
                <w:color w:val="auto"/>
              </w:rPr>
              <w:t>Ratio(a)</w:t>
            </w:r>
          </w:p>
        </w:tc>
        <w:tc>
          <w:tcPr>
            <w:tcW w:w="20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14.09%</w:t>
            </w:r>
          </w:p>
        </w:tc>
        <w:tc>
          <w:tcPr>
            <w:tcW w:w="30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11.70%</w:t>
            </w:r>
          </w:p>
        </w:tc>
        <w:tc>
          <w:tcPr>
            <w:tcW w:w="28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57.57%</w:t>
            </w:r>
          </w:p>
        </w:tc>
        <w:tc>
          <w:tcPr>
            <w:tcW w:w="0" w:type="dxa"/>
            <w:vAlign w:val="bottom"/>
          </w:tcPr>
          <w:p>
            <w:pPr>
              <w:spacing w:after="0"/>
              <w:rPr>
                <w:sz w:val="1"/>
                <w:szCs w:val="1"/>
                <w:color w:val="auto"/>
              </w:rPr>
            </w:pPr>
          </w:p>
        </w:tc>
      </w:tr>
      <w:tr>
        <w:trPr>
          <w:trHeight w:val="250"/>
        </w:trPr>
        <w:tc>
          <w:tcPr>
            <w:tcW w:w="4500" w:type="dxa"/>
            <w:vAlign w:val="bottom"/>
          </w:tcPr>
          <w:p>
            <w:pPr>
              <w:spacing w:after="0"/>
              <w:rPr>
                <w:sz w:val="20"/>
                <w:szCs w:val="20"/>
                <w:color w:val="auto"/>
              </w:rPr>
            </w:pPr>
            <w:r>
              <w:rPr>
                <w:rFonts w:ascii="Arial" w:cs="Arial" w:eastAsia="Arial" w:hAnsi="Arial"/>
                <w:sz w:val="20"/>
                <w:szCs w:val="20"/>
                <w:color w:val="auto"/>
              </w:rPr>
              <w:t>Leverage</w:t>
            </w:r>
          </w:p>
        </w:tc>
        <w:tc>
          <w:tcPr>
            <w:tcW w:w="2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500" w:type="dxa"/>
            <w:vAlign w:val="bottom"/>
            <w:shd w:val="clear" w:color="auto" w:fill="CFF0FC"/>
          </w:tcPr>
          <w:p>
            <w:pPr>
              <w:ind w:left="240"/>
              <w:spacing w:after="0"/>
              <w:rPr>
                <w:sz w:val="20"/>
                <w:szCs w:val="20"/>
                <w:color w:val="auto"/>
              </w:rPr>
            </w:pPr>
            <w:r>
              <w:rPr>
                <w:rFonts w:ascii="Arial" w:cs="Arial" w:eastAsia="Arial" w:hAnsi="Arial"/>
                <w:sz w:val="20"/>
                <w:szCs w:val="20"/>
                <w:color w:val="auto"/>
              </w:rPr>
              <w:t>Amount</w:t>
            </w:r>
          </w:p>
        </w:tc>
        <w:tc>
          <w:tcPr>
            <w:tcW w:w="20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163"/>
              <w:spacing w:after="0"/>
              <w:rPr>
                <w:sz w:val="20"/>
                <w:szCs w:val="20"/>
                <w:color w:val="auto"/>
              </w:rPr>
            </w:pPr>
            <w:r>
              <w:rPr>
                <w:rFonts w:ascii="Arial" w:cs="Arial" w:eastAsia="Arial" w:hAnsi="Arial"/>
                <w:sz w:val="20"/>
                <w:szCs w:val="20"/>
                <w:color w:val="auto"/>
              </w:rPr>
              <w:t>12,083,948</w:t>
            </w:r>
          </w:p>
        </w:tc>
        <w:tc>
          <w:tcPr>
            <w:tcW w:w="30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10,115,688</w:t>
            </w:r>
          </w:p>
        </w:tc>
        <w:tc>
          <w:tcPr>
            <w:tcW w:w="28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496,801</w:t>
            </w:r>
          </w:p>
        </w:tc>
        <w:tc>
          <w:tcPr>
            <w:tcW w:w="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500" w:type="dxa"/>
            <w:vAlign w:val="bottom"/>
          </w:tcPr>
          <w:p>
            <w:pPr>
              <w:ind w:left="240"/>
              <w:spacing w:after="0"/>
              <w:rPr>
                <w:sz w:val="20"/>
                <w:szCs w:val="20"/>
                <w:color w:val="auto"/>
              </w:rPr>
            </w:pPr>
            <w:r>
              <w:rPr>
                <w:rFonts w:ascii="Arial" w:cs="Arial" w:eastAsia="Arial" w:hAnsi="Arial"/>
                <w:sz w:val="20"/>
                <w:szCs w:val="20"/>
                <w:color w:val="auto"/>
              </w:rPr>
              <w:t>Ratio(b)</w:t>
            </w:r>
          </w:p>
        </w:tc>
        <w:tc>
          <w:tcPr>
            <w:tcW w:w="20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9.99%</w:t>
            </w:r>
          </w:p>
        </w:tc>
        <w:tc>
          <w:tcPr>
            <w:tcW w:w="3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8.41%</w:t>
            </w:r>
          </w:p>
        </w:tc>
        <w:tc>
          <w:tcPr>
            <w:tcW w:w="280" w:type="dxa"/>
            <w:vAlign w:val="bottom"/>
          </w:tcPr>
          <w:p>
            <w:pPr>
              <w:spacing w:after="0"/>
              <w:rPr>
                <w:sz w:val="22"/>
                <w:szCs w:val="22"/>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20"/>
                <w:szCs w:val="20"/>
                <w:color w:val="auto"/>
              </w:rPr>
              <w:t>15.31%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136017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143" w:lineRule="exact"/>
        <w:rPr>
          <w:sz w:val="20"/>
          <w:szCs w:val="20"/>
          <w:color w:val="auto"/>
        </w:rPr>
      </w:pPr>
    </w:p>
    <w:p>
      <w:pPr>
        <w:ind w:left="600" w:hanging="595"/>
        <w:spacing w:after="0"/>
        <w:tabs>
          <w:tab w:leader="none" w:pos="600" w:val="left"/>
        </w:tabs>
        <w:numPr>
          <w:ilvl w:val="0"/>
          <w:numId w:val="60"/>
        </w:numPr>
        <w:rPr>
          <w:rFonts w:ascii="Arial" w:cs="Arial" w:eastAsia="Arial" w:hAnsi="Arial"/>
          <w:sz w:val="20"/>
          <w:szCs w:val="20"/>
          <w:i w:val="1"/>
          <w:iCs w:val="1"/>
          <w:color w:val="auto"/>
        </w:rPr>
      </w:pPr>
      <w:r>
        <w:rPr>
          <w:rFonts w:ascii="Arial" w:cs="Arial" w:eastAsia="Arial" w:hAnsi="Arial"/>
          <w:sz w:val="20"/>
          <w:szCs w:val="20"/>
          <w:i w:val="1"/>
          <w:iCs w:val="1"/>
          <w:color w:val="auto"/>
        </w:rPr>
        <w:t>The ratio of capital to risk-weighted assets, as defined by regulation.</w:t>
      </w:r>
    </w:p>
    <w:p>
      <w:pPr>
        <w:spacing w:after="0" w:line="27" w:lineRule="exact"/>
        <w:rPr>
          <w:rFonts w:ascii="Arial" w:cs="Arial" w:eastAsia="Arial" w:hAnsi="Arial"/>
          <w:sz w:val="20"/>
          <w:szCs w:val="20"/>
          <w:i w:val="1"/>
          <w:iCs w:val="1"/>
          <w:color w:val="auto"/>
        </w:rPr>
      </w:pPr>
    </w:p>
    <w:p>
      <w:pPr>
        <w:ind w:left="600" w:hanging="595"/>
        <w:spacing w:after="0"/>
        <w:tabs>
          <w:tab w:leader="none" w:pos="600" w:val="left"/>
        </w:tabs>
        <w:numPr>
          <w:ilvl w:val="0"/>
          <w:numId w:val="60"/>
        </w:numPr>
        <w:rPr>
          <w:rFonts w:ascii="Arial" w:cs="Arial" w:eastAsia="Arial" w:hAnsi="Arial"/>
          <w:sz w:val="20"/>
          <w:szCs w:val="20"/>
          <w:i w:val="1"/>
          <w:iCs w:val="1"/>
          <w:color w:val="auto"/>
        </w:rPr>
      </w:pPr>
      <w:r>
        <w:rPr>
          <w:rFonts w:ascii="Arial" w:cs="Arial" w:eastAsia="Arial" w:hAnsi="Arial"/>
          <w:sz w:val="20"/>
          <w:szCs w:val="20"/>
          <w:i w:val="1"/>
          <w:iCs w:val="1"/>
          <w:color w:val="auto"/>
        </w:rPr>
        <w:t>The ratio of capital to average assets, as defined by regulation.</w:t>
      </w:r>
    </w:p>
    <w:p>
      <w:pPr>
        <w:spacing w:after="0" w:line="200" w:lineRule="exact"/>
        <w:rPr>
          <w:sz w:val="20"/>
          <w:szCs w:val="20"/>
          <w:color w:val="auto"/>
        </w:rPr>
      </w:pPr>
    </w:p>
    <w:p>
      <w:pPr>
        <w:spacing w:after="0" w:line="202"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24.</w:t>
      </w:r>
      <w:r>
        <w:rPr>
          <w:sz w:val="20"/>
          <w:szCs w:val="20"/>
          <w:color w:val="auto"/>
        </w:rPr>
        <w:tab/>
      </w:r>
      <w:r>
        <w:rPr>
          <w:rFonts w:ascii="Arial" w:cs="Arial" w:eastAsia="Arial" w:hAnsi="Arial"/>
          <w:sz w:val="18"/>
          <w:szCs w:val="18"/>
          <w:b w:val="1"/>
          <w:bCs w:val="1"/>
          <w:color w:val="auto"/>
        </w:rPr>
        <w:t>Relationship with Bayview Lending Group LLC and Bayview Financial Holdings, L.P.</w:t>
      </w:r>
    </w:p>
    <w:p>
      <w:pPr>
        <w:spacing w:after="0" w:line="29" w:lineRule="exact"/>
        <w:rPr>
          <w:sz w:val="20"/>
          <w:szCs w:val="20"/>
          <w:color w:val="auto"/>
        </w:rPr>
      </w:pPr>
    </w:p>
    <w:p>
      <w:pPr>
        <w:ind w:right="140"/>
        <w:spacing w:after="0" w:line="246" w:lineRule="auto"/>
        <w:rPr>
          <w:sz w:val="20"/>
          <w:szCs w:val="20"/>
          <w:color w:val="auto"/>
        </w:rPr>
      </w:pPr>
      <w:r>
        <w:rPr>
          <w:rFonts w:ascii="Arial" w:cs="Arial" w:eastAsia="Arial" w:hAnsi="Arial"/>
          <w:sz w:val="20"/>
          <w:szCs w:val="20"/>
          <w:color w:val="auto"/>
        </w:rPr>
        <w:t>M&amp;T holds a 20% minority interest in Bayview Lending Group LLC (“BLG”), a privately-held commercial mortgage company. M&amp;T recognizes income or loss from BLG using the equity method of accounting. That investment had no remaining carrying value at December 31, 2017 as a result of cumulative losses recognized and cash distributions received.</w:t>
      </w:r>
    </w:p>
    <w:p>
      <w:pPr>
        <w:spacing w:after="0" w:line="2" w:lineRule="exact"/>
        <w:rPr>
          <w:sz w:val="20"/>
          <w:szCs w:val="20"/>
          <w:color w:val="auto"/>
        </w:rPr>
      </w:pPr>
    </w:p>
    <w:p>
      <w:pPr>
        <w:ind w:right="380" w:firstLine="598"/>
        <w:spacing w:after="0" w:line="249" w:lineRule="auto"/>
        <w:rPr>
          <w:sz w:val="20"/>
          <w:szCs w:val="20"/>
          <w:color w:val="auto"/>
        </w:rPr>
      </w:pPr>
      <w:r>
        <w:rPr>
          <w:rFonts w:ascii="Arial" w:cs="Arial" w:eastAsia="Arial" w:hAnsi="Arial"/>
          <w:sz w:val="20"/>
          <w:szCs w:val="20"/>
          <w:color w:val="auto"/>
        </w:rPr>
        <w:t>Bayview Financial Holdings, L.P. (together with its affiliates, “Bayview Financial”), a privately-held specialty financial company, is BLG’s majority investor. In addition to their common investment in BLG, the Company and Bayview Financial conduct other business activities with each other. The Company has obtained loan servicing rights for mortgage loans from BLG and Bayview Financial having outstanding principal balances of $3.0 billion and $3.5 billion at December 31, 2017 and 2016, respectively. Revenues from those servicing rights were $17 million, $19 million and $23 million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82" w:name="page183"/>
    <w:bookmarkEnd w:id="182"/>
    <w:p>
      <w:pPr>
        <w:ind w:right="80"/>
        <w:spacing w:after="0" w:line="283" w:lineRule="auto"/>
        <w:rPr>
          <w:sz w:val="20"/>
          <w:szCs w:val="20"/>
          <w:color w:val="auto"/>
        </w:rPr>
      </w:pPr>
      <w:r>
        <w:rPr>
          <w:rFonts w:ascii="Arial" w:cs="Arial" w:eastAsia="Arial" w:hAnsi="Arial"/>
          <w:sz w:val="18"/>
          <w:szCs w:val="18"/>
          <w:color w:val="auto"/>
        </w:rPr>
        <w:t>during 2017, 2016 and 2015, respectively. The Company sub-services residential mortgage loans for Bayview Financial having outstanding principal balances of $56.6 billion and $30.4 billion at December 31, 2017 and 2016, respectively. Revenues earned for sub-servicing loans for Bayview Financial were $103 million, $98 million and $115 million in 2017, 2016 and 2015, respectively. In addition, the Company held $136 million and $158 million of mortgage-backed securities in its held-to-maturity portfolio at December 31, 2017 and 2016, respectively, that were securitized by Bayview Financial. In April 2017, the Company provided a loan to Bayview Financial for $100 million at terms consistent with those offered to nonaffiliated customers. That loan was subsequently paid in full in June 2017. Also in June 2017, a new syndicated loan facility was entered into by Bayview Financial for $750 million, of which the Company held $88 million at December 31, 2017.</w:t>
      </w:r>
    </w:p>
    <w:p>
      <w:pPr>
        <w:spacing w:after="0" w:line="258"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25.</w:t>
      </w:r>
      <w:r>
        <w:rPr>
          <w:sz w:val="20"/>
          <w:szCs w:val="20"/>
          <w:color w:val="auto"/>
        </w:rPr>
        <w:tab/>
      </w:r>
      <w:r>
        <w:rPr>
          <w:rFonts w:ascii="Arial" w:cs="Arial" w:eastAsia="Arial" w:hAnsi="Arial"/>
          <w:sz w:val="17"/>
          <w:szCs w:val="17"/>
          <w:b w:val="1"/>
          <w:bCs w:val="1"/>
          <w:color w:val="auto"/>
        </w:rPr>
        <w:t>Parent company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Condensed Balance Sheet</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9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jc w:val="right"/>
              <w:ind w:right="139"/>
              <w:spacing w:after="0"/>
              <w:rPr>
                <w:sz w:val="20"/>
                <w:szCs w:val="20"/>
                <w:color w:val="auto"/>
              </w:rPr>
            </w:pPr>
            <w:r>
              <w:rPr>
                <w:rFonts w:ascii="Arial" w:cs="Arial" w:eastAsia="Arial" w:hAnsi="Arial"/>
                <w:sz w:val="14"/>
                <w:szCs w:val="14"/>
                <w:b w:val="1"/>
                <w:bCs w:val="1"/>
                <w:color w:val="auto"/>
              </w:rPr>
              <w:t>December 31</w:t>
            </w:r>
          </w:p>
        </w:tc>
        <w:tc>
          <w:tcPr>
            <w:tcW w:w="1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492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64"/>
              <w:spacing w:after="0" w:line="151"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61"/>
              <w:spacing w:after="0" w:line="151"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92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60" w:type="dxa"/>
            <w:vAlign w:val="bottom"/>
            <w:gridSpan w:val="3"/>
          </w:tcPr>
          <w:p>
            <w:pPr>
              <w:jc w:val="right"/>
              <w:ind w:right="79"/>
              <w:spacing w:after="0" w:line="151" w:lineRule="exact"/>
              <w:rPr>
                <w:sz w:val="20"/>
                <w:szCs w:val="20"/>
                <w:color w:val="auto"/>
              </w:rPr>
            </w:pPr>
            <w:r>
              <w:rPr>
                <w:rFonts w:ascii="Arial" w:cs="Arial" w:eastAsia="Arial" w:hAnsi="Arial"/>
                <w:sz w:val="14"/>
                <w:szCs w:val="14"/>
                <w:b w:val="1"/>
                <w:bCs w:val="1"/>
                <w:color w:val="auto"/>
              </w:rPr>
              <w:t>(In thousands)</w:t>
            </w: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492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Assets</w:t>
            </w:r>
          </w:p>
        </w:tc>
        <w:tc>
          <w:tcPr>
            <w:tcW w:w="29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920" w:type="dxa"/>
            <w:vAlign w:val="bottom"/>
          </w:tcPr>
          <w:p>
            <w:pPr>
              <w:spacing w:after="0"/>
              <w:rPr>
                <w:sz w:val="20"/>
                <w:szCs w:val="20"/>
                <w:color w:val="auto"/>
              </w:rPr>
            </w:pPr>
            <w:r>
              <w:rPr>
                <w:rFonts w:ascii="Arial" w:cs="Arial" w:eastAsia="Arial" w:hAnsi="Arial"/>
                <w:sz w:val="20"/>
                <w:szCs w:val="20"/>
                <w:color w:val="auto"/>
              </w:rPr>
              <w:t>Cash in subsidiary bank</w:t>
            </w:r>
          </w:p>
        </w:tc>
        <w:tc>
          <w:tcPr>
            <w:tcW w:w="3320" w:type="dxa"/>
            <w:vAlign w:val="bottom"/>
            <w:gridSpan w:val="2"/>
          </w:tcPr>
          <w:p>
            <w:pPr>
              <w:jc w:val="right"/>
              <w:ind w:right="179"/>
              <w:spacing w:after="0"/>
              <w:rPr>
                <w:sz w:val="20"/>
                <w:szCs w:val="20"/>
                <w:color w:val="auto"/>
              </w:rPr>
            </w:pPr>
            <w:r>
              <w:rPr>
                <w:rFonts w:ascii="Arial" w:cs="Arial" w:eastAsia="Arial" w:hAnsi="Arial"/>
                <w:sz w:val="20"/>
                <w:szCs w:val="20"/>
                <w:color w:val="auto"/>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13,379</w:t>
            </w:r>
          </w:p>
        </w:tc>
        <w:tc>
          <w:tcPr>
            <w:tcW w:w="280" w:type="dxa"/>
            <w:vAlign w:val="bottom"/>
          </w:tcPr>
          <w:p>
            <w:pPr>
              <w:spacing w:after="0"/>
              <w:rPr>
                <w:sz w:val="21"/>
                <w:szCs w:val="21"/>
                <w:color w:val="auto"/>
              </w:rPr>
            </w:pPr>
          </w:p>
        </w:tc>
        <w:tc>
          <w:tcPr>
            <w:tcW w:w="480" w:type="dxa"/>
            <w:vAlign w:val="bottom"/>
          </w:tcPr>
          <w:p>
            <w:pPr>
              <w:jc w:val="right"/>
              <w:ind w:right="279"/>
              <w:spacing w:after="0"/>
              <w:rPr>
                <w:sz w:val="20"/>
                <w:szCs w:val="20"/>
                <w:color w:val="auto"/>
              </w:rPr>
            </w:pPr>
            <w:r>
              <w:rPr>
                <w:rFonts w:ascii="Arial" w:cs="Arial" w:eastAsia="Arial" w:hAnsi="Arial"/>
                <w:sz w:val="20"/>
                <w:szCs w:val="20"/>
                <w:color w:val="auto"/>
                <w:w w:val="71"/>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15,003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920" w:type="dxa"/>
            <w:vAlign w:val="bottom"/>
            <w:shd w:val="clear" w:color="auto" w:fill="CFF0FC"/>
          </w:tcPr>
          <w:p>
            <w:pPr>
              <w:spacing w:after="0"/>
              <w:rPr>
                <w:sz w:val="20"/>
                <w:szCs w:val="20"/>
                <w:color w:val="auto"/>
              </w:rPr>
            </w:pPr>
            <w:r>
              <w:rPr>
                <w:rFonts w:ascii="Arial" w:cs="Arial" w:eastAsia="Arial" w:hAnsi="Arial"/>
                <w:sz w:val="20"/>
                <w:szCs w:val="20"/>
                <w:color w:val="auto"/>
              </w:rPr>
              <w:t>Due from consolidated bank subsidiaries</w:t>
            </w:r>
          </w:p>
        </w:tc>
        <w:tc>
          <w:tcPr>
            <w:tcW w:w="29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920" w:type="dxa"/>
            <w:vAlign w:val="bottom"/>
          </w:tcPr>
          <w:p>
            <w:pPr>
              <w:ind w:left="240"/>
              <w:spacing w:after="0"/>
              <w:rPr>
                <w:sz w:val="20"/>
                <w:szCs w:val="20"/>
                <w:color w:val="auto"/>
              </w:rPr>
            </w:pPr>
            <w:r>
              <w:rPr>
                <w:rFonts w:ascii="Arial" w:cs="Arial" w:eastAsia="Arial" w:hAnsi="Arial"/>
                <w:sz w:val="20"/>
                <w:szCs w:val="20"/>
                <w:color w:val="auto"/>
              </w:rPr>
              <w:t>Money-market savings</w:t>
            </w:r>
          </w:p>
        </w:tc>
        <w:tc>
          <w:tcPr>
            <w:tcW w:w="29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1,616,147</w:t>
            </w: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1,767,184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9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Current income tax receivable</w:t>
            </w:r>
          </w:p>
        </w:tc>
        <w:tc>
          <w:tcPr>
            <w:tcW w:w="2940" w:type="dxa"/>
            <w:vAlign w:val="bottom"/>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4,437</w:t>
            </w:r>
          </w:p>
        </w:tc>
        <w:tc>
          <w:tcPr>
            <w:tcW w:w="280" w:type="dxa"/>
            <w:vAlign w:val="bottom"/>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3,061</w:t>
            </w:r>
          </w:p>
        </w:tc>
        <w:tc>
          <w:tcPr>
            <w:tcW w:w="12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480"/>
              <w:spacing w:after="0"/>
              <w:rPr>
                <w:sz w:val="20"/>
                <w:szCs w:val="20"/>
                <w:color w:val="auto"/>
              </w:rPr>
            </w:pPr>
            <w:r>
              <w:rPr>
                <w:rFonts w:ascii="Arial" w:cs="Arial" w:eastAsia="Arial" w:hAnsi="Arial"/>
                <w:sz w:val="20"/>
                <w:szCs w:val="20"/>
                <w:color w:val="auto"/>
              </w:rPr>
              <w:t>Total due from consolidated bank subsidiaries</w:t>
            </w:r>
          </w:p>
        </w:tc>
        <w:tc>
          <w:tcPr>
            <w:tcW w:w="29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1,620,584</w:t>
            </w: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1,770,245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920" w:type="dxa"/>
            <w:vAlign w:val="bottom"/>
            <w:shd w:val="clear" w:color="auto" w:fill="CFF0FC"/>
          </w:tcPr>
          <w:p>
            <w:pPr>
              <w:spacing w:after="0"/>
              <w:rPr>
                <w:sz w:val="20"/>
                <w:szCs w:val="20"/>
                <w:color w:val="auto"/>
              </w:rPr>
            </w:pPr>
            <w:r>
              <w:rPr>
                <w:rFonts w:ascii="Arial" w:cs="Arial" w:eastAsia="Arial" w:hAnsi="Arial"/>
                <w:sz w:val="20"/>
                <w:szCs w:val="20"/>
                <w:color w:val="auto"/>
              </w:rPr>
              <w:t>Investments in consolidated subsidiaries</w:t>
            </w:r>
          </w:p>
        </w:tc>
        <w:tc>
          <w:tcPr>
            <w:tcW w:w="29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920" w:type="dxa"/>
            <w:vAlign w:val="bottom"/>
          </w:tcPr>
          <w:p>
            <w:pPr>
              <w:ind w:left="240"/>
              <w:spacing w:after="0"/>
              <w:rPr>
                <w:sz w:val="20"/>
                <w:szCs w:val="20"/>
                <w:color w:val="auto"/>
              </w:rPr>
            </w:pPr>
            <w:r>
              <w:rPr>
                <w:rFonts w:ascii="Arial" w:cs="Arial" w:eastAsia="Arial" w:hAnsi="Arial"/>
                <w:sz w:val="20"/>
                <w:szCs w:val="20"/>
                <w:color w:val="auto"/>
              </w:rPr>
              <w:t>Banks</w:t>
            </w:r>
          </w:p>
        </w:tc>
        <w:tc>
          <w:tcPr>
            <w:tcW w:w="29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14,841,794</w:t>
            </w: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15,003,964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9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Other</w:t>
            </w:r>
          </w:p>
        </w:tc>
        <w:tc>
          <w:tcPr>
            <w:tcW w:w="29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253,904</w:t>
            </w: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161,201</w:t>
            </w:r>
          </w:p>
        </w:tc>
        <w:tc>
          <w:tcPr>
            <w:tcW w:w="12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920" w:type="dxa"/>
            <w:vAlign w:val="bottom"/>
          </w:tcPr>
          <w:p>
            <w:pPr>
              <w:spacing w:after="0"/>
              <w:rPr>
                <w:sz w:val="20"/>
                <w:szCs w:val="20"/>
                <w:color w:val="auto"/>
              </w:rPr>
            </w:pPr>
            <w:r>
              <w:rPr>
                <w:rFonts w:ascii="Arial" w:cs="Arial" w:eastAsia="Arial" w:hAnsi="Arial"/>
                <w:sz w:val="20"/>
                <w:szCs w:val="20"/>
                <w:color w:val="auto"/>
              </w:rPr>
              <w:t>Investments in unconsolidated subsidiaries (note 19)</w:t>
            </w:r>
          </w:p>
        </w:tc>
        <w:tc>
          <w:tcPr>
            <w:tcW w:w="29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23,453</w:t>
            </w: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23,643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920" w:type="dxa"/>
            <w:vAlign w:val="bottom"/>
            <w:shd w:val="clear" w:color="auto" w:fill="CFF0FC"/>
          </w:tcPr>
          <w:p>
            <w:pPr>
              <w:spacing w:after="0"/>
              <w:rPr>
                <w:sz w:val="20"/>
                <w:szCs w:val="20"/>
                <w:color w:val="auto"/>
              </w:rPr>
            </w:pPr>
            <w:r>
              <w:rPr>
                <w:rFonts w:ascii="Arial" w:cs="Arial" w:eastAsia="Arial" w:hAnsi="Arial"/>
                <w:sz w:val="20"/>
                <w:szCs w:val="20"/>
                <w:color w:val="auto"/>
              </w:rPr>
              <w:t>Investment in Bayview Lending Group LLC</w:t>
            </w:r>
          </w:p>
        </w:tc>
        <w:tc>
          <w:tcPr>
            <w:tcW w:w="29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20"/>
                <w:szCs w:val="20"/>
                <w:color w:val="auto"/>
              </w:rPr>
              <w:t>—</w:t>
            </w:r>
          </w:p>
        </w:tc>
        <w:tc>
          <w:tcPr>
            <w:tcW w:w="4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11,908</w:t>
            </w:r>
          </w:p>
        </w:tc>
        <w:tc>
          <w:tcPr>
            <w:tcW w:w="12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92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Other assets</w:t>
            </w:r>
          </w:p>
        </w:tc>
        <w:tc>
          <w:tcPr>
            <w:tcW w:w="2940" w:type="dxa"/>
            <w:vAlign w:val="bottom"/>
            <w:tcBorders>
              <w:bottom w:val="single" w:sz="8" w:color="CFF0FC"/>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66,023</w:t>
            </w:r>
          </w:p>
        </w:tc>
        <w:tc>
          <w:tcPr>
            <w:tcW w:w="280" w:type="dxa"/>
            <w:vAlign w:val="bottom"/>
            <w:tcBorders>
              <w:bottom w:val="single" w:sz="8" w:color="CFF0FC"/>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71,687</w:t>
            </w:r>
          </w:p>
        </w:tc>
        <w:tc>
          <w:tcPr>
            <w:tcW w:w="120" w:type="dxa"/>
            <w:vAlign w:val="bottom"/>
            <w:tcBorders>
              <w:bottom w:val="single" w:sz="8" w:color="CFF0F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20"/>
                <w:szCs w:val="20"/>
                <w:color w:val="auto"/>
              </w:rPr>
              <w:t>Total assets</w:t>
            </w:r>
          </w:p>
        </w:tc>
        <w:tc>
          <w:tcPr>
            <w:tcW w:w="294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20"/>
                <w:szCs w:val="20"/>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16,819,137</w:t>
            </w:r>
          </w:p>
        </w:tc>
        <w:tc>
          <w:tcPr>
            <w:tcW w:w="28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ind w:right="279"/>
              <w:spacing w:after="0"/>
              <w:rPr>
                <w:sz w:val="20"/>
                <w:szCs w:val="20"/>
                <w:color w:val="auto"/>
              </w:rPr>
            </w:pPr>
            <w:r>
              <w:rPr>
                <w:rFonts w:ascii="Arial" w:cs="Arial" w:eastAsia="Arial" w:hAnsi="Arial"/>
                <w:sz w:val="20"/>
                <w:szCs w:val="20"/>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17,057,651</w:t>
            </w:r>
          </w:p>
        </w:tc>
        <w:tc>
          <w:tcPr>
            <w:tcW w:w="120" w:type="dxa"/>
            <w:vAlign w:val="bottom"/>
            <w:tcBorders>
              <w:bottom w:val="single" w:sz="8" w:color="CFF0FC"/>
            </w:tcBorders>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Arial" w:cs="Arial" w:eastAsia="Arial" w:hAnsi="Arial"/>
                <w:sz w:val="20"/>
                <w:szCs w:val="20"/>
                <w:b w:val="1"/>
                <w:bCs w:val="1"/>
                <w:color w:val="auto"/>
              </w:rPr>
              <w:t>Liabilities</w:t>
            </w:r>
          </w:p>
        </w:tc>
        <w:tc>
          <w:tcPr>
            <w:tcW w:w="29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920" w:type="dxa"/>
            <w:vAlign w:val="bottom"/>
            <w:vMerge w:val="continue"/>
          </w:tcPr>
          <w:p>
            <w:pPr>
              <w:spacing w:after="0"/>
              <w:rPr>
                <w:sz w:val="19"/>
                <w:szCs w:val="19"/>
                <w:color w:val="auto"/>
              </w:rPr>
            </w:pPr>
          </w:p>
        </w:tc>
        <w:tc>
          <w:tcPr>
            <w:tcW w:w="29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920" w:type="dxa"/>
            <w:vAlign w:val="bottom"/>
            <w:shd w:val="clear" w:color="auto" w:fill="CFF0FC"/>
          </w:tcPr>
          <w:p>
            <w:pPr>
              <w:spacing w:after="0"/>
              <w:rPr>
                <w:sz w:val="20"/>
                <w:szCs w:val="20"/>
                <w:color w:val="auto"/>
              </w:rPr>
            </w:pPr>
            <w:r>
              <w:rPr>
                <w:rFonts w:ascii="Arial" w:cs="Arial" w:eastAsia="Arial" w:hAnsi="Arial"/>
                <w:sz w:val="20"/>
                <w:szCs w:val="20"/>
                <w:color w:val="auto"/>
              </w:rPr>
              <w:t>Accrued expenses and other liabilities</w:t>
            </w:r>
          </w:p>
        </w:tc>
        <w:tc>
          <w:tcPr>
            <w:tcW w:w="3320" w:type="dxa"/>
            <w:vAlign w:val="bottom"/>
            <w:gridSpan w:val="2"/>
            <w:shd w:val="clear" w:color="auto" w:fill="CFF0FC"/>
          </w:tcPr>
          <w:p>
            <w:pPr>
              <w:jc w:val="right"/>
              <w:ind w:right="179"/>
              <w:spacing w:after="0"/>
              <w:rPr>
                <w:sz w:val="20"/>
                <w:szCs w:val="20"/>
                <w:color w:val="auto"/>
              </w:rPr>
            </w:pPr>
            <w:r>
              <w:rPr>
                <w:rFonts w:ascii="Arial" w:cs="Arial" w:eastAsia="Arial" w:hAnsi="Arial"/>
                <w:sz w:val="20"/>
                <w:szCs w:val="20"/>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49,093</w:t>
            </w: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jc w:val="right"/>
              <w:ind w:right="279"/>
              <w:spacing w:after="0"/>
              <w:rPr>
                <w:sz w:val="20"/>
                <w:szCs w:val="20"/>
                <w:color w:val="auto"/>
              </w:rPr>
            </w:pPr>
            <w:r>
              <w:rPr>
                <w:rFonts w:ascii="Arial" w:cs="Arial" w:eastAsia="Arial" w:hAnsi="Arial"/>
                <w:sz w:val="20"/>
                <w:szCs w:val="20"/>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54,487</w:t>
            </w:r>
          </w:p>
        </w:tc>
        <w:tc>
          <w:tcPr>
            <w:tcW w:w="12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92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Long-term borrowings</w:t>
            </w:r>
          </w:p>
        </w:tc>
        <w:tc>
          <w:tcPr>
            <w:tcW w:w="2940" w:type="dxa"/>
            <w:vAlign w:val="bottom"/>
            <w:tcBorders>
              <w:bottom w:val="single" w:sz="8" w:color="CFF0FC"/>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519,225</w:t>
            </w:r>
          </w:p>
        </w:tc>
        <w:tc>
          <w:tcPr>
            <w:tcW w:w="280" w:type="dxa"/>
            <w:vAlign w:val="bottom"/>
            <w:tcBorders>
              <w:bottom w:val="single" w:sz="8" w:color="CFF0FC"/>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516,542</w:t>
            </w:r>
          </w:p>
        </w:tc>
        <w:tc>
          <w:tcPr>
            <w:tcW w:w="120" w:type="dxa"/>
            <w:vAlign w:val="bottom"/>
            <w:tcBorders>
              <w:bottom w:val="single" w:sz="8" w:color="CFF0F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shd w:val="clear" w:color="auto" w:fill="CFF0FC"/>
          </w:tcPr>
          <w:p>
            <w:pPr>
              <w:ind w:left="480"/>
              <w:spacing w:after="0"/>
              <w:rPr>
                <w:sz w:val="20"/>
                <w:szCs w:val="20"/>
                <w:color w:val="auto"/>
              </w:rPr>
            </w:pPr>
            <w:r>
              <w:rPr>
                <w:rFonts w:ascii="Arial" w:cs="Arial" w:eastAsia="Arial" w:hAnsi="Arial"/>
                <w:sz w:val="20"/>
                <w:szCs w:val="20"/>
                <w:color w:val="auto"/>
              </w:rPr>
              <w:t>Total liabilities</w:t>
            </w:r>
          </w:p>
        </w:tc>
        <w:tc>
          <w:tcPr>
            <w:tcW w:w="29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568,318</w:t>
            </w: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571,029</w:t>
            </w:r>
          </w:p>
        </w:tc>
        <w:tc>
          <w:tcPr>
            <w:tcW w:w="12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920" w:type="dxa"/>
            <w:vAlign w:val="bottom"/>
            <w:tcBorders>
              <w:bottom w:val="single" w:sz="8" w:color="CFF0FC"/>
            </w:tcBorders>
          </w:tcPr>
          <w:p>
            <w:pPr>
              <w:spacing w:after="0"/>
              <w:rPr>
                <w:sz w:val="20"/>
                <w:szCs w:val="20"/>
                <w:color w:val="auto"/>
              </w:rPr>
            </w:pPr>
            <w:r>
              <w:rPr>
                <w:rFonts w:ascii="Arial" w:cs="Arial" w:eastAsia="Arial" w:hAnsi="Arial"/>
                <w:sz w:val="20"/>
                <w:szCs w:val="20"/>
                <w:b w:val="1"/>
                <w:bCs w:val="1"/>
                <w:color w:val="auto"/>
              </w:rPr>
              <w:t>Shareholders’ equity</w:t>
            </w:r>
          </w:p>
        </w:tc>
        <w:tc>
          <w:tcPr>
            <w:tcW w:w="2940" w:type="dxa"/>
            <w:vAlign w:val="bottom"/>
            <w:tcBorders>
              <w:bottom w:val="single" w:sz="8" w:color="CFF0FC"/>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16,250,819</w:t>
            </w:r>
          </w:p>
        </w:tc>
        <w:tc>
          <w:tcPr>
            <w:tcW w:w="280" w:type="dxa"/>
            <w:vAlign w:val="bottom"/>
            <w:tcBorders>
              <w:bottom w:val="single" w:sz="8" w:color="CFF0FC"/>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16,486,622</w:t>
            </w:r>
          </w:p>
        </w:tc>
        <w:tc>
          <w:tcPr>
            <w:tcW w:w="120" w:type="dxa"/>
            <w:vAlign w:val="bottom"/>
            <w:tcBorders>
              <w:bottom w:val="single" w:sz="8" w:color="CFF0F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20"/>
                <w:szCs w:val="20"/>
                <w:color w:val="auto"/>
              </w:rPr>
              <w:t>Total liabilities and shareholders’ equity</w:t>
            </w:r>
          </w:p>
        </w:tc>
        <w:tc>
          <w:tcPr>
            <w:tcW w:w="294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20"/>
                <w:szCs w:val="20"/>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16,819,137</w:t>
            </w:r>
          </w:p>
        </w:tc>
        <w:tc>
          <w:tcPr>
            <w:tcW w:w="28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ind w:right="279"/>
              <w:spacing w:after="0"/>
              <w:rPr>
                <w:sz w:val="20"/>
                <w:szCs w:val="20"/>
                <w:color w:val="auto"/>
              </w:rPr>
            </w:pPr>
            <w:r>
              <w:rPr>
                <w:rFonts w:ascii="Arial" w:cs="Arial" w:eastAsia="Arial" w:hAnsi="Arial"/>
                <w:sz w:val="20"/>
                <w:szCs w:val="20"/>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17,057,651</w:t>
            </w:r>
          </w:p>
        </w:tc>
        <w:tc>
          <w:tcPr>
            <w:tcW w:w="120" w:type="dxa"/>
            <w:vAlign w:val="bottom"/>
            <w:tcBorders>
              <w:bottom w:val="single" w:sz="8" w:color="CFF0FC"/>
            </w:tcBorders>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940" w:type="dxa"/>
            <w:vAlign w:val="bottom"/>
            <w:vMerge w:val="restart"/>
          </w:tcPr>
          <w:p>
            <w:pPr>
              <w:jc w:val="right"/>
              <w:ind w:right="1924"/>
              <w:spacing w:after="0"/>
              <w:rPr>
                <w:sz w:val="20"/>
                <w:szCs w:val="20"/>
                <w:color w:val="auto"/>
              </w:rPr>
            </w:pPr>
            <w:r>
              <w:rPr>
                <w:rFonts w:ascii="Arial" w:cs="Arial" w:eastAsia="Arial" w:hAnsi="Arial"/>
                <w:sz w:val="18"/>
                <w:szCs w:val="18"/>
                <w:color w:val="auto"/>
              </w:rPr>
              <w:t>183</w:t>
            </w: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0"/>
        </w:trPr>
        <w:tc>
          <w:tcPr>
            <w:tcW w:w="4920" w:type="dxa"/>
            <w:vAlign w:val="bottom"/>
          </w:tcPr>
          <w:p>
            <w:pPr>
              <w:spacing w:after="0"/>
              <w:rPr>
                <w:sz w:val="24"/>
                <w:szCs w:val="24"/>
                <w:color w:val="auto"/>
              </w:rPr>
            </w:pPr>
          </w:p>
        </w:tc>
        <w:tc>
          <w:tcPr>
            <w:tcW w:w="29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920" w:type="dxa"/>
            <w:vAlign w:val="bottom"/>
            <w:tcBorders>
              <w:bottom w:val="single" w:sz="8" w:color="9A9A9A"/>
            </w:tcBorders>
          </w:tcPr>
          <w:p>
            <w:pPr>
              <w:spacing w:after="0"/>
              <w:rPr>
                <w:sz w:val="9"/>
                <w:szCs w:val="9"/>
                <w:color w:val="auto"/>
              </w:rPr>
            </w:pPr>
          </w:p>
        </w:tc>
        <w:tc>
          <w:tcPr>
            <w:tcW w:w="294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336" w:right="219" w:bottom="1440" w:gutter="0" w:footer="0" w:header="0"/>
        </w:sectPr>
      </w:pPr>
    </w:p>
    <w:bookmarkStart w:id="183" w:name="page184"/>
    <w:bookmarkEnd w:id="183"/>
    <w:p>
      <w:pPr>
        <w:spacing w:after="0"/>
        <w:rPr>
          <w:sz w:val="20"/>
          <w:szCs w:val="20"/>
          <w:color w:val="auto"/>
        </w:rPr>
      </w:pPr>
      <w:r>
        <w:rPr>
          <w:rFonts w:ascii="Arial" w:cs="Arial" w:eastAsia="Arial" w:hAnsi="Arial"/>
          <w:sz w:val="20"/>
          <w:szCs w:val="20"/>
          <w:b w:val="1"/>
          <w:bCs w:val="1"/>
          <w:color w:val="auto"/>
        </w:rPr>
        <w:t>Condensed Statement of Income</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0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0"/>
              </w:rPr>
              <w:t>Year Ended December 31</w:t>
            </w: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50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43"/>
              <w:spacing w:after="0" w:line="151"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181"/>
              <w:spacing w:after="0" w:line="151" w:lineRule="exact"/>
              <w:rPr>
                <w:sz w:val="20"/>
                <w:szCs w:val="20"/>
                <w:color w:val="auto"/>
              </w:rPr>
            </w:pPr>
            <w:r>
              <w:rPr>
                <w:rFonts w:ascii="Arial" w:cs="Arial" w:eastAsia="Arial" w:hAnsi="Arial"/>
                <w:sz w:val="14"/>
                <w:szCs w:val="14"/>
                <w:b w:val="1"/>
                <w:bCs w:val="1"/>
                <w:color w:val="auto"/>
                <w:w w:val="89"/>
              </w:rPr>
              <w:t>2016</w:t>
            </w: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41"/>
              <w:spacing w:after="0" w:line="151"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50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40" w:type="dxa"/>
            <w:vAlign w:val="bottom"/>
            <w:gridSpan w:val="8"/>
          </w:tcPr>
          <w:p>
            <w:pPr>
              <w:jc w:val="center"/>
              <w:ind w:left="663"/>
              <w:spacing w:after="0" w:line="151" w:lineRule="exact"/>
              <w:rPr>
                <w:sz w:val="20"/>
                <w:szCs w:val="20"/>
                <w:color w:val="auto"/>
              </w:rPr>
            </w:pPr>
            <w:r>
              <w:rPr>
                <w:rFonts w:ascii="Arial" w:cs="Arial" w:eastAsia="Arial" w:hAnsi="Arial"/>
                <w:sz w:val="14"/>
                <w:szCs w:val="14"/>
                <w:b w:val="1"/>
                <w:bCs w:val="1"/>
                <w:color w:val="auto"/>
                <w:w w:val="89"/>
              </w:rPr>
              <w:t>(In thousands, except per share)</w:t>
            </w: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504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Income</w:t>
            </w:r>
          </w:p>
        </w:tc>
        <w:tc>
          <w:tcPr>
            <w:tcW w:w="17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40" w:type="dxa"/>
            <w:vAlign w:val="bottom"/>
          </w:tcPr>
          <w:p>
            <w:pPr>
              <w:spacing w:after="0"/>
              <w:rPr>
                <w:sz w:val="20"/>
                <w:szCs w:val="20"/>
                <w:color w:val="auto"/>
              </w:rPr>
            </w:pPr>
            <w:r>
              <w:rPr>
                <w:rFonts w:ascii="Arial" w:cs="Arial" w:eastAsia="Arial" w:hAnsi="Arial"/>
                <w:sz w:val="20"/>
                <w:szCs w:val="20"/>
                <w:color w:val="auto"/>
              </w:rPr>
              <w:t>Dividends from consolidated bank subsidiaries</w:t>
            </w:r>
          </w:p>
        </w:tc>
        <w:tc>
          <w:tcPr>
            <w:tcW w:w="2000" w:type="dxa"/>
            <w:vAlign w:val="bottom"/>
            <w:gridSpan w:val="2"/>
          </w:tcPr>
          <w:p>
            <w:pPr>
              <w:jc w:val="right"/>
              <w:ind w:right="59"/>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1,540,000</w:t>
            </w:r>
          </w:p>
        </w:tc>
        <w:tc>
          <w:tcPr>
            <w:tcW w:w="100" w:type="dxa"/>
            <w:vAlign w:val="bottom"/>
          </w:tcPr>
          <w:p>
            <w:pPr>
              <w:spacing w:after="0"/>
              <w:rPr>
                <w:sz w:val="21"/>
                <w:szCs w:val="21"/>
                <w:color w:val="auto"/>
              </w:rPr>
            </w:pPr>
          </w:p>
        </w:tc>
        <w:tc>
          <w:tcPr>
            <w:tcW w:w="420" w:type="dxa"/>
            <w:vAlign w:val="bottom"/>
            <w:gridSpan w:val="2"/>
          </w:tcPr>
          <w:p>
            <w:pPr>
              <w:jc w:val="right"/>
              <w:ind w:right="79"/>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1,930,000</w:t>
            </w:r>
          </w:p>
        </w:tc>
        <w:tc>
          <w:tcPr>
            <w:tcW w:w="160" w:type="dxa"/>
            <w:vAlign w:val="bottom"/>
          </w:tcPr>
          <w:p>
            <w:pPr>
              <w:spacing w:after="0"/>
              <w:rPr>
                <w:sz w:val="21"/>
                <w:szCs w:val="21"/>
                <w:color w:val="auto"/>
              </w:rPr>
            </w:pPr>
          </w:p>
        </w:tc>
        <w:tc>
          <w:tcPr>
            <w:tcW w:w="400" w:type="dxa"/>
            <w:vAlign w:val="bottom"/>
            <w:gridSpan w:val="2"/>
          </w:tcPr>
          <w:p>
            <w:pPr>
              <w:jc w:val="right"/>
              <w:ind w:right="119"/>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480,000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40" w:type="dxa"/>
            <w:vAlign w:val="bottom"/>
            <w:shd w:val="clear" w:color="auto" w:fill="CFF0FC"/>
          </w:tcPr>
          <w:p>
            <w:pPr>
              <w:spacing w:after="0"/>
              <w:rPr>
                <w:sz w:val="20"/>
                <w:szCs w:val="20"/>
                <w:color w:val="auto"/>
              </w:rPr>
            </w:pPr>
            <w:r>
              <w:rPr>
                <w:rFonts w:ascii="Arial" w:cs="Arial" w:eastAsia="Arial" w:hAnsi="Arial"/>
                <w:sz w:val="20"/>
                <w:szCs w:val="20"/>
                <w:color w:val="auto"/>
              </w:rPr>
              <w:t>Equity in earnings of Bayview Lending Group LLC</w:t>
            </w:r>
          </w:p>
        </w:tc>
        <w:tc>
          <w:tcPr>
            <w:tcW w:w="17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352</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(10,752)</w:t>
            </w:r>
          </w:p>
        </w:tc>
        <w:tc>
          <w:tcPr>
            <w:tcW w:w="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(14,267)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Other income</w:t>
            </w:r>
          </w:p>
        </w:tc>
        <w:tc>
          <w:tcPr>
            <w:tcW w:w="174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9,493</w:t>
            </w:r>
          </w:p>
        </w:tc>
        <w:tc>
          <w:tcPr>
            <w:tcW w:w="10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5,530</w:t>
            </w: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2,364</w:t>
            </w:r>
          </w:p>
        </w:tc>
        <w:tc>
          <w:tcPr>
            <w:tcW w:w="100" w:type="dxa"/>
            <w:vAlign w:val="bottom"/>
            <w:tcBorders>
              <w:bottom w:val="single" w:sz="8" w:color="CFF0F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Total income</w:t>
            </w:r>
          </w:p>
        </w:tc>
        <w:tc>
          <w:tcPr>
            <w:tcW w:w="1740" w:type="dxa"/>
            <w:vAlign w:val="bottom"/>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1,549,845</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1,924,778</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468,097</w:t>
            </w: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Pr>
          <w:p>
            <w:pPr>
              <w:spacing w:after="0"/>
              <w:rPr>
                <w:sz w:val="20"/>
                <w:szCs w:val="20"/>
                <w:color w:val="auto"/>
              </w:rPr>
            </w:pPr>
            <w:r>
              <w:rPr>
                <w:rFonts w:ascii="Arial" w:cs="Arial" w:eastAsia="Arial" w:hAnsi="Arial"/>
                <w:sz w:val="20"/>
                <w:szCs w:val="20"/>
                <w:b w:val="1"/>
                <w:bCs w:val="1"/>
                <w:color w:val="auto"/>
              </w:rPr>
              <w:t>Expense</w:t>
            </w:r>
          </w:p>
        </w:tc>
        <w:tc>
          <w:tcPr>
            <w:tcW w:w="1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40" w:type="dxa"/>
            <w:vAlign w:val="bottom"/>
            <w:shd w:val="clear" w:color="auto" w:fill="CFF0FC"/>
          </w:tcPr>
          <w:p>
            <w:pPr>
              <w:spacing w:after="0"/>
              <w:rPr>
                <w:sz w:val="20"/>
                <w:szCs w:val="20"/>
                <w:color w:val="auto"/>
              </w:rPr>
            </w:pPr>
            <w:r>
              <w:rPr>
                <w:rFonts w:ascii="Arial" w:cs="Arial" w:eastAsia="Arial" w:hAnsi="Arial"/>
                <w:sz w:val="20"/>
                <w:szCs w:val="20"/>
                <w:color w:val="auto"/>
              </w:rPr>
              <w:t>Interest on long-term borrowings</w:t>
            </w:r>
          </w:p>
        </w:tc>
        <w:tc>
          <w:tcPr>
            <w:tcW w:w="17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21,591</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18,963</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24,453</w:t>
            </w: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Other expense</w:t>
            </w:r>
          </w:p>
        </w:tc>
        <w:tc>
          <w:tcPr>
            <w:tcW w:w="174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19,636</w:t>
            </w:r>
          </w:p>
        </w:tc>
        <w:tc>
          <w:tcPr>
            <w:tcW w:w="10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21,361</w:t>
            </w: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16,793</w:t>
            </w:r>
          </w:p>
        </w:tc>
        <w:tc>
          <w:tcPr>
            <w:tcW w:w="100" w:type="dxa"/>
            <w:vAlign w:val="bottom"/>
            <w:tcBorders>
              <w:bottom w:val="single" w:sz="8" w:color="CFF0F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Total expense</w:t>
            </w:r>
          </w:p>
        </w:tc>
        <w:tc>
          <w:tcPr>
            <w:tcW w:w="1740" w:type="dxa"/>
            <w:vAlign w:val="bottom"/>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41,227</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40,324</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41,246</w:t>
            </w: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040" w:type="dxa"/>
            <w:vAlign w:val="bottom"/>
          </w:tcPr>
          <w:p>
            <w:pPr>
              <w:spacing w:after="0"/>
              <w:rPr>
                <w:sz w:val="20"/>
                <w:szCs w:val="20"/>
                <w:color w:val="auto"/>
              </w:rPr>
            </w:pPr>
            <w:r>
              <w:rPr>
                <w:rFonts w:ascii="Arial" w:cs="Arial" w:eastAsia="Arial" w:hAnsi="Arial"/>
                <w:sz w:val="20"/>
                <w:szCs w:val="20"/>
                <w:color w:val="auto"/>
              </w:rPr>
              <w:t>Income before income taxes and equity in undistributed</w:t>
            </w:r>
          </w:p>
        </w:tc>
        <w:tc>
          <w:tcPr>
            <w:tcW w:w="1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040" w:type="dxa"/>
            <w:vAlign w:val="bottom"/>
          </w:tcPr>
          <w:p>
            <w:pPr>
              <w:ind w:left="160"/>
              <w:spacing w:after="0"/>
              <w:rPr>
                <w:sz w:val="20"/>
                <w:szCs w:val="20"/>
                <w:color w:val="auto"/>
              </w:rPr>
            </w:pPr>
            <w:r>
              <w:rPr>
                <w:rFonts w:ascii="Arial" w:cs="Arial" w:eastAsia="Arial" w:hAnsi="Arial"/>
                <w:sz w:val="20"/>
                <w:szCs w:val="20"/>
                <w:color w:val="auto"/>
              </w:rPr>
              <w:t>income of subsidiaries</w:t>
            </w:r>
          </w:p>
        </w:tc>
        <w:tc>
          <w:tcPr>
            <w:tcW w:w="1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1,508,618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1,884,454</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426,851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40" w:type="dxa"/>
            <w:vAlign w:val="bottom"/>
            <w:shd w:val="clear" w:color="auto" w:fill="CFF0FC"/>
          </w:tcPr>
          <w:p>
            <w:pPr>
              <w:spacing w:after="0"/>
              <w:rPr>
                <w:sz w:val="20"/>
                <w:szCs w:val="20"/>
                <w:color w:val="auto"/>
              </w:rPr>
            </w:pPr>
            <w:r>
              <w:rPr>
                <w:rFonts w:ascii="Arial" w:cs="Arial" w:eastAsia="Arial" w:hAnsi="Arial"/>
                <w:sz w:val="20"/>
                <w:szCs w:val="20"/>
                <w:color w:val="auto"/>
              </w:rPr>
              <w:t>Income tax credits</w:t>
            </w:r>
          </w:p>
        </w:tc>
        <w:tc>
          <w:tcPr>
            <w:tcW w:w="1740" w:type="dxa"/>
            <w:vAlign w:val="bottom"/>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26,453</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17,247</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19,965</w:t>
            </w: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040" w:type="dxa"/>
            <w:vAlign w:val="bottom"/>
          </w:tcPr>
          <w:p>
            <w:pPr>
              <w:spacing w:after="0"/>
              <w:rPr>
                <w:sz w:val="20"/>
                <w:szCs w:val="20"/>
                <w:color w:val="auto"/>
              </w:rPr>
            </w:pPr>
            <w:r>
              <w:rPr>
                <w:rFonts w:ascii="Arial" w:cs="Arial" w:eastAsia="Arial" w:hAnsi="Arial"/>
                <w:sz w:val="20"/>
                <w:szCs w:val="20"/>
                <w:i w:val="1"/>
                <w:iCs w:val="1"/>
                <w:color w:val="auto"/>
              </w:rPr>
              <w:t>Income before equity in undistributed income of</w:t>
            </w:r>
          </w:p>
        </w:tc>
        <w:tc>
          <w:tcPr>
            <w:tcW w:w="1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CFF0FC"/>
            </w:tcBorders>
          </w:tcPr>
          <w:p>
            <w:pPr>
              <w:ind w:left="160"/>
              <w:spacing w:after="0"/>
              <w:rPr>
                <w:sz w:val="20"/>
                <w:szCs w:val="20"/>
                <w:color w:val="auto"/>
              </w:rPr>
            </w:pPr>
            <w:r>
              <w:rPr>
                <w:rFonts w:ascii="Arial" w:cs="Arial" w:eastAsia="Arial" w:hAnsi="Arial"/>
                <w:sz w:val="20"/>
                <w:szCs w:val="20"/>
                <w:i w:val="1"/>
                <w:iCs w:val="1"/>
                <w:color w:val="auto"/>
              </w:rPr>
              <w:t>subsidiaries</w:t>
            </w:r>
          </w:p>
        </w:tc>
        <w:tc>
          <w:tcPr>
            <w:tcW w:w="174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1,535,071</w:t>
            </w:r>
          </w:p>
        </w:tc>
        <w:tc>
          <w:tcPr>
            <w:tcW w:w="10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1,901,701</w:t>
            </w: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446,816</w:t>
            </w:r>
          </w:p>
        </w:tc>
        <w:tc>
          <w:tcPr>
            <w:tcW w:w="100" w:type="dxa"/>
            <w:vAlign w:val="bottom"/>
            <w:tcBorders>
              <w:bottom w:val="single" w:sz="8" w:color="CFF0F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Equity in undistributed income of subsidiaries</w:t>
            </w:r>
          </w:p>
        </w:tc>
        <w:tc>
          <w:tcPr>
            <w:tcW w:w="17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40" w:type="dxa"/>
            <w:vAlign w:val="bottom"/>
          </w:tcPr>
          <w:p>
            <w:pPr>
              <w:spacing w:after="0"/>
              <w:rPr>
                <w:sz w:val="20"/>
                <w:szCs w:val="20"/>
                <w:color w:val="auto"/>
              </w:rPr>
            </w:pPr>
            <w:r>
              <w:rPr>
                <w:rFonts w:ascii="Arial" w:cs="Arial" w:eastAsia="Arial" w:hAnsi="Arial"/>
                <w:sz w:val="20"/>
                <w:szCs w:val="20"/>
                <w:color w:val="auto"/>
              </w:rPr>
              <w:t>Net income of subsidiaries</w:t>
            </w:r>
          </w:p>
        </w:tc>
        <w:tc>
          <w:tcPr>
            <w:tcW w:w="1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1,413,235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1,343,413</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1,112,851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40" w:type="dxa"/>
            <w:vAlign w:val="bottom"/>
            <w:shd w:val="clear" w:color="auto" w:fill="CFF0FC"/>
          </w:tcPr>
          <w:p>
            <w:pPr>
              <w:spacing w:after="0"/>
              <w:rPr>
                <w:sz w:val="20"/>
                <w:szCs w:val="20"/>
                <w:color w:val="auto"/>
              </w:rPr>
            </w:pPr>
            <w:r>
              <w:rPr>
                <w:rFonts w:ascii="Arial" w:cs="Arial" w:eastAsia="Arial" w:hAnsi="Arial"/>
                <w:sz w:val="20"/>
                <w:szCs w:val="20"/>
                <w:color w:val="auto"/>
              </w:rPr>
              <w:t>Less: dividends received</w:t>
            </w:r>
          </w:p>
        </w:tc>
        <w:tc>
          <w:tcPr>
            <w:tcW w:w="17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(1,540,000)</w:t>
            </w: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(1,930,000)</w:t>
            </w:r>
          </w:p>
        </w:tc>
        <w:tc>
          <w:tcPr>
            <w:tcW w:w="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(480,000)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Equity in undistributed income of subsidiaries</w:t>
            </w:r>
          </w:p>
        </w:tc>
        <w:tc>
          <w:tcPr>
            <w:tcW w:w="174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(126,765)</w:t>
            </w:r>
          </w:p>
        </w:tc>
        <w:tc>
          <w:tcPr>
            <w:tcW w:w="10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(586,587)</w:t>
            </w: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632,851</w:t>
            </w:r>
          </w:p>
        </w:tc>
        <w:tc>
          <w:tcPr>
            <w:tcW w:w="100" w:type="dxa"/>
            <w:vAlign w:val="bottom"/>
            <w:tcBorders>
              <w:bottom w:val="single" w:sz="8" w:color="CFF0F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i w:val="1"/>
                <w:iCs w:val="1"/>
                <w:color w:val="auto"/>
              </w:rPr>
              <w:t>Net income</w:t>
            </w:r>
          </w:p>
        </w:tc>
        <w:tc>
          <w:tcPr>
            <w:tcW w:w="17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20"/>
                <w:szCs w:val="20"/>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1,408,306</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20"/>
                <w:szCs w:val="20"/>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1,315,114</w:t>
            </w:r>
          </w:p>
        </w:tc>
        <w:tc>
          <w:tcPr>
            <w:tcW w:w="16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20"/>
                <w:szCs w:val="20"/>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1,079,667</w:t>
            </w:r>
          </w:p>
        </w:tc>
        <w:tc>
          <w:tcPr>
            <w:tcW w:w="100" w:type="dxa"/>
            <w:vAlign w:val="bottom"/>
            <w:tcBorders>
              <w:bottom w:val="single" w:sz="8" w:color="CFF0FC"/>
            </w:tcBorders>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Arial" w:cs="Arial" w:eastAsia="Arial" w:hAnsi="Arial"/>
                <w:sz w:val="20"/>
                <w:szCs w:val="20"/>
                <w:b w:val="1"/>
                <w:bCs w:val="1"/>
                <w:color w:val="auto"/>
              </w:rPr>
              <w:t>Net income per common share</w:t>
            </w:r>
          </w:p>
        </w:tc>
        <w:tc>
          <w:tcPr>
            <w:tcW w:w="1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040" w:type="dxa"/>
            <w:vAlign w:val="bottom"/>
            <w:vMerge w:val="continue"/>
          </w:tcPr>
          <w:p>
            <w:pPr>
              <w:spacing w:after="0"/>
              <w:rPr>
                <w:sz w:val="19"/>
                <w:szCs w:val="19"/>
                <w:color w:val="auto"/>
              </w:rPr>
            </w:pPr>
          </w:p>
        </w:tc>
        <w:tc>
          <w:tcPr>
            <w:tcW w:w="1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0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Basic</w:t>
            </w:r>
          </w:p>
        </w:tc>
        <w:tc>
          <w:tcPr>
            <w:tcW w:w="2000" w:type="dxa"/>
            <w:vAlign w:val="bottom"/>
            <w:gridSpan w:val="2"/>
            <w:shd w:val="clear" w:color="auto" w:fill="CFF0FC"/>
          </w:tcPr>
          <w:p>
            <w:pPr>
              <w:jc w:val="right"/>
              <w:ind w:right="59"/>
              <w:spacing w:after="0"/>
              <w:rPr>
                <w:sz w:val="20"/>
                <w:szCs w:val="20"/>
                <w:color w:val="auto"/>
              </w:rPr>
            </w:pPr>
            <w:r>
              <w:rPr>
                <w:rFonts w:ascii="Arial" w:cs="Arial" w:eastAsia="Arial" w:hAnsi="Arial"/>
                <w:sz w:val="20"/>
                <w:szCs w:val="20"/>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8.72</w:t>
            </w:r>
          </w:p>
        </w:tc>
        <w:tc>
          <w:tcPr>
            <w:tcW w:w="100" w:type="dxa"/>
            <w:vAlign w:val="bottom"/>
            <w:shd w:val="clear" w:color="auto" w:fill="CFF0FC"/>
          </w:tcPr>
          <w:p>
            <w:pPr>
              <w:spacing w:after="0"/>
              <w:rPr>
                <w:sz w:val="21"/>
                <w:szCs w:val="21"/>
                <w:color w:val="auto"/>
              </w:rPr>
            </w:pPr>
          </w:p>
        </w:tc>
        <w:tc>
          <w:tcPr>
            <w:tcW w:w="420" w:type="dxa"/>
            <w:vAlign w:val="bottom"/>
            <w:gridSpan w:val="2"/>
            <w:shd w:val="clear" w:color="auto" w:fill="CFF0FC"/>
          </w:tcPr>
          <w:p>
            <w:pPr>
              <w:jc w:val="right"/>
              <w:ind w:right="79"/>
              <w:spacing w:after="0"/>
              <w:rPr>
                <w:sz w:val="20"/>
                <w:szCs w:val="20"/>
                <w:color w:val="auto"/>
              </w:rPr>
            </w:pPr>
            <w:r>
              <w:rPr>
                <w:rFonts w:ascii="Arial" w:cs="Arial" w:eastAsia="Arial" w:hAnsi="Arial"/>
                <w:sz w:val="20"/>
                <w:szCs w:val="20"/>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7.80</w:t>
            </w:r>
          </w:p>
        </w:tc>
        <w:tc>
          <w:tcPr>
            <w:tcW w:w="160" w:type="dxa"/>
            <w:vAlign w:val="bottom"/>
            <w:shd w:val="clear" w:color="auto" w:fill="CFF0FC"/>
          </w:tcPr>
          <w:p>
            <w:pPr>
              <w:spacing w:after="0"/>
              <w:rPr>
                <w:sz w:val="21"/>
                <w:szCs w:val="21"/>
                <w:color w:val="auto"/>
              </w:rPr>
            </w:pPr>
          </w:p>
        </w:tc>
        <w:tc>
          <w:tcPr>
            <w:tcW w:w="400" w:type="dxa"/>
            <w:vAlign w:val="bottom"/>
            <w:gridSpan w:val="2"/>
            <w:shd w:val="clear" w:color="auto" w:fill="CFF0FC"/>
          </w:tcPr>
          <w:p>
            <w:pPr>
              <w:jc w:val="right"/>
              <w:ind w:right="119"/>
              <w:spacing w:after="0"/>
              <w:rPr>
                <w:sz w:val="20"/>
                <w:szCs w:val="20"/>
                <w:color w:val="auto"/>
              </w:rPr>
            </w:pPr>
            <w:r>
              <w:rPr>
                <w:rFonts w:ascii="Arial" w:cs="Arial" w:eastAsia="Arial" w:hAnsi="Arial"/>
                <w:sz w:val="20"/>
                <w:szCs w:val="20"/>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7.22</w:t>
            </w: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040" w:type="dxa"/>
            <w:vAlign w:val="bottom"/>
          </w:tcPr>
          <w:p>
            <w:pPr>
              <w:ind w:left="240"/>
              <w:spacing w:after="0"/>
              <w:rPr>
                <w:sz w:val="20"/>
                <w:szCs w:val="20"/>
                <w:color w:val="auto"/>
              </w:rPr>
            </w:pPr>
            <w:r>
              <w:rPr>
                <w:rFonts w:ascii="Arial" w:cs="Arial" w:eastAsia="Arial" w:hAnsi="Arial"/>
                <w:sz w:val="20"/>
                <w:szCs w:val="20"/>
                <w:color w:val="auto"/>
              </w:rPr>
              <w:t>Diluted</w:t>
            </w:r>
          </w:p>
        </w:tc>
        <w:tc>
          <w:tcPr>
            <w:tcW w:w="17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8.70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7.78</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7.18</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2"/>
        </w:trPr>
        <w:tc>
          <w:tcPr>
            <w:tcW w:w="5040" w:type="dxa"/>
            <w:vAlign w:val="bottom"/>
          </w:tcPr>
          <w:p>
            <w:pPr>
              <w:spacing w:after="0"/>
              <w:rPr>
                <w:sz w:val="24"/>
                <w:szCs w:val="24"/>
                <w:color w:val="auto"/>
              </w:rPr>
            </w:pPr>
          </w:p>
        </w:tc>
        <w:tc>
          <w:tcPr>
            <w:tcW w:w="1740" w:type="dxa"/>
            <w:vAlign w:val="bottom"/>
          </w:tcPr>
          <w:p>
            <w:pPr>
              <w:jc w:val="right"/>
              <w:ind w:right="844"/>
              <w:spacing w:after="0"/>
              <w:rPr>
                <w:sz w:val="20"/>
                <w:szCs w:val="20"/>
                <w:color w:val="auto"/>
              </w:rPr>
            </w:pPr>
            <w:r>
              <w:rPr>
                <w:rFonts w:ascii="Arial" w:cs="Arial" w:eastAsia="Arial" w:hAnsi="Arial"/>
                <w:sz w:val="18"/>
                <w:szCs w:val="18"/>
                <w:color w:val="auto"/>
              </w:rPr>
              <w:t>184</w:t>
            </w: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5040" w:type="dxa"/>
            <w:vAlign w:val="bottom"/>
            <w:tcBorders>
              <w:bottom w:val="single" w:sz="8" w:color="9A9A9A"/>
            </w:tcBorders>
          </w:tcPr>
          <w:p>
            <w:pPr>
              <w:spacing w:after="0"/>
              <w:rPr>
                <w:sz w:val="9"/>
                <w:szCs w:val="9"/>
                <w:color w:val="auto"/>
              </w:rPr>
            </w:pPr>
          </w:p>
        </w:tc>
        <w:tc>
          <w:tcPr>
            <w:tcW w:w="17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332" w:right="219" w:bottom="1440" w:gutter="0" w:footer="0" w:header="0"/>
        </w:sectPr>
      </w:pPr>
    </w:p>
    <w:bookmarkStart w:id="184" w:name="page185"/>
    <w:bookmarkEnd w:id="184"/>
    <w:p>
      <w:pPr>
        <w:spacing w:after="0"/>
        <w:rPr>
          <w:sz w:val="20"/>
          <w:szCs w:val="20"/>
          <w:color w:val="auto"/>
        </w:rPr>
      </w:pPr>
      <w:r>
        <w:rPr>
          <w:rFonts w:ascii="Arial" w:cs="Arial" w:eastAsia="Arial" w:hAnsi="Arial"/>
          <w:sz w:val="20"/>
          <w:szCs w:val="20"/>
          <w:b w:val="1"/>
          <w:bCs w:val="1"/>
          <w:color w:val="auto"/>
        </w:rPr>
        <w:t>Condensed Statement of Cash Flows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0"/>
              </w:rPr>
              <w:t>Year Ended December 31</w:t>
            </w: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1"/>
        </w:trPr>
        <w:tc>
          <w:tcPr>
            <w:tcW w:w="51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41"/>
              <w:spacing w:after="0" w:line="151"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right="82"/>
              <w:spacing w:after="0" w:line="151" w:lineRule="exact"/>
              <w:rPr>
                <w:sz w:val="20"/>
                <w:szCs w:val="20"/>
                <w:color w:val="auto"/>
              </w:rPr>
            </w:pPr>
            <w:r>
              <w:rPr>
                <w:rFonts w:ascii="Arial" w:cs="Arial" w:eastAsia="Arial" w:hAnsi="Arial"/>
                <w:sz w:val="14"/>
                <w:szCs w:val="14"/>
                <w:b w:val="1"/>
                <w:bCs w:val="1"/>
                <w:color w:val="auto"/>
                <w:w w:val="89"/>
              </w:rPr>
              <w:t>2016</w:t>
            </w: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41"/>
              <w:spacing w:after="0" w:line="151"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1"/>
        </w:trPr>
        <w:tc>
          <w:tcPr>
            <w:tcW w:w="51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gridSpan w:val="2"/>
          </w:tcPr>
          <w:p>
            <w:pPr>
              <w:jc w:val="center"/>
              <w:ind w:right="340"/>
              <w:spacing w:after="0" w:line="151" w:lineRule="exact"/>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50"/>
        </w:trPr>
        <w:tc>
          <w:tcPr>
            <w:tcW w:w="510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Cash flows from operating activities</w:t>
            </w:r>
          </w:p>
        </w:tc>
        <w:tc>
          <w:tcPr>
            <w:tcW w:w="16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5100" w:type="dxa"/>
            <w:vAlign w:val="bottom"/>
          </w:tcPr>
          <w:p>
            <w:pPr>
              <w:spacing w:after="0"/>
              <w:rPr>
                <w:sz w:val="20"/>
                <w:szCs w:val="20"/>
                <w:color w:val="auto"/>
              </w:rPr>
            </w:pPr>
            <w:r>
              <w:rPr>
                <w:rFonts w:ascii="Arial" w:cs="Arial" w:eastAsia="Arial" w:hAnsi="Arial"/>
                <w:sz w:val="20"/>
                <w:szCs w:val="20"/>
                <w:color w:val="auto"/>
              </w:rPr>
              <w:t>Net income</w:t>
            </w:r>
          </w:p>
        </w:tc>
        <w:tc>
          <w:tcPr>
            <w:tcW w:w="1940" w:type="dxa"/>
            <w:vAlign w:val="bottom"/>
            <w:gridSpan w:val="2"/>
          </w:tcPr>
          <w:p>
            <w:pPr>
              <w:jc w:val="right"/>
              <w:ind w:right="59"/>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1,408,306</w:t>
            </w:r>
          </w:p>
        </w:tc>
        <w:tc>
          <w:tcPr>
            <w:tcW w:w="100" w:type="dxa"/>
            <w:vAlign w:val="bottom"/>
          </w:tcPr>
          <w:p>
            <w:pPr>
              <w:spacing w:after="0"/>
              <w:rPr>
                <w:sz w:val="21"/>
                <w:szCs w:val="21"/>
                <w:color w:val="auto"/>
              </w:rPr>
            </w:pPr>
          </w:p>
        </w:tc>
        <w:tc>
          <w:tcPr>
            <w:tcW w:w="3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1,315,114</w:t>
            </w:r>
          </w:p>
        </w:tc>
        <w:tc>
          <w:tcPr>
            <w:tcW w:w="160" w:type="dxa"/>
            <w:vAlign w:val="bottom"/>
          </w:tcPr>
          <w:p>
            <w:pPr>
              <w:spacing w:after="0"/>
              <w:rPr>
                <w:sz w:val="21"/>
                <w:szCs w:val="21"/>
                <w:color w:val="auto"/>
              </w:rPr>
            </w:pPr>
          </w:p>
        </w:tc>
        <w:tc>
          <w:tcPr>
            <w:tcW w:w="400" w:type="dxa"/>
            <w:vAlign w:val="bottom"/>
            <w:gridSpan w:val="2"/>
          </w:tcPr>
          <w:p>
            <w:pPr>
              <w:jc w:val="right"/>
              <w:ind w:right="119"/>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1,079,667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36"/>
        </w:trPr>
        <w:tc>
          <w:tcPr>
            <w:tcW w:w="5100" w:type="dxa"/>
            <w:vAlign w:val="bottom"/>
            <w:shd w:val="clear" w:color="auto" w:fill="CFF0FC"/>
          </w:tcPr>
          <w:p>
            <w:pPr>
              <w:spacing w:after="0"/>
              <w:rPr>
                <w:sz w:val="20"/>
                <w:szCs w:val="20"/>
                <w:color w:val="auto"/>
              </w:rPr>
            </w:pPr>
            <w:r>
              <w:rPr>
                <w:rFonts w:ascii="Arial" w:cs="Arial" w:eastAsia="Arial" w:hAnsi="Arial"/>
                <w:sz w:val="20"/>
                <w:szCs w:val="20"/>
                <w:color w:val="auto"/>
              </w:rPr>
              <w:t>Adjustments to reconcile net income to net cash provided</w:t>
            </w:r>
          </w:p>
        </w:tc>
        <w:tc>
          <w:tcPr>
            <w:tcW w:w="16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50"/>
        </w:trPr>
        <w:tc>
          <w:tcPr>
            <w:tcW w:w="5100" w:type="dxa"/>
            <w:vAlign w:val="bottom"/>
            <w:shd w:val="clear" w:color="auto" w:fill="CFF0FC"/>
          </w:tcPr>
          <w:p>
            <w:pPr>
              <w:ind w:left="160"/>
              <w:spacing w:after="0"/>
              <w:rPr>
                <w:sz w:val="20"/>
                <w:szCs w:val="20"/>
                <w:color w:val="auto"/>
              </w:rPr>
            </w:pPr>
            <w:r>
              <w:rPr>
                <w:rFonts w:ascii="Arial" w:cs="Arial" w:eastAsia="Arial" w:hAnsi="Arial"/>
                <w:sz w:val="20"/>
                <w:szCs w:val="20"/>
                <w:color w:val="auto"/>
              </w:rPr>
              <w:t>by operating activities</w:t>
            </w:r>
          </w:p>
        </w:tc>
        <w:tc>
          <w:tcPr>
            <w:tcW w:w="16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5100" w:type="dxa"/>
            <w:vAlign w:val="bottom"/>
          </w:tcPr>
          <w:p>
            <w:pPr>
              <w:ind w:left="240"/>
              <w:spacing w:after="0"/>
              <w:rPr>
                <w:sz w:val="20"/>
                <w:szCs w:val="20"/>
                <w:color w:val="auto"/>
              </w:rPr>
            </w:pPr>
            <w:r>
              <w:rPr>
                <w:rFonts w:ascii="Arial" w:cs="Arial" w:eastAsia="Arial" w:hAnsi="Arial"/>
                <w:sz w:val="20"/>
                <w:szCs w:val="20"/>
                <w:color w:val="auto"/>
              </w:rPr>
              <w:t>Equity in undistributed income of subsidiaries</w:t>
            </w:r>
          </w:p>
        </w:tc>
        <w:tc>
          <w:tcPr>
            <w:tcW w:w="1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126,765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586,587</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20"/>
                <w:szCs w:val="20"/>
                <w:color w:val="auto"/>
              </w:rPr>
              <w:t>(632,851)</w:t>
            </w:r>
          </w:p>
        </w:tc>
        <w:tc>
          <w:tcPr>
            <w:tcW w:w="20" w:type="dxa"/>
            <w:vAlign w:val="bottom"/>
          </w:tcPr>
          <w:p>
            <w:pPr>
              <w:spacing w:after="0"/>
              <w:rPr>
                <w:sz w:val="21"/>
                <w:szCs w:val="21"/>
                <w:color w:val="auto"/>
              </w:rPr>
            </w:pPr>
          </w:p>
        </w:tc>
      </w:tr>
      <w:tr>
        <w:trPr>
          <w:trHeight w:val="250"/>
        </w:trPr>
        <w:tc>
          <w:tcPr>
            <w:tcW w:w="5100" w:type="dxa"/>
            <w:vAlign w:val="bottom"/>
            <w:shd w:val="clear" w:color="auto" w:fill="CFF0FC"/>
          </w:tcPr>
          <w:p>
            <w:pPr>
              <w:ind w:left="240"/>
              <w:spacing w:after="0"/>
              <w:rPr>
                <w:sz w:val="20"/>
                <w:szCs w:val="20"/>
                <w:color w:val="auto"/>
              </w:rPr>
            </w:pPr>
            <w:r>
              <w:rPr>
                <w:rFonts w:ascii="Arial" w:cs="Arial" w:eastAsia="Arial" w:hAnsi="Arial"/>
                <w:sz w:val="20"/>
                <w:szCs w:val="20"/>
                <w:color w:val="auto"/>
              </w:rPr>
              <w:t>Benefit (provision) for deferred income taxes</w:t>
            </w:r>
          </w:p>
        </w:tc>
        <w:tc>
          <w:tcPr>
            <w:tcW w:w="16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4,543</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(3,157)</w:t>
            </w:r>
          </w:p>
        </w:tc>
        <w:tc>
          <w:tcPr>
            <w:tcW w:w="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(3,655)</w:t>
            </w:r>
          </w:p>
        </w:tc>
        <w:tc>
          <w:tcPr>
            <w:tcW w:w="20" w:type="dxa"/>
            <w:vAlign w:val="bottom"/>
          </w:tcPr>
          <w:p>
            <w:pPr>
              <w:spacing w:after="0"/>
              <w:rPr>
                <w:sz w:val="21"/>
                <w:szCs w:val="21"/>
                <w:color w:val="auto"/>
              </w:rPr>
            </w:pPr>
          </w:p>
        </w:tc>
      </w:tr>
      <w:tr>
        <w:trPr>
          <w:trHeight w:val="250"/>
        </w:trPr>
        <w:tc>
          <w:tcPr>
            <w:tcW w:w="5100" w:type="dxa"/>
            <w:vAlign w:val="bottom"/>
          </w:tcPr>
          <w:p>
            <w:pPr>
              <w:ind w:left="240"/>
              <w:spacing w:after="0"/>
              <w:rPr>
                <w:sz w:val="20"/>
                <w:szCs w:val="20"/>
                <w:color w:val="auto"/>
              </w:rPr>
            </w:pPr>
            <w:r>
              <w:rPr>
                <w:rFonts w:ascii="Arial" w:cs="Arial" w:eastAsia="Arial" w:hAnsi="Arial"/>
                <w:sz w:val="20"/>
                <w:szCs w:val="20"/>
                <w:color w:val="auto"/>
              </w:rPr>
              <w:t>Net change in accrued income and expense</w:t>
            </w:r>
          </w:p>
        </w:tc>
        <w:tc>
          <w:tcPr>
            <w:tcW w:w="1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20"/>
                <w:szCs w:val="20"/>
                <w:color w:val="auto"/>
              </w:rPr>
              <w:t>(170)</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12,898</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21,780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5100" w:type="dxa"/>
            <w:vAlign w:val="bottom"/>
            <w:shd w:val="clear" w:color="auto" w:fill="CFF0FC"/>
          </w:tcPr>
          <w:p>
            <w:pPr>
              <w:ind w:left="240"/>
              <w:spacing w:after="0"/>
              <w:rPr>
                <w:sz w:val="20"/>
                <w:szCs w:val="20"/>
                <w:color w:val="auto"/>
              </w:rPr>
            </w:pPr>
            <w:r>
              <w:rPr>
                <w:rFonts w:ascii="Arial" w:cs="Arial" w:eastAsia="Arial" w:hAnsi="Arial"/>
                <w:sz w:val="20"/>
                <w:szCs w:val="20"/>
                <w:color w:val="auto"/>
              </w:rPr>
              <w:t>Loss (gain) on sale of assets</w:t>
            </w:r>
          </w:p>
        </w:tc>
        <w:tc>
          <w:tcPr>
            <w:tcW w:w="16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(2,995)</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(2,342)</w:t>
            </w:r>
          </w:p>
        </w:tc>
        <w:tc>
          <w:tcPr>
            <w:tcW w:w="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119</w:t>
            </w: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5100" w:type="dxa"/>
            <w:vAlign w:val="bottom"/>
            <w:tcBorders>
              <w:bottom w:val="single" w:sz="8" w:color="CFF0FC"/>
            </w:tcBorders>
          </w:tcPr>
          <w:p>
            <w:pPr>
              <w:ind w:left="240"/>
              <w:spacing w:after="0"/>
              <w:rPr>
                <w:sz w:val="20"/>
                <w:szCs w:val="20"/>
                <w:color w:val="auto"/>
              </w:rPr>
            </w:pPr>
            <w:r>
              <w:rPr>
                <w:rFonts w:ascii="Arial" w:cs="Arial" w:eastAsia="Arial" w:hAnsi="Arial"/>
                <w:sz w:val="20"/>
                <w:szCs w:val="20"/>
                <w:color w:val="auto"/>
              </w:rPr>
              <w:t>Net cash provided by operating activities</w:t>
            </w:r>
          </w:p>
        </w:tc>
        <w:tc>
          <w:tcPr>
            <w:tcW w:w="168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1,536,449</w:t>
            </w:r>
          </w:p>
        </w:tc>
        <w:tc>
          <w:tcPr>
            <w:tcW w:w="10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1,909,100</w:t>
            </w: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465,060</w:t>
            </w:r>
          </w:p>
        </w:tc>
        <w:tc>
          <w:tcPr>
            <w:tcW w:w="100" w:type="dxa"/>
            <w:vAlign w:val="bottom"/>
            <w:tcBorders>
              <w:bottom w:val="single" w:sz="8" w:color="CFF0FC"/>
            </w:tcBorders>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510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Cash flows from investing activities</w:t>
            </w:r>
          </w:p>
        </w:tc>
        <w:tc>
          <w:tcPr>
            <w:tcW w:w="16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6"/>
        </w:trPr>
        <w:tc>
          <w:tcPr>
            <w:tcW w:w="5100" w:type="dxa"/>
            <w:vAlign w:val="bottom"/>
          </w:tcPr>
          <w:p>
            <w:pPr>
              <w:spacing w:after="0"/>
              <w:rPr>
                <w:sz w:val="20"/>
                <w:szCs w:val="20"/>
                <w:color w:val="auto"/>
              </w:rPr>
            </w:pPr>
            <w:r>
              <w:rPr>
                <w:rFonts w:ascii="Arial" w:cs="Arial" w:eastAsia="Arial" w:hAnsi="Arial"/>
                <w:sz w:val="20"/>
                <w:szCs w:val="20"/>
                <w:color w:val="auto"/>
              </w:rPr>
              <w:t>Proceeds from sales or maturities of</w:t>
            </w:r>
          </w:p>
        </w:tc>
        <w:tc>
          <w:tcPr>
            <w:tcW w:w="1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0"/>
        </w:trPr>
        <w:tc>
          <w:tcPr>
            <w:tcW w:w="5100" w:type="dxa"/>
            <w:vAlign w:val="bottom"/>
          </w:tcPr>
          <w:p>
            <w:pPr>
              <w:ind w:left="160"/>
              <w:spacing w:after="0"/>
              <w:rPr>
                <w:sz w:val="20"/>
                <w:szCs w:val="20"/>
                <w:color w:val="auto"/>
              </w:rPr>
            </w:pPr>
            <w:r>
              <w:rPr>
                <w:rFonts w:ascii="Arial" w:cs="Arial" w:eastAsia="Arial" w:hAnsi="Arial"/>
                <w:sz w:val="20"/>
                <w:szCs w:val="20"/>
                <w:color w:val="auto"/>
              </w:rPr>
              <w:t>investment securities</w:t>
            </w:r>
          </w:p>
        </w:tc>
        <w:tc>
          <w:tcPr>
            <w:tcW w:w="1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51</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755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5100" w:type="dxa"/>
            <w:vAlign w:val="bottom"/>
            <w:shd w:val="clear" w:color="auto" w:fill="CFF0FC"/>
          </w:tcPr>
          <w:p>
            <w:pPr>
              <w:spacing w:after="0"/>
              <w:rPr>
                <w:sz w:val="20"/>
                <w:szCs w:val="20"/>
                <w:color w:val="auto"/>
              </w:rPr>
            </w:pPr>
            <w:r>
              <w:rPr>
                <w:rFonts w:ascii="Arial" w:cs="Arial" w:eastAsia="Arial" w:hAnsi="Arial"/>
                <w:sz w:val="20"/>
                <w:szCs w:val="20"/>
                <w:color w:val="auto"/>
              </w:rPr>
              <w:t>Other, net</w:t>
            </w:r>
          </w:p>
        </w:tc>
        <w:tc>
          <w:tcPr>
            <w:tcW w:w="1680" w:type="dxa"/>
            <w:vAlign w:val="bottom"/>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12,407</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13,619</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14,038</w:t>
            </w: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5100" w:type="dxa"/>
            <w:vAlign w:val="bottom"/>
            <w:tcBorders>
              <w:bottom w:val="single" w:sz="8" w:color="CFF0FC"/>
            </w:tcBorders>
          </w:tcPr>
          <w:p>
            <w:pPr>
              <w:ind w:left="240"/>
              <w:spacing w:after="0"/>
              <w:rPr>
                <w:sz w:val="20"/>
                <w:szCs w:val="20"/>
                <w:color w:val="auto"/>
              </w:rPr>
            </w:pPr>
            <w:r>
              <w:rPr>
                <w:rFonts w:ascii="Arial" w:cs="Arial" w:eastAsia="Arial" w:hAnsi="Arial"/>
                <w:sz w:val="20"/>
                <w:szCs w:val="20"/>
                <w:color w:val="auto"/>
              </w:rPr>
              <w:t>Net cash provided by investing activities</w:t>
            </w:r>
          </w:p>
        </w:tc>
        <w:tc>
          <w:tcPr>
            <w:tcW w:w="168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12,407</w:t>
            </w:r>
          </w:p>
        </w:tc>
        <w:tc>
          <w:tcPr>
            <w:tcW w:w="10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13,670</w:t>
            </w: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14,793</w:t>
            </w:r>
          </w:p>
        </w:tc>
        <w:tc>
          <w:tcPr>
            <w:tcW w:w="100" w:type="dxa"/>
            <w:vAlign w:val="bottom"/>
            <w:tcBorders>
              <w:bottom w:val="single" w:sz="8" w:color="CFF0FC"/>
            </w:tcBorders>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510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Cash flows from financing activities</w:t>
            </w:r>
          </w:p>
        </w:tc>
        <w:tc>
          <w:tcPr>
            <w:tcW w:w="16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5100" w:type="dxa"/>
            <w:vAlign w:val="bottom"/>
          </w:tcPr>
          <w:p>
            <w:pPr>
              <w:spacing w:after="0"/>
              <w:rPr>
                <w:sz w:val="20"/>
                <w:szCs w:val="20"/>
                <w:color w:val="auto"/>
              </w:rPr>
            </w:pPr>
            <w:r>
              <w:rPr>
                <w:rFonts w:ascii="Arial" w:cs="Arial" w:eastAsia="Arial" w:hAnsi="Arial"/>
                <w:sz w:val="20"/>
                <w:szCs w:val="20"/>
                <w:color w:val="auto"/>
              </w:rPr>
              <w:t>Payments on long-term borrowings</w:t>
            </w:r>
          </w:p>
        </w:tc>
        <w:tc>
          <w:tcPr>
            <w:tcW w:w="1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20"/>
                <w:szCs w:val="20"/>
                <w:color w:val="auto"/>
              </w:rPr>
              <w:t>(322,621)</w:t>
            </w:r>
          </w:p>
        </w:tc>
        <w:tc>
          <w:tcPr>
            <w:tcW w:w="20" w:type="dxa"/>
            <w:vAlign w:val="bottom"/>
          </w:tcPr>
          <w:p>
            <w:pPr>
              <w:spacing w:after="0"/>
              <w:rPr>
                <w:sz w:val="21"/>
                <w:szCs w:val="21"/>
                <w:color w:val="auto"/>
              </w:rPr>
            </w:pPr>
          </w:p>
        </w:tc>
      </w:tr>
      <w:tr>
        <w:trPr>
          <w:trHeight w:val="250"/>
        </w:trPr>
        <w:tc>
          <w:tcPr>
            <w:tcW w:w="5100" w:type="dxa"/>
            <w:vAlign w:val="bottom"/>
            <w:shd w:val="clear" w:color="auto" w:fill="CFF0FC"/>
          </w:tcPr>
          <w:p>
            <w:pPr>
              <w:spacing w:after="0"/>
              <w:rPr>
                <w:sz w:val="20"/>
                <w:szCs w:val="20"/>
                <w:color w:val="auto"/>
              </w:rPr>
            </w:pPr>
            <w:r>
              <w:rPr>
                <w:rFonts w:ascii="Arial" w:cs="Arial" w:eastAsia="Arial" w:hAnsi="Arial"/>
                <w:sz w:val="20"/>
                <w:szCs w:val="20"/>
                <w:color w:val="auto"/>
              </w:rPr>
              <w:t>Purchases of treasury stock</w:t>
            </w:r>
          </w:p>
        </w:tc>
        <w:tc>
          <w:tcPr>
            <w:tcW w:w="16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(1,205,905)</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(641,334)</w:t>
            </w:r>
          </w:p>
        </w:tc>
        <w:tc>
          <w:tcPr>
            <w:tcW w:w="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r>
      <w:tr>
        <w:trPr>
          <w:trHeight w:val="250"/>
        </w:trPr>
        <w:tc>
          <w:tcPr>
            <w:tcW w:w="5100" w:type="dxa"/>
            <w:vAlign w:val="bottom"/>
          </w:tcPr>
          <w:p>
            <w:pPr>
              <w:spacing w:after="0"/>
              <w:rPr>
                <w:sz w:val="20"/>
                <w:szCs w:val="20"/>
                <w:color w:val="auto"/>
              </w:rPr>
            </w:pPr>
            <w:r>
              <w:rPr>
                <w:rFonts w:ascii="Arial" w:cs="Arial" w:eastAsia="Arial" w:hAnsi="Arial"/>
                <w:sz w:val="20"/>
                <w:szCs w:val="20"/>
                <w:color w:val="auto"/>
              </w:rPr>
              <w:t>Dividends paid — common</w:t>
            </w:r>
          </w:p>
        </w:tc>
        <w:tc>
          <w:tcPr>
            <w:tcW w:w="1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20"/>
                <w:szCs w:val="20"/>
                <w:color w:val="auto"/>
              </w:rPr>
              <w:t>(457,402)</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20"/>
                <w:szCs w:val="20"/>
                <w:color w:val="auto"/>
              </w:rPr>
              <w:t>(441,891)</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20"/>
                <w:szCs w:val="20"/>
                <w:color w:val="auto"/>
              </w:rPr>
              <w:t>(375,017)</w:t>
            </w:r>
          </w:p>
        </w:tc>
        <w:tc>
          <w:tcPr>
            <w:tcW w:w="20" w:type="dxa"/>
            <w:vAlign w:val="bottom"/>
          </w:tcPr>
          <w:p>
            <w:pPr>
              <w:spacing w:after="0"/>
              <w:rPr>
                <w:sz w:val="21"/>
                <w:szCs w:val="21"/>
                <w:color w:val="auto"/>
              </w:rPr>
            </w:pPr>
          </w:p>
        </w:tc>
      </w:tr>
      <w:tr>
        <w:trPr>
          <w:trHeight w:val="250"/>
        </w:trPr>
        <w:tc>
          <w:tcPr>
            <w:tcW w:w="5100" w:type="dxa"/>
            <w:vAlign w:val="bottom"/>
            <w:shd w:val="clear" w:color="auto" w:fill="CFF0FC"/>
          </w:tcPr>
          <w:p>
            <w:pPr>
              <w:spacing w:after="0"/>
              <w:rPr>
                <w:sz w:val="20"/>
                <w:szCs w:val="20"/>
                <w:color w:val="auto"/>
              </w:rPr>
            </w:pPr>
            <w:r>
              <w:rPr>
                <w:rFonts w:ascii="Arial" w:cs="Arial" w:eastAsia="Arial" w:hAnsi="Arial"/>
                <w:sz w:val="20"/>
                <w:szCs w:val="20"/>
                <w:color w:val="auto"/>
              </w:rPr>
              <w:t>Dividends paid — preferred</w:t>
            </w:r>
          </w:p>
        </w:tc>
        <w:tc>
          <w:tcPr>
            <w:tcW w:w="16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(72,734)</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(81,270)</w:t>
            </w:r>
          </w:p>
        </w:tc>
        <w:tc>
          <w:tcPr>
            <w:tcW w:w="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(81,270)</w:t>
            </w:r>
          </w:p>
        </w:tc>
        <w:tc>
          <w:tcPr>
            <w:tcW w:w="20" w:type="dxa"/>
            <w:vAlign w:val="bottom"/>
          </w:tcPr>
          <w:p>
            <w:pPr>
              <w:spacing w:after="0"/>
              <w:rPr>
                <w:sz w:val="21"/>
                <w:szCs w:val="21"/>
                <w:color w:val="auto"/>
              </w:rPr>
            </w:pPr>
          </w:p>
        </w:tc>
      </w:tr>
      <w:tr>
        <w:trPr>
          <w:trHeight w:val="250"/>
        </w:trPr>
        <w:tc>
          <w:tcPr>
            <w:tcW w:w="5100" w:type="dxa"/>
            <w:vAlign w:val="bottom"/>
          </w:tcPr>
          <w:p>
            <w:pPr>
              <w:spacing w:after="0"/>
              <w:rPr>
                <w:sz w:val="20"/>
                <w:szCs w:val="20"/>
                <w:color w:val="auto"/>
              </w:rPr>
            </w:pPr>
            <w:r>
              <w:rPr>
                <w:rFonts w:ascii="Arial" w:cs="Arial" w:eastAsia="Arial" w:hAnsi="Arial"/>
                <w:sz w:val="20"/>
                <w:szCs w:val="20"/>
                <w:color w:val="auto"/>
              </w:rPr>
              <w:t>Redemption of Series D preferred stock</w:t>
            </w:r>
          </w:p>
        </w:tc>
        <w:tc>
          <w:tcPr>
            <w:tcW w:w="1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20"/>
                <w:szCs w:val="20"/>
                <w:color w:val="auto"/>
              </w:rPr>
              <w:t>(500,000)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r>
      <w:tr>
        <w:trPr>
          <w:trHeight w:val="250"/>
        </w:trPr>
        <w:tc>
          <w:tcPr>
            <w:tcW w:w="5100" w:type="dxa"/>
            <w:vAlign w:val="bottom"/>
            <w:shd w:val="clear" w:color="auto" w:fill="CFF0FC"/>
          </w:tcPr>
          <w:p>
            <w:pPr>
              <w:spacing w:after="0"/>
              <w:rPr>
                <w:sz w:val="20"/>
                <w:szCs w:val="20"/>
                <w:color w:val="auto"/>
              </w:rPr>
            </w:pPr>
            <w:r>
              <w:rPr>
                <w:rFonts w:ascii="Arial" w:cs="Arial" w:eastAsia="Arial" w:hAnsi="Arial"/>
                <w:sz w:val="20"/>
                <w:szCs w:val="20"/>
                <w:color w:val="auto"/>
              </w:rPr>
              <w:t>Proceeds from issuance of Series F preferred stock</w:t>
            </w:r>
          </w:p>
        </w:tc>
        <w:tc>
          <w:tcPr>
            <w:tcW w:w="16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495,000</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r>
      <w:tr>
        <w:trPr>
          <w:trHeight w:val="250"/>
        </w:trPr>
        <w:tc>
          <w:tcPr>
            <w:tcW w:w="510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Other, net</w:t>
            </w:r>
          </w:p>
        </w:tc>
        <w:tc>
          <w:tcPr>
            <w:tcW w:w="168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34,524</w:t>
            </w:r>
          </w:p>
        </w:tc>
        <w:tc>
          <w:tcPr>
            <w:tcW w:w="10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143,764</w:t>
            </w: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76,364</w:t>
            </w:r>
          </w:p>
        </w:tc>
        <w:tc>
          <w:tcPr>
            <w:tcW w:w="100" w:type="dxa"/>
            <w:vAlign w:val="bottom"/>
            <w:tcBorders>
              <w:bottom w:val="single" w:sz="8" w:color="CFF0FC"/>
            </w:tcBorders>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510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Net cash used by financing activities</w:t>
            </w:r>
          </w:p>
        </w:tc>
        <w:tc>
          <w:tcPr>
            <w:tcW w:w="1680" w:type="dxa"/>
            <w:vAlign w:val="bottom"/>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(1,701,517)</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(1,025,731)</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(702,544)</w:t>
            </w: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5100" w:type="dxa"/>
            <w:vAlign w:val="bottom"/>
          </w:tcPr>
          <w:p>
            <w:pPr>
              <w:spacing w:after="0"/>
              <w:rPr>
                <w:sz w:val="20"/>
                <w:szCs w:val="20"/>
                <w:color w:val="auto"/>
              </w:rPr>
            </w:pPr>
            <w:r>
              <w:rPr>
                <w:rFonts w:ascii="Arial" w:cs="Arial" w:eastAsia="Arial" w:hAnsi="Arial"/>
                <w:sz w:val="20"/>
                <w:szCs w:val="20"/>
                <w:color w:val="auto"/>
              </w:rPr>
              <w:t>Net increase (decrease) in cash and cash equivalents</w:t>
            </w:r>
          </w:p>
        </w:tc>
        <w:tc>
          <w:tcPr>
            <w:tcW w:w="1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(152,661)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897,039</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(222,691)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5100" w:type="dxa"/>
            <w:vAlign w:val="bottom"/>
            <w:shd w:val="clear" w:color="auto" w:fill="CFF0FC"/>
          </w:tcPr>
          <w:p>
            <w:pPr>
              <w:spacing w:after="0"/>
              <w:rPr>
                <w:sz w:val="20"/>
                <w:szCs w:val="20"/>
                <w:color w:val="auto"/>
              </w:rPr>
            </w:pPr>
            <w:r>
              <w:rPr>
                <w:rFonts w:ascii="Arial" w:cs="Arial" w:eastAsia="Arial" w:hAnsi="Arial"/>
                <w:sz w:val="20"/>
                <w:szCs w:val="20"/>
                <w:color w:val="auto"/>
              </w:rPr>
              <w:t>Cash and cash equivalents at beginning of year</w:t>
            </w:r>
          </w:p>
        </w:tc>
        <w:tc>
          <w:tcPr>
            <w:tcW w:w="1680" w:type="dxa"/>
            <w:vAlign w:val="bottom"/>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1,782,187</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885,148</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1,107,839</w:t>
            </w: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83"/>
        </w:trPr>
        <w:tc>
          <w:tcPr>
            <w:tcW w:w="510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Cash and cash equivalents at end of year</w:t>
            </w:r>
          </w:p>
        </w:tc>
        <w:tc>
          <w:tcPr>
            <w:tcW w:w="1680" w:type="dxa"/>
            <w:vAlign w:val="bottom"/>
            <w:tcBorders>
              <w:bottom w:val="single" w:sz="8" w:color="CFF0FC"/>
            </w:tcBorders>
          </w:tcPr>
          <w:p>
            <w:pPr>
              <w:spacing w:after="0"/>
              <w:rPr>
                <w:sz w:val="24"/>
                <w:szCs w:val="24"/>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20"/>
                <w:szCs w:val="20"/>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1,629,526</w:t>
            </w:r>
          </w:p>
        </w:tc>
        <w:tc>
          <w:tcPr>
            <w:tcW w:w="100" w:type="dxa"/>
            <w:vAlign w:val="bottom"/>
            <w:tcBorders>
              <w:bottom w:val="single" w:sz="8" w:color="CFF0FC"/>
            </w:tcBorders>
          </w:tcPr>
          <w:p>
            <w:pPr>
              <w:spacing w:after="0"/>
              <w:rPr>
                <w:sz w:val="24"/>
                <w:szCs w:val="24"/>
                <w:color w:val="auto"/>
              </w:rPr>
            </w:pPr>
          </w:p>
        </w:tc>
        <w:tc>
          <w:tcPr>
            <w:tcW w:w="140" w:type="dxa"/>
            <w:vAlign w:val="bottom"/>
            <w:tcBorders>
              <w:bottom w:val="single" w:sz="8" w:color="CFF0FC"/>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1,782,187</w:t>
            </w:r>
          </w:p>
        </w:tc>
        <w:tc>
          <w:tcPr>
            <w:tcW w:w="160" w:type="dxa"/>
            <w:vAlign w:val="bottom"/>
            <w:tcBorders>
              <w:bottom w:val="single" w:sz="8" w:color="CFF0FC"/>
            </w:tcBorders>
          </w:tcPr>
          <w:p>
            <w:pPr>
              <w:spacing w:after="0"/>
              <w:rPr>
                <w:sz w:val="24"/>
                <w:szCs w:val="24"/>
                <w:color w:val="auto"/>
              </w:rPr>
            </w:pPr>
          </w:p>
        </w:tc>
        <w:tc>
          <w:tcPr>
            <w:tcW w:w="80" w:type="dxa"/>
            <w:vAlign w:val="bottom"/>
            <w:tcBorders>
              <w:bottom w:val="single" w:sz="8" w:color="CFF0FC"/>
            </w:tcBorders>
          </w:tcPr>
          <w:p>
            <w:pPr>
              <w:spacing w:after="0"/>
              <w:rPr>
                <w:sz w:val="24"/>
                <w:szCs w:val="24"/>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20"/>
                <w:szCs w:val="20"/>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885,148</w:t>
            </w:r>
          </w:p>
        </w:tc>
        <w:tc>
          <w:tcPr>
            <w:tcW w:w="100" w:type="dxa"/>
            <w:vAlign w:val="bottom"/>
            <w:tcBorders>
              <w:bottom w:val="single" w:sz="8" w:color="CFF0FC"/>
            </w:tcBorders>
          </w:tcPr>
          <w:p>
            <w:pPr>
              <w:spacing w:after="0"/>
              <w:rPr>
                <w:sz w:val="24"/>
                <w:szCs w:val="24"/>
                <w:color w:val="auto"/>
              </w:rPr>
            </w:pPr>
          </w:p>
        </w:tc>
        <w:tc>
          <w:tcPr>
            <w:tcW w:w="20" w:type="dxa"/>
            <w:vAlign w:val="bottom"/>
          </w:tcPr>
          <w:p>
            <w:pPr>
              <w:spacing w:after="0"/>
              <w:rPr>
                <w:sz w:val="24"/>
                <w:szCs w:val="24"/>
                <w:color w:val="auto"/>
              </w:rPr>
            </w:pPr>
          </w:p>
        </w:tc>
      </w:tr>
      <w:tr>
        <w:trPr>
          <w:trHeight w:val="229"/>
        </w:trPr>
        <w:tc>
          <w:tcPr>
            <w:tcW w:w="510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Supplemental disclosure of cash flow information</w:t>
            </w:r>
          </w:p>
        </w:tc>
        <w:tc>
          <w:tcPr>
            <w:tcW w:w="16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50"/>
        </w:trPr>
        <w:tc>
          <w:tcPr>
            <w:tcW w:w="5100" w:type="dxa"/>
            <w:vAlign w:val="bottom"/>
          </w:tcPr>
          <w:p>
            <w:pPr>
              <w:spacing w:after="0"/>
              <w:rPr>
                <w:sz w:val="20"/>
                <w:szCs w:val="20"/>
                <w:color w:val="auto"/>
              </w:rPr>
            </w:pPr>
            <w:r>
              <w:rPr>
                <w:rFonts w:ascii="Arial" w:cs="Arial" w:eastAsia="Arial" w:hAnsi="Arial"/>
                <w:sz w:val="20"/>
                <w:szCs w:val="20"/>
                <w:color w:val="auto"/>
              </w:rPr>
              <w:t>Interest received during the year</w:t>
            </w:r>
          </w:p>
        </w:tc>
        <w:tc>
          <w:tcPr>
            <w:tcW w:w="1940" w:type="dxa"/>
            <w:vAlign w:val="bottom"/>
            <w:gridSpan w:val="2"/>
          </w:tcPr>
          <w:p>
            <w:pPr>
              <w:jc w:val="right"/>
              <w:ind w:right="59"/>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2,313</w:t>
            </w:r>
          </w:p>
        </w:tc>
        <w:tc>
          <w:tcPr>
            <w:tcW w:w="100" w:type="dxa"/>
            <w:vAlign w:val="bottom"/>
          </w:tcPr>
          <w:p>
            <w:pPr>
              <w:spacing w:after="0"/>
              <w:rPr>
                <w:sz w:val="21"/>
                <w:szCs w:val="21"/>
                <w:color w:val="auto"/>
              </w:rPr>
            </w:pPr>
          </w:p>
        </w:tc>
        <w:tc>
          <w:tcPr>
            <w:tcW w:w="3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1,931</w:t>
            </w:r>
          </w:p>
        </w:tc>
        <w:tc>
          <w:tcPr>
            <w:tcW w:w="160" w:type="dxa"/>
            <w:vAlign w:val="bottom"/>
          </w:tcPr>
          <w:p>
            <w:pPr>
              <w:spacing w:after="0"/>
              <w:rPr>
                <w:sz w:val="21"/>
                <w:szCs w:val="21"/>
                <w:color w:val="auto"/>
              </w:rPr>
            </w:pPr>
          </w:p>
        </w:tc>
        <w:tc>
          <w:tcPr>
            <w:tcW w:w="400" w:type="dxa"/>
            <w:vAlign w:val="bottom"/>
            <w:gridSpan w:val="2"/>
          </w:tcPr>
          <w:p>
            <w:pPr>
              <w:jc w:val="right"/>
              <w:ind w:right="119"/>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1,905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5100" w:type="dxa"/>
            <w:vAlign w:val="bottom"/>
            <w:shd w:val="clear" w:color="auto" w:fill="CFF0FC"/>
          </w:tcPr>
          <w:p>
            <w:pPr>
              <w:spacing w:after="0"/>
              <w:rPr>
                <w:sz w:val="20"/>
                <w:szCs w:val="20"/>
                <w:color w:val="auto"/>
              </w:rPr>
            </w:pPr>
            <w:r>
              <w:rPr>
                <w:rFonts w:ascii="Arial" w:cs="Arial" w:eastAsia="Arial" w:hAnsi="Arial"/>
                <w:sz w:val="20"/>
                <w:szCs w:val="20"/>
                <w:color w:val="auto"/>
              </w:rPr>
              <w:t>Interest paid during the year</w:t>
            </w:r>
          </w:p>
        </w:tc>
        <w:tc>
          <w:tcPr>
            <w:tcW w:w="16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18,498</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15,918</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30,420</w:t>
            </w: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57"/>
        </w:trPr>
        <w:tc>
          <w:tcPr>
            <w:tcW w:w="5100" w:type="dxa"/>
            <w:vAlign w:val="bottom"/>
          </w:tcPr>
          <w:p>
            <w:pPr>
              <w:spacing w:after="0"/>
              <w:rPr>
                <w:sz w:val="20"/>
                <w:szCs w:val="20"/>
                <w:color w:val="auto"/>
              </w:rPr>
            </w:pPr>
            <w:r>
              <w:rPr>
                <w:rFonts w:ascii="Arial" w:cs="Arial" w:eastAsia="Arial" w:hAnsi="Arial"/>
                <w:sz w:val="20"/>
                <w:szCs w:val="20"/>
                <w:color w:val="auto"/>
              </w:rPr>
              <w:t>Income taxes received during the year</w:t>
            </w:r>
          </w:p>
        </w:tc>
        <w:tc>
          <w:tcPr>
            <w:tcW w:w="16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21,740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8,877</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16,696</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806"/>
        </w:trPr>
        <w:tc>
          <w:tcPr>
            <w:tcW w:w="5100" w:type="dxa"/>
            <w:vAlign w:val="bottom"/>
          </w:tcPr>
          <w:p>
            <w:pPr>
              <w:spacing w:after="0"/>
              <w:rPr>
                <w:sz w:val="24"/>
                <w:szCs w:val="24"/>
                <w:color w:val="auto"/>
              </w:rPr>
            </w:pPr>
          </w:p>
        </w:tc>
        <w:tc>
          <w:tcPr>
            <w:tcW w:w="1680" w:type="dxa"/>
            <w:vAlign w:val="bottom"/>
          </w:tcPr>
          <w:p>
            <w:pPr>
              <w:jc w:val="right"/>
              <w:ind w:right="844"/>
              <w:spacing w:after="0"/>
              <w:rPr>
                <w:sz w:val="20"/>
                <w:szCs w:val="20"/>
                <w:color w:val="auto"/>
              </w:rPr>
            </w:pPr>
            <w:r>
              <w:rPr>
                <w:rFonts w:ascii="Arial" w:cs="Arial" w:eastAsia="Arial" w:hAnsi="Arial"/>
                <w:sz w:val="18"/>
                <w:szCs w:val="18"/>
                <w:color w:val="auto"/>
              </w:rPr>
              <w:t>185</w:t>
            </w: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2"/>
        </w:trPr>
        <w:tc>
          <w:tcPr>
            <w:tcW w:w="510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332" w:right="219" w:bottom="1440" w:gutter="0" w:footer="0" w:header="0"/>
        </w:sectPr>
      </w:pPr>
    </w:p>
    <w:bookmarkStart w:id="185" w:name="page186"/>
    <w:bookmarkEnd w:id="185"/>
    <w:p>
      <w:pPr>
        <w:spacing w:after="0"/>
        <w:tabs>
          <w:tab w:leader="none" w:pos="440" w:val="left"/>
        </w:tabs>
        <w:rPr>
          <w:sz w:val="20"/>
          <w:szCs w:val="20"/>
          <w:color w:val="auto"/>
        </w:rPr>
      </w:pPr>
      <w:r>
        <w:rPr>
          <w:rFonts w:ascii="Arial" w:cs="Arial" w:eastAsia="Arial" w:hAnsi="Arial"/>
          <w:sz w:val="20"/>
          <w:szCs w:val="20"/>
          <w:b w:val="1"/>
          <w:bCs w:val="1"/>
          <w:color w:val="auto"/>
        </w:rPr>
        <w:t>26.</w:t>
      </w:r>
      <w:r>
        <w:rPr>
          <w:sz w:val="20"/>
          <w:szCs w:val="20"/>
          <w:color w:val="auto"/>
        </w:rPr>
        <w:tab/>
      </w:r>
      <w:r>
        <w:rPr>
          <w:rFonts w:ascii="Arial" w:cs="Arial" w:eastAsia="Arial" w:hAnsi="Arial"/>
          <w:sz w:val="17"/>
          <w:szCs w:val="17"/>
          <w:b w:val="1"/>
          <w:bCs w:val="1"/>
          <w:color w:val="auto"/>
        </w:rPr>
        <w:t>Recent accounting developments</w:t>
      </w:r>
    </w:p>
    <w:p>
      <w:pPr>
        <w:spacing w:after="0" w:line="29" w:lineRule="exact"/>
        <w:rPr>
          <w:sz w:val="20"/>
          <w:szCs w:val="20"/>
          <w:color w:val="auto"/>
        </w:rPr>
      </w:pPr>
    </w:p>
    <w:p>
      <w:pPr>
        <w:ind w:right="260"/>
        <w:spacing w:after="0" w:line="256" w:lineRule="auto"/>
        <w:rPr>
          <w:sz w:val="20"/>
          <w:szCs w:val="20"/>
          <w:color w:val="auto"/>
        </w:rPr>
      </w:pPr>
      <w:r>
        <w:rPr>
          <w:rFonts w:ascii="Arial" w:cs="Arial" w:eastAsia="Arial" w:hAnsi="Arial"/>
          <w:sz w:val="20"/>
          <w:szCs w:val="20"/>
          <w:color w:val="auto"/>
        </w:rPr>
        <w:t>The following table provides a description of accounting standards that were adopted by the company in 2017 as well as standards that are not effective that could have an impact to M&amp;T’s consolidated financial statements upon adoption.</w:t>
      </w:r>
    </w:p>
    <w:p>
      <w:pPr>
        <w:spacing w:after="0" w:line="194" w:lineRule="exact"/>
        <w:rPr>
          <w:sz w:val="20"/>
          <w:szCs w:val="20"/>
          <w:color w:val="auto"/>
        </w:rPr>
      </w:pPr>
    </w:p>
    <w:tbl>
      <w:tblPr>
        <w:tblLayout w:type="fixed"/>
        <w:tblInd w:w="10" w:type="dxa"/>
        <w:tblCellMar>
          <w:top w:w="0" w:type="dxa"/>
          <w:left w:w="0" w:type="dxa"/>
          <w:bottom w:w="0" w:type="dxa"/>
          <w:right w:w="0" w:type="dxa"/>
        </w:tblCellMar>
      </w:tblPr>
      <w:tr>
        <w:trPr>
          <w:trHeight w:val="148"/>
        </w:trPr>
        <w:tc>
          <w:tcPr>
            <w:tcW w:w="1620" w:type="dxa"/>
            <w:vAlign w:val="bottom"/>
            <w:tcBorders>
              <w:top w:val="single" w:sz="8" w:color="auto"/>
              <w:left w:val="single" w:sz="8" w:color="auto"/>
              <w:right w:val="single" w:sz="8" w:color="auto"/>
            </w:tcBorders>
            <w:vMerge w:val="restart"/>
          </w:tcPr>
          <w:p>
            <w:pPr>
              <w:ind w:left="460"/>
              <w:spacing w:after="0"/>
              <w:rPr>
                <w:sz w:val="20"/>
                <w:szCs w:val="20"/>
                <w:color w:val="auto"/>
              </w:rPr>
            </w:pPr>
            <w:r>
              <w:rPr>
                <w:rFonts w:ascii="Arial" w:cs="Arial" w:eastAsia="Arial" w:hAnsi="Arial"/>
                <w:sz w:val="14"/>
                <w:szCs w:val="14"/>
                <w:b w:val="1"/>
                <w:bCs w:val="1"/>
                <w:color w:val="auto"/>
              </w:rPr>
              <w:t>Standard</w:t>
            </w:r>
          </w:p>
        </w:tc>
        <w:tc>
          <w:tcPr>
            <w:tcW w:w="40" w:type="dxa"/>
            <w:vAlign w:val="bottom"/>
            <w:tcBorders>
              <w:top w:val="single" w:sz="8" w:color="auto"/>
            </w:tcBorders>
          </w:tcPr>
          <w:p>
            <w:pPr>
              <w:spacing w:after="0"/>
              <w:rPr>
                <w:sz w:val="12"/>
                <w:szCs w:val="12"/>
                <w:color w:val="auto"/>
              </w:rPr>
            </w:pPr>
          </w:p>
        </w:tc>
        <w:tc>
          <w:tcPr>
            <w:tcW w:w="4820" w:type="dxa"/>
            <w:vAlign w:val="bottom"/>
            <w:tcBorders>
              <w:top w:val="single" w:sz="8" w:color="auto"/>
              <w:right w:val="single" w:sz="8" w:color="auto"/>
            </w:tcBorders>
            <w:vMerge w:val="restart"/>
          </w:tcPr>
          <w:p>
            <w:pPr>
              <w:ind w:left="2000"/>
              <w:spacing w:after="0"/>
              <w:rPr>
                <w:sz w:val="20"/>
                <w:szCs w:val="20"/>
                <w:color w:val="auto"/>
              </w:rPr>
            </w:pPr>
            <w:r>
              <w:rPr>
                <w:rFonts w:ascii="Arial" w:cs="Arial" w:eastAsia="Arial" w:hAnsi="Arial"/>
                <w:sz w:val="14"/>
                <w:szCs w:val="14"/>
                <w:b w:val="1"/>
                <w:bCs w:val="1"/>
                <w:color w:val="auto"/>
              </w:rPr>
              <w:t>Description</w:t>
            </w:r>
          </w:p>
        </w:tc>
        <w:tc>
          <w:tcPr>
            <w:tcW w:w="1200" w:type="dxa"/>
            <w:vAlign w:val="bottom"/>
            <w:tcBorders>
              <w:top w:val="single" w:sz="8" w:color="auto"/>
              <w:right w:val="single" w:sz="8" w:color="auto"/>
            </w:tcBorders>
          </w:tcPr>
          <w:p>
            <w:pPr>
              <w:ind w:left="140"/>
              <w:spacing w:after="0" w:line="149" w:lineRule="exact"/>
              <w:rPr>
                <w:sz w:val="20"/>
                <w:szCs w:val="20"/>
                <w:color w:val="auto"/>
              </w:rPr>
            </w:pPr>
            <w:r>
              <w:rPr>
                <w:rFonts w:ascii="Arial" w:cs="Arial" w:eastAsia="Arial" w:hAnsi="Arial"/>
                <w:sz w:val="14"/>
                <w:szCs w:val="14"/>
                <w:b w:val="1"/>
                <w:bCs w:val="1"/>
                <w:color w:val="auto"/>
              </w:rPr>
              <w:t>Required date</w:t>
            </w:r>
          </w:p>
        </w:tc>
        <w:tc>
          <w:tcPr>
            <w:tcW w:w="3740" w:type="dxa"/>
            <w:vAlign w:val="bottom"/>
            <w:tcBorders>
              <w:top w:val="single" w:sz="8" w:color="auto"/>
              <w:right w:val="single" w:sz="8" w:color="auto"/>
            </w:tcBorders>
            <w:vMerge w:val="restart"/>
          </w:tcPr>
          <w:p>
            <w:pPr>
              <w:ind w:left="540"/>
              <w:spacing w:after="0"/>
              <w:rPr>
                <w:sz w:val="20"/>
                <w:szCs w:val="20"/>
                <w:color w:val="auto"/>
              </w:rPr>
            </w:pPr>
            <w:r>
              <w:rPr>
                <w:rFonts w:ascii="Arial" w:cs="Arial" w:eastAsia="Arial" w:hAnsi="Arial"/>
                <w:sz w:val="14"/>
                <w:szCs w:val="14"/>
                <w:b w:val="1"/>
                <w:bCs w:val="1"/>
                <w:color w:val="auto"/>
              </w:rPr>
              <w:t>Effect on consolidated financial statements</w:t>
            </w:r>
          </w:p>
        </w:tc>
        <w:tc>
          <w:tcPr>
            <w:tcW w:w="0" w:type="dxa"/>
            <w:vAlign w:val="bottom"/>
          </w:tcPr>
          <w:p>
            <w:pPr>
              <w:spacing w:after="0"/>
              <w:rPr>
                <w:sz w:val="1"/>
                <w:szCs w:val="1"/>
                <w:color w:val="auto"/>
              </w:rPr>
            </w:pPr>
          </w:p>
        </w:tc>
      </w:tr>
      <w:tr>
        <w:trPr>
          <w:trHeight w:val="167"/>
        </w:trPr>
        <w:tc>
          <w:tcPr>
            <w:tcW w:w="162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820" w:type="dxa"/>
            <w:vAlign w:val="bottom"/>
            <w:tcBorders>
              <w:bottom w:val="single" w:sz="8" w:color="auto"/>
              <w:right w:val="single" w:sz="8" w:color="auto"/>
            </w:tcBorders>
            <w:vMerge w:val="continue"/>
          </w:tcPr>
          <w:p>
            <w:pPr>
              <w:spacing w:after="0"/>
              <w:rPr>
                <w:sz w:val="14"/>
                <w:szCs w:val="14"/>
                <w:color w:val="auto"/>
              </w:rPr>
            </w:pPr>
          </w:p>
        </w:tc>
        <w:tc>
          <w:tcPr>
            <w:tcW w:w="120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b w:val="1"/>
                <w:bCs w:val="1"/>
                <w:color w:val="auto"/>
              </w:rPr>
              <w:t>of adoption</w:t>
            </w:r>
          </w:p>
        </w:tc>
        <w:tc>
          <w:tcPr>
            <w:tcW w:w="37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660" w:type="dxa"/>
            <w:vAlign w:val="bottom"/>
            <w:tcBorders>
              <w:left w:val="single" w:sz="8" w:color="auto"/>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9"/>
              </w:rPr>
              <w:t>Standards Adopted in 2017</w:t>
            </w:r>
          </w:p>
        </w:tc>
        <w:tc>
          <w:tcPr>
            <w:tcW w:w="48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37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1620" w:type="dxa"/>
            <w:vAlign w:val="bottom"/>
            <w:tcBorders>
              <w:left w:val="single" w:sz="8" w:color="auto"/>
              <w:right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Improvements to</w:t>
            </w:r>
          </w:p>
        </w:tc>
        <w:tc>
          <w:tcPr>
            <w:tcW w:w="40" w:type="dxa"/>
            <w:vAlign w:val="bottom"/>
            <w:shd w:val="clear" w:color="auto" w:fill="CFF0FC"/>
          </w:tcPr>
          <w:p>
            <w:pPr>
              <w:spacing w:after="0"/>
              <w:rPr>
                <w:sz w:val="24"/>
                <w:szCs w:val="24"/>
                <w:color w:val="auto"/>
              </w:rPr>
            </w:pPr>
          </w:p>
        </w:tc>
        <w:tc>
          <w:tcPr>
            <w:tcW w:w="4820" w:type="dxa"/>
            <w:vAlign w:val="bottom"/>
            <w:tcBorders>
              <w:right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w w:val="95"/>
              </w:rPr>
              <w:t>The amended guidance requires that all excess tax benefits and tax deficiencies</w:t>
            </w:r>
          </w:p>
        </w:tc>
        <w:tc>
          <w:tcPr>
            <w:tcW w:w="1200" w:type="dxa"/>
            <w:vAlign w:val="bottom"/>
            <w:tcBorders>
              <w:right w:val="single" w:sz="8" w:color="auto"/>
            </w:tcBorders>
            <w:vMerge w:val="restart"/>
            <w:shd w:val="clear" w:color="auto" w:fill="CFF0FC"/>
          </w:tcPr>
          <w:p>
            <w:pPr>
              <w:ind w:left="80"/>
              <w:spacing w:after="0"/>
              <w:rPr>
                <w:sz w:val="20"/>
                <w:szCs w:val="20"/>
                <w:color w:val="auto"/>
              </w:rPr>
            </w:pPr>
            <w:r>
              <w:rPr>
                <w:rFonts w:ascii="Arial" w:cs="Arial" w:eastAsia="Arial" w:hAnsi="Arial"/>
                <w:sz w:val="14"/>
                <w:szCs w:val="14"/>
                <w:color w:val="auto"/>
              </w:rPr>
              <w:t>January 1, 2017</w:t>
            </w:r>
          </w:p>
        </w:tc>
        <w:tc>
          <w:tcPr>
            <w:tcW w:w="3740" w:type="dxa"/>
            <w:vAlign w:val="bottom"/>
            <w:tcBorders>
              <w:right w:val="single" w:sz="8" w:color="auto"/>
            </w:tcBorders>
            <w:shd w:val="clear" w:color="auto" w:fill="CFF0FC"/>
          </w:tcPr>
          <w:p>
            <w:pPr>
              <w:ind w:left="100"/>
              <w:spacing w:after="0"/>
              <w:rPr>
                <w:sz w:val="20"/>
                <w:szCs w:val="20"/>
                <w:color w:val="auto"/>
              </w:rPr>
            </w:pPr>
            <w:r>
              <w:rPr>
                <w:rFonts w:ascii="Arial" w:cs="Arial" w:eastAsia="Arial" w:hAnsi="Arial"/>
                <w:sz w:val="14"/>
                <w:szCs w:val="14"/>
                <w:color w:val="auto"/>
              </w:rPr>
              <w:t>The adoption of this guidance resulted in a $22 million</w:t>
            </w:r>
          </w:p>
        </w:tc>
        <w:tc>
          <w:tcPr>
            <w:tcW w:w="0" w:type="dxa"/>
            <w:vAlign w:val="bottom"/>
          </w:tcPr>
          <w:p>
            <w:pPr>
              <w:spacing w:after="0"/>
              <w:rPr>
                <w:sz w:val="1"/>
                <w:szCs w:val="1"/>
                <w:color w:val="auto"/>
              </w:rPr>
            </w:pPr>
          </w:p>
        </w:tc>
      </w:tr>
      <w:tr>
        <w:trPr>
          <w:trHeight w:val="113"/>
        </w:trPr>
        <w:tc>
          <w:tcPr>
            <w:tcW w:w="1620" w:type="dxa"/>
            <w:vAlign w:val="bottom"/>
            <w:tcBorders>
              <w:left w:val="single" w:sz="8" w:color="auto"/>
              <w:right w:val="single" w:sz="8" w:color="auto"/>
            </w:tcBorders>
            <w:vMerge w:val="restart"/>
            <w:shd w:val="clear" w:color="auto" w:fill="CFF0FC"/>
          </w:tcPr>
          <w:p>
            <w:pPr>
              <w:ind w:left="20"/>
              <w:spacing w:after="0" w:line="145" w:lineRule="exact"/>
              <w:rPr>
                <w:sz w:val="20"/>
                <w:szCs w:val="20"/>
                <w:color w:val="auto"/>
              </w:rPr>
            </w:pPr>
            <w:r>
              <w:rPr>
                <w:rFonts w:ascii="Arial" w:cs="Arial" w:eastAsia="Arial" w:hAnsi="Arial"/>
                <w:sz w:val="14"/>
                <w:szCs w:val="14"/>
                <w:color w:val="auto"/>
              </w:rPr>
              <w:t>Employee Share-Based</w:t>
            </w:r>
          </w:p>
        </w:tc>
        <w:tc>
          <w:tcPr>
            <w:tcW w:w="40" w:type="dxa"/>
            <w:vAlign w:val="bottom"/>
            <w:shd w:val="clear" w:color="auto" w:fill="CFF0FC"/>
          </w:tcPr>
          <w:p>
            <w:pPr>
              <w:spacing w:after="0"/>
              <w:rPr>
                <w:sz w:val="9"/>
                <w:szCs w:val="9"/>
                <w:color w:val="auto"/>
              </w:rPr>
            </w:pPr>
          </w:p>
        </w:tc>
        <w:tc>
          <w:tcPr>
            <w:tcW w:w="4820" w:type="dxa"/>
            <w:vAlign w:val="bottom"/>
            <w:tcBorders>
              <w:right w:val="single" w:sz="8" w:color="auto"/>
            </w:tcBorders>
            <w:vMerge w:val="restart"/>
            <w:shd w:val="clear" w:color="auto" w:fill="CFF0FC"/>
          </w:tcPr>
          <w:p>
            <w:pPr>
              <w:ind w:left="20"/>
              <w:spacing w:after="0" w:line="145" w:lineRule="exact"/>
              <w:rPr>
                <w:sz w:val="20"/>
                <w:szCs w:val="20"/>
                <w:color w:val="auto"/>
              </w:rPr>
            </w:pPr>
            <w:r>
              <w:rPr>
                <w:rFonts w:ascii="Arial" w:cs="Arial" w:eastAsia="Arial" w:hAnsi="Arial"/>
                <w:sz w:val="14"/>
                <w:szCs w:val="14"/>
                <w:color w:val="auto"/>
                <w:w w:val="94"/>
              </w:rPr>
              <w:t>related to share-based compensation be recognized in income tax expense in the</w:t>
            </w:r>
          </w:p>
        </w:tc>
        <w:tc>
          <w:tcPr>
            <w:tcW w:w="1200" w:type="dxa"/>
            <w:vAlign w:val="bottom"/>
            <w:tcBorders>
              <w:right w:val="single" w:sz="8" w:color="auto"/>
            </w:tcBorders>
            <w:vMerge w:val="continue"/>
            <w:shd w:val="clear" w:color="auto" w:fill="CFF0FC"/>
          </w:tcPr>
          <w:p>
            <w:pPr>
              <w:spacing w:after="0"/>
              <w:rPr>
                <w:sz w:val="9"/>
                <w:szCs w:val="9"/>
                <w:color w:val="auto"/>
              </w:rPr>
            </w:pPr>
          </w:p>
        </w:tc>
        <w:tc>
          <w:tcPr>
            <w:tcW w:w="3740" w:type="dxa"/>
            <w:vAlign w:val="bottom"/>
            <w:tcBorders>
              <w:right w:val="single" w:sz="8" w:color="auto"/>
            </w:tcBorders>
            <w:vMerge w:val="restart"/>
            <w:shd w:val="clear" w:color="auto" w:fill="CFF0FC"/>
          </w:tcPr>
          <w:p>
            <w:pPr>
              <w:ind w:left="100"/>
              <w:spacing w:after="0" w:line="145" w:lineRule="exact"/>
              <w:rPr>
                <w:sz w:val="20"/>
                <w:szCs w:val="20"/>
                <w:color w:val="auto"/>
              </w:rPr>
            </w:pPr>
            <w:r>
              <w:rPr>
                <w:rFonts w:ascii="Arial" w:cs="Arial" w:eastAsia="Arial" w:hAnsi="Arial"/>
                <w:sz w:val="14"/>
                <w:szCs w:val="14"/>
                <w:color w:val="auto"/>
              </w:rPr>
              <w:t>reduction of income tax expense for the year ended</w:t>
            </w:r>
          </w:p>
        </w:tc>
        <w:tc>
          <w:tcPr>
            <w:tcW w:w="0" w:type="dxa"/>
            <w:vAlign w:val="bottom"/>
          </w:tcPr>
          <w:p>
            <w:pPr>
              <w:spacing w:after="0"/>
              <w:rPr>
                <w:sz w:val="1"/>
                <w:szCs w:val="1"/>
                <w:color w:val="auto"/>
              </w:rPr>
            </w:pPr>
          </w:p>
        </w:tc>
      </w:tr>
      <w:tr>
        <w:trPr>
          <w:trHeight w:val="31"/>
        </w:trPr>
        <w:tc>
          <w:tcPr>
            <w:tcW w:w="1620" w:type="dxa"/>
            <w:vAlign w:val="bottom"/>
            <w:tcBorders>
              <w:left w:val="single" w:sz="8" w:color="auto"/>
              <w:right w:val="single" w:sz="8" w:color="auto"/>
            </w:tcBorders>
            <w:vMerge w:val="continue"/>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4820" w:type="dxa"/>
            <w:vAlign w:val="bottom"/>
            <w:tcBorders>
              <w:right w:val="single" w:sz="8" w:color="auto"/>
            </w:tcBorders>
            <w:vMerge w:val="continue"/>
            <w:shd w:val="clear" w:color="auto" w:fill="CFF0FC"/>
          </w:tcPr>
          <w:p>
            <w:pPr>
              <w:spacing w:after="0"/>
              <w:rPr>
                <w:sz w:val="2"/>
                <w:szCs w:val="2"/>
                <w:color w:val="auto"/>
              </w:rPr>
            </w:pPr>
          </w:p>
        </w:tc>
        <w:tc>
          <w:tcPr>
            <w:tcW w:w="1200" w:type="dxa"/>
            <w:vAlign w:val="bottom"/>
            <w:tcBorders>
              <w:right w:val="single" w:sz="8" w:color="auto"/>
            </w:tcBorders>
            <w:shd w:val="clear" w:color="auto" w:fill="CFF0FC"/>
          </w:tcPr>
          <w:p>
            <w:pPr>
              <w:spacing w:after="0"/>
              <w:rPr>
                <w:sz w:val="2"/>
                <w:szCs w:val="2"/>
                <w:color w:val="auto"/>
              </w:rPr>
            </w:pPr>
          </w:p>
        </w:tc>
        <w:tc>
          <w:tcPr>
            <w:tcW w:w="3740" w:type="dxa"/>
            <w:vAlign w:val="bottom"/>
            <w:tcBorders>
              <w:right w:val="single" w:sz="8" w:color="auto"/>
            </w:tcBorders>
            <w:vMerge w:val="continue"/>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1620" w:type="dxa"/>
            <w:vAlign w:val="bottom"/>
            <w:tcBorders>
              <w:left w:val="single" w:sz="8" w:color="auto"/>
              <w:right w:val="single" w:sz="8" w:color="auto"/>
            </w:tcBorders>
            <w:shd w:val="clear" w:color="auto" w:fill="CFF0FC"/>
          </w:tcPr>
          <w:p>
            <w:pPr>
              <w:ind w:left="20"/>
              <w:spacing w:after="0" w:line="145" w:lineRule="exact"/>
              <w:rPr>
                <w:sz w:val="20"/>
                <w:szCs w:val="20"/>
                <w:color w:val="auto"/>
              </w:rPr>
            </w:pPr>
            <w:r>
              <w:rPr>
                <w:rFonts w:ascii="Arial" w:cs="Arial" w:eastAsia="Arial" w:hAnsi="Arial"/>
                <w:sz w:val="14"/>
                <w:szCs w:val="14"/>
                <w:color w:val="auto"/>
              </w:rPr>
              <w:t>Payment Accounting</w:t>
            </w:r>
          </w:p>
        </w:tc>
        <w:tc>
          <w:tcPr>
            <w:tcW w:w="40" w:type="dxa"/>
            <w:vAlign w:val="bottom"/>
            <w:shd w:val="clear" w:color="auto" w:fill="CFF0FC"/>
          </w:tcPr>
          <w:p>
            <w:pPr>
              <w:spacing w:after="0"/>
              <w:rPr>
                <w:sz w:val="12"/>
                <w:szCs w:val="12"/>
                <w:color w:val="auto"/>
              </w:rPr>
            </w:pPr>
          </w:p>
        </w:tc>
        <w:tc>
          <w:tcPr>
            <w:tcW w:w="4820" w:type="dxa"/>
            <w:vAlign w:val="bottom"/>
            <w:tcBorders>
              <w:right w:val="single" w:sz="8" w:color="auto"/>
            </w:tcBorders>
            <w:shd w:val="clear" w:color="auto" w:fill="CFF0FC"/>
          </w:tcPr>
          <w:p>
            <w:pPr>
              <w:ind w:left="20"/>
              <w:spacing w:after="0" w:line="145" w:lineRule="exact"/>
              <w:rPr>
                <w:sz w:val="20"/>
                <w:szCs w:val="20"/>
                <w:color w:val="auto"/>
              </w:rPr>
            </w:pPr>
            <w:r>
              <w:rPr>
                <w:rFonts w:ascii="Arial" w:cs="Arial" w:eastAsia="Arial" w:hAnsi="Arial"/>
                <w:sz w:val="14"/>
                <w:szCs w:val="14"/>
                <w:color w:val="auto"/>
                <w:w w:val="93"/>
              </w:rPr>
              <w:t>income statement and that such amounts be recognized in the period in which the</w:t>
            </w:r>
          </w:p>
        </w:tc>
        <w:tc>
          <w:tcPr>
            <w:tcW w:w="1200" w:type="dxa"/>
            <w:vAlign w:val="bottom"/>
            <w:tcBorders>
              <w:right w:val="single" w:sz="8" w:color="auto"/>
            </w:tcBorders>
            <w:shd w:val="clear" w:color="auto" w:fill="CFF0FC"/>
          </w:tcPr>
          <w:p>
            <w:pPr>
              <w:spacing w:after="0"/>
              <w:rPr>
                <w:sz w:val="12"/>
                <w:szCs w:val="12"/>
                <w:color w:val="auto"/>
              </w:rPr>
            </w:pPr>
          </w:p>
        </w:tc>
        <w:tc>
          <w:tcPr>
            <w:tcW w:w="3740" w:type="dxa"/>
            <w:vAlign w:val="bottom"/>
            <w:tcBorders>
              <w:right w:val="single" w:sz="8" w:color="auto"/>
            </w:tcBorders>
            <w:shd w:val="clear" w:color="auto" w:fill="CFF0FC"/>
          </w:tcPr>
          <w:p>
            <w:pPr>
              <w:ind w:left="100"/>
              <w:spacing w:after="0" w:line="145" w:lineRule="exact"/>
              <w:rPr>
                <w:sz w:val="20"/>
                <w:szCs w:val="20"/>
                <w:color w:val="auto"/>
              </w:rPr>
            </w:pPr>
            <w:r>
              <w:rPr>
                <w:rFonts w:ascii="Arial" w:cs="Arial" w:eastAsia="Arial" w:hAnsi="Arial"/>
                <w:sz w:val="14"/>
                <w:szCs w:val="14"/>
                <w:color w:val="auto"/>
                <w:w w:val="94"/>
              </w:rPr>
              <w:t>December 31, 2017 that under previous accounting guidance</w:t>
            </w:r>
          </w:p>
        </w:tc>
        <w:tc>
          <w:tcPr>
            <w:tcW w:w="0" w:type="dxa"/>
            <w:vAlign w:val="bottom"/>
          </w:tcPr>
          <w:p>
            <w:pPr>
              <w:spacing w:after="0"/>
              <w:rPr>
                <w:sz w:val="1"/>
                <w:szCs w:val="1"/>
                <w:color w:val="auto"/>
              </w:rPr>
            </w:pPr>
          </w:p>
        </w:tc>
      </w:tr>
      <w:tr>
        <w:trPr>
          <w:trHeight w:val="163"/>
        </w:trPr>
        <w:tc>
          <w:tcPr>
            <w:tcW w:w="1620" w:type="dxa"/>
            <w:vAlign w:val="bottom"/>
            <w:tcBorders>
              <w:left w:val="single" w:sz="8" w:color="auto"/>
              <w:bottom w:val="single" w:sz="8" w:color="auto"/>
              <w:right w:val="single" w:sz="8" w:color="auto"/>
            </w:tcBorders>
            <w:shd w:val="clear" w:color="auto" w:fill="CFF0FC"/>
          </w:tcPr>
          <w:p>
            <w:pPr>
              <w:spacing w:after="0"/>
              <w:rPr>
                <w:sz w:val="14"/>
                <w:szCs w:val="14"/>
                <w:color w:val="auto"/>
              </w:rPr>
            </w:pPr>
          </w:p>
        </w:tc>
        <w:tc>
          <w:tcPr>
            <w:tcW w:w="40" w:type="dxa"/>
            <w:vAlign w:val="bottom"/>
            <w:tcBorders>
              <w:bottom w:val="single" w:sz="8" w:color="auto"/>
            </w:tcBorders>
            <w:shd w:val="clear" w:color="auto" w:fill="CFF0FC"/>
          </w:tcPr>
          <w:p>
            <w:pPr>
              <w:spacing w:after="0"/>
              <w:rPr>
                <w:sz w:val="14"/>
                <w:szCs w:val="14"/>
                <w:color w:val="auto"/>
              </w:rPr>
            </w:pPr>
          </w:p>
        </w:tc>
        <w:tc>
          <w:tcPr>
            <w:tcW w:w="4820" w:type="dxa"/>
            <w:vAlign w:val="bottom"/>
            <w:tcBorders>
              <w:bottom w:val="single" w:sz="8" w:color="auto"/>
              <w:right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w w:val="97"/>
              </w:rPr>
              <w:t>tax deduction arises or in the period in which an expiration of an award occurs.</w:t>
            </w:r>
          </w:p>
        </w:tc>
        <w:tc>
          <w:tcPr>
            <w:tcW w:w="1200" w:type="dxa"/>
            <w:vAlign w:val="bottom"/>
            <w:tcBorders>
              <w:bottom w:val="single" w:sz="8" w:color="auto"/>
              <w:right w:val="single" w:sz="8" w:color="auto"/>
            </w:tcBorders>
            <w:shd w:val="clear" w:color="auto" w:fill="CFF0FC"/>
          </w:tcPr>
          <w:p>
            <w:pPr>
              <w:spacing w:after="0"/>
              <w:rPr>
                <w:sz w:val="14"/>
                <w:szCs w:val="14"/>
                <w:color w:val="auto"/>
              </w:rPr>
            </w:pPr>
          </w:p>
        </w:tc>
        <w:tc>
          <w:tcPr>
            <w:tcW w:w="3740" w:type="dxa"/>
            <w:vAlign w:val="bottom"/>
            <w:tcBorders>
              <w:bottom w:val="single" w:sz="8" w:color="auto"/>
              <w:right w:val="single" w:sz="8" w:color="auto"/>
            </w:tcBorders>
            <w:shd w:val="clear" w:color="auto" w:fill="CFF0FC"/>
          </w:tcPr>
          <w:p>
            <w:pPr>
              <w:ind w:left="100"/>
              <w:spacing w:after="0"/>
              <w:rPr>
                <w:sz w:val="20"/>
                <w:szCs w:val="20"/>
                <w:color w:val="auto"/>
              </w:rPr>
            </w:pPr>
            <w:r>
              <w:rPr>
                <w:rFonts w:ascii="Arial" w:cs="Arial" w:eastAsia="Arial" w:hAnsi="Arial"/>
                <w:sz w:val="14"/>
                <w:szCs w:val="14"/>
                <w:color w:val="auto"/>
                <w:w w:val="96"/>
              </w:rPr>
              <w:t>would have been recognized directly in shareholders’ equity.</w:t>
            </w:r>
          </w:p>
        </w:tc>
        <w:tc>
          <w:tcPr>
            <w:tcW w:w="0" w:type="dxa"/>
            <w:vAlign w:val="bottom"/>
          </w:tcPr>
          <w:p>
            <w:pPr>
              <w:spacing w:after="0"/>
              <w:rPr>
                <w:sz w:val="1"/>
                <w:szCs w:val="1"/>
                <w:color w:val="auto"/>
              </w:rPr>
            </w:pPr>
          </w:p>
        </w:tc>
      </w:tr>
      <w:tr>
        <w:trPr>
          <w:trHeight w:val="277"/>
        </w:trPr>
        <w:tc>
          <w:tcPr>
            <w:tcW w:w="16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Simplifying the</w:t>
            </w:r>
          </w:p>
        </w:tc>
        <w:tc>
          <w:tcPr>
            <w:tcW w:w="40" w:type="dxa"/>
            <w:vAlign w:val="bottom"/>
          </w:tcPr>
          <w:p>
            <w:pPr>
              <w:spacing w:after="0"/>
              <w:rPr>
                <w:sz w:val="24"/>
                <w:szCs w:val="24"/>
                <w:color w:val="auto"/>
              </w:rPr>
            </w:pPr>
          </w:p>
        </w:tc>
        <w:tc>
          <w:tcPr>
            <w:tcW w:w="48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w w:val="96"/>
              </w:rPr>
              <w:t>The amended guidance eliminates the requirement that an investor retroactively</w:t>
            </w:r>
          </w:p>
        </w:tc>
        <w:tc>
          <w:tcPr>
            <w:tcW w:w="120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January 1, 2017</w:t>
            </w:r>
          </w:p>
        </w:tc>
        <w:tc>
          <w:tcPr>
            <w:tcW w:w="374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w w:val="97"/>
              </w:rPr>
              <w:t>The adoption of this guidance did not have a material effect</w:t>
            </w:r>
          </w:p>
        </w:tc>
        <w:tc>
          <w:tcPr>
            <w:tcW w:w="0" w:type="dxa"/>
            <w:vAlign w:val="bottom"/>
          </w:tcPr>
          <w:p>
            <w:pPr>
              <w:spacing w:after="0"/>
              <w:rPr>
                <w:sz w:val="1"/>
                <w:szCs w:val="1"/>
                <w:color w:val="auto"/>
              </w:rPr>
            </w:pPr>
          </w:p>
        </w:tc>
      </w:tr>
      <w:tr>
        <w:trPr>
          <w:trHeight w:val="145"/>
        </w:trPr>
        <w:tc>
          <w:tcPr>
            <w:tcW w:w="1620" w:type="dxa"/>
            <w:vAlign w:val="bottom"/>
            <w:tcBorders>
              <w:left w:val="single" w:sz="8" w:color="auto"/>
              <w:right w:val="single" w:sz="8" w:color="auto"/>
            </w:tcBorders>
          </w:tcPr>
          <w:p>
            <w:pPr>
              <w:ind w:left="20"/>
              <w:spacing w:after="0" w:line="145" w:lineRule="exact"/>
              <w:rPr>
                <w:sz w:val="20"/>
                <w:szCs w:val="20"/>
                <w:color w:val="auto"/>
              </w:rPr>
            </w:pPr>
            <w:r>
              <w:rPr>
                <w:rFonts w:ascii="Arial" w:cs="Arial" w:eastAsia="Arial" w:hAnsi="Arial"/>
                <w:sz w:val="14"/>
                <w:szCs w:val="14"/>
                <w:color w:val="auto"/>
              </w:rPr>
              <w:t>Transition to Equity</w:t>
            </w:r>
          </w:p>
        </w:tc>
        <w:tc>
          <w:tcPr>
            <w:tcW w:w="40" w:type="dxa"/>
            <w:vAlign w:val="bottom"/>
          </w:tcPr>
          <w:p>
            <w:pPr>
              <w:spacing w:after="0"/>
              <w:rPr>
                <w:sz w:val="12"/>
                <w:szCs w:val="12"/>
                <w:color w:val="auto"/>
              </w:rPr>
            </w:pPr>
          </w:p>
        </w:tc>
        <w:tc>
          <w:tcPr>
            <w:tcW w:w="48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4"/>
                <w:szCs w:val="14"/>
                <w:color w:val="auto"/>
                <w:w w:val="98"/>
              </w:rPr>
              <w:t>apply the equity method of accounting as a result of an increase in the level of</w:t>
            </w:r>
          </w:p>
        </w:tc>
        <w:tc>
          <w:tcPr>
            <w:tcW w:w="1200" w:type="dxa"/>
            <w:vAlign w:val="bottom"/>
            <w:tcBorders>
              <w:right w:val="single" w:sz="8" w:color="auto"/>
            </w:tcBorders>
          </w:tcPr>
          <w:p>
            <w:pPr>
              <w:spacing w:after="0"/>
              <w:rPr>
                <w:sz w:val="12"/>
                <w:szCs w:val="12"/>
                <w:color w:val="auto"/>
              </w:rPr>
            </w:pPr>
          </w:p>
        </w:tc>
        <w:tc>
          <w:tcPr>
            <w:tcW w:w="3740" w:type="dxa"/>
            <w:vAlign w:val="bottom"/>
            <w:tcBorders>
              <w:right w:val="single" w:sz="8" w:color="auto"/>
            </w:tcBorders>
          </w:tcPr>
          <w:p>
            <w:pPr>
              <w:ind w:left="100"/>
              <w:spacing w:after="0" w:line="145" w:lineRule="exact"/>
              <w:rPr>
                <w:sz w:val="20"/>
                <w:szCs w:val="20"/>
                <w:color w:val="auto"/>
              </w:rPr>
            </w:pPr>
            <w:r>
              <w:rPr>
                <w:rFonts w:ascii="Arial" w:cs="Arial" w:eastAsia="Arial" w:hAnsi="Arial"/>
                <w:sz w:val="14"/>
                <w:szCs w:val="14"/>
                <w:color w:val="auto"/>
                <w:w w:val="98"/>
              </w:rPr>
              <w:t>on the Company’s consolidated financial position or results</w:t>
            </w:r>
          </w:p>
        </w:tc>
        <w:tc>
          <w:tcPr>
            <w:tcW w:w="0" w:type="dxa"/>
            <w:vAlign w:val="bottom"/>
          </w:tcPr>
          <w:p>
            <w:pPr>
              <w:spacing w:after="0"/>
              <w:rPr>
                <w:sz w:val="1"/>
                <w:szCs w:val="1"/>
                <w:color w:val="auto"/>
              </w:rPr>
            </w:pPr>
          </w:p>
        </w:tc>
      </w:tr>
      <w:tr>
        <w:trPr>
          <w:trHeight w:val="145"/>
        </w:trPr>
        <w:tc>
          <w:tcPr>
            <w:tcW w:w="1620" w:type="dxa"/>
            <w:vAlign w:val="bottom"/>
            <w:tcBorders>
              <w:left w:val="single" w:sz="8" w:color="auto"/>
              <w:right w:val="single" w:sz="8" w:color="auto"/>
            </w:tcBorders>
          </w:tcPr>
          <w:p>
            <w:pPr>
              <w:ind w:left="20"/>
              <w:spacing w:after="0" w:line="145" w:lineRule="exact"/>
              <w:rPr>
                <w:sz w:val="20"/>
                <w:szCs w:val="20"/>
                <w:color w:val="auto"/>
              </w:rPr>
            </w:pPr>
            <w:r>
              <w:rPr>
                <w:rFonts w:ascii="Arial" w:cs="Arial" w:eastAsia="Arial" w:hAnsi="Arial"/>
                <w:sz w:val="14"/>
                <w:szCs w:val="14"/>
                <w:color w:val="auto"/>
              </w:rPr>
              <w:t>Method of Accounting</w:t>
            </w:r>
          </w:p>
        </w:tc>
        <w:tc>
          <w:tcPr>
            <w:tcW w:w="40" w:type="dxa"/>
            <w:vAlign w:val="bottom"/>
          </w:tcPr>
          <w:p>
            <w:pPr>
              <w:spacing w:after="0"/>
              <w:rPr>
                <w:sz w:val="12"/>
                <w:szCs w:val="12"/>
                <w:color w:val="auto"/>
              </w:rPr>
            </w:pPr>
          </w:p>
        </w:tc>
        <w:tc>
          <w:tcPr>
            <w:tcW w:w="48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4"/>
                <w:szCs w:val="14"/>
                <w:color w:val="auto"/>
                <w:w w:val="93"/>
              </w:rPr>
              <w:t>ownership interest or degree of influence. The amended guidance instead requires</w:t>
            </w:r>
          </w:p>
        </w:tc>
        <w:tc>
          <w:tcPr>
            <w:tcW w:w="1200" w:type="dxa"/>
            <w:vAlign w:val="bottom"/>
            <w:tcBorders>
              <w:right w:val="single" w:sz="8" w:color="auto"/>
            </w:tcBorders>
          </w:tcPr>
          <w:p>
            <w:pPr>
              <w:spacing w:after="0"/>
              <w:rPr>
                <w:sz w:val="12"/>
                <w:szCs w:val="12"/>
                <w:color w:val="auto"/>
              </w:rPr>
            </w:pPr>
          </w:p>
        </w:tc>
        <w:tc>
          <w:tcPr>
            <w:tcW w:w="3740" w:type="dxa"/>
            <w:vAlign w:val="bottom"/>
            <w:tcBorders>
              <w:right w:val="single" w:sz="8" w:color="auto"/>
            </w:tcBorders>
          </w:tcPr>
          <w:p>
            <w:pPr>
              <w:ind w:left="100"/>
              <w:spacing w:after="0" w:line="145" w:lineRule="exact"/>
              <w:rPr>
                <w:sz w:val="20"/>
                <w:szCs w:val="20"/>
                <w:color w:val="auto"/>
              </w:rPr>
            </w:pPr>
            <w:r>
              <w:rPr>
                <w:rFonts w:ascii="Arial" w:cs="Arial" w:eastAsia="Arial" w:hAnsi="Arial"/>
                <w:sz w:val="14"/>
                <w:szCs w:val="14"/>
                <w:color w:val="auto"/>
              </w:rPr>
              <w:t>of operations.</w:t>
            </w:r>
          </w:p>
        </w:tc>
        <w:tc>
          <w:tcPr>
            <w:tcW w:w="0" w:type="dxa"/>
            <w:vAlign w:val="bottom"/>
          </w:tcPr>
          <w:p>
            <w:pPr>
              <w:spacing w:after="0"/>
              <w:rPr>
                <w:sz w:val="1"/>
                <w:szCs w:val="1"/>
                <w:color w:val="auto"/>
              </w:rPr>
            </w:pPr>
          </w:p>
        </w:tc>
      </w:tr>
      <w:tr>
        <w:trPr>
          <w:trHeight w:val="145"/>
        </w:trPr>
        <w:tc>
          <w:tcPr>
            <w:tcW w:w="1620" w:type="dxa"/>
            <w:vAlign w:val="bottom"/>
            <w:tcBorders>
              <w:left w:val="single" w:sz="8" w:color="auto"/>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8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4"/>
                <w:szCs w:val="14"/>
                <w:color w:val="auto"/>
                <w:w w:val="92"/>
              </w:rPr>
              <w:t>the investor to adopt the equity method of accounting as of the date the investment</w:t>
            </w:r>
          </w:p>
        </w:tc>
        <w:tc>
          <w:tcPr>
            <w:tcW w:w="1200" w:type="dxa"/>
            <w:vAlign w:val="bottom"/>
            <w:tcBorders>
              <w:right w:val="single" w:sz="8" w:color="auto"/>
            </w:tcBorders>
          </w:tcPr>
          <w:p>
            <w:pPr>
              <w:spacing w:after="0"/>
              <w:rPr>
                <w:sz w:val="12"/>
                <w:szCs w:val="12"/>
                <w:color w:val="auto"/>
              </w:rPr>
            </w:pPr>
          </w:p>
        </w:tc>
        <w:tc>
          <w:tcPr>
            <w:tcW w:w="37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1620" w:type="dxa"/>
            <w:vAlign w:val="bottom"/>
            <w:tcBorders>
              <w:left w:val="single" w:sz="8" w:color="auto"/>
              <w:bottom w:val="single" w:sz="8" w:color="auto"/>
              <w:right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first qualifies for such accounting.</w:t>
            </w:r>
          </w:p>
        </w:tc>
        <w:tc>
          <w:tcPr>
            <w:tcW w:w="1200" w:type="dxa"/>
            <w:vAlign w:val="bottom"/>
            <w:tcBorders>
              <w:bottom w:val="single" w:sz="8" w:color="auto"/>
              <w:right w:val="single" w:sz="8" w:color="auto"/>
            </w:tcBorders>
          </w:tcPr>
          <w:p>
            <w:pPr>
              <w:spacing w:after="0"/>
              <w:rPr>
                <w:sz w:val="14"/>
                <w:szCs w:val="14"/>
                <w:color w:val="auto"/>
              </w:rPr>
            </w:pPr>
          </w:p>
        </w:tc>
        <w:tc>
          <w:tcPr>
            <w:tcW w:w="37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1620" w:type="dxa"/>
            <w:vAlign w:val="bottom"/>
            <w:tcBorders>
              <w:left w:val="single" w:sz="8" w:color="auto"/>
              <w:right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Derivatives and Hedging</w:t>
            </w:r>
          </w:p>
        </w:tc>
        <w:tc>
          <w:tcPr>
            <w:tcW w:w="40" w:type="dxa"/>
            <w:vAlign w:val="bottom"/>
            <w:shd w:val="clear" w:color="auto" w:fill="CFF0FC"/>
          </w:tcPr>
          <w:p>
            <w:pPr>
              <w:spacing w:after="0"/>
              <w:rPr>
                <w:sz w:val="24"/>
                <w:szCs w:val="24"/>
                <w:color w:val="auto"/>
              </w:rPr>
            </w:pPr>
          </w:p>
        </w:tc>
        <w:tc>
          <w:tcPr>
            <w:tcW w:w="4820" w:type="dxa"/>
            <w:vAlign w:val="bottom"/>
            <w:tcBorders>
              <w:right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One amendment clarifies that a change in the counterparty to a derivative</w:t>
            </w:r>
          </w:p>
        </w:tc>
        <w:tc>
          <w:tcPr>
            <w:tcW w:w="1200" w:type="dxa"/>
            <w:vAlign w:val="bottom"/>
            <w:tcBorders>
              <w:right w:val="single" w:sz="8" w:color="auto"/>
            </w:tcBorders>
            <w:shd w:val="clear" w:color="auto" w:fill="CFF0FC"/>
          </w:tcPr>
          <w:p>
            <w:pPr>
              <w:ind w:left="80"/>
              <w:spacing w:after="0"/>
              <w:rPr>
                <w:sz w:val="20"/>
                <w:szCs w:val="20"/>
                <w:color w:val="auto"/>
              </w:rPr>
            </w:pPr>
            <w:r>
              <w:rPr>
                <w:rFonts w:ascii="Arial" w:cs="Arial" w:eastAsia="Arial" w:hAnsi="Arial"/>
                <w:sz w:val="14"/>
                <w:szCs w:val="14"/>
                <w:color w:val="auto"/>
              </w:rPr>
              <w:t>January 1, 2017</w:t>
            </w:r>
          </w:p>
        </w:tc>
        <w:tc>
          <w:tcPr>
            <w:tcW w:w="3740" w:type="dxa"/>
            <w:vAlign w:val="bottom"/>
            <w:tcBorders>
              <w:right w:val="single" w:sz="8" w:color="auto"/>
            </w:tcBorders>
            <w:shd w:val="clear" w:color="auto" w:fill="CFF0FC"/>
          </w:tcPr>
          <w:p>
            <w:pPr>
              <w:ind w:left="100"/>
              <w:spacing w:after="0"/>
              <w:rPr>
                <w:sz w:val="20"/>
                <w:szCs w:val="20"/>
                <w:color w:val="auto"/>
              </w:rPr>
            </w:pPr>
            <w:r>
              <w:rPr>
                <w:rFonts w:ascii="Arial" w:cs="Arial" w:eastAsia="Arial" w:hAnsi="Arial"/>
                <w:sz w:val="14"/>
                <w:szCs w:val="14"/>
                <w:color w:val="auto"/>
                <w:w w:val="97"/>
              </w:rPr>
              <w:t>The adoption of this guidance did not have a material effect</w:t>
            </w:r>
          </w:p>
        </w:tc>
        <w:tc>
          <w:tcPr>
            <w:tcW w:w="0" w:type="dxa"/>
            <w:vAlign w:val="bottom"/>
          </w:tcPr>
          <w:p>
            <w:pPr>
              <w:spacing w:after="0"/>
              <w:rPr>
                <w:sz w:val="1"/>
                <w:szCs w:val="1"/>
                <w:color w:val="auto"/>
              </w:rPr>
            </w:pPr>
          </w:p>
        </w:tc>
      </w:tr>
      <w:tr>
        <w:trPr>
          <w:trHeight w:val="145"/>
        </w:trPr>
        <w:tc>
          <w:tcPr>
            <w:tcW w:w="1620" w:type="dxa"/>
            <w:vAlign w:val="bottom"/>
            <w:tcBorders>
              <w:left w:val="single" w:sz="8" w:color="auto"/>
              <w:right w:val="single" w:sz="8" w:color="auto"/>
            </w:tcBorders>
            <w:shd w:val="clear" w:color="auto" w:fill="CFF0FC"/>
          </w:tcPr>
          <w:p>
            <w:pPr>
              <w:ind w:left="20"/>
              <w:spacing w:after="0" w:line="145" w:lineRule="exact"/>
              <w:rPr>
                <w:sz w:val="20"/>
                <w:szCs w:val="20"/>
                <w:color w:val="auto"/>
              </w:rPr>
            </w:pPr>
            <w:r>
              <w:rPr>
                <w:rFonts w:ascii="Arial" w:cs="Arial" w:eastAsia="Arial" w:hAnsi="Arial"/>
                <w:sz w:val="14"/>
                <w:szCs w:val="14"/>
                <w:color w:val="auto"/>
              </w:rPr>
              <w:t>Amendments</w:t>
            </w:r>
          </w:p>
        </w:tc>
        <w:tc>
          <w:tcPr>
            <w:tcW w:w="40" w:type="dxa"/>
            <w:vAlign w:val="bottom"/>
            <w:shd w:val="clear" w:color="auto" w:fill="CFF0FC"/>
          </w:tcPr>
          <w:p>
            <w:pPr>
              <w:spacing w:after="0"/>
              <w:rPr>
                <w:sz w:val="12"/>
                <w:szCs w:val="12"/>
                <w:color w:val="auto"/>
              </w:rPr>
            </w:pPr>
          </w:p>
        </w:tc>
        <w:tc>
          <w:tcPr>
            <w:tcW w:w="4820" w:type="dxa"/>
            <w:vAlign w:val="bottom"/>
            <w:tcBorders>
              <w:right w:val="single" w:sz="8" w:color="auto"/>
            </w:tcBorders>
            <w:shd w:val="clear" w:color="auto" w:fill="CFF0FC"/>
          </w:tcPr>
          <w:p>
            <w:pPr>
              <w:ind w:left="20"/>
              <w:spacing w:after="0" w:line="145" w:lineRule="exact"/>
              <w:rPr>
                <w:sz w:val="20"/>
                <w:szCs w:val="20"/>
                <w:color w:val="auto"/>
              </w:rPr>
            </w:pPr>
            <w:r>
              <w:rPr>
                <w:rFonts w:ascii="Arial" w:cs="Arial" w:eastAsia="Arial" w:hAnsi="Arial"/>
                <w:sz w:val="14"/>
                <w:szCs w:val="14"/>
                <w:color w:val="auto"/>
                <w:w w:val="93"/>
              </w:rPr>
              <w:t>instrument that has been designated as the hedging instrument does not, in and of</w:t>
            </w:r>
          </w:p>
        </w:tc>
        <w:tc>
          <w:tcPr>
            <w:tcW w:w="1200" w:type="dxa"/>
            <w:vAlign w:val="bottom"/>
            <w:tcBorders>
              <w:right w:val="single" w:sz="8" w:color="auto"/>
            </w:tcBorders>
            <w:shd w:val="clear" w:color="auto" w:fill="CFF0FC"/>
          </w:tcPr>
          <w:p>
            <w:pPr>
              <w:spacing w:after="0"/>
              <w:rPr>
                <w:sz w:val="12"/>
                <w:szCs w:val="12"/>
                <w:color w:val="auto"/>
              </w:rPr>
            </w:pPr>
          </w:p>
        </w:tc>
        <w:tc>
          <w:tcPr>
            <w:tcW w:w="3740" w:type="dxa"/>
            <w:vAlign w:val="bottom"/>
            <w:tcBorders>
              <w:right w:val="single" w:sz="8" w:color="auto"/>
            </w:tcBorders>
            <w:shd w:val="clear" w:color="auto" w:fill="CFF0FC"/>
          </w:tcPr>
          <w:p>
            <w:pPr>
              <w:ind w:left="100"/>
              <w:spacing w:after="0" w:line="145" w:lineRule="exact"/>
              <w:rPr>
                <w:sz w:val="20"/>
                <w:szCs w:val="20"/>
                <w:color w:val="auto"/>
              </w:rPr>
            </w:pPr>
            <w:r>
              <w:rPr>
                <w:rFonts w:ascii="Arial" w:cs="Arial" w:eastAsia="Arial" w:hAnsi="Arial"/>
                <w:sz w:val="14"/>
                <w:szCs w:val="14"/>
                <w:color w:val="auto"/>
                <w:w w:val="98"/>
              </w:rPr>
              <w:t>on the Company’s consolidated financial position or results</w:t>
            </w:r>
          </w:p>
        </w:tc>
        <w:tc>
          <w:tcPr>
            <w:tcW w:w="0" w:type="dxa"/>
            <w:vAlign w:val="bottom"/>
          </w:tcPr>
          <w:p>
            <w:pPr>
              <w:spacing w:after="0"/>
              <w:rPr>
                <w:sz w:val="1"/>
                <w:szCs w:val="1"/>
                <w:color w:val="auto"/>
              </w:rPr>
            </w:pPr>
          </w:p>
        </w:tc>
      </w:tr>
      <w:tr>
        <w:trPr>
          <w:trHeight w:val="145"/>
        </w:trPr>
        <w:tc>
          <w:tcPr>
            <w:tcW w:w="1620" w:type="dxa"/>
            <w:vAlign w:val="bottom"/>
            <w:tcBorders>
              <w:left w:val="single" w:sz="8" w:color="auto"/>
              <w:right w:val="single" w:sz="8" w:color="auto"/>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820" w:type="dxa"/>
            <w:vAlign w:val="bottom"/>
            <w:tcBorders>
              <w:right w:val="single" w:sz="8" w:color="auto"/>
            </w:tcBorders>
            <w:shd w:val="clear" w:color="auto" w:fill="CFF0FC"/>
          </w:tcPr>
          <w:p>
            <w:pPr>
              <w:ind w:left="20"/>
              <w:spacing w:after="0" w:line="145" w:lineRule="exact"/>
              <w:rPr>
                <w:sz w:val="20"/>
                <w:szCs w:val="20"/>
                <w:color w:val="auto"/>
              </w:rPr>
            </w:pPr>
            <w:r>
              <w:rPr>
                <w:rFonts w:ascii="Arial" w:cs="Arial" w:eastAsia="Arial" w:hAnsi="Arial"/>
                <w:sz w:val="14"/>
                <w:szCs w:val="14"/>
                <w:color w:val="auto"/>
                <w:w w:val="98"/>
              </w:rPr>
              <w:t>itself, require dedesignation of that hedging relationship provided that all other</w:t>
            </w:r>
          </w:p>
        </w:tc>
        <w:tc>
          <w:tcPr>
            <w:tcW w:w="1200" w:type="dxa"/>
            <w:vAlign w:val="bottom"/>
            <w:tcBorders>
              <w:right w:val="single" w:sz="8" w:color="auto"/>
            </w:tcBorders>
            <w:shd w:val="clear" w:color="auto" w:fill="CFF0FC"/>
          </w:tcPr>
          <w:p>
            <w:pPr>
              <w:spacing w:after="0"/>
              <w:rPr>
                <w:sz w:val="12"/>
                <w:szCs w:val="12"/>
                <w:color w:val="auto"/>
              </w:rPr>
            </w:pPr>
          </w:p>
        </w:tc>
        <w:tc>
          <w:tcPr>
            <w:tcW w:w="3740" w:type="dxa"/>
            <w:vAlign w:val="bottom"/>
            <w:tcBorders>
              <w:right w:val="single" w:sz="8" w:color="auto"/>
            </w:tcBorders>
            <w:shd w:val="clear" w:color="auto" w:fill="CFF0FC"/>
          </w:tcPr>
          <w:p>
            <w:pPr>
              <w:ind w:left="100"/>
              <w:spacing w:after="0" w:line="145" w:lineRule="exact"/>
              <w:rPr>
                <w:sz w:val="20"/>
                <w:szCs w:val="20"/>
                <w:color w:val="auto"/>
              </w:rPr>
            </w:pPr>
            <w:r>
              <w:rPr>
                <w:rFonts w:ascii="Arial" w:cs="Arial" w:eastAsia="Arial" w:hAnsi="Arial"/>
                <w:sz w:val="14"/>
                <w:szCs w:val="14"/>
                <w:color w:val="auto"/>
              </w:rPr>
              <w:t>of operations.</w:t>
            </w:r>
          </w:p>
        </w:tc>
        <w:tc>
          <w:tcPr>
            <w:tcW w:w="0" w:type="dxa"/>
            <w:vAlign w:val="bottom"/>
          </w:tcPr>
          <w:p>
            <w:pPr>
              <w:spacing w:after="0"/>
              <w:rPr>
                <w:sz w:val="1"/>
                <w:szCs w:val="1"/>
                <w:color w:val="auto"/>
              </w:rPr>
            </w:pPr>
          </w:p>
        </w:tc>
      </w:tr>
      <w:tr>
        <w:trPr>
          <w:trHeight w:val="145"/>
        </w:trPr>
        <w:tc>
          <w:tcPr>
            <w:tcW w:w="1620" w:type="dxa"/>
            <w:vAlign w:val="bottom"/>
            <w:tcBorders>
              <w:left w:val="single" w:sz="8" w:color="auto"/>
              <w:right w:val="single" w:sz="8" w:color="auto"/>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820" w:type="dxa"/>
            <w:vAlign w:val="bottom"/>
            <w:tcBorders>
              <w:right w:val="single" w:sz="8" w:color="auto"/>
            </w:tcBorders>
            <w:shd w:val="clear" w:color="auto" w:fill="CFF0FC"/>
          </w:tcPr>
          <w:p>
            <w:pPr>
              <w:ind w:left="20"/>
              <w:spacing w:after="0" w:line="145" w:lineRule="exact"/>
              <w:rPr>
                <w:sz w:val="20"/>
                <w:szCs w:val="20"/>
                <w:color w:val="auto"/>
              </w:rPr>
            </w:pPr>
            <w:r>
              <w:rPr>
                <w:rFonts w:ascii="Arial" w:cs="Arial" w:eastAsia="Arial" w:hAnsi="Arial"/>
                <w:sz w:val="14"/>
                <w:szCs w:val="14"/>
                <w:color w:val="auto"/>
              </w:rPr>
              <w:t>hedge accounting criteria continue to be met.</w:t>
            </w:r>
          </w:p>
        </w:tc>
        <w:tc>
          <w:tcPr>
            <w:tcW w:w="1200" w:type="dxa"/>
            <w:vAlign w:val="bottom"/>
            <w:tcBorders>
              <w:right w:val="single" w:sz="8" w:color="auto"/>
            </w:tcBorders>
            <w:shd w:val="clear" w:color="auto" w:fill="CFF0FC"/>
          </w:tcPr>
          <w:p>
            <w:pPr>
              <w:spacing w:after="0"/>
              <w:rPr>
                <w:sz w:val="12"/>
                <w:szCs w:val="12"/>
                <w:color w:val="auto"/>
              </w:rPr>
            </w:pPr>
          </w:p>
        </w:tc>
        <w:tc>
          <w:tcPr>
            <w:tcW w:w="374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20" w:type="dxa"/>
            <w:vAlign w:val="bottom"/>
            <w:tcBorders>
              <w:left w:val="single" w:sz="8" w:color="auto"/>
              <w:right w:val="single" w:sz="8" w:color="auto"/>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820" w:type="dxa"/>
            <w:vAlign w:val="bottom"/>
            <w:tcBorders>
              <w:right w:val="single" w:sz="8" w:color="auto"/>
            </w:tcBorders>
            <w:shd w:val="clear" w:color="auto" w:fill="CFF0FC"/>
          </w:tcPr>
          <w:p>
            <w:pPr>
              <w:ind w:left="20"/>
              <w:spacing w:after="0" w:line="145" w:lineRule="exact"/>
              <w:rPr>
                <w:sz w:val="20"/>
                <w:szCs w:val="20"/>
                <w:color w:val="auto"/>
              </w:rPr>
            </w:pPr>
            <w:r>
              <w:rPr>
                <w:rFonts w:ascii="Arial" w:cs="Arial" w:eastAsia="Arial" w:hAnsi="Arial"/>
                <w:sz w:val="14"/>
                <w:szCs w:val="14"/>
                <w:color w:val="auto"/>
                <w:w w:val="94"/>
              </w:rPr>
              <w:t>A second amendment clarifies the requirements for assessing whether contingent</w:t>
            </w:r>
          </w:p>
        </w:tc>
        <w:tc>
          <w:tcPr>
            <w:tcW w:w="1200" w:type="dxa"/>
            <w:vAlign w:val="bottom"/>
            <w:tcBorders>
              <w:right w:val="single" w:sz="8" w:color="auto"/>
            </w:tcBorders>
            <w:shd w:val="clear" w:color="auto" w:fill="CFF0FC"/>
          </w:tcPr>
          <w:p>
            <w:pPr>
              <w:spacing w:after="0"/>
              <w:rPr>
                <w:sz w:val="12"/>
                <w:szCs w:val="12"/>
                <w:color w:val="auto"/>
              </w:rPr>
            </w:pPr>
          </w:p>
        </w:tc>
        <w:tc>
          <w:tcPr>
            <w:tcW w:w="374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20" w:type="dxa"/>
            <w:vAlign w:val="bottom"/>
            <w:tcBorders>
              <w:left w:val="single" w:sz="8" w:color="auto"/>
              <w:right w:val="single" w:sz="8" w:color="auto"/>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820" w:type="dxa"/>
            <w:vAlign w:val="bottom"/>
            <w:tcBorders>
              <w:right w:val="single" w:sz="8" w:color="auto"/>
            </w:tcBorders>
            <w:shd w:val="clear" w:color="auto" w:fill="CFF0FC"/>
          </w:tcPr>
          <w:p>
            <w:pPr>
              <w:ind w:left="20"/>
              <w:spacing w:after="0" w:line="145" w:lineRule="exact"/>
              <w:rPr>
                <w:sz w:val="20"/>
                <w:szCs w:val="20"/>
                <w:color w:val="auto"/>
              </w:rPr>
            </w:pPr>
            <w:r>
              <w:rPr>
                <w:rFonts w:ascii="Arial" w:cs="Arial" w:eastAsia="Arial" w:hAnsi="Arial"/>
                <w:sz w:val="14"/>
                <w:szCs w:val="14"/>
                <w:color w:val="auto"/>
                <w:w w:val="94"/>
              </w:rPr>
              <w:t>call (put) options that can accelerate the payment of principal on debt instruments</w:t>
            </w:r>
          </w:p>
        </w:tc>
        <w:tc>
          <w:tcPr>
            <w:tcW w:w="1200" w:type="dxa"/>
            <w:vAlign w:val="bottom"/>
            <w:tcBorders>
              <w:right w:val="single" w:sz="8" w:color="auto"/>
            </w:tcBorders>
            <w:shd w:val="clear" w:color="auto" w:fill="CFF0FC"/>
          </w:tcPr>
          <w:p>
            <w:pPr>
              <w:spacing w:after="0"/>
              <w:rPr>
                <w:sz w:val="12"/>
                <w:szCs w:val="12"/>
                <w:color w:val="auto"/>
              </w:rPr>
            </w:pPr>
          </w:p>
        </w:tc>
        <w:tc>
          <w:tcPr>
            <w:tcW w:w="374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1620" w:type="dxa"/>
            <w:vAlign w:val="bottom"/>
            <w:tcBorders>
              <w:left w:val="single" w:sz="8" w:color="auto"/>
              <w:bottom w:val="single" w:sz="8" w:color="auto"/>
              <w:right w:val="single" w:sz="8" w:color="auto"/>
            </w:tcBorders>
            <w:shd w:val="clear" w:color="auto" w:fill="CFF0FC"/>
          </w:tcPr>
          <w:p>
            <w:pPr>
              <w:spacing w:after="0"/>
              <w:rPr>
                <w:sz w:val="14"/>
                <w:szCs w:val="14"/>
                <w:color w:val="auto"/>
              </w:rPr>
            </w:pPr>
          </w:p>
        </w:tc>
        <w:tc>
          <w:tcPr>
            <w:tcW w:w="40" w:type="dxa"/>
            <w:vAlign w:val="bottom"/>
            <w:tcBorders>
              <w:bottom w:val="single" w:sz="8" w:color="auto"/>
            </w:tcBorders>
            <w:shd w:val="clear" w:color="auto" w:fill="CFF0FC"/>
          </w:tcPr>
          <w:p>
            <w:pPr>
              <w:spacing w:after="0"/>
              <w:rPr>
                <w:sz w:val="14"/>
                <w:szCs w:val="14"/>
                <w:color w:val="auto"/>
              </w:rPr>
            </w:pPr>
          </w:p>
        </w:tc>
        <w:tc>
          <w:tcPr>
            <w:tcW w:w="4820" w:type="dxa"/>
            <w:vAlign w:val="bottom"/>
            <w:tcBorders>
              <w:bottom w:val="single" w:sz="8" w:color="auto"/>
              <w:right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are clearly and closely related to their debt hosts.</w:t>
            </w:r>
          </w:p>
        </w:tc>
        <w:tc>
          <w:tcPr>
            <w:tcW w:w="1200" w:type="dxa"/>
            <w:vAlign w:val="bottom"/>
            <w:tcBorders>
              <w:bottom w:val="single" w:sz="8" w:color="auto"/>
              <w:right w:val="single" w:sz="8" w:color="auto"/>
            </w:tcBorders>
            <w:shd w:val="clear" w:color="auto" w:fill="CFF0FC"/>
          </w:tcPr>
          <w:p>
            <w:pPr>
              <w:spacing w:after="0"/>
              <w:rPr>
                <w:sz w:val="14"/>
                <w:szCs w:val="14"/>
                <w:color w:val="auto"/>
              </w:rPr>
            </w:pPr>
          </w:p>
        </w:tc>
        <w:tc>
          <w:tcPr>
            <w:tcW w:w="3740" w:type="dxa"/>
            <w:vAlign w:val="bottom"/>
            <w:tcBorders>
              <w:bottom w:val="single" w:sz="8" w:color="auto"/>
              <w:right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16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Reclassification of</w:t>
            </w:r>
          </w:p>
        </w:tc>
        <w:tc>
          <w:tcPr>
            <w:tcW w:w="40" w:type="dxa"/>
            <w:vAlign w:val="bottom"/>
          </w:tcPr>
          <w:p>
            <w:pPr>
              <w:spacing w:after="0"/>
              <w:rPr>
                <w:sz w:val="24"/>
                <w:szCs w:val="24"/>
                <w:color w:val="auto"/>
              </w:rPr>
            </w:pPr>
          </w:p>
        </w:tc>
        <w:tc>
          <w:tcPr>
            <w:tcW w:w="48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The amended guidance allows a reclassification from accumulated other</w:t>
            </w:r>
          </w:p>
        </w:tc>
        <w:tc>
          <w:tcPr>
            <w:tcW w:w="120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January 1, 2018</w:t>
            </w:r>
          </w:p>
        </w:tc>
        <w:tc>
          <w:tcPr>
            <w:tcW w:w="374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The Company early adopted the amended guidance</w:t>
            </w:r>
          </w:p>
        </w:tc>
        <w:tc>
          <w:tcPr>
            <w:tcW w:w="0" w:type="dxa"/>
            <w:vAlign w:val="bottom"/>
          </w:tcPr>
          <w:p>
            <w:pPr>
              <w:spacing w:after="0"/>
              <w:rPr>
                <w:sz w:val="1"/>
                <w:szCs w:val="1"/>
                <w:color w:val="auto"/>
              </w:rPr>
            </w:pPr>
          </w:p>
        </w:tc>
      </w:tr>
      <w:tr>
        <w:trPr>
          <w:trHeight w:val="145"/>
        </w:trPr>
        <w:tc>
          <w:tcPr>
            <w:tcW w:w="1620" w:type="dxa"/>
            <w:vAlign w:val="bottom"/>
            <w:tcBorders>
              <w:left w:val="single" w:sz="8" w:color="auto"/>
              <w:right w:val="single" w:sz="8" w:color="auto"/>
            </w:tcBorders>
          </w:tcPr>
          <w:p>
            <w:pPr>
              <w:ind w:left="20"/>
              <w:spacing w:after="0" w:line="145" w:lineRule="exact"/>
              <w:rPr>
                <w:sz w:val="20"/>
                <w:szCs w:val="20"/>
                <w:color w:val="auto"/>
              </w:rPr>
            </w:pPr>
            <w:r>
              <w:rPr>
                <w:rFonts w:ascii="Arial" w:cs="Arial" w:eastAsia="Arial" w:hAnsi="Arial"/>
                <w:sz w:val="14"/>
                <w:szCs w:val="14"/>
                <w:color w:val="auto"/>
              </w:rPr>
              <w:t>Certain Tax Effects from</w:t>
            </w:r>
          </w:p>
        </w:tc>
        <w:tc>
          <w:tcPr>
            <w:tcW w:w="40" w:type="dxa"/>
            <w:vAlign w:val="bottom"/>
          </w:tcPr>
          <w:p>
            <w:pPr>
              <w:spacing w:after="0"/>
              <w:rPr>
                <w:sz w:val="12"/>
                <w:szCs w:val="12"/>
                <w:color w:val="auto"/>
              </w:rPr>
            </w:pPr>
          </w:p>
        </w:tc>
        <w:tc>
          <w:tcPr>
            <w:tcW w:w="48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4"/>
                <w:szCs w:val="14"/>
                <w:color w:val="auto"/>
                <w:w w:val="93"/>
              </w:rPr>
              <w:t>comprehensive income to retained earnings for stranded tax effects resulting from</w:t>
            </w:r>
          </w:p>
        </w:tc>
        <w:tc>
          <w:tcPr>
            <w:tcW w:w="1200" w:type="dxa"/>
            <w:vAlign w:val="bottom"/>
            <w:tcBorders>
              <w:right w:val="single" w:sz="8" w:color="auto"/>
            </w:tcBorders>
          </w:tcPr>
          <w:p>
            <w:pPr>
              <w:spacing w:after="0"/>
              <w:rPr>
                <w:sz w:val="12"/>
                <w:szCs w:val="12"/>
                <w:color w:val="auto"/>
              </w:rPr>
            </w:pPr>
          </w:p>
        </w:tc>
        <w:tc>
          <w:tcPr>
            <w:tcW w:w="3740" w:type="dxa"/>
            <w:vAlign w:val="bottom"/>
            <w:tcBorders>
              <w:right w:val="single" w:sz="8" w:color="auto"/>
            </w:tcBorders>
          </w:tcPr>
          <w:p>
            <w:pPr>
              <w:ind w:left="100"/>
              <w:spacing w:after="0" w:line="145" w:lineRule="exact"/>
              <w:rPr>
                <w:sz w:val="20"/>
                <w:szCs w:val="20"/>
                <w:color w:val="auto"/>
              </w:rPr>
            </w:pPr>
            <w:r>
              <w:rPr>
                <w:rFonts w:ascii="Arial" w:cs="Arial" w:eastAsia="Arial" w:hAnsi="Arial"/>
                <w:sz w:val="14"/>
                <w:szCs w:val="14"/>
                <w:color w:val="auto"/>
                <w:w w:val="97"/>
              </w:rPr>
              <w:t>following enactment of the Tax Act in 2017. The adoption of</w:t>
            </w:r>
          </w:p>
        </w:tc>
        <w:tc>
          <w:tcPr>
            <w:tcW w:w="0" w:type="dxa"/>
            <w:vAlign w:val="bottom"/>
          </w:tcPr>
          <w:p>
            <w:pPr>
              <w:spacing w:after="0"/>
              <w:rPr>
                <w:sz w:val="1"/>
                <w:szCs w:val="1"/>
                <w:color w:val="auto"/>
              </w:rPr>
            </w:pPr>
          </w:p>
        </w:tc>
      </w:tr>
      <w:tr>
        <w:trPr>
          <w:trHeight w:val="145"/>
        </w:trPr>
        <w:tc>
          <w:tcPr>
            <w:tcW w:w="1620" w:type="dxa"/>
            <w:vAlign w:val="bottom"/>
            <w:tcBorders>
              <w:left w:val="single" w:sz="8" w:color="auto"/>
              <w:right w:val="single" w:sz="8" w:color="auto"/>
            </w:tcBorders>
          </w:tcPr>
          <w:p>
            <w:pPr>
              <w:ind w:left="20"/>
              <w:spacing w:after="0" w:line="145" w:lineRule="exact"/>
              <w:rPr>
                <w:sz w:val="20"/>
                <w:szCs w:val="20"/>
                <w:color w:val="auto"/>
              </w:rPr>
            </w:pPr>
            <w:r>
              <w:rPr>
                <w:rFonts w:ascii="Arial" w:cs="Arial" w:eastAsia="Arial" w:hAnsi="Arial"/>
                <w:sz w:val="14"/>
                <w:szCs w:val="14"/>
                <w:color w:val="auto"/>
              </w:rPr>
              <w:t>Accumulated Other</w:t>
            </w:r>
          </w:p>
        </w:tc>
        <w:tc>
          <w:tcPr>
            <w:tcW w:w="40" w:type="dxa"/>
            <w:vAlign w:val="bottom"/>
          </w:tcPr>
          <w:p>
            <w:pPr>
              <w:spacing w:after="0"/>
              <w:rPr>
                <w:sz w:val="12"/>
                <w:szCs w:val="12"/>
                <w:color w:val="auto"/>
              </w:rPr>
            </w:pPr>
          </w:p>
        </w:tc>
        <w:tc>
          <w:tcPr>
            <w:tcW w:w="48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4"/>
                <w:szCs w:val="14"/>
                <w:color w:val="auto"/>
              </w:rPr>
              <w:t>the newly enacted federal corporate income tax rate. The amount of</w:t>
            </w:r>
          </w:p>
        </w:tc>
        <w:tc>
          <w:tcPr>
            <w:tcW w:w="1200" w:type="dxa"/>
            <w:vAlign w:val="bottom"/>
            <w:tcBorders>
              <w:right w:val="single" w:sz="8" w:color="auto"/>
            </w:tcBorders>
          </w:tcPr>
          <w:p>
            <w:pPr>
              <w:ind w:left="80"/>
              <w:spacing w:after="0" w:line="145" w:lineRule="exact"/>
              <w:rPr>
                <w:sz w:val="20"/>
                <w:szCs w:val="20"/>
                <w:color w:val="auto"/>
              </w:rPr>
            </w:pPr>
            <w:r>
              <w:rPr>
                <w:rFonts w:ascii="Arial" w:cs="Arial" w:eastAsia="Arial" w:hAnsi="Arial"/>
                <w:sz w:val="14"/>
                <w:szCs w:val="14"/>
                <w:color w:val="auto"/>
              </w:rPr>
              <w:t>Early adoption</w:t>
            </w:r>
          </w:p>
        </w:tc>
        <w:tc>
          <w:tcPr>
            <w:tcW w:w="3740" w:type="dxa"/>
            <w:vAlign w:val="bottom"/>
            <w:tcBorders>
              <w:right w:val="single" w:sz="8" w:color="auto"/>
            </w:tcBorders>
          </w:tcPr>
          <w:p>
            <w:pPr>
              <w:ind w:left="100"/>
              <w:spacing w:after="0" w:line="145" w:lineRule="exact"/>
              <w:rPr>
                <w:sz w:val="20"/>
                <w:szCs w:val="20"/>
                <w:color w:val="auto"/>
              </w:rPr>
            </w:pPr>
            <w:r>
              <w:rPr>
                <w:rFonts w:ascii="Arial" w:cs="Arial" w:eastAsia="Arial" w:hAnsi="Arial"/>
                <w:sz w:val="14"/>
                <w:szCs w:val="14"/>
                <w:color w:val="auto"/>
                <w:w w:val="99"/>
              </w:rPr>
              <w:t>this guidance resulted in a $64 million reclassification from</w:t>
            </w:r>
          </w:p>
        </w:tc>
        <w:tc>
          <w:tcPr>
            <w:tcW w:w="0" w:type="dxa"/>
            <w:vAlign w:val="bottom"/>
          </w:tcPr>
          <w:p>
            <w:pPr>
              <w:spacing w:after="0"/>
              <w:rPr>
                <w:sz w:val="1"/>
                <w:szCs w:val="1"/>
                <w:color w:val="auto"/>
              </w:rPr>
            </w:pPr>
          </w:p>
        </w:tc>
      </w:tr>
      <w:tr>
        <w:trPr>
          <w:trHeight w:val="145"/>
        </w:trPr>
        <w:tc>
          <w:tcPr>
            <w:tcW w:w="1620" w:type="dxa"/>
            <w:vAlign w:val="bottom"/>
            <w:tcBorders>
              <w:left w:val="single" w:sz="8" w:color="auto"/>
              <w:right w:val="single" w:sz="8" w:color="auto"/>
            </w:tcBorders>
          </w:tcPr>
          <w:p>
            <w:pPr>
              <w:ind w:left="20"/>
              <w:spacing w:after="0" w:line="145" w:lineRule="exact"/>
              <w:rPr>
                <w:sz w:val="20"/>
                <w:szCs w:val="20"/>
                <w:color w:val="auto"/>
              </w:rPr>
            </w:pPr>
            <w:r>
              <w:rPr>
                <w:rFonts w:ascii="Arial" w:cs="Arial" w:eastAsia="Arial" w:hAnsi="Arial"/>
                <w:sz w:val="14"/>
                <w:szCs w:val="14"/>
                <w:color w:val="auto"/>
              </w:rPr>
              <w:t>Comprehensive Income</w:t>
            </w:r>
          </w:p>
        </w:tc>
        <w:tc>
          <w:tcPr>
            <w:tcW w:w="40" w:type="dxa"/>
            <w:vAlign w:val="bottom"/>
          </w:tcPr>
          <w:p>
            <w:pPr>
              <w:spacing w:after="0"/>
              <w:rPr>
                <w:sz w:val="12"/>
                <w:szCs w:val="12"/>
                <w:color w:val="auto"/>
              </w:rPr>
            </w:pPr>
          </w:p>
        </w:tc>
        <w:tc>
          <w:tcPr>
            <w:tcW w:w="482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4"/>
                <w:szCs w:val="14"/>
                <w:color w:val="auto"/>
                <w:w w:val="96"/>
              </w:rPr>
              <w:t>reclassification would be the difference between the historical corporate income</w:t>
            </w:r>
          </w:p>
        </w:tc>
        <w:tc>
          <w:tcPr>
            <w:tcW w:w="1200" w:type="dxa"/>
            <w:vAlign w:val="bottom"/>
            <w:tcBorders>
              <w:right w:val="single" w:sz="8" w:color="auto"/>
            </w:tcBorders>
          </w:tcPr>
          <w:p>
            <w:pPr>
              <w:ind w:left="80"/>
              <w:spacing w:after="0" w:line="145" w:lineRule="exact"/>
              <w:rPr>
                <w:sz w:val="20"/>
                <w:szCs w:val="20"/>
                <w:color w:val="auto"/>
              </w:rPr>
            </w:pPr>
            <w:r>
              <w:rPr>
                <w:rFonts w:ascii="Arial" w:cs="Arial" w:eastAsia="Arial" w:hAnsi="Arial"/>
                <w:sz w:val="14"/>
                <w:szCs w:val="14"/>
                <w:color w:val="auto"/>
              </w:rPr>
              <w:t>permitted</w:t>
            </w:r>
          </w:p>
        </w:tc>
        <w:tc>
          <w:tcPr>
            <w:tcW w:w="3740" w:type="dxa"/>
            <w:vAlign w:val="bottom"/>
            <w:tcBorders>
              <w:right w:val="single" w:sz="8" w:color="auto"/>
            </w:tcBorders>
          </w:tcPr>
          <w:p>
            <w:pPr>
              <w:ind w:left="100"/>
              <w:spacing w:after="0" w:line="145" w:lineRule="exact"/>
              <w:rPr>
                <w:sz w:val="20"/>
                <w:szCs w:val="20"/>
                <w:color w:val="auto"/>
              </w:rPr>
            </w:pPr>
            <w:r>
              <w:rPr>
                <w:rFonts w:ascii="Arial" w:cs="Arial" w:eastAsia="Arial" w:hAnsi="Arial"/>
                <w:sz w:val="14"/>
                <w:szCs w:val="14"/>
                <w:color w:val="auto"/>
              </w:rPr>
              <w:t>AOCI to retained earnings.</w:t>
            </w:r>
          </w:p>
        </w:tc>
        <w:tc>
          <w:tcPr>
            <w:tcW w:w="0" w:type="dxa"/>
            <w:vAlign w:val="bottom"/>
          </w:tcPr>
          <w:p>
            <w:pPr>
              <w:spacing w:after="0"/>
              <w:rPr>
                <w:sz w:val="1"/>
                <w:szCs w:val="1"/>
                <w:color w:val="auto"/>
              </w:rPr>
            </w:pPr>
          </w:p>
        </w:tc>
      </w:tr>
      <w:tr>
        <w:trPr>
          <w:trHeight w:val="163"/>
        </w:trPr>
        <w:tc>
          <w:tcPr>
            <w:tcW w:w="1620" w:type="dxa"/>
            <w:vAlign w:val="bottom"/>
            <w:tcBorders>
              <w:left w:val="single" w:sz="8" w:color="auto"/>
              <w:bottom w:val="single" w:sz="8" w:color="auto"/>
              <w:right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tax and the new enacted 21 percent corporate income tax rate.</w:t>
            </w:r>
          </w:p>
        </w:tc>
        <w:tc>
          <w:tcPr>
            <w:tcW w:w="1200" w:type="dxa"/>
            <w:vAlign w:val="bottom"/>
            <w:tcBorders>
              <w:bottom w:val="single" w:sz="8" w:color="auto"/>
              <w:right w:val="single" w:sz="8" w:color="auto"/>
            </w:tcBorders>
          </w:tcPr>
          <w:p>
            <w:pPr>
              <w:spacing w:after="0"/>
              <w:rPr>
                <w:sz w:val="14"/>
                <w:szCs w:val="14"/>
                <w:color w:val="auto"/>
              </w:rPr>
            </w:pPr>
          </w:p>
        </w:tc>
        <w:tc>
          <w:tcPr>
            <w:tcW w:w="37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186" w:name="page187"/>
    <w:bookmarkEnd w:id="186"/>
    <w:tbl>
      <w:tblPr>
        <w:tblLayout w:type="fixed"/>
        <w:tblInd w:w="10" w:type="dxa"/>
        <w:tblCellMar>
          <w:top w:w="0" w:type="dxa"/>
          <w:left w:w="0" w:type="dxa"/>
          <w:bottom w:w="0" w:type="dxa"/>
          <w:right w:w="0" w:type="dxa"/>
        </w:tblCellMar>
      </w:tblPr>
      <w:tr>
        <w:trPr>
          <w:trHeight w:val="148"/>
        </w:trPr>
        <w:tc>
          <w:tcPr>
            <w:tcW w:w="1600" w:type="dxa"/>
            <w:vAlign w:val="bottom"/>
            <w:tcBorders>
              <w:top w:val="single" w:sz="8" w:color="auto"/>
              <w:left w:val="single" w:sz="8" w:color="auto"/>
              <w:right w:val="single" w:sz="8" w:color="auto"/>
            </w:tcBorders>
            <w:vMerge w:val="restart"/>
          </w:tcPr>
          <w:p>
            <w:pPr>
              <w:ind w:left="460"/>
              <w:spacing w:after="0"/>
              <w:rPr>
                <w:sz w:val="20"/>
                <w:szCs w:val="20"/>
                <w:color w:val="auto"/>
              </w:rPr>
            </w:pPr>
            <w:r>
              <w:rPr>
                <w:rFonts w:ascii="Arial" w:cs="Arial" w:eastAsia="Arial" w:hAnsi="Arial"/>
                <w:sz w:val="14"/>
                <w:szCs w:val="14"/>
                <w:b w:val="1"/>
                <w:bCs w:val="1"/>
                <w:color w:val="auto"/>
              </w:rPr>
              <w:t>Standard</w:t>
            </w:r>
          </w:p>
        </w:tc>
        <w:tc>
          <w:tcPr>
            <w:tcW w:w="4880" w:type="dxa"/>
            <w:vAlign w:val="bottom"/>
            <w:tcBorders>
              <w:top w:val="single" w:sz="8" w:color="auto"/>
              <w:right w:val="single" w:sz="8" w:color="auto"/>
            </w:tcBorders>
            <w:vMerge w:val="restart"/>
          </w:tcPr>
          <w:p>
            <w:pPr>
              <w:ind w:left="2060"/>
              <w:spacing w:after="0"/>
              <w:rPr>
                <w:sz w:val="20"/>
                <w:szCs w:val="20"/>
                <w:color w:val="auto"/>
              </w:rPr>
            </w:pPr>
            <w:r>
              <w:rPr>
                <w:rFonts w:ascii="Arial" w:cs="Arial" w:eastAsia="Arial" w:hAnsi="Arial"/>
                <w:sz w:val="14"/>
                <w:szCs w:val="14"/>
                <w:b w:val="1"/>
                <w:bCs w:val="1"/>
                <w:color w:val="auto"/>
              </w:rPr>
              <w:t>Description</w:t>
            </w:r>
          </w:p>
        </w:tc>
        <w:tc>
          <w:tcPr>
            <w:tcW w:w="1200" w:type="dxa"/>
            <w:vAlign w:val="bottom"/>
            <w:tcBorders>
              <w:top w:val="single" w:sz="8" w:color="auto"/>
              <w:right w:val="single" w:sz="8" w:color="auto"/>
            </w:tcBorders>
          </w:tcPr>
          <w:p>
            <w:pPr>
              <w:ind w:left="140"/>
              <w:spacing w:after="0" w:line="149" w:lineRule="exact"/>
              <w:rPr>
                <w:sz w:val="20"/>
                <w:szCs w:val="20"/>
                <w:color w:val="auto"/>
              </w:rPr>
            </w:pPr>
            <w:r>
              <w:rPr>
                <w:rFonts w:ascii="Arial" w:cs="Arial" w:eastAsia="Arial" w:hAnsi="Arial"/>
                <w:sz w:val="14"/>
                <w:szCs w:val="14"/>
                <w:b w:val="1"/>
                <w:bCs w:val="1"/>
                <w:color w:val="auto"/>
              </w:rPr>
              <w:t>Required date</w:t>
            </w:r>
          </w:p>
        </w:tc>
        <w:tc>
          <w:tcPr>
            <w:tcW w:w="3740" w:type="dxa"/>
            <w:vAlign w:val="bottom"/>
            <w:tcBorders>
              <w:top w:val="single" w:sz="8" w:color="auto"/>
              <w:right w:val="single" w:sz="8" w:color="auto"/>
            </w:tcBorders>
            <w:vMerge w:val="restart"/>
          </w:tcPr>
          <w:p>
            <w:pPr>
              <w:ind w:left="540"/>
              <w:spacing w:after="0"/>
              <w:rPr>
                <w:sz w:val="20"/>
                <w:szCs w:val="20"/>
                <w:color w:val="auto"/>
              </w:rPr>
            </w:pPr>
            <w:r>
              <w:rPr>
                <w:rFonts w:ascii="Arial" w:cs="Arial" w:eastAsia="Arial" w:hAnsi="Arial"/>
                <w:sz w:val="14"/>
                <w:szCs w:val="14"/>
                <w:b w:val="1"/>
                <w:bCs w:val="1"/>
                <w:color w:val="auto"/>
              </w:rPr>
              <w:t>Effect on consolidated financial statements</w:t>
            </w:r>
          </w:p>
        </w:tc>
        <w:tc>
          <w:tcPr>
            <w:tcW w:w="0" w:type="dxa"/>
            <w:vAlign w:val="bottom"/>
          </w:tcPr>
          <w:p>
            <w:pPr>
              <w:spacing w:after="0"/>
              <w:rPr>
                <w:sz w:val="1"/>
                <w:szCs w:val="1"/>
                <w:color w:val="auto"/>
              </w:rPr>
            </w:pPr>
          </w:p>
        </w:tc>
      </w:tr>
      <w:tr>
        <w:trPr>
          <w:trHeight w:val="167"/>
        </w:trPr>
        <w:tc>
          <w:tcPr>
            <w:tcW w:w="160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4880" w:type="dxa"/>
            <w:vAlign w:val="bottom"/>
            <w:tcBorders>
              <w:bottom w:val="single" w:sz="8" w:color="auto"/>
              <w:right w:val="single" w:sz="8" w:color="auto"/>
            </w:tcBorders>
            <w:vMerge w:val="continue"/>
          </w:tcPr>
          <w:p>
            <w:pPr>
              <w:spacing w:after="0"/>
              <w:rPr>
                <w:sz w:val="14"/>
                <w:szCs w:val="14"/>
                <w:color w:val="auto"/>
              </w:rPr>
            </w:pPr>
          </w:p>
        </w:tc>
        <w:tc>
          <w:tcPr>
            <w:tcW w:w="120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b w:val="1"/>
                <w:bCs w:val="1"/>
                <w:color w:val="auto"/>
              </w:rPr>
              <w:t>of adoption</w:t>
            </w:r>
          </w:p>
        </w:tc>
        <w:tc>
          <w:tcPr>
            <w:tcW w:w="37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6480" w:type="dxa"/>
            <w:vAlign w:val="bottom"/>
            <w:tcBorders>
              <w:left w:val="single" w:sz="8" w:color="auto"/>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Standards Not Yet Adopted as of December 31, 2017</w:t>
            </w:r>
          </w:p>
        </w:tc>
        <w:tc>
          <w:tcPr>
            <w:tcW w:w="1200" w:type="dxa"/>
            <w:vAlign w:val="bottom"/>
            <w:tcBorders>
              <w:bottom w:val="single" w:sz="8" w:color="auto"/>
            </w:tcBorders>
          </w:tcPr>
          <w:p>
            <w:pPr>
              <w:spacing w:after="0"/>
              <w:rPr>
                <w:sz w:val="14"/>
                <w:szCs w:val="14"/>
                <w:color w:val="auto"/>
              </w:rPr>
            </w:pPr>
          </w:p>
        </w:tc>
        <w:tc>
          <w:tcPr>
            <w:tcW w:w="37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1600" w:type="dxa"/>
            <w:vAlign w:val="bottom"/>
            <w:tcBorders>
              <w:left w:val="single" w:sz="8" w:color="auto"/>
              <w:right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Revenue from Contracts</w:t>
            </w:r>
          </w:p>
        </w:tc>
        <w:tc>
          <w:tcPr>
            <w:tcW w:w="4880" w:type="dxa"/>
            <w:vAlign w:val="bottom"/>
            <w:tcBorders>
              <w:right w:val="single" w:sz="8" w:color="auto"/>
            </w:tcBorders>
            <w:shd w:val="clear" w:color="auto" w:fill="CFF0FC"/>
          </w:tcPr>
          <w:p>
            <w:pPr>
              <w:ind w:left="80"/>
              <w:spacing w:after="0"/>
              <w:rPr>
                <w:sz w:val="20"/>
                <w:szCs w:val="20"/>
                <w:color w:val="auto"/>
              </w:rPr>
            </w:pPr>
            <w:r>
              <w:rPr>
                <w:rFonts w:ascii="Arial" w:cs="Arial" w:eastAsia="Arial" w:hAnsi="Arial"/>
                <w:sz w:val="14"/>
                <w:szCs w:val="14"/>
                <w:color w:val="auto"/>
                <w:w w:val="97"/>
              </w:rPr>
              <w:t>The core principle of the accounting guidance is that an entity should recognize</w:t>
            </w:r>
          </w:p>
        </w:tc>
        <w:tc>
          <w:tcPr>
            <w:tcW w:w="1200" w:type="dxa"/>
            <w:vAlign w:val="bottom"/>
            <w:tcBorders>
              <w:right w:val="single" w:sz="8" w:color="auto"/>
            </w:tcBorders>
            <w:vMerge w:val="restart"/>
            <w:shd w:val="clear" w:color="auto" w:fill="CFF0FC"/>
          </w:tcPr>
          <w:p>
            <w:pPr>
              <w:ind w:left="80"/>
              <w:spacing w:after="0"/>
              <w:rPr>
                <w:sz w:val="20"/>
                <w:szCs w:val="20"/>
                <w:color w:val="auto"/>
              </w:rPr>
            </w:pPr>
            <w:r>
              <w:rPr>
                <w:rFonts w:ascii="Arial" w:cs="Arial" w:eastAsia="Arial" w:hAnsi="Arial"/>
                <w:sz w:val="14"/>
                <w:szCs w:val="14"/>
                <w:color w:val="auto"/>
              </w:rPr>
              <w:t>January 1, 2018</w:t>
            </w:r>
          </w:p>
        </w:tc>
        <w:tc>
          <w:tcPr>
            <w:tcW w:w="3740" w:type="dxa"/>
            <w:vAlign w:val="bottom"/>
            <w:tcBorders>
              <w:right w:val="single" w:sz="8" w:color="auto"/>
            </w:tcBorders>
            <w:shd w:val="clear" w:color="auto" w:fill="CFF0FC"/>
          </w:tcPr>
          <w:p>
            <w:pPr>
              <w:ind w:left="100"/>
              <w:spacing w:after="0"/>
              <w:rPr>
                <w:sz w:val="20"/>
                <w:szCs w:val="20"/>
                <w:color w:val="auto"/>
              </w:rPr>
            </w:pPr>
            <w:r>
              <w:rPr>
                <w:rFonts w:ascii="Arial" w:cs="Arial" w:eastAsia="Arial" w:hAnsi="Arial"/>
                <w:sz w:val="14"/>
                <w:szCs w:val="14"/>
                <w:color w:val="auto"/>
              </w:rPr>
              <w:t>The Company adopted the revenue recognition guidance</w:t>
            </w:r>
          </w:p>
        </w:tc>
        <w:tc>
          <w:tcPr>
            <w:tcW w:w="0" w:type="dxa"/>
            <w:vAlign w:val="bottom"/>
          </w:tcPr>
          <w:p>
            <w:pPr>
              <w:spacing w:after="0"/>
              <w:rPr>
                <w:sz w:val="1"/>
                <w:szCs w:val="1"/>
                <w:color w:val="auto"/>
              </w:rPr>
            </w:pPr>
          </w:p>
        </w:tc>
      </w:tr>
      <w:tr>
        <w:trPr>
          <w:trHeight w:val="113"/>
        </w:trPr>
        <w:tc>
          <w:tcPr>
            <w:tcW w:w="1600" w:type="dxa"/>
            <w:vAlign w:val="bottom"/>
            <w:tcBorders>
              <w:left w:val="single" w:sz="8" w:color="auto"/>
              <w:right w:val="single" w:sz="8" w:color="auto"/>
            </w:tcBorders>
            <w:vMerge w:val="restart"/>
            <w:shd w:val="clear" w:color="auto" w:fill="CFF0FC"/>
          </w:tcPr>
          <w:p>
            <w:pPr>
              <w:ind w:left="20"/>
              <w:spacing w:after="0" w:line="145" w:lineRule="exact"/>
              <w:rPr>
                <w:sz w:val="20"/>
                <w:szCs w:val="20"/>
                <w:color w:val="auto"/>
              </w:rPr>
            </w:pPr>
            <w:r>
              <w:rPr>
                <w:rFonts w:ascii="Arial" w:cs="Arial" w:eastAsia="Arial" w:hAnsi="Arial"/>
                <w:sz w:val="14"/>
                <w:szCs w:val="14"/>
                <w:color w:val="auto"/>
              </w:rPr>
              <w:t>with Customers</w:t>
            </w:r>
          </w:p>
        </w:tc>
        <w:tc>
          <w:tcPr>
            <w:tcW w:w="4880" w:type="dxa"/>
            <w:vAlign w:val="bottom"/>
            <w:tcBorders>
              <w:right w:val="single" w:sz="8" w:color="auto"/>
            </w:tcBorders>
            <w:vMerge w:val="restart"/>
            <w:shd w:val="clear" w:color="auto" w:fill="CFF0FC"/>
          </w:tcPr>
          <w:p>
            <w:pPr>
              <w:ind w:left="80"/>
              <w:spacing w:after="0" w:line="145" w:lineRule="exact"/>
              <w:rPr>
                <w:sz w:val="20"/>
                <w:szCs w:val="20"/>
                <w:color w:val="auto"/>
              </w:rPr>
            </w:pPr>
            <w:r>
              <w:rPr>
                <w:rFonts w:ascii="Arial" w:cs="Arial" w:eastAsia="Arial" w:hAnsi="Arial"/>
                <w:sz w:val="14"/>
                <w:szCs w:val="14"/>
                <w:color w:val="auto"/>
                <w:w w:val="96"/>
              </w:rPr>
              <w:t>revenue to depict the transfer of promised goods or services to customers in an</w:t>
            </w:r>
          </w:p>
        </w:tc>
        <w:tc>
          <w:tcPr>
            <w:tcW w:w="1200" w:type="dxa"/>
            <w:vAlign w:val="bottom"/>
            <w:tcBorders>
              <w:right w:val="single" w:sz="8" w:color="auto"/>
            </w:tcBorders>
            <w:vMerge w:val="continue"/>
            <w:shd w:val="clear" w:color="auto" w:fill="CFF0FC"/>
          </w:tcPr>
          <w:p>
            <w:pPr>
              <w:spacing w:after="0"/>
              <w:rPr>
                <w:sz w:val="9"/>
                <w:szCs w:val="9"/>
                <w:color w:val="auto"/>
              </w:rPr>
            </w:pPr>
          </w:p>
        </w:tc>
        <w:tc>
          <w:tcPr>
            <w:tcW w:w="3740" w:type="dxa"/>
            <w:vAlign w:val="bottom"/>
            <w:tcBorders>
              <w:right w:val="single" w:sz="8" w:color="auto"/>
            </w:tcBorders>
            <w:vMerge w:val="restart"/>
            <w:shd w:val="clear" w:color="auto" w:fill="CFF0FC"/>
          </w:tcPr>
          <w:p>
            <w:pPr>
              <w:ind w:left="100"/>
              <w:spacing w:after="0" w:line="145" w:lineRule="exact"/>
              <w:rPr>
                <w:sz w:val="20"/>
                <w:szCs w:val="20"/>
                <w:color w:val="auto"/>
              </w:rPr>
            </w:pPr>
            <w:r>
              <w:rPr>
                <w:rFonts w:ascii="Arial" w:cs="Arial" w:eastAsia="Arial" w:hAnsi="Arial"/>
                <w:sz w:val="14"/>
                <w:szCs w:val="14"/>
                <w:color w:val="auto"/>
                <w:w w:val="96"/>
              </w:rPr>
              <w:t>effective January 1, 2018, and expects to apply the modified</w:t>
            </w:r>
          </w:p>
        </w:tc>
        <w:tc>
          <w:tcPr>
            <w:tcW w:w="0" w:type="dxa"/>
            <w:vAlign w:val="bottom"/>
          </w:tcPr>
          <w:p>
            <w:pPr>
              <w:spacing w:after="0"/>
              <w:rPr>
                <w:sz w:val="1"/>
                <w:szCs w:val="1"/>
                <w:color w:val="auto"/>
              </w:rPr>
            </w:pPr>
          </w:p>
        </w:tc>
      </w:tr>
      <w:tr>
        <w:trPr>
          <w:trHeight w:val="31"/>
        </w:trPr>
        <w:tc>
          <w:tcPr>
            <w:tcW w:w="1600" w:type="dxa"/>
            <w:vAlign w:val="bottom"/>
            <w:tcBorders>
              <w:left w:val="single" w:sz="8" w:color="auto"/>
              <w:right w:val="single" w:sz="8" w:color="auto"/>
            </w:tcBorders>
            <w:vMerge w:val="continue"/>
            <w:shd w:val="clear" w:color="auto" w:fill="CFF0FC"/>
          </w:tcPr>
          <w:p>
            <w:pPr>
              <w:spacing w:after="0"/>
              <w:rPr>
                <w:sz w:val="2"/>
                <w:szCs w:val="2"/>
                <w:color w:val="auto"/>
              </w:rPr>
            </w:pPr>
          </w:p>
        </w:tc>
        <w:tc>
          <w:tcPr>
            <w:tcW w:w="4880" w:type="dxa"/>
            <w:vAlign w:val="bottom"/>
            <w:tcBorders>
              <w:right w:val="single" w:sz="8" w:color="auto"/>
            </w:tcBorders>
            <w:vMerge w:val="continue"/>
            <w:shd w:val="clear" w:color="auto" w:fill="CFF0FC"/>
          </w:tcPr>
          <w:p>
            <w:pPr>
              <w:spacing w:after="0"/>
              <w:rPr>
                <w:sz w:val="2"/>
                <w:szCs w:val="2"/>
                <w:color w:val="auto"/>
              </w:rPr>
            </w:pPr>
          </w:p>
        </w:tc>
        <w:tc>
          <w:tcPr>
            <w:tcW w:w="1200" w:type="dxa"/>
            <w:vAlign w:val="bottom"/>
            <w:tcBorders>
              <w:right w:val="single" w:sz="8" w:color="auto"/>
            </w:tcBorders>
            <w:shd w:val="clear" w:color="auto" w:fill="CFF0FC"/>
          </w:tcPr>
          <w:p>
            <w:pPr>
              <w:spacing w:after="0"/>
              <w:rPr>
                <w:sz w:val="2"/>
                <w:szCs w:val="2"/>
                <w:color w:val="auto"/>
              </w:rPr>
            </w:pPr>
          </w:p>
        </w:tc>
        <w:tc>
          <w:tcPr>
            <w:tcW w:w="3740" w:type="dxa"/>
            <w:vAlign w:val="bottom"/>
            <w:tcBorders>
              <w:right w:val="single" w:sz="8" w:color="auto"/>
            </w:tcBorders>
            <w:vMerge w:val="continue"/>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1600" w:type="dxa"/>
            <w:vAlign w:val="bottom"/>
            <w:tcBorders>
              <w:left w:val="single" w:sz="8" w:color="auto"/>
              <w:right w:val="single" w:sz="8" w:color="auto"/>
            </w:tcBorders>
            <w:shd w:val="clear" w:color="auto" w:fill="CFF0FC"/>
          </w:tcPr>
          <w:p>
            <w:pPr>
              <w:spacing w:after="0"/>
              <w:rPr>
                <w:sz w:val="12"/>
                <w:szCs w:val="12"/>
                <w:color w:val="auto"/>
              </w:rPr>
            </w:pPr>
          </w:p>
        </w:tc>
        <w:tc>
          <w:tcPr>
            <w:tcW w:w="4880" w:type="dxa"/>
            <w:vAlign w:val="bottom"/>
            <w:tcBorders>
              <w:right w:val="single" w:sz="8" w:color="auto"/>
            </w:tcBorders>
            <w:shd w:val="clear" w:color="auto" w:fill="CFF0FC"/>
          </w:tcPr>
          <w:p>
            <w:pPr>
              <w:ind w:left="80"/>
              <w:spacing w:after="0" w:line="145" w:lineRule="exact"/>
              <w:rPr>
                <w:sz w:val="20"/>
                <w:szCs w:val="20"/>
                <w:color w:val="auto"/>
              </w:rPr>
            </w:pPr>
            <w:r>
              <w:rPr>
                <w:rFonts w:ascii="Arial" w:cs="Arial" w:eastAsia="Arial" w:hAnsi="Arial"/>
                <w:sz w:val="14"/>
                <w:szCs w:val="14"/>
                <w:color w:val="auto"/>
                <w:w w:val="95"/>
              </w:rPr>
              <w:t>amount that reflects the consideration to which the entity expects to be entitled in</w:t>
            </w:r>
          </w:p>
        </w:tc>
        <w:tc>
          <w:tcPr>
            <w:tcW w:w="1200" w:type="dxa"/>
            <w:vAlign w:val="bottom"/>
            <w:tcBorders>
              <w:right w:val="single" w:sz="8" w:color="auto"/>
            </w:tcBorders>
            <w:shd w:val="clear" w:color="auto" w:fill="CFF0FC"/>
          </w:tcPr>
          <w:p>
            <w:pPr>
              <w:spacing w:after="0"/>
              <w:rPr>
                <w:sz w:val="12"/>
                <w:szCs w:val="12"/>
                <w:color w:val="auto"/>
              </w:rPr>
            </w:pPr>
          </w:p>
        </w:tc>
        <w:tc>
          <w:tcPr>
            <w:tcW w:w="3740" w:type="dxa"/>
            <w:vAlign w:val="bottom"/>
            <w:tcBorders>
              <w:right w:val="single" w:sz="8" w:color="auto"/>
            </w:tcBorders>
            <w:shd w:val="clear" w:color="auto" w:fill="CFF0FC"/>
          </w:tcPr>
          <w:p>
            <w:pPr>
              <w:ind w:left="100"/>
              <w:spacing w:after="0" w:line="145" w:lineRule="exact"/>
              <w:rPr>
                <w:sz w:val="20"/>
                <w:szCs w:val="20"/>
                <w:color w:val="auto"/>
              </w:rPr>
            </w:pPr>
            <w:r>
              <w:rPr>
                <w:rFonts w:ascii="Arial" w:cs="Arial" w:eastAsia="Arial" w:hAnsi="Arial"/>
                <w:sz w:val="14"/>
                <w:szCs w:val="14"/>
                <w:color w:val="auto"/>
                <w:w w:val="98"/>
              </w:rPr>
              <w:t>retrospective approach for reporting purposes. A significant</w:t>
            </w:r>
          </w:p>
        </w:tc>
        <w:tc>
          <w:tcPr>
            <w:tcW w:w="0" w:type="dxa"/>
            <w:vAlign w:val="bottom"/>
          </w:tcPr>
          <w:p>
            <w:pPr>
              <w:spacing w:after="0"/>
              <w:rPr>
                <w:sz w:val="1"/>
                <w:szCs w:val="1"/>
                <w:color w:val="auto"/>
              </w:rPr>
            </w:pPr>
          </w:p>
        </w:tc>
      </w:tr>
      <w:tr>
        <w:trPr>
          <w:trHeight w:val="145"/>
        </w:trPr>
        <w:tc>
          <w:tcPr>
            <w:tcW w:w="1600" w:type="dxa"/>
            <w:vAlign w:val="bottom"/>
            <w:tcBorders>
              <w:left w:val="single" w:sz="8" w:color="auto"/>
              <w:right w:val="single" w:sz="8" w:color="auto"/>
            </w:tcBorders>
            <w:shd w:val="clear" w:color="auto" w:fill="CFF0FC"/>
          </w:tcPr>
          <w:p>
            <w:pPr>
              <w:spacing w:after="0"/>
              <w:rPr>
                <w:sz w:val="12"/>
                <w:szCs w:val="12"/>
                <w:color w:val="auto"/>
              </w:rPr>
            </w:pPr>
          </w:p>
        </w:tc>
        <w:tc>
          <w:tcPr>
            <w:tcW w:w="4880" w:type="dxa"/>
            <w:vAlign w:val="bottom"/>
            <w:tcBorders>
              <w:right w:val="single" w:sz="8" w:color="auto"/>
            </w:tcBorders>
            <w:shd w:val="clear" w:color="auto" w:fill="CFF0FC"/>
          </w:tcPr>
          <w:p>
            <w:pPr>
              <w:ind w:left="80"/>
              <w:spacing w:after="0" w:line="145" w:lineRule="exact"/>
              <w:rPr>
                <w:sz w:val="20"/>
                <w:szCs w:val="20"/>
                <w:color w:val="auto"/>
              </w:rPr>
            </w:pPr>
            <w:r>
              <w:rPr>
                <w:rFonts w:ascii="Arial" w:cs="Arial" w:eastAsia="Arial" w:hAnsi="Arial"/>
                <w:sz w:val="14"/>
                <w:szCs w:val="14"/>
                <w:color w:val="auto"/>
              </w:rPr>
              <w:t>exchange for those goods or services.</w:t>
            </w:r>
          </w:p>
        </w:tc>
        <w:tc>
          <w:tcPr>
            <w:tcW w:w="1200" w:type="dxa"/>
            <w:vAlign w:val="bottom"/>
            <w:tcBorders>
              <w:right w:val="single" w:sz="8" w:color="auto"/>
            </w:tcBorders>
            <w:shd w:val="clear" w:color="auto" w:fill="CFF0FC"/>
          </w:tcPr>
          <w:p>
            <w:pPr>
              <w:spacing w:after="0"/>
              <w:rPr>
                <w:sz w:val="12"/>
                <w:szCs w:val="12"/>
                <w:color w:val="auto"/>
              </w:rPr>
            </w:pPr>
          </w:p>
        </w:tc>
        <w:tc>
          <w:tcPr>
            <w:tcW w:w="3740" w:type="dxa"/>
            <w:vAlign w:val="bottom"/>
            <w:tcBorders>
              <w:right w:val="single" w:sz="8" w:color="auto"/>
            </w:tcBorders>
            <w:shd w:val="clear" w:color="auto" w:fill="CFF0FC"/>
          </w:tcPr>
          <w:p>
            <w:pPr>
              <w:ind w:left="100"/>
              <w:spacing w:after="0" w:line="145" w:lineRule="exact"/>
              <w:rPr>
                <w:sz w:val="20"/>
                <w:szCs w:val="20"/>
                <w:color w:val="auto"/>
              </w:rPr>
            </w:pPr>
            <w:r>
              <w:rPr>
                <w:rFonts w:ascii="Arial" w:cs="Arial" w:eastAsia="Arial" w:hAnsi="Arial"/>
                <w:sz w:val="14"/>
                <w:szCs w:val="14"/>
                <w:color w:val="auto"/>
              </w:rPr>
              <w:t>amount of the Company’s revenues are derived from net</w:t>
            </w:r>
          </w:p>
        </w:tc>
        <w:tc>
          <w:tcPr>
            <w:tcW w:w="0" w:type="dxa"/>
            <w:vAlign w:val="bottom"/>
          </w:tcPr>
          <w:p>
            <w:pPr>
              <w:spacing w:after="0"/>
              <w:rPr>
                <w:sz w:val="1"/>
                <w:szCs w:val="1"/>
                <w:color w:val="auto"/>
              </w:rPr>
            </w:pPr>
          </w:p>
        </w:tc>
      </w:tr>
      <w:tr>
        <w:trPr>
          <w:trHeight w:val="145"/>
        </w:trPr>
        <w:tc>
          <w:tcPr>
            <w:tcW w:w="1600" w:type="dxa"/>
            <w:vAlign w:val="bottom"/>
            <w:tcBorders>
              <w:left w:val="single" w:sz="8" w:color="auto"/>
              <w:right w:val="single" w:sz="8" w:color="auto"/>
            </w:tcBorders>
            <w:shd w:val="clear" w:color="auto" w:fill="CFF0FC"/>
          </w:tcPr>
          <w:p>
            <w:pPr>
              <w:spacing w:after="0"/>
              <w:rPr>
                <w:sz w:val="12"/>
                <w:szCs w:val="12"/>
                <w:color w:val="auto"/>
              </w:rPr>
            </w:pPr>
          </w:p>
        </w:tc>
        <w:tc>
          <w:tcPr>
            <w:tcW w:w="4880" w:type="dxa"/>
            <w:vAlign w:val="bottom"/>
            <w:tcBorders>
              <w:right w:val="single" w:sz="8" w:color="auto"/>
            </w:tcBorders>
            <w:shd w:val="clear" w:color="auto" w:fill="CFF0FC"/>
          </w:tcPr>
          <w:p>
            <w:pPr>
              <w:spacing w:after="0"/>
              <w:rPr>
                <w:sz w:val="12"/>
                <w:szCs w:val="12"/>
                <w:color w:val="auto"/>
              </w:rPr>
            </w:pPr>
          </w:p>
        </w:tc>
        <w:tc>
          <w:tcPr>
            <w:tcW w:w="1200" w:type="dxa"/>
            <w:vAlign w:val="bottom"/>
            <w:tcBorders>
              <w:right w:val="single" w:sz="8" w:color="auto"/>
            </w:tcBorders>
            <w:shd w:val="clear" w:color="auto" w:fill="CFF0FC"/>
          </w:tcPr>
          <w:p>
            <w:pPr>
              <w:spacing w:after="0"/>
              <w:rPr>
                <w:sz w:val="12"/>
                <w:szCs w:val="12"/>
                <w:color w:val="auto"/>
              </w:rPr>
            </w:pPr>
          </w:p>
        </w:tc>
        <w:tc>
          <w:tcPr>
            <w:tcW w:w="3740" w:type="dxa"/>
            <w:vAlign w:val="bottom"/>
            <w:tcBorders>
              <w:right w:val="single" w:sz="8" w:color="auto"/>
            </w:tcBorders>
            <w:shd w:val="clear" w:color="auto" w:fill="CFF0FC"/>
          </w:tcPr>
          <w:p>
            <w:pPr>
              <w:ind w:left="100"/>
              <w:spacing w:after="0" w:line="145" w:lineRule="exact"/>
              <w:rPr>
                <w:sz w:val="20"/>
                <w:szCs w:val="20"/>
                <w:color w:val="auto"/>
              </w:rPr>
            </w:pPr>
            <w:r>
              <w:rPr>
                <w:rFonts w:ascii="Arial" w:cs="Arial" w:eastAsia="Arial" w:hAnsi="Arial"/>
                <w:sz w:val="14"/>
                <w:szCs w:val="14"/>
                <w:color w:val="auto"/>
                <w:w w:val="98"/>
              </w:rPr>
              <w:t>interest income on financial assets and liabilities, which are</w:t>
            </w:r>
          </w:p>
        </w:tc>
        <w:tc>
          <w:tcPr>
            <w:tcW w:w="0" w:type="dxa"/>
            <w:vAlign w:val="bottom"/>
          </w:tcPr>
          <w:p>
            <w:pPr>
              <w:spacing w:after="0"/>
              <w:rPr>
                <w:sz w:val="1"/>
                <w:szCs w:val="1"/>
                <w:color w:val="auto"/>
              </w:rPr>
            </w:pPr>
          </w:p>
        </w:tc>
      </w:tr>
      <w:tr>
        <w:trPr>
          <w:trHeight w:val="145"/>
        </w:trPr>
        <w:tc>
          <w:tcPr>
            <w:tcW w:w="1600" w:type="dxa"/>
            <w:vAlign w:val="bottom"/>
            <w:tcBorders>
              <w:left w:val="single" w:sz="8" w:color="auto"/>
              <w:right w:val="single" w:sz="8" w:color="auto"/>
            </w:tcBorders>
            <w:shd w:val="clear" w:color="auto" w:fill="CFF0FC"/>
          </w:tcPr>
          <w:p>
            <w:pPr>
              <w:spacing w:after="0"/>
              <w:rPr>
                <w:sz w:val="12"/>
                <w:szCs w:val="12"/>
                <w:color w:val="auto"/>
              </w:rPr>
            </w:pPr>
          </w:p>
        </w:tc>
        <w:tc>
          <w:tcPr>
            <w:tcW w:w="4880" w:type="dxa"/>
            <w:vAlign w:val="bottom"/>
            <w:tcBorders>
              <w:right w:val="single" w:sz="8" w:color="auto"/>
            </w:tcBorders>
            <w:shd w:val="clear" w:color="auto" w:fill="CFF0FC"/>
          </w:tcPr>
          <w:p>
            <w:pPr>
              <w:spacing w:after="0"/>
              <w:rPr>
                <w:sz w:val="12"/>
                <w:szCs w:val="12"/>
                <w:color w:val="auto"/>
              </w:rPr>
            </w:pPr>
          </w:p>
        </w:tc>
        <w:tc>
          <w:tcPr>
            <w:tcW w:w="1200" w:type="dxa"/>
            <w:vAlign w:val="bottom"/>
            <w:tcBorders>
              <w:right w:val="single" w:sz="8" w:color="auto"/>
            </w:tcBorders>
            <w:shd w:val="clear" w:color="auto" w:fill="CFF0FC"/>
          </w:tcPr>
          <w:p>
            <w:pPr>
              <w:spacing w:after="0"/>
              <w:rPr>
                <w:sz w:val="12"/>
                <w:szCs w:val="12"/>
                <w:color w:val="auto"/>
              </w:rPr>
            </w:pPr>
          </w:p>
        </w:tc>
        <w:tc>
          <w:tcPr>
            <w:tcW w:w="3740" w:type="dxa"/>
            <w:vAlign w:val="bottom"/>
            <w:tcBorders>
              <w:right w:val="single" w:sz="8" w:color="auto"/>
            </w:tcBorders>
            <w:shd w:val="clear" w:color="auto" w:fill="CFF0FC"/>
          </w:tcPr>
          <w:p>
            <w:pPr>
              <w:ind w:left="100"/>
              <w:spacing w:after="0" w:line="145" w:lineRule="exact"/>
              <w:rPr>
                <w:sz w:val="20"/>
                <w:szCs w:val="20"/>
                <w:color w:val="auto"/>
              </w:rPr>
            </w:pPr>
            <w:r>
              <w:rPr>
                <w:rFonts w:ascii="Arial" w:cs="Arial" w:eastAsia="Arial" w:hAnsi="Arial"/>
                <w:sz w:val="14"/>
                <w:szCs w:val="14"/>
                <w:color w:val="auto"/>
              </w:rPr>
              <w:t>excluded from the scope of the amended guidance. With</w:t>
            </w:r>
          </w:p>
        </w:tc>
        <w:tc>
          <w:tcPr>
            <w:tcW w:w="0" w:type="dxa"/>
            <w:vAlign w:val="bottom"/>
          </w:tcPr>
          <w:p>
            <w:pPr>
              <w:spacing w:after="0"/>
              <w:rPr>
                <w:sz w:val="1"/>
                <w:szCs w:val="1"/>
                <w:color w:val="auto"/>
              </w:rPr>
            </w:pPr>
          </w:p>
        </w:tc>
      </w:tr>
      <w:tr>
        <w:trPr>
          <w:trHeight w:val="145"/>
        </w:trPr>
        <w:tc>
          <w:tcPr>
            <w:tcW w:w="1600" w:type="dxa"/>
            <w:vAlign w:val="bottom"/>
            <w:tcBorders>
              <w:left w:val="single" w:sz="8" w:color="auto"/>
              <w:right w:val="single" w:sz="8" w:color="auto"/>
            </w:tcBorders>
            <w:shd w:val="clear" w:color="auto" w:fill="CFF0FC"/>
          </w:tcPr>
          <w:p>
            <w:pPr>
              <w:spacing w:after="0"/>
              <w:rPr>
                <w:sz w:val="12"/>
                <w:szCs w:val="12"/>
                <w:color w:val="auto"/>
              </w:rPr>
            </w:pPr>
          </w:p>
        </w:tc>
        <w:tc>
          <w:tcPr>
            <w:tcW w:w="4880" w:type="dxa"/>
            <w:vAlign w:val="bottom"/>
            <w:tcBorders>
              <w:right w:val="single" w:sz="8" w:color="auto"/>
            </w:tcBorders>
            <w:shd w:val="clear" w:color="auto" w:fill="CFF0FC"/>
          </w:tcPr>
          <w:p>
            <w:pPr>
              <w:spacing w:after="0"/>
              <w:rPr>
                <w:sz w:val="12"/>
                <w:szCs w:val="12"/>
                <w:color w:val="auto"/>
              </w:rPr>
            </w:pPr>
          </w:p>
        </w:tc>
        <w:tc>
          <w:tcPr>
            <w:tcW w:w="1200" w:type="dxa"/>
            <w:vAlign w:val="bottom"/>
            <w:tcBorders>
              <w:right w:val="single" w:sz="8" w:color="auto"/>
            </w:tcBorders>
            <w:shd w:val="clear" w:color="auto" w:fill="CFF0FC"/>
          </w:tcPr>
          <w:p>
            <w:pPr>
              <w:spacing w:after="0"/>
              <w:rPr>
                <w:sz w:val="12"/>
                <w:szCs w:val="12"/>
                <w:color w:val="auto"/>
              </w:rPr>
            </w:pPr>
          </w:p>
        </w:tc>
        <w:tc>
          <w:tcPr>
            <w:tcW w:w="3740" w:type="dxa"/>
            <w:vAlign w:val="bottom"/>
            <w:tcBorders>
              <w:right w:val="single" w:sz="8" w:color="auto"/>
            </w:tcBorders>
            <w:shd w:val="clear" w:color="auto" w:fill="CFF0FC"/>
          </w:tcPr>
          <w:p>
            <w:pPr>
              <w:ind w:left="100"/>
              <w:spacing w:after="0" w:line="145" w:lineRule="exact"/>
              <w:rPr>
                <w:sz w:val="20"/>
                <w:szCs w:val="20"/>
                <w:color w:val="auto"/>
              </w:rPr>
            </w:pPr>
            <w:r>
              <w:rPr>
                <w:rFonts w:ascii="Arial" w:cs="Arial" w:eastAsia="Arial" w:hAnsi="Arial"/>
                <w:sz w:val="14"/>
                <w:szCs w:val="14"/>
                <w:color w:val="auto"/>
                <w:w w:val="94"/>
              </w:rPr>
              <w:t>respect to noninterest income, under the new guidance credit</w:t>
            </w:r>
          </w:p>
        </w:tc>
        <w:tc>
          <w:tcPr>
            <w:tcW w:w="0" w:type="dxa"/>
            <w:vAlign w:val="bottom"/>
          </w:tcPr>
          <w:p>
            <w:pPr>
              <w:spacing w:after="0"/>
              <w:rPr>
                <w:sz w:val="1"/>
                <w:szCs w:val="1"/>
                <w:color w:val="auto"/>
              </w:rPr>
            </w:pPr>
          </w:p>
        </w:tc>
      </w:tr>
      <w:tr>
        <w:trPr>
          <w:trHeight w:val="145"/>
        </w:trPr>
        <w:tc>
          <w:tcPr>
            <w:tcW w:w="1600" w:type="dxa"/>
            <w:vAlign w:val="bottom"/>
            <w:tcBorders>
              <w:left w:val="single" w:sz="8" w:color="auto"/>
              <w:right w:val="single" w:sz="8" w:color="auto"/>
            </w:tcBorders>
            <w:shd w:val="clear" w:color="auto" w:fill="CFF0FC"/>
          </w:tcPr>
          <w:p>
            <w:pPr>
              <w:spacing w:after="0"/>
              <w:rPr>
                <w:sz w:val="12"/>
                <w:szCs w:val="12"/>
                <w:color w:val="auto"/>
              </w:rPr>
            </w:pPr>
          </w:p>
        </w:tc>
        <w:tc>
          <w:tcPr>
            <w:tcW w:w="4880" w:type="dxa"/>
            <w:vAlign w:val="bottom"/>
            <w:tcBorders>
              <w:right w:val="single" w:sz="8" w:color="auto"/>
            </w:tcBorders>
            <w:shd w:val="clear" w:color="auto" w:fill="CFF0FC"/>
          </w:tcPr>
          <w:p>
            <w:pPr>
              <w:spacing w:after="0"/>
              <w:rPr>
                <w:sz w:val="12"/>
                <w:szCs w:val="12"/>
                <w:color w:val="auto"/>
              </w:rPr>
            </w:pPr>
          </w:p>
        </w:tc>
        <w:tc>
          <w:tcPr>
            <w:tcW w:w="1200" w:type="dxa"/>
            <w:vAlign w:val="bottom"/>
            <w:tcBorders>
              <w:right w:val="single" w:sz="8" w:color="auto"/>
            </w:tcBorders>
            <w:shd w:val="clear" w:color="auto" w:fill="CFF0FC"/>
          </w:tcPr>
          <w:p>
            <w:pPr>
              <w:spacing w:after="0"/>
              <w:rPr>
                <w:sz w:val="12"/>
                <w:szCs w:val="12"/>
                <w:color w:val="auto"/>
              </w:rPr>
            </w:pPr>
          </w:p>
        </w:tc>
        <w:tc>
          <w:tcPr>
            <w:tcW w:w="3740" w:type="dxa"/>
            <w:vAlign w:val="bottom"/>
            <w:tcBorders>
              <w:right w:val="single" w:sz="8" w:color="auto"/>
            </w:tcBorders>
            <w:shd w:val="clear" w:color="auto" w:fill="CFF0FC"/>
          </w:tcPr>
          <w:p>
            <w:pPr>
              <w:ind w:left="100"/>
              <w:spacing w:after="0" w:line="145" w:lineRule="exact"/>
              <w:rPr>
                <w:sz w:val="20"/>
                <w:szCs w:val="20"/>
                <w:color w:val="auto"/>
              </w:rPr>
            </w:pPr>
            <w:r>
              <w:rPr>
                <w:rFonts w:ascii="Arial" w:cs="Arial" w:eastAsia="Arial" w:hAnsi="Arial"/>
                <w:sz w:val="14"/>
                <w:szCs w:val="14"/>
                <w:color w:val="auto"/>
                <w:w w:val="99"/>
              </w:rPr>
              <w:t>card interchange revenue will be presented net of rewards</w:t>
            </w:r>
          </w:p>
        </w:tc>
        <w:tc>
          <w:tcPr>
            <w:tcW w:w="0" w:type="dxa"/>
            <w:vAlign w:val="bottom"/>
          </w:tcPr>
          <w:p>
            <w:pPr>
              <w:spacing w:after="0"/>
              <w:rPr>
                <w:sz w:val="1"/>
                <w:szCs w:val="1"/>
                <w:color w:val="auto"/>
              </w:rPr>
            </w:pPr>
          </w:p>
        </w:tc>
      </w:tr>
      <w:tr>
        <w:trPr>
          <w:trHeight w:val="145"/>
        </w:trPr>
        <w:tc>
          <w:tcPr>
            <w:tcW w:w="1600" w:type="dxa"/>
            <w:vAlign w:val="bottom"/>
            <w:tcBorders>
              <w:left w:val="single" w:sz="8" w:color="auto"/>
              <w:right w:val="single" w:sz="8" w:color="auto"/>
            </w:tcBorders>
            <w:shd w:val="clear" w:color="auto" w:fill="CFF0FC"/>
          </w:tcPr>
          <w:p>
            <w:pPr>
              <w:spacing w:after="0"/>
              <w:rPr>
                <w:sz w:val="12"/>
                <w:szCs w:val="12"/>
                <w:color w:val="auto"/>
              </w:rPr>
            </w:pPr>
          </w:p>
        </w:tc>
        <w:tc>
          <w:tcPr>
            <w:tcW w:w="4880" w:type="dxa"/>
            <w:vAlign w:val="bottom"/>
            <w:tcBorders>
              <w:right w:val="single" w:sz="8" w:color="auto"/>
            </w:tcBorders>
            <w:shd w:val="clear" w:color="auto" w:fill="CFF0FC"/>
          </w:tcPr>
          <w:p>
            <w:pPr>
              <w:spacing w:after="0"/>
              <w:rPr>
                <w:sz w:val="12"/>
                <w:szCs w:val="12"/>
                <w:color w:val="auto"/>
              </w:rPr>
            </w:pPr>
          </w:p>
        </w:tc>
        <w:tc>
          <w:tcPr>
            <w:tcW w:w="1200" w:type="dxa"/>
            <w:vAlign w:val="bottom"/>
            <w:tcBorders>
              <w:right w:val="single" w:sz="8" w:color="auto"/>
            </w:tcBorders>
            <w:shd w:val="clear" w:color="auto" w:fill="CFF0FC"/>
          </w:tcPr>
          <w:p>
            <w:pPr>
              <w:spacing w:after="0"/>
              <w:rPr>
                <w:sz w:val="12"/>
                <w:szCs w:val="12"/>
                <w:color w:val="auto"/>
              </w:rPr>
            </w:pPr>
          </w:p>
        </w:tc>
        <w:tc>
          <w:tcPr>
            <w:tcW w:w="3740" w:type="dxa"/>
            <w:vAlign w:val="bottom"/>
            <w:tcBorders>
              <w:right w:val="single" w:sz="8" w:color="auto"/>
            </w:tcBorders>
            <w:shd w:val="clear" w:color="auto" w:fill="CFF0FC"/>
          </w:tcPr>
          <w:p>
            <w:pPr>
              <w:ind w:left="100"/>
              <w:spacing w:after="0" w:line="145" w:lineRule="exact"/>
              <w:rPr>
                <w:sz w:val="20"/>
                <w:szCs w:val="20"/>
                <w:color w:val="auto"/>
              </w:rPr>
            </w:pPr>
            <w:r>
              <w:rPr>
                <w:rFonts w:ascii="Arial" w:cs="Arial" w:eastAsia="Arial" w:hAnsi="Arial"/>
                <w:sz w:val="14"/>
                <w:szCs w:val="14"/>
                <w:color w:val="auto"/>
              </w:rPr>
              <w:t>expense in other revenues from operations. For the years</w:t>
            </w:r>
          </w:p>
        </w:tc>
        <w:tc>
          <w:tcPr>
            <w:tcW w:w="0" w:type="dxa"/>
            <w:vAlign w:val="bottom"/>
          </w:tcPr>
          <w:p>
            <w:pPr>
              <w:spacing w:after="0"/>
              <w:rPr>
                <w:sz w:val="1"/>
                <w:szCs w:val="1"/>
                <w:color w:val="auto"/>
              </w:rPr>
            </w:pPr>
          </w:p>
        </w:tc>
      </w:tr>
      <w:tr>
        <w:trPr>
          <w:trHeight w:val="145"/>
        </w:trPr>
        <w:tc>
          <w:tcPr>
            <w:tcW w:w="1600" w:type="dxa"/>
            <w:vAlign w:val="bottom"/>
            <w:tcBorders>
              <w:left w:val="single" w:sz="8" w:color="auto"/>
              <w:right w:val="single" w:sz="8" w:color="auto"/>
            </w:tcBorders>
            <w:shd w:val="clear" w:color="auto" w:fill="CFF0FC"/>
          </w:tcPr>
          <w:p>
            <w:pPr>
              <w:spacing w:after="0"/>
              <w:rPr>
                <w:sz w:val="12"/>
                <w:szCs w:val="12"/>
                <w:color w:val="auto"/>
              </w:rPr>
            </w:pPr>
          </w:p>
        </w:tc>
        <w:tc>
          <w:tcPr>
            <w:tcW w:w="4880" w:type="dxa"/>
            <w:vAlign w:val="bottom"/>
            <w:tcBorders>
              <w:right w:val="single" w:sz="8" w:color="auto"/>
            </w:tcBorders>
            <w:shd w:val="clear" w:color="auto" w:fill="CFF0FC"/>
          </w:tcPr>
          <w:p>
            <w:pPr>
              <w:spacing w:after="0"/>
              <w:rPr>
                <w:sz w:val="12"/>
                <w:szCs w:val="12"/>
                <w:color w:val="auto"/>
              </w:rPr>
            </w:pPr>
          </w:p>
        </w:tc>
        <w:tc>
          <w:tcPr>
            <w:tcW w:w="1200" w:type="dxa"/>
            <w:vAlign w:val="bottom"/>
            <w:tcBorders>
              <w:right w:val="single" w:sz="8" w:color="auto"/>
            </w:tcBorders>
            <w:shd w:val="clear" w:color="auto" w:fill="CFF0FC"/>
          </w:tcPr>
          <w:p>
            <w:pPr>
              <w:spacing w:after="0"/>
              <w:rPr>
                <w:sz w:val="12"/>
                <w:szCs w:val="12"/>
                <w:color w:val="auto"/>
              </w:rPr>
            </w:pPr>
          </w:p>
        </w:tc>
        <w:tc>
          <w:tcPr>
            <w:tcW w:w="3740" w:type="dxa"/>
            <w:vAlign w:val="bottom"/>
            <w:tcBorders>
              <w:right w:val="single" w:sz="8" w:color="auto"/>
            </w:tcBorders>
            <w:shd w:val="clear" w:color="auto" w:fill="CFF0FC"/>
          </w:tcPr>
          <w:p>
            <w:pPr>
              <w:ind w:left="100"/>
              <w:spacing w:after="0" w:line="145" w:lineRule="exact"/>
              <w:rPr>
                <w:sz w:val="20"/>
                <w:szCs w:val="20"/>
                <w:color w:val="auto"/>
              </w:rPr>
            </w:pPr>
            <w:r>
              <w:rPr>
                <w:rFonts w:ascii="Arial" w:cs="Arial" w:eastAsia="Arial" w:hAnsi="Arial"/>
                <w:sz w:val="14"/>
                <w:szCs w:val="14"/>
                <w:color w:val="auto"/>
                <w:w w:val="98"/>
              </w:rPr>
              <w:t>ended December 31, 2017 and 2016, M&amp;T recognized $13</w:t>
            </w:r>
          </w:p>
        </w:tc>
        <w:tc>
          <w:tcPr>
            <w:tcW w:w="0" w:type="dxa"/>
            <w:vAlign w:val="bottom"/>
          </w:tcPr>
          <w:p>
            <w:pPr>
              <w:spacing w:after="0"/>
              <w:rPr>
                <w:sz w:val="1"/>
                <w:szCs w:val="1"/>
                <w:color w:val="auto"/>
              </w:rPr>
            </w:pPr>
          </w:p>
        </w:tc>
      </w:tr>
      <w:tr>
        <w:trPr>
          <w:trHeight w:val="145"/>
        </w:trPr>
        <w:tc>
          <w:tcPr>
            <w:tcW w:w="1600" w:type="dxa"/>
            <w:vAlign w:val="bottom"/>
            <w:tcBorders>
              <w:left w:val="single" w:sz="8" w:color="auto"/>
              <w:right w:val="single" w:sz="8" w:color="auto"/>
            </w:tcBorders>
            <w:shd w:val="clear" w:color="auto" w:fill="CFF0FC"/>
          </w:tcPr>
          <w:p>
            <w:pPr>
              <w:spacing w:after="0"/>
              <w:rPr>
                <w:sz w:val="12"/>
                <w:szCs w:val="12"/>
                <w:color w:val="auto"/>
              </w:rPr>
            </w:pPr>
          </w:p>
        </w:tc>
        <w:tc>
          <w:tcPr>
            <w:tcW w:w="4880" w:type="dxa"/>
            <w:vAlign w:val="bottom"/>
            <w:tcBorders>
              <w:right w:val="single" w:sz="8" w:color="auto"/>
            </w:tcBorders>
            <w:shd w:val="clear" w:color="auto" w:fill="CFF0FC"/>
          </w:tcPr>
          <w:p>
            <w:pPr>
              <w:spacing w:after="0"/>
              <w:rPr>
                <w:sz w:val="12"/>
                <w:szCs w:val="12"/>
                <w:color w:val="auto"/>
              </w:rPr>
            </w:pPr>
          </w:p>
        </w:tc>
        <w:tc>
          <w:tcPr>
            <w:tcW w:w="1200" w:type="dxa"/>
            <w:vAlign w:val="bottom"/>
            <w:tcBorders>
              <w:right w:val="single" w:sz="8" w:color="auto"/>
            </w:tcBorders>
            <w:shd w:val="clear" w:color="auto" w:fill="CFF0FC"/>
          </w:tcPr>
          <w:p>
            <w:pPr>
              <w:spacing w:after="0"/>
              <w:rPr>
                <w:sz w:val="12"/>
                <w:szCs w:val="12"/>
                <w:color w:val="auto"/>
              </w:rPr>
            </w:pPr>
          </w:p>
        </w:tc>
        <w:tc>
          <w:tcPr>
            <w:tcW w:w="3740" w:type="dxa"/>
            <w:vAlign w:val="bottom"/>
            <w:tcBorders>
              <w:right w:val="single" w:sz="8" w:color="auto"/>
            </w:tcBorders>
            <w:shd w:val="clear" w:color="auto" w:fill="CFF0FC"/>
          </w:tcPr>
          <w:p>
            <w:pPr>
              <w:ind w:left="100"/>
              <w:spacing w:after="0" w:line="145" w:lineRule="exact"/>
              <w:rPr>
                <w:sz w:val="20"/>
                <w:szCs w:val="20"/>
                <w:color w:val="auto"/>
              </w:rPr>
            </w:pPr>
            <w:r>
              <w:rPr>
                <w:rFonts w:ascii="Arial" w:cs="Arial" w:eastAsia="Arial" w:hAnsi="Arial"/>
                <w:sz w:val="14"/>
                <w:szCs w:val="14"/>
                <w:color w:val="auto"/>
              </w:rPr>
              <w:t>million and $6 million, respectively, of credit card rewards</w:t>
            </w:r>
          </w:p>
        </w:tc>
        <w:tc>
          <w:tcPr>
            <w:tcW w:w="0" w:type="dxa"/>
            <w:vAlign w:val="bottom"/>
          </w:tcPr>
          <w:p>
            <w:pPr>
              <w:spacing w:after="0"/>
              <w:rPr>
                <w:sz w:val="1"/>
                <w:szCs w:val="1"/>
                <w:color w:val="auto"/>
              </w:rPr>
            </w:pPr>
          </w:p>
        </w:tc>
      </w:tr>
      <w:tr>
        <w:trPr>
          <w:trHeight w:val="145"/>
        </w:trPr>
        <w:tc>
          <w:tcPr>
            <w:tcW w:w="1600" w:type="dxa"/>
            <w:vAlign w:val="bottom"/>
            <w:tcBorders>
              <w:left w:val="single" w:sz="8" w:color="auto"/>
              <w:right w:val="single" w:sz="8" w:color="auto"/>
            </w:tcBorders>
            <w:shd w:val="clear" w:color="auto" w:fill="CFF0FC"/>
          </w:tcPr>
          <w:p>
            <w:pPr>
              <w:spacing w:after="0"/>
              <w:rPr>
                <w:sz w:val="12"/>
                <w:szCs w:val="12"/>
                <w:color w:val="auto"/>
              </w:rPr>
            </w:pPr>
          </w:p>
        </w:tc>
        <w:tc>
          <w:tcPr>
            <w:tcW w:w="4880" w:type="dxa"/>
            <w:vAlign w:val="bottom"/>
            <w:tcBorders>
              <w:right w:val="single" w:sz="8" w:color="auto"/>
            </w:tcBorders>
            <w:shd w:val="clear" w:color="auto" w:fill="CFF0FC"/>
          </w:tcPr>
          <w:p>
            <w:pPr>
              <w:spacing w:after="0"/>
              <w:rPr>
                <w:sz w:val="12"/>
                <w:szCs w:val="12"/>
                <w:color w:val="auto"/>
              </w:rPr>
            </w:pPr>
          </w:p>
        </w:tc>
        <w:tc>
          <w:tcPr>
            <w:tcW w:w="1200" w:type="dxa"/>
            <w:vAlign w:val="bottom"/>
            <w:tcBorders>
              <w:right w:val="single" w:sz="8" w:color="auto"/>
            </w:tcBorders>
            <w:shd w:val="clear" w:color="auto" w:fill="CFF0FC"/>
          </w:tcPr>
          <w:p>
            <w:pPr>
              <w:spacing w:after="0"/>
              <w:rPr>
                <w:sz w:val="12"/>
                <w:szCs w:val="12"/>
                <w:color w:val="auto"/>
              </w:rPr>
            </w:pPr>
          </w:p>
        </w:tc>
        <w:tc>
          <w:tcPr>
            <w:tcW w:w="3740" w:type="dxa"/>
            <w:vAlign w:val="bottom"/>
            <w:tcBorders>
              <w:right w:val="single" w:sz="8" w:color="auto"/>
            </w:tcBorders>
            <w:shd w:val="clear" w:color="auto" w:fill="CFF0FC"/>
          </w:tcPr>
          <w:p>
            <w:pPr>
              <w:ind w:left="100"/>
              <w:spacing w:after="0" w:line="145" w:lineRule="exact"/>
              <w:rPr>
                <w:sz w:val="20"/>
                <w:szCs w:val="20"/>
                <w:color w:val="auto"/>
              </w:rPr>
            </w:pPr>
            <w:r>
              <w:rPr>
                <w:rFonts w:ascii="Arial" w:cs="Arial" w:eastAsia="Arial" w:hAnsi="Arial"/>
                <w:sz w:val="14"/>
                <w:szCs w:val="14"/>
                <w:color w:val="auto"/>
              </w:rPr>
              <w:t>expense in other costs of operations. The adjustment to</w:t>
            </w:r>
          </w:p>
        </w:tc>
        <w:tc>
          <w:tcPr>
            <w:tcW w:w="0" w:type="dxa"/>
            <w:vAlign w:val="bottom"/>
          </w:tcPr>
          <w:p>
            <w:pPr>
              <w:spacing w:after="0"/>
              <w:rPr>
                <w:sz w:val="1"/>
                <w:szCs w:val="1"/>
                <w:color w:val="auto"/>
              </w:rPr>
            </w:pPr>
          </w:p>
        </w:tc>
      </w:tr>
      <w:tr>
        <w:trPr>
          <w:trHeight w:val="145"/>
        </w:trPr>
        <w:tc>
          <w:tcPr>
            <w:tcW w:w="1600" w:type="dxa"/>
            <w:vAlign w:val="bottom"/>
            <w:tcBorders>
              <w:left w:val="single" w:sz="8" w:color="auto"/>
              <w:right w:val="single" w:sz="8" w:color="auto"/>
            </w:tcBorders>
            <w:shd w:val="clear" w:color="auto" w:fill="CFF0FC"/>
          </w:tcPr>
          <w:p>
            <w:pPr>
              <w:spacing w:after="0"/>
              <w:rPr>
                <w:sz w:val="12"/>
                <w:szCs w:val="12"/>
                <w:color w:val="auto"/>
              </w:rPr>
            </w:pPr>
          </w:p>
        </w:tc>
        <w:tc>
          <w:tcPr>
            <w:tcW w:w="4880" w:type="dxa"/>
            <w:vAlign w:val="bottom"/>
            <w:tcBorders>
              <w:right w:val="single" w:sz="8" w:color="auto"/>
            </w:tcBorders>
            <w:shd w:val="clear" w:color="auto" w:fill="CFF0FC"/>
          </w:tcPr>
          <w:p>
            <w:pPr>
              <w:spacing w:after="0"/>
              <w:rPr>
                <w:sz w:val="12"/>
                <w:szCs w:val="12"/>
                <w:color w:val="auto"/>
              </w:rPr>
            </w:pPr>
          </w:p>
        </w:tc>
        <w:tc>
          <w:tcPr>
            <w:tcW w:w="1200" w:type="dxa"/>
            <w:vAlign w:val="bottom"/>
            <w:tcBorders>
              <w:right w:val="single" w:sz="8" w:color="auto"/>
            </w:tcBorders>
            <w:shd w:val="clear" w:color="auto" w:fill="CFF0FC"/>
          </w:tcPr>
          <w:p>
            <w:pPr>
              <w:spacing w:after="0"/>
              <w:rPr>
                <w:sz w:val="12"/>
                <w:szCs w:val="12"/>
                <w:color w:val="auto"/>
              </w:rPr>
            </w:pPr>
          </w:p>
        </w:tc>
        <w:tc>
          <w:tcPr>
            <w:tcW w:w="3740" w:type="dxa"/>
            <w:vAlign w:val="bottom"/>
            <w:tcBorders>
              <w:right w:val="single" w:sz="8" w:color="auto"/>
            </w:tcBorders>
            <w:shd w:val="clear" w:color="auto" w:fill="CFF0FC"/>
          </w:tcPr>
          <w:p>
            <w:pPr>
              <w:ind w:left="100"/>
              <w:spacing w:after="0" w:line="145" w:lineRule="exact"/>
              <w:rPr>
                <w:sz w:val="20"/>
                <w:szCs w:val="20"/>
                <w:color w:val="auto"/>
              </w:rPr>
            </w:pPr>
            <w:r>
              <w:rPr>
                <w:rFonts w:ascii="Arial" w:cs="Arial" w:eastAsia="Arial" w:hAnsi="Arial"/>
                <w:sz w:val="14"/>
                <w:szCs w:val="14"/>
                <w:color w:val="auto"/>
              </w:rPr>
              <w:t>beginning retained earnings as well as the impact of any</w:t>
            </w:r>
          </w:p>
        </w:tc>
        <w:tc>
          <w:tcPr>
            <w:tcW w:w="0" w:type="dxa"/>
            <w:vAlign w:val="bottom"/>
          </w:tcPr>
          <w:p>
            <w:pPr>
              <w:spacing w:after="0"/>
              <w:rPr>
                <w:sz w:val="1"/>
                <w:szCs w:val="1"/>
                <w:color w:val="auto"/>
              </w:rPr>
            </w:pPr>
          </w:p>
        </w:tc>
      </w:tr>
      <w:tr>
        <w:trPr>
          <w:trHeight w:val="145"/>
        </w:trPr>
        <w:tc>
          <w:tcPr>
            <w:tcW w:w="1600" w:type="dxa"/>
            <w:vAlign w:val="bottom"/>
            <w:tcBorders>
              <w:left w:val="single" w:sz="8" w:color="auto"/>
              <w:right w:val="single" w:sz="8" w:color="auto"/>
            </w:tcBorders>
            <w:shd w:val="clear" w:color="auto" w:fill="CFF0FC"/>
          </w:tcPr>
          <w:p>
            <w:pPr>
              <w:spacing w:after="0"/>
              <w:rPr>
                <w:sz w:val="12"/>
                <w:szCs w:val="12"/>
                <w:color w:val="auto"/>
              </w:rPr>
            </w:pPr>
          </w:p>
        </w:tc>
        <w:tc>
          <w:tcPr>
            <w:tcW w:w="4880" w:type="dxa"/>
            <w:vAlign w:val="bottom"/>
            <w:tcBorders>
              <w:right w:val="single" w:sz="8" w:color="auto"/>
            </w:tcBorders>
            <w:shd w:val="clear" w:color="auto" w:fill="CFF0FC"/>
          </w:tcPr>
          <w:p>
            <w:pPr>
              <w:spacing w:after="0"/>
              <w:rPr>
                <w:sz w:val="12"/>
                <w:szCs w:val="12"/>
                <w:color w:val="auto"/>
              </w:rPr>
            </w:pPr>
          </w:p>
        </w:tc>
        <w:tc>
          <w:tcPr>
            <w:tcW w:w="1200" w:type="dxa"/>
            <w:vAlign w:val="bottom"/>
            <w:tcBorders>
              <w:right w:val="single" w:sz="8" w:color="auto"/>
            </w:tcBorders>
            <w:shd w:val="clear" w:color="auto" w:fill="CFF0FC"/>
          </w:tcPr>
          <w:p>
            <w:pPr>
              <w:spacing w:after="0"/>
              <w:rPr>
                <w:sz w:val="12"/>
                <w:szCs w:val="12"/>
                <w:color w:val="auto"/>
              </w:rPr>
            </w:pPr>
          </w:p>
        </w:tc>
        <w:tc>
          <w:tcPr>
            <w:tcW w:w="3740" w:type="dxa"/>
            <w:vAlign w:val="bottom"/>
            <w:tcBorders>
              <w:right w:val="single" w:sz="8" w:color="auto"/>
            </w:tcBorders>
            <w:shd w:val="clear" w:color="auto" w:fill="CFF0FC"/>
          </w:tcPr>
          <w:p>
            <w:pPr>
              <w:ind w:left="100"/>
              <w:spacing w:after="0" w:line="145" w:lineRule="exact"/>
              <w:rPr>
                <w:sz w:val="20"/>
                <w:szCs w:val="20"/>
                <w:color w:val="auto"/>
              </w:rPr>
            </w:pPr>
            <w:r>
              <w:rPr>
                <w:rFonts w:ascii="Arial" w:cs="Arial" w:eastAsia="Arial" w:hAnsi="Arial"/>
                <w:sz w:val="14"/>
                <w:szCs w:val="14"/>
                <w:color w:val="auto"/>
                <w:w w:val="99"/>
              </w:rPr>
              <w:t>changes in the timing of revenue recognition of noninterest</w:t>
            </w:r>
          </w:p>
        </w:tc>
        <w:tc>
          <w:tcPr>
            <w:tcW w:w="0" w:type="dxa"/>
            <w:vAlign w:val="bottom"/>
          </w:tcPr>
          <w:p>
            <w:pPr>
              <w:spacing w:after="0"/>
              <w:rPr>
                <w:sz w:val="1"/>
                <w:szCs w:val="1"/>
                <w:color w:val="auto"/>
              </w:rPr>
            </w:pPr>
          </w:p>
        </w:tc>
      </w:tr>
      <w:tr>
        <w:trPr>
          <w:trHeight w:val="145"/>
        </w:trPr>
        <w:tc>
          <w:tcPr>
            <w:tcW w:w="1600" w:type="dxa"/>
            <w:vAlign w:val="bottom"/>
            <w:tcBorders>
              <w:left w:val="single" w:sz="8" w:color="auto"/>
              <w:right w:val="single" w:sz="8" w:color="auto"/>
            </w:tcBorders>
            <w:shd w:val="clear" w:color="auto" w:fill="CFF0FC"/>
          </w:tcPr>
          <w:p>
            <w:pPr>
              <w:spacing w:after="0"/>
              <w:rPr>
                <w:sz w:val="12"/>
                <w:szCs w:val="12"/>
                <w:color w:val="auto"/>
              </w:rPr>
            </w:pPr>
          </w:p>
        </w:tc>
        <w:tc>
          <w:tcPr>
            <w:tcW w:w="4880" w:type="dxa"/>
            <w:vAlign w:val="bottom"/>
            <w:tcBorders>
              <w:right w:val="single" w:sz="8" w:color="auto"/>
            </w:tcBorders>
            <w:shd w:val="clear" w:color="auto" w:fill="CFF0FC"/>
          </w:tcPr>
          <w:p>
            <w:pPr>
              <w:spacing w:after="0"/>
              <w:rPr>
                <w:sz w:val="12"/>
                <w:szCs w:val="12"/>
                <w:color w:val="auto"/>
              </w:rPr>
            </w:pPr>
          </w:p>
        </w:tc>
        <w:tc>
          <w:tcPr>
            <w:tcW w:w="1200" w:type="dxa"/>
            <w:vAlign w:val="bottom"/>
            <w:tcBorders>
              <w:right w:val="single" w:sz="8" w:color="auto"/>
            </w:tcBorders>
            <w:shd w:val="clear" w:color="auto" w:fill="CFF0FC"/>
          </w:tcPr>
          <w:p>
            <w:pPr>
              <w:spacing w:after="0"/>
              <w:rPr>
                <w:sz w:val="12"/>
                <w:szCs w:val="12"/>
                <w:color w:val="auto"/>
              </w:rPr>
            </w:pPr>
          </w:p>
        </w:tc>
        <w:tc>
          <w:tcPr>
            <w:tcW w:w="3740" w:type="dxa"/>
            <w:vAlign w:val="bottom"/>
            <w:tcBorders>
              <w:right w:val="single" w:sz="8" w:color="auto"/>
            </w:tcBorders>
            <w:shd w:val="clear" w:color="auto" w:fill="CFF0FC"/>
          </w:tcPr>
          <w:p>
            <w:pPr>
              <w:ind w:left="100"/>
              <w:spacing w:after="0" w:line="145" w:lineRule="exact"/>
              <w:rPr>
                <w:sz w:val="20"/>
                <w:szCs w:val="20"/>
                <w:color w:val="auto"/>
              </w:rPr>
            </w:pPr>
            <w:r>
              <w:rPr>
                <w:rFonts w:ascii="Arial" w:cs="Arial" w:eastAsia="Arial" w:hAnsi="Arial"/>
                <w:sz w:val="14"/>
                <w:szCs w:val="14"/>
                <w:color w:val="auto"/>
              </w:rPr>
              <w:t>income items within the scope of this guidance will not be</w:t>
            </w:r>
          </w:p>
        </w:tc>
        <w:tc>
          <w:tcPr>
            <w:tcW w:w="0" w:type="dxa"/>
            <w:vAlign w:val="bottom"/>
          </w:tcPr>
          <w:p>
            <w:pPr>
              <w:spacing w:after="0"/>
              <w:rPr>
                <w:sz w:val="1"/>
                <w:szCs w:val="1"/>
                <w:color w:val="auto"/>
              </w:rPr>
            </w:pPr>
          </w:p>
        </w:tc>
      </w:tr>
      <w:tr>
        <w:trPr>
          <w:trHeight w:val="145"/>
        </w:trPr>
        <w:tc>
          <w:tcPr>
            <w:tcW w:w="1600" w:type="dxa"/>
            <w:vAlign w:val="bottom"/>
            <w:tcBorders>
              <w:left w:val="single" w:sz="8" w:color="auto"/>
              <w:right w:val="single" w:sz="8" w:color="auto"/>
            </w:tcBorders>
            <w:shd w:val="clear" w:color="auto" w:fill="CFF0FC"/>
          </w:tcPr>
          <w:p>
            <w:pPr>
              <w:spacing w:after="0"/>
              <w:rPr>
                <w:sz w:val="12"/>
                <w:szCs w:val="12"/>
                <w:color w:val="auto"/>
              </w:rPr>
            </w:pPr>
          </w:p>
        </w:tc>
        <w:tc>
          <w:tcPr>
            <w:tcW w:w="4880" w:type="dxa"/>
            <w:vAlign w:val="bottom"/>
            <w:tcBorders>
              <w:right w:val="single" w:sz="8" w:color="auto"/>
            </w:tcBorders>
            <w:shd w:val="clear" w:color="auto" w:fill="CFF0FC"/>
          </w:tcPr>
          <w:p>
            <w:pPr>
              <w:spacing w:after="0"/>
              <w:rPr>
                <w:sz w:val="12"/>
                <w:szCs w:val="12"/>
                <w:color w:val="auto"/>
              </w:rPr>
            </w:pPr>
          </w:p>
        </w:tc>
        <w:tc>
          <w:tcPr>
            <w:tcW w:w="1200" w:type="dxa"/>
            <w:vAlign w:val="bottom"/>
            <w:tcBorders>
              <w:right w:val="single" w:sz="8" w:color="auto"/>
            </w:tcBorders>
            <w:shd w:val="clear" w:color="auto" w:fill="CFF0FC"/>
          </w:tcPr>
          <w:p>
            <w:pPr>
              <w:spacing w:after="0"/>
              <w:rPr>
                <w:sz w:val="12"/>
                <w:szCs w:val="12"/>
                <w:color w:val="auto"/>
              </w:rPr>
            </w:pPr>
          </w:p>
        </w:tc>
        <w:tc>
          <w:tcPr>
            <w:tcW w:w="3740" w:type="dxa"/>
            <w:vAlign w:val="bottom"/>
            <w:tcBorders>
              <w:right w:val="single" w:sz="8" w:color="auto"/>
            </w:tcBorders>
            <w:shd w:val="clear" w:color="auto" w:fill="CFF0FC"/>
          </w:tcPr>
          <w:p>
            <w:pPr>
              <w:ind w:left="100"/>
              <w:spacing w:after="0" w:line="145" w:lineRule="exact"/>
              <w:rPr>
                <w:sz w:val="20"/>
                <w:szCs w:val="20"/>
                <w:color w:val="auto"/>
              </w:rPr>
            </w:pPr>
            <w:r>
              <w:rPr>
                <w:rFonts w:ascii="Arial" w:cs="Arial" w:eastAsia="Arial" w:hAnsi="Arial"/>
                <w:sz w:val="14"/>
                <w:szCs w:val="14"/>
                <w:color w:val="auto"/>
              </w:rPr>
              <w:t>material to the Company’s financial position or results of</w:t>
            </w:r>
          </w:p>
        </w:tc>
        <w:tc>
          <w:tcPr>
            <w:tcW w:w="0" w:type="dxa"/>
            <w:vAlign w:val="bottom"/>
          </w:tcPr>
          <w:p>
            <w:pPr>
              <w:spacing w:after="0"/>
              <w:rPr>
                <w:sz w:val="1"/>
                <w:szCs w:val="1"/>
                <w:color w:val="auto"/>
              </w:rPr>
            </w:pPr>
          </w:p>
        </w:tc>
      </w:tr>
      <w:tr>
        <w:trPr>
          <w:trHeight w:val="163"/>
        </w:trPr>
        <w:tc>
          <w:tcPr>
            <w:tcW w:w="1600" w:type="dxa"/>
            <w:vAlign w:val="bottom"/>
            <w:tcBorders>
              <w:left w:val="single" w:sz="8" w:color="auto"/>
              <w:bottom w:val="single" w:sz="8" w:color="auto"/>
              <w:right w:val="single" w:sz="8" w:color="auto"/>
            </w:tcBorders>
            <w:shd w:val="clear" w:color="auto" w:fill="CFF0FC"/>
          </w:tcPr>
          <w:p>
            <w:pPr>
              <w:spacing w:after="0"/>
              <w:rPr>
                <w:sz w:val="14"/>
                <w:szCs w:val="14"/>
                <w:color w:val="auto"/>
              </w:rPr>
            </w:pPr>
          </w:p>
        </w:tc>
        <w:tc>
          <w:tcPr>
            <w:tcW w:w="4880" w:type="dxa"/>
            <w:vAlign w:val="bottom"/>
            <w:tcBorders>
              <w:bottom w:val="single" w:sz="8" w:color="auto"/>
              <w:right w:val="single" w:sz="8" w:color="auto"/>
            </w:tcBorders>
            <w:shd w:val="clear" w:color="auto" w:fill="CFF0FC"/>
          </w:tcPr>
          <w:p>
            <w:pPr>
              <w:spacing w:after="0"/>
              <w:rPr>
                <w:sz w:val="14"/>
                <w:szCs w:val="14"/>
                <w:color w:val="auto"/>
              </w:rPr>
            </w:pPr>
          </w:p>
        </w:tc>
        <w:tc>
          <w:tcPr>
            <w:tcW w:w="1200" w:type="dxa"/>
            <w:vAlign w:val="bottom"/>
            <w:tcBorders>
              <w:bottom w:val="single" w:sz="8" w:color="auto"/>
              <w:right w:val="single" w:sz="8" w:color="auto"/>
            </w:tcBorders>
            <w:shd w:val="clear" w:color="auto" w:fill="CFF0FC"/>
          </w:tcPr>
          <w:p>
            <w:pPr>
              <w:spacing w:after="0"/>
              <w:rPr>
                <w:sz w:val="14"/>
                <w:szCs w:val="14"/>
                <w:color w:val="auto"/>
              </w:rPr>
            </w:pPr>
          </w:p>
        </w:tc>
        <w:tc>
          <w:tcPr>
            <w:tcW w:w="3740" w:type="dxa"/>
            <w:vAlign w:val="bottom"/>
            <w:tcBorders>
              <w:bottom w:val="single" w:sz="8" w:color="auto"/>
              <w:right w:val="single" w:sz="8" w:color="auto"/>
            </w:tcBorders>
            <w:shd w:val="clear" w:color="auto" w:fill="CFF0FC"/>
          </w:tcPr>
          <w:p>
            <w:pPr>
              <w:ind w:left="100"/>
              <w:spacing w:after="0"/>
              <w:rPr>
                <w:sz w:val="20"/>
                <w:szCs w:val="20"/>
                <w:color w:val="auto"/>
              </w:rPr>
            </w:pPr>
            <w:r>
              <w:rPr>
                <w:rFonts w:ascii="Arial" w:cs="Arial" w:eastAsia="Arial" w:hAnsi="Arial"/>
                <w:sz w:val="14"/>
                <w:szCs w:val="14"/>
                <w:color w:val="auto"/>
              </w:rPr>
              <w:t>operations.</w:t>
            </w:r>
          </w:p>
        </w:tc>
        <w:tc>
          <w:tcPr>
            <w:tcW w:w="0" w:type="dxa"/>
            <w:vAlign w:val="bottom"/>
          </w:tcPr>
          <w:p>
            <w:pPr>
              <w:spacing w:after="0"/>
              <w:rPr>
                <w:sz w:val="1"/>
                <w:szCs w:val="1"/>
                <w:color w:val="auto"/>
              </w:rPr>
            </w:pPr>
          </w:p>
        </w:tc>
      </w:tr>
      <w:tr>
        <w:trPr>
          <w:trHeight w:val="277"/>
        </w:trPr>
        <w:tc>
          <w:tcPr>
            <w:tcW w:w="16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Recognition and</w:t>
            </w:r>
          </w:p>
        </w:tc>
        <w:tc>
          <w:tcPr>
            <w:tcW w:w="488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w w:val="92"/>
              </w:rPr>
              <w:t>The amended guidance requires equity investments (excluding those accounted for</w:t>
            </w:r>
          </w:p>
        </w:tc>
        <w:tc>
          <w:tcPr>
            <w:tcW w:w="120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January 1, 2018</w:t>
            </w:r>
          </w:p>
        </w:tc>
        <w:tc>
          <w:tcPr>
            <w:tcW w:w="374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The Company held marketable equity securities with a fair</w:t>
            </w:r>
          </w:p>
        </w:tc>
        <w:tc>
          <w:tcPr>
            <w:tcW w:w="0" w:type="dxa"/>
            <w:vAlign w:val="bottom"/>
          </w:tcPr>
          <w:p>
            <w:pPr>
              <w:spacing w:after="0"/>
              <w:rPr>
                <w:sz w:val="1"/>
                <w:szCs w:val="1"/>
                <w:color w:val="auto"/>
              </w:rPr>
            </w:pPr>
          </w:p>
        </w:tc>
      </w:tr>
      <w:tr>
        <w:trPr>
          <w:trHeight w:val="145"/>
        </w:trPr>
        <w:tc>
          <w:tcPr>
            <w:tcW w:w="1600" w:type="dxa"/>
            <w:vAlign w:val="bottom"/>
            <w:tcBorders>
              <w:left w:val="single" w:sz="8" w:color="auto"/>
              <w:right w:val="single" w:sz="8" w:color="auto"/>
            </w:tcBorders>
          </w:tcPr>
          <w:p>
            <w:pPr>
              <w:ind w:left="20"/>
              <w:spacing w:after="0" w:line="145" w:lineRule="exact"/>
              <w:rPr>
                <w:sz w:val="20"/>
                <w:szCs w:val="20"/>
                <w:color w:val="auto"/>
              </w:rPr>
            </w:pPr>
            <w:r>
              <w:rPr>
                <w:rFonts w:ascii="Arial" w:cs="Arial" w:eastAsia="Arial" w:hAnsi="Arial"/>
                <w:sz w:val="14"/>
                <w:szCs w:val="14"/>
                <w:color w:val="auto"/>
              </w:rPr>
              <w:t>Measurement of</w:t>
            </w:r>
          </w:p>
        </w:tc>
        <w:tc>
          <w:tcPr>
            <w:tcW w:w="4880" w:type="dxa"/>
            <w:vAlign w:val="bottom"/>
            <w:tcBorders>
              <w:right w:val="single" w:sz="8" w:color="auto"/>
            </w:tcBorders>
          </w:tcPr>
          <w:p>
            <w:pPr>
              <w:ind w:left="80"/>
              <w:spacing w:after="0" w:line="145" w:lineRule="exact"/>
              <w:rPr>
                <w:sz w:val="20"/>
                <w:szCs w:val="20"/>
                <w:color w:val="auto"/>
              </w:rPr>
            </w:pPr>
            <w:r>
              <w:rPr>
                <w:rFonts w:ascii="Arial" w:cs="Arial" w:eastAsia="Arial" w:hAnsi="Arial"/>
                <w:sz w:val="14"/>
                <w:szCs w:val="14"/>
                <w:color w:val="auto"/>
                <w:w w:val="95"/>
              </w:rPr>
              <w:t>under the equity method of accounting or those that result in consolidation of the</w:t>
            </w:r>
          </w:p>
        </w:tc>
        <w:tc>
          <w:tcPr>
            <w:tcW w:w="1200" w:type="dxa"/>
            <w:vAlign w:val="bottom"/>
            <w:tcBorders>
              <w:right w:val="single" w:sz="8" w:color="auto"/>
            </w:tcBorders>
          </w:tcPr>
          <w:p>
            <w:pPr>
              <w:spacing w:after="0"/>
              <w:rPr>
                <w:sz w:val="12"/>
                <w:szCs w:val="12"/>
                <w:color w:val="auto"/>
              </w:rPr>
            </w:pPr>
          </w:p>
        </w:tc>
        <w:tc>
          <w:tcPr>
            <w:tcW w:w="3740" w:type="dxa"/>
            <w:vAlign w:val="bottom"/>
            <w:tcBorders>
              <w:right w:val="single" w:sz="8" w:color="auto"/>
            </w:tcBorders>
          </w:tcPr>
          <w:p>
            <w:pPr>
              <w:ind w:left="100"/>
              <w:spacing w:after="0" w:line="145" w:lineRule="exact"/>
              <w:rPr>
                <w:sz w:val="20"/>
                <w:szCs w:val="20"/>
                <w:color w:val="auto"/>
              </w:rPr>
            </w:pPr>
            <w:r>
              <w:rPr>
                <w:rFonts w:ascii="Arial" w:cs="Arial" w:eastAsia="Arial" w:hAnsi="Arial"/>
                <w:sz w:val="14"/>
                <w:szCs w:val="14"/>
                <w:color w:val="auto"/>
              </w:rPr>
              <w:t>value of $101 million in its available-for-sale portfolio at</w:t>
            </w:r>
          </w:p>
        </w:tc>
        <w:tc>
          <w:tcPr>
            <w:tcW w:w="0" w:type="dxa"/>
            <w:vAlign w:val="bottom"/>
          </w:tcPr>
          <w:p>
            <w:pPr>
              <w:spacing w:after="0"/>
              <w:rPr>
                <w:sz w:val="1"/>
                <w:szCs w:val="1"/>
                <w:color w:val="auto"/>
              </w:rPr>
            </w:pPr>
          </w:p>
        </w:tc>
      </w:tr>
      <w:tr>
        <w:trPr>
          <w:trHeight w:val="145"/>
        </w:trPr>
        <w:tc>
          <w:tcPr>
            <w:tcW w:w="1600" w:type="dxa"/>
            <w:vAlign w:val="bottom"/>
            <w:tcBorders>
              <w:left w:val="single" w:sz="8" w:color="auto"/>
              <w:right w:val="single" w:sz="8" w:color="auto"/>
            </w:tcBorders>
          </w:tcPr>
          <w:p>
            <w:pPr>
              <w:ind w:left="20"/>
              <w:spacing w:after="0" w:line="145" w:lineRule="exact"/>
              <w:rPr>
                <w:sz w:val="20"/>
                <w:szCs w:val="20"/>
                <w:color w:val="auto"/>
              </w:rPr>
            </w:pPr>
            <w:r>
              <w:rPr>
                <w:rFonts w:ascii="Arial" w:cs="Arial" w:eastAsia="Arial" w:hAnsi="Arial"/>
                <w:sz w:val="14"/>
                <w:szCs w:val="14"/>
                <w:color w:val="auto"/>
              </w:rPr>
              <w:t>Financial Assets and</w:t>
            </w:r>
          </w:p>
        </w:tc>
        <w:tc>
          <w:tcPr>
            <w:tcW w:w="4880" w:type="dxa"/>
            <w:vAlign w:val="bottom"/>
            <w:tcBorders>
              <w:right w:val="single" w:sz="8" w:color="auto"/>
            </w:tcBorders>
          </w:tcPr>
          <w:p>
            <w:pPr>
              <w:ind w:left="80"/>
              <w:spacing w:after="0" w:line="145" w:lineRule="exact"/>
              <w:rPr>
                <w:sz w:val="20"/>
                <w:szCs w:val="20"/>
                <w:color w:val="auto"/>
              </w:rPr>
            </w:pPr>
            <w:r>
              <w:rPr>
                <w:rFonts w:ascii="Arial" w:cs="Arial" w:eastAsia="Arial" w:hAnsi="Arial"/>
                <w:sz w:val="14"/>
                <w:szCs w:val="14"/>
                <w:color w:val="auto"/>
                <w:w w:val="97"/>
              </w:rPr>
              <w:t>investee) be measured at fair value with changes in fair value recognized in net</w:t>
            </w:r>
          </w:p>
        </w:tc>
        <w:tc>
          <w:tcPr>
            <w:tcW w:w="1200" w:type="dxa"/>
            <w:vAlign w:val="bottom"/>
            <w:tcBorders>
              <w:right w:val="single" w:sz="8" w:color="auto"/>
            </w:tcBorders>
          </w:tcPr>
          <w:p>
            <w:pPr>
              <w:spacing w:after="0"/>
              <w:rPr>
                <w:sz w:val="12"/>
                <w:szCs w:val="12"/>
                <w:color w:val="auto"/>
              </w:rPr>
            </w:pPr>
          </w:p>
        </w:tc>
        <w:tc>
          <w:tcPr>
            <w:tcW w:w="3740" w:type="dxa"/>
            <w:vAlign w:val="bottom"/>
            <w:tcBorders>
              <w:right w:val="single" w:sz="8" w:color="auto"/>
            </w:tcBorders>
          </w:tcPr>
          <w:p>
            <w:pPr>
              <w:ind w:left="100"/>
              <w:spacing w:after="0" w:line="145" w:lineRule="exact"/>
              <w:rPr>
                <w:sz w:val="20"/>
                <w:szCs w:val="20"/>
                <w:color w:val="auto"/>
              </w:rPr>
            </w:pPr>
            <w:r>
              <w:rPr>
                <w:rFonts w:ascii="Arial" w:cs="Arial" w:eastAsia="Arial" w:hAnsi="Arial"/>
                <w:sz w:val="14"/>
                <w:szCs w:val="14"/>
                <w:color w:val="auto"/>
              </w:rPr>
              <w:t>December 31, 2017. Effective January 1, 2018, fair value</w:t>
            </w:r>
          </w:p>
        </w:tc>
        <w:tc>
          <w:tcPr>
            <w:tcW w:w="0" w:type="dxa"/>
            <w:vAlign w:val="bottom"/>
          </w:tcPr>
          <w:p>
            <w:pPr>
              <w:spacing w:after="0"/>
              <w:rPr>
                <w:sz w:val="1"/>
                <w:szCs w:val="1"/>
                <w:color w:val="auto"/>
              </w:rPr>
            </w:pPr>
          </w:p>
        </w:tc>
      </w:tr>
      <w:tr>
        <w:trPr>
          <w:trHeight w:val="145"/>
        </w:trPr>
        <w:tc>
          <w:tcPr>
            <w:tcW w:w="1600" w:type="dxa"/>
            <w:vAlign w:val="bottom"/>
            <w:tcBorders>
              <w:left w:val="single" w:sz="8" w:color="auto"/>
              <w:right w:val="single" w:sz="8" w:color="auto"/>
            </w:tcBorders>
          </w:tcPr>
          <w:p>
            <w:pPr>
              <w:ind w:left="20"/>
              <w:spacing w:after="0" w:line="145" w:lineRule="exact"/>
              <w:rPr>
                <w:sz w:val="20"/>
                <w:szCs w:val="20"/>
                <w:color w:val="auto"/>
              </w:rPr>
            </w:pPr>
            <w:r>
              <w:rPr>
                <w:rFonts w:ascii="Arial" w:cs="Arial" w:eastAsia="Arial" w:hAnsi="Arial"/>
                <w:sz w:val="14"/>
                <w:szCs w:val="14"/>
                <w:color w:val="auto"/>
              </w:rPr>
              <w:t>Financial Liabilities</w:t>
            </w:r>
          </w:p>
        </w:tc>
        <w:tc>
          <w:tcPr>
            <w:tcW w:w="4880" w:type="dxa"/>
            <w:vAlign w:val="bottom"/>
            <w:tcBorders>
              <w:right w:val="single" w:sz="8" w:color="auto"/>
            </w:tcBorders>
          </w:tcPr>
          <w:p>
            <w:pPr>
              <w:ind w:left="80"/>
              <w:spacing w:after="0" w:line="145" w:lineRule="exact"/>
              <w:rPr>
                <w:sz w:val="20"/>
                <w:szCs w:val="20"/>
                <w:color w:val="auto"/>
              </w:rPr>
            </w:pPr>
            <w:r>
              <w:rPr>
                <w:rFonts w:ascii="Arial" w:cs="Arial" w:eastAsia="Arial" w:hAnsi="Arial"/>
                <w:sz w:val="14"/>
                <w:szCs w:val="14"/>
                <w:color w:val="auto"/>
              </w:rPr>
              <w:t>income, public entities to use the exit price when measuring the fair value of</w:t>
            </w:r>
          </w:p>
        </w:tc>
        <w:tc>
          <w:tcPr>
            <w:tcW w:w="1200" w:type="dxa"/>
            <w:vAlign w:val="bottom"/>
            <w:tcBorders>
              <w:right w:val="single" w:sz="8" w:color="auto"/>
            </w:tcBorders>
          </w:tcPr>
          <w:p>
            <w:pPr>
              <w:spacing w:after="0"/>
              <w:rPr>
                <w:sz w:val="12"/>
                <w:szCs w:val="12"/>
                <w:color w:val="auto"/>
              </w:rPr>
            </w:pPr>
          </w:p>
        </w:tc>
        <w:tc>
          <w:tcPr>
            <w:tcW w:w="3740" w:type="dxa"/>
            <w:vAlign w:val="bottom"/>
            <w:tcBorders>
              <w:right w:val="single" w:sz="8" w:color="auto"/>
            </w:tcBorders>
          </w:tcPr>
          <w:p>
            <w:pPr>
              <w:ind w:left="100"/>
              <w:spacing w:after="0" w:line="145" w:lineRule="exact"/>
              <w:rPr>
                <w:sz w:val="20"/>
                <w:szCs w:val="20"/>
                <w:color w:val="auto"/>
              </w:rPr>
            </w:pPr>
            <w:r>
              <w:rPr>
                <w:rFonts w:ascii="Arial" w:cs="Arial" w:eastAsia="Arial" w:hAnsi="Arial"/>
                <w:sz w:val="14"/>
                <w:szCs w:val="14"/>
                <w:color w:val="auto"/>
              </w:rPr>
              <w:t>changes in such equity securities will be recognized in the</w:t>
            </w:r>
          </w:p>
        </w:tc>
        <w:tc>
          <w:tcPr>
            <w:tcW w:w="0" w:type="dxa"/>
            <w:vAlign w:val="bottom"/>
          </w:tcPr>
          <w:p>
            <w:pPr>
              <w:spacing w:after="0"/>
              <w:rPr>
                <w:sz w:val="1"/>
                <w:szCs w:val="1"/>
                <w:color w:val="auto"/>
              </w:rPr>
            </w:pPr>
          </w:p>
        </w:tc>
      </w:tr>
      <w:tr>
        <w:trPr>
          <w:trHeight w:val="145"/>
        </w:trPr>
        <w:tc>
          <w:tcPr>
            <w:tcW w:w="1600" w:type="dxa"/>
            <w:vAlign w:val="bottom"/>
            <w:tcBorders>
              <w:left w:val="single" w:sz="8" w:color="auto"/>
              <w:right w:val="single" w:sz="8" w:color="auto"/>
            </w:tcBorders>
          </w:tcPr>
          <w:p>
            <w:pPr>
              <w:spacing w:after="0"/>
              <w:rPr>
                <w:sz w:val="12"/>
                <w:szCs w:val="12"/>
                <w:color w:val="auto"/>
              </w:rPr>
            </w:pPr>
          </w:p>
        </w:tc>
        <w:tc>
          <w:tcPr>
            <w:tcW w:w="4880" w:type="dxa"/>
            <w:vAlign w:val="bottom"/>
            <w:tcBorders>
              <w:right w:val="single" w:sz="8" w:color="auto"/>
            </w:tcBorders>
          </w:tcPr>
          <w:p>
            <w:pPr>
              <w:ind w:left="80"/>
              <w:spacing w:after="0" w:line="145" w:lineRule="exact"/>
              <w:rPr>
                <w:sz w:val="20"/>
                <w:szCs w:val="20"/>
                <w:color w:val="auto"/>
              </w:rPr>
            </w:pPr>
            <w:r>
              <w:rPr>
                <w:rFonts w:ascii="Arial" w:cs="Arial" w:eastAsia="Arial" w:hAnsi="Arial"/>
                <w:sz w:val="14"/>
                <w:szCs w:val="14"/>
                <w:color w:val="auto"/>
                <w:w w:val="92"/>
              </w:rPr>
              <w:t>financial instruments for disclosure purposes, and an entity to present separately in</w:t>
            </w:r>
          </w:p>
        </w:tc>
        <w:tc>
          <w:tcPr>
            <w:tcW w:w="1200" w:type="dxa"/>
            <w:vAlign w:val="bottom"/>
            <w:tcBorders>
              <w:right w:val="single" w:sz="8" w:color="auto"/>
            </w:tcBorders>
          </w:tcPr>
          <w:p>
            <w:pPr>
              <w:spacing w:after="0"/>
              <w:rPr>
                <w:sz w:val="12"/>
                <w:szCs w:val="12"/>
                <w:color w:val="auto"/>
              </w:rPr>
            </w:pPr>
          </w:p>
        </w:tc>
        <w:tc>
          <w:tcPr>
            <w:tcW w:w="3740" w:type="dxa"/>
            <w:vAlign w:val="bottom"/>
            <w:tcBorders>
              <w:right w:val="single" w:sz="8" w:color="auto"/>
            </w:tcBorders>
          </w:tcPr>
          <w:p>
            <w:pPr>
              <w:ind w:left="100"/>
              <w:spacing w:after="0" w:line="145" w:lineRule="exact"/>
              <w:rPr>
                <w:sz w:val="20"/>
                <w:szCs w:val="20"/>
                <w:color w:val="auto"/>
              </w:rPr>
            </w:pPr>
            <w:r>
              <w:rPr>
                <w:rFonts w:ascii="Arial" w:cs="Arial" w:eastAsia="Arial" w:hAnsi="Arial"/>
                <w:sz w:val="14"/>
                <w:szCs w:val="14"/>
                <w:color w:val="auto"/>
                <w:w w:val="94"/>
              </w:rPr>
              <w:t>consolidated statement of income as opposed to AOCI where</w:t>
            </w:r>
          </w:p>
        </w:tc>
        <w:tc>
          <w:tcPr>
            <w:tcW w:w="0" w:type="dxa"/>
            <w:vAlign w:val="bottom"/>
          </w:tcPr>
          <w:p>
            <w:pPr>
              <w:spacing w:after="0"/>
              <w:rPr>
                <w:sz w:val="1"/>
                <w:szCs w:val="1"/>
                <w:color w:val="auto"/>
              </w:rPr>
            </w:pPr>
          </w:p>
        </w:tc>
      </w:tr>
      <w:tr>
        <w:trPr>
          <w:trHeight w:val="145"/>
        </w:trPr>
        <w:tc>
          <w:tcPr>
            <w:tcW w:w="1600" w:type="dxa"/>
            <w:vAlign w:val="bottom"/>
            <w:tcBorders>
              <w:left w:val="single" w:sz="8" w:color="auto"/>
              <w:right w:val="single" w:sz="8" w:color="auto"/>
            </w:tcBorders>
          </w:tcPr>
          <w:p>
            <w:pPr>
              <w:spacing w:after="0"/>
              <w:rPr>
                <w:sz w:val="12"/>
                <w:szCs w:val="12"/>
                <w:color w:val="auto"/>
              </w:rPr>
            </w:pPr>
          </w:p>
        </w:tc>
        <w:tc>
          <w:tcPr>
            <w:tcW w:w="4880" w:type="dxa"/>
            <w:vAlign w:val="bottom"/>
            <w:tcBorders>
              <w:right w:val="single" w:sz="8" w:color="auto"/>
            </w:tcBorders>
          </w:tcPr>
          <w:p>
            <w:pPr>
              <w:ind w:left="80"/>
              <w:spacing w:after="0" w:line="145" w:lineRule="exact"/>
              <w:rPr>
                <w:sz w:val="20"/>
                <w:szCs w:val="20"/>
                <w:color w:val="auto"/>
              </w:rPr>
            </w:pPr>
            <w:r>
              <w:rPr>
                <w:rFonts w:ascii="Arial" w:cs="Arial" w:eastAsia="Arial" w:hAnsi="Arial"/>
                <w:sz w:val="14"/>
                <w:szCs w:val="14"/>
                <w:color w:val="auto"/>
                <w:w w:val="94"/>
              </w:rPr>
              <w:t>other comprehensive income a change in the instrument-specific credit risk when</w:t>
            </w:r>
          </w:p>
        </w:tc>
        <w:tc>
          <w:tcPr>
            <w:tcW w:w="1200" w:type="dxa"/>
            <w:vAlign w:val="bottom"/>
            <w:tcBorders>
              <w:right w:val="single" w:sz="8" w:color="auto"/>
            </w:tcBorders>
          </w:tcPr>
          <w:p>
            <w:pPr>
              <w:spacing w:after="0"/>
              <w:rPr>
                <w:sz w:val="12"/>
                <w:szCs w:val="12"/>
                <w:color w:val="auto"/>
              </w:rPr>
            </w:pPr>
          </w:p>
        </w:tc>
        <w:tc>
          <w:tcPr>
            <w:tcW w:w="3740" w:type="dxa"/>
            <w:vAlign w:val="bottom"/>
            <w:tcBorders>
              <w:right w:val="single" w:sz="8" w:color="auto"/>
            </w:tcBorders>
          </w:tcPr>
          <w:p>
            <w:pPr>
              <w:ind w:left="100"/>
              <w:spacing w:after="0" w:line="145" w:lineRule="exact"/>
              <w:rPr>
                <w:sz w:val="20"/>
                <w:szCs w:val="20"/>
                <w:color w:val="auto"/>
              </w:rPr>
            </w:pPr>
            <w:r>
              <w:rPr>
                <w:rFonts w:ascii="Arial" w:cs="Arial" w:eastAsia="Arial" w:hAnsi="Arial"/>
                <w:sz w:val="14"/>
                <w:szCs w:val="14"/>
                <w:color w:val="auto"/>
              </w:rPr>
              <w:t>they had been recognized under previous accounting</w:t>
            </w:r>
          </w:p>
        </w:tc>
        <w:tc>
          <w:tcPr>
            <w:tcW w:w="0" w:type="dxa"/>
            <w:vAlign w:val="bottom"/>
          </w:tcPr>
          <w:p>
            <w:pPr>
              <w:spacing w:after="0"/>
              <w:rPr>
                <w:sz w:val="1"/>
                <w:szCs w:val="1"/>
                <w:color w:val="auto"/>
              </w:rPr>
            </w:pPr>
          </w:p>
        </w:tc>
      </w:tr>
      <w:tr>
        <w:trPr>
          <w:trHeight w:val="145"/>
        </w:trPr>
        <w:tc>
          <w:tcPr>
            <w:tcW w:w="1600" w:type="dxa"/>
            <w:vAlign w:val="bottom"/>
            <w:tcBorders>
              <w:left w:val="single" w:sz="8" w:color="auto"/>
              <w:right w:val="single" w:sz="8" w:color="auto"/>
            </w:tcBorders>
          </w:tcPr>
          <w:p>
            <w:pPr>
              <w:spacing w:after="0"/>
              <w:rPr>
                <w:sz w:val="12"/>
                <w:szCs w:val="12"/>
                <w:color w:val="auto"/>
              </w:rPr>
            </w:pPr>
          </w:p>
        </w:tc>
        <w:tc>
          <w:tcPr>
            <w:tcW w:w="4880" w:type="dxa"/>
            <w:vAlign w:val="bottom"/>
            <w:tcBorders>
              <w:right w:val="single" w:sz="8" w:color="auto"/>
            </w:tcBorders>
          </w:tcPr>
          <w:p>
            <w:pPr>
              <w:ind w:left="80"/>
              <w:spacing w:after="0" w:line="145" w:lineRule="exact"/>
              <w:rPr>
                <w:sz w:val="20"/>
                <w:szCs w:val="20"/>
                <w:color w:val="auto"/>
              </w:rPr>
            </w:pPr>
            <w:r>
              <w:rPr>
                <w:rFonts w:ascii="Arial" w:cs="Arial" w:eastAsia="Arial" w:hAnsi="Arial"/>
                <w:sz w:val="14"/>
                <w:szCs w:val="14"/>
                <w:color w:val="auto"/>
                <w:w w:val="93"/>
              </w:rPr>
              <w:t>the entity has elected to measure a liability at fair value in accordance with the fair</w:t>
            </w:r>
          </w:p>
        </w:tc>
        <w:tc>
          <w:tcPr>
            <w:tcW w:w="1200" w:type="dxa"/>
            <w:vAlign w:val="bottom"/>
            <w:tcBorders>
              <w:right w:val="single" w:sz="8" w:color="auto"/>
            </w:tcBorders>
          </w:tcPr>
          <w:p>
            <w:pPr>
              <w:spacing w:after="0"/>
              <w:rPr>
                <w:sz w:val="12"/>
                <w:szCs w:val="12"/>
                <w:color w:val="auto"/>
              </w:rPr>
            </w:pPr>
          </w:p>
        </w:tc>
        <w:tc>
          <w:tcPr>
            <w:tcW w:w="3740" w:type="dxa"/>
            <w:vAlign w:val="bottom"/>
            <w:tcBorders>
              <w:right w:val="single" w:sz="8" w:color="auto"/>
            </w:tcBorders>
          </w:tcPr>
          <w:p>
            <w:pPr>
              <w:ind w:left="100"/>
              <w:spacing w:after="0" w:line="145" w:lineRule="exact"/>
              <w:rPr>
                <w:sz w:val="20"/>
                <w:szCs w:val="20"/>
                <w:color w:val="auto"/>
              </w:rPr>
            </w:pPr>
            <w:r>
              <w:rPr>
                <w:rFonts w:ascii="Arial" w:cs="Arial" w:eastAsia="Arial" w:hAnsi="Arial"/>
                <w:sz w:val="14"/>
                <w:szCs w:val="14"/>
                <w:color w:val="auto"/>
              </w:rPr>
              <w:t>guidance. Although those securities have historically</w:t>
            </w:r>
          </w:p>
        </w:tc>
        <w:tc>
          <w:tcPr>
            <w:tcW w:w="0" w:type="dxa"/>
            <w:vAlign w:val="bottom"/>
          </w:tcPr>
          <w:p>
            <w:pPr>
              <w:spacing w:after="0"/>
              <w:rPr>
                <w:sz w:val="1"/>
                <w:szCs w:val="1"/>
                <w:color w:val="auto"/>
              </w:rPr>
            </w:pPr>
          </w:p>
        </w:tc>
      </w:tr>
      <w:tr>
        <w:trPr>
          <w:trHeight w:val="145"/>
        </w:trPr>
        <w:tc>
          <w:tcPr>
            <w:tcW w:w="1600" w:type="dxa"/>
            <w:vAlign w:val="bottom"/>
            <w:tcBorders>
              <w:left w:val="single" w:sz="8" w:color="auto"/>
              <w:right w:val="single" w:sz="8" w:color="auto"/>
            </w:tcBorders>
          </w:tcPr>
          <w:p>
            <w:pPr>
              <w:spacing w:after="0"/>
              <w:rPr>
                <w:sz w:val="12"/>
                <w:szCs w:val="12"/>
                <w:color w:val="auto"/>
              </w:rPr>
            </w:pPr>
          </w:p>
        </w:tc>
        <w:tc>
          <w:tcPr>
            <w:tcW w:w="4880" w:type="dxa"/>
            <w:vAlign w:val="bottom"/>
            <w:tcBorders>
              <w:right w:val="single" w:sz="8" w:color="auto"/>
            </w:tcBorders>
          </w:tcPr>
          <w:p>
            <w:pPr>
              <w:ind w:left="80"/>
              <w:spacing w:after="0" w:line="145" w:lineRule="exact"/>
              <w:rPr>
                <w:sz w:val="20"/>
                <w:szCs w:val="20"/>
                <w:color w:val="auto"/>
              </w:rPr>
            </w:pPr>
            <w:r>
              <w:rPr>
                <w:rFonts w:ascii="Arial" w:cs="Arial" w:eastAsia="Arial" w:hAnsi="Arial"/>
                <w:sz w:val="14"/>
                <w:szCs w:val="14"/>
                <w:color w:val="auto"/>
              </w:rPr>
              <w:t>value option.</w:t>
            </w:r>
          </w:p>
        </w:tc>
        <w:tc>
          <w:tcPr>
            <w:tcW w:w="1200" w:type="dxa"/>
            <w:vAlign w:val="bottom"/>
            <w:tcBorders>
              <w:right w:val="single" w:sz="8" w:color="auto"/>
            </w:tcBorders>
          </w:tcPr>
          <w:p>
            <w:pPr>
              <w:spacing w:after="0"/>
              <w:rPr>
                <w:sz w:val="12"/>
                <w:szCs w:val="12"/>
                <w:color w:val="auto"/>
              </w:rPr>
            </w:pPr>
          </w:p>
        </w:tc>
        <w:tc>
          <w:tcPr>
            <w:tcW w:w="3740" w:type="dxa"/>
            <w:vAlign w:val="bottom"/>
            <w:tcBorders>
              <w:right w:val="single" w:sz="8" w:color="auto"/>
            </w:tcBorders>
          </w:tcPr>
          <w:p>
            <w:pPr>
              <w:ind w:left="100"/>
              <w:spacing w:after="0" w:line="145" w:lineRule="exact"/>
              <w:rPr>
                <w:sz w:val="20"/>
                <w:szCs w:val="20"/>
                <w:color w:val="auto"/>
              </w:rPr>
            </w:pPr>
            <w:r>
              <w:rPr>
                <w:rFonts w:ascii="Arial" w:cs="Arial" w:eastAsia="Arial" w:hAnsi="Arial"/>
                <w:sz w:val="14"/>
                <w:szCs w:val="14"/>
                <w:color w:val="auto"/>
              </w:rPr>
              <w:t>fluctuated in value, how those securities could change in</w:t>
            </w:r>
          </w:p>
        </w:tc>
        <w:tc>
          <w:tcPr>
            <w:tcW w:w="0" w:type="dxa"/>
            <w:vAlign w:val="bottom"/>
          </w:tcPr>
          <w:p>
            <w:pPr>
              <w:spacing w:after="0"/>
              <w:rPr>
                <w:sz w:val="1"/>
                <w:szCs w:val="1"/>
                <w:color w:val="auto"/>
              </w:rPr>
            </w:pPr>
          </w:p>
        </w:tc>
      </w:tr>
      <w:tr>
        <w:trPr>
          <w:trHeight w:val="163"/>
        </w:trPr>
        <w:tc>
          <w:tcPr>
            <w:tcW w:w="1600" w:type="dxa"/>
            <w:vAlign w:val="bottom"/>
            <w:tcBorders>
              <w:left w:val="single" w:sz="8" w:color="auto"/>
              <w:bottom w:val="single" w:sz="8" w:color="auto"/>
              <w:right w:val="single" w:sz="8" w:color="auto"/>
            </w:tcBorders>
          </w:tcPr>
          <w:p>
            <w:pPr>
              <w:spacing w:after="0"/>
              <w:rPr>
                <w:sz w:val="14"/>
                <w:szCs w:val="14"/>
                <w:color w:val="auto"/>
              </w:rPr>
            </w:pPr>
          </w:p>
        </w:tc>
        <w:tc>
          <w:tcPr>
            <w:tcW w:w="4880" w:type="dxa"/>
            <w:vAlign w:val="bottom"/>
            <w:tcBorders>
              <w:bottom w:val="single" w:sz="8" w:color="auto"/>
              <w:right w:val="single" w:sz="8" w:color="auto"/>
            </w:tcBorders>
          </w:tcPr>
          <w:p>
            <w:pPr>
              <w:spacing w:after="0"/>
              <w:rPr>
                <w:sz w:val="14"/>
                <w:szCs w:val="14"/>
                <w:color w:val="auto"/>
              </w:rPr>
            </w:pPr>
          </w:p>
        </w:tc>
        <w:tc>
          <w:tcPr>
            <w:tcW w:w="1200" w:type="dxa"/>
            <w:vAlign w:val="bottom"/>
            <w:tcBorders>
              <w:bottom w:val="single" w:sz="8" w:color="auto"/>
              <w:right w:val="single" w:sz="8" w:color="auto"/>
            </w:tcBorders>
          </w:tcPr>
          <w:p>
            <w:pPr>
              <w:spacing w:after="0"/>
              <w:rPr>
                <w:sz w:val="14"/>
                <w:szCs w:val="14"/>
                <w:color w:val="auto"/>
              </w:rPr>
            </w:pPr>
          </w:p>
        </w:tc>
        <w:tc>
          <w:tcPr>
            <w:tcW w:w="37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value in the future is not predictable.</w:t>
            </w:r>
          </w:p>
        </w:tc>
        <w:tc>
          <w:tcPr>
            <w:tcW w:w="0" w:type="dxa"/>
            <w:vAlign w:val="bottom"/>
          </w:tcPr>
          <w:p>
            <w:pPr>
              <w:spacing w:after="0"/>
              <w:rPr>
                <w:sz w:val="1"/>
                <w:szCs w:val="1"/>
                <w:color w:val="auto"/>
              </w:rPr>
            </w:pPr>
          </w:p>
        </w:tc>
      </w:tr>
      <w:tr>
        <w:trPr>
          <w:trHeight w:val="277"/>
        </w:trPr>
        <w:tc>
          <w:tcPr>
            <w:tcW w:w="1600" w:type="dxa"/>
            <w:vAlign w:val="bottom"/>
            <w:tcBorders>
              <w:left w:val="single" w:sz="8" w:color="auto"/>
              <w:right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Improvements to</w:t>
            </w:r>
          </w:p>
        </w:tc>
        <w:tc>
          <w:tcPr>
            <w:tcW w:w="4880" w:type="dxa"/>
            <w:vAlign w:val="bottom"/>
            <w:tcBorders>
              <w:right w:val="single" w:sz="8" w:color="auto"/>
            </w:tcBorders>
            <w:shd w:val="clear" w:color="auto" w:fill="CFF0FC"/>
          </w:tcPr>
          <w:p>
            <w:pPr>
              <w:ind w:left="80"/>
              <w:spacing w:after="0"/>
              <w:rPr>
                <w:sz w:val="20"/>
                <w:szCs w:val="20"/>
                <w:color w:val="auto"/>
              </w:rPr>
            </w:pPr>
            <w:r>
              <w:rPr>
                <w:rFonts w:ascii="Arial" w:cs="Arial" w:eastAsia="Arial" w:hAnsi="Arial"/>
                <w:sz w:val="14"/>
                <w:szCs w:val="14"/>
                <w:color w:val="auto"/>
                <w:w w:val="96"/>
              </w:rPr>
              <w:t>The amended guidance expands and clarifies hedge accounting for nonfinancial</w:t>
            </w:r>
          </w:p>
        </w:tc>
        <w:tc>
          <w:tcPr>
            <w:tcW w:w="1200" w:type="dxa"/>
            <w:vAlign w:val="bottom"/>
            <w:tcBorders>
              <w:right w:val="single" w:sz="8" w:color="auto"/>
            </w:tcBorders>
            <w:shd w:val="clear" w:color="auto" w:fill="CFF0FC"/>
          </w:tcPr>
          <w:p>
            <w:pPr>
              <w:ind w:left="80"/>
              <w:spacing w:after="0"/>
              <w:rPr>
                <w:sz w:val="20"/>
                <w:szCs w:val="20"/>
                <w:color w:val="auto"/>
              </w:rPr>
            </w:pPr>
            <w:r>
              <w:rPr>
                <w:rFonts w:ascii="Arial" w:cs="Arial" w:eastAsia="Arial" w:hAnsi="Arial"/>
                <w:sz w:val="14"/>
                <w:szCs w:val="14"/>
                <w:color w:val="auto"/>
              </w:rPr>
              <w:t>January 1, 2019</w:t>
            </w:r>
          </w:p>
        </w:tc>
        <w:tc>
          <w:tcPr>
            <w:tcW w:w="3740" w:type="dxa"/>
            <w:vAlign w:val="bottom"/>
            <w:tcBorders>
              <w:right w:val="single" w:sz="8" w:color="auto"/>
            </w:tcBorders>
            <w:shd w:val="clear" w:color="auto" w:fill="CFF0FC"/>
          </w:tcPr>
          <w:p>
            <w:pPr>
              <w:ind w:left="100"/>
              <w:spacing w:after="0"/>
              <w:rPr>
                <w:sz w:val="20"/>
                <w:szCs w:val="20"/>
                <w:color w:val="auto"/>
              </w:rPr>
            </w:pPr>
            <w:r>
              <w:rPr>
                <w:rFonts w:ascii="Arial" w:cs="Arial" w:eastAsia="Arial" w:hAnsi="Arial"/>
                <w:sz w:val="14"/>
                <w:szCs w:val="14"/>
                <w:color w:val="auto"/>
                <w:w w:val="95"/>
              </w:rPr>
              <w:t>The Company adopted the amended guidance on January 1,</w:t>
            </w:r>
          </w:p>
        </w:tc>
        <w:tc>
          <w:tcPr>
            <w:tcW w:w="0" w:type="dxa"/>
            <w:vAlign w:val="bottom"/>
          </w:tcPr>
          <w:p>
            <w:pPr>
              <w:spacing w:after="0"/>
              <w:rPr>
                <w:sz w:val="1"/>
                <w:szCs w:val="1"/>
                <w:color w:val="auto"/>
              </w:rPr>
            </w:pPr>
          </w:p>
        </w:tc>
      </w:tr>
      <w:tr>
        <w:trPr>
          <w:trHeight w:val="145"/>
        </w:trPr>
        <w:tc>
          <w:tcPr>
            <w:tcW w:w="1600" w:type="dxa"/>
            <w:vAlign w:val="bottom"/>
            <w:tcBorders>
              <w:left w:val="single" w:sz="8" w:color="auto"/>
              <w:right w:val="single" w:sz="8" w:color="auto"/>
            </w:tcBorders>
            <w:shd w:val="clear" w:color="auto" w:fill="CFF0FC"/>
          </w:tcPr>
          <w:p>
            <w:pPr>
              <w:ind w:left="20"/>
              <w:spacing w:after="0" w:line="145" w:lineRule="exact"/>
              <w:rPr>
                <w:sz w:val="20"/>
                <w:szCs w:val="20"/>
                <w:color w:val="auto"/>
              </w:rPr>
            </w:pPr>
            <w:r>
              <w:rPr>
                <w:rFonts w:ascii="Arial" w:cs="Arial" w:eastAsia="Arial" w:hAnsi="Arial"/>
                <w:sz w:val="14"/>
                <w:szCs w:val="14"/>
                <w:color w:val="auto"/>
              </w:rPr>
              <w:t>Accounting for Hedging</w:t>
            </w:r>
          </w:p>
        </w:tc>
        <w:tc>
          <w:tcPr>
            <w:tcW w:w="4880" w:type="dxa"/>
            <w:vAlign w:val="bottom"/>
            <w:tcBorders>
              <w:right w:val="single" w:sz="8" w:color="auto"/>
            </w:tcBorders>
            <w:shd w:val="clear" w:color="auto" w:fill="CFF0FC"/>
          </w:tcPr>
          <w:p>
            <w:pPr>
              <w:ind w:left="80"/>
              <w:spacing w:after="0" w:line="145" w:lineRule="exact"/>
              <w:rPr>
                <w:sz w:val="20"/>
                <w:szCs w:val="20"/>
                <w:color w:val="auto"/>
              </w:rPr>
            </w:pPr>
            <w:r>
              <w:rPr>
                <w:rFonts w:ascii="Arial" w:cs="Arial" w:eastAsia="Arial" w:hAnsi="Arial"/>
                <w:sz w:val="14"/>
                <w:szCs w:val="14"/>
                <w:color w:val="auto"/>
              </w:rPr>
              <w:t>and financial risk components, aligns the recognition and presentation of the</w:t>
            </w:r>
          </w:p>
        </w:tc>
        <w:tc>
          <w:tcPr>
            <w:tcW w:w="1200" w:type="dxa"/>
            <w:vAlign w:val="bottom"/>
            <w:tcBorders>
              <w:right w:val="single" w:sz="8" w:color="auto"/>
            </w:tcBorders>
            <w:shd w:val="clear" w:color="auto" w:fill="CFF0FC"/>
          </w:tcPr>
          <w:p>
            <w:pPr>
              <w:spacing w:after="0"/>
              <w:rPr>
                <w:sz w:val="12"/>
                <w:szCs w:val="12"/>
                <w:color w:val="auto"/>
              </w:rPr>
            </w:pPr>
          </w:p>
        </w:tc>
        <w:tc>
          <w:tcPr>
            <w:tcW w:w="3740" w:type="dxa"/>
            <w:vAlign w:val="bottom"/>
            <w:tcBorders>
              <w:right w:val="single" w:sz="8" w:color="auto"/>
            </w:tcBorders>
            <w:shd w:val="clear" w:color="auto" w:fill="CFF0FC"/>
          </w:tcPr>
          <w:p>
            <w:pPr>
              <w:ind w:left="100"/>
              <w:spacing w:after="0" w:line="145" w:lineRule="exact"/>
              <w:rPr>
                <w:sz w:val="20"/>
                <w:szCs w:val="20"/>
                <w:color w:val="auto"/>
              </w:rPr>
            </w:pPr>
            <w:r>
              <w:rPr>
                <w:rFonts w:ascii="Arial" w:cs="Arial" w:eastAsia="Arial" w:hAnsi="Arial"/>
                <w:sz w:val="14"/>
                <w:szCs w:val="14"/>
                <w:color w:val="auto"/>
                <w:w w:val="95"/>
              </w:rPr>
              <w:t>2018 and does not expect such adoption will have a material</w:t>
            </w:r>
          </w:p>
        </w:tc>
        <w:tc>
          <w:tcPr>
            <w:tcW w:w="0" w:type="dxa"/>
            <w:vAlign w:val="bottom"/>
          </w:tcPr>
          <w:p>
            <w:pPr>
              <w:spacing w:after="0"/>
              <w:rPr>
                <w:sz w:val="1"/>
                <w:szCs w:val="1"/>
                <w:color w:val="auto"/>
              </w:rPr>
            </w:pPr>
          </w:p>
        </w:tc>
      </w:tr>
      <w:tr>
        <w:trPr>
          <w:trHeight w:val="145"/>
        </w:trPr>
        <w:tc>
          <w:tcPr>
            <w:tcW w:w="1600" w:type="dxa"/>
            <w:vAlign w:val="bottom"/>
            <w:tcBorders>
              <w:left w:val="single" w:sz="8" w:color="auto"/>
              <w:right w:val="single" w:sz="8" w:color="auto"/>
            </w:tcBorders>
            <w:shd w:val="clear" w:color="auto" w:fill="CFF0FC"/>
          </w:tcPr>
          <w:p>
            <w:pPr>
              <w:ind w:left="20"/>
              <w:spacing w:after="0" w:line="145" w:lineRule="exact"/>
              <w:rPr>
                <w:sz w:val="20"/>
                <w:szCs w:val="20"/>
                <w:color w:val="auto"/>
              </w:rPr>
            </w:pPr>
            <w:r>
              <w:rPr>
                <w:rFonts w:ascii="Arial" w:cs="Arial" w:eastAsia="Arial" w:hAnsi="Arial"/>
                <w:sz w:val="14"/>
                <w:szCs w:val="14"/>
                <w:color w:val="auto"/>
              </w:rPr>
              <w:t>Activities</w:t>
            </w:r>
          </w:p>
        </w:tc>
        <w:tc>
          <w:tcPr>
            <w:tcW w:w="4880" w:type="dxa"/>
            <w:vAlign w:val="bottom"/>
            <w:tcBorders>
              <w:right w:val="single" w:sz="8" w:color="auto"/>
            </w:tcBorders>
            <w:shd w:val="clear" w:color="auto" w:fill="CFF0FC"/>
          </w:tcPr>
          <w:p>
            <w:pPr>
              <w:ind w:left="80"/>
              <w:spacing w:after="0" w:line="145" w:lineRule="exact"/>
              <w:rPr>
                <w:sz w:val="20"/>
                <w:szCs w:val="20"/>
                <w:color w:val="auto"/>
              </w:rPr>
            </w:pPr>
            <w:r>
              <w:rPr>
                <w:rFonts w:ascii="Arial" w:cs="Arial" w:eastAsia="Arial" w:hAnsi="Arial"/>
                <w:sz w:val="14"/>
                <w:szCs w:val="14"/>
                <w:color w:val="auto"/>
                <w:w w:val="93"/>
              </w:rPr>
              <w:t>effects of the hedging instrument and hedged item in the financial statements, and</w:t>
            </w:r>
          </w:p>
        </w:tc>
        <w:tc>
          <w:tcPr>
            <w:tcW w:w="1200" w:type="dxa"/>
            <w:vAlign w:val="bottom"/>
            <w:tcBorders>
              <w:right w:val="single" w:sz="8" w:color="auto"/>
            </w:tcBorders>
            <w:shd w:val="clear" w:color="auto" w:fill="CFF0FC"/>
          </w:tcPr>
          <w:p>
            <w:pPr>
              <w:ind w:left="80"/>
              <w:spacing w:after="0" w:line="145" w:lineRule="exact"/>
              <w:rPr>
                <w:sz w:val="20"/>
                <w:szCs w:val="20"/>
                <w:color w:val="auto"/>
              </w:rPr>
            </w:pPr>
            <w:r>
              <w:rPr>
                <w:rFonts w:ascii="Arial" w:cs="Arial" w:eastAsia="Arial" w:hAnsi="Arial"/>
                <w:sz w:val="14"/>
                <w:szCs w:val="14"/>
                <w:color w:val="auto"/>
              </w:rPr>
              <w:t>Early adoption</w:t>
            </w:r>
          </w:p>
        </w:tc>
        <w:tc>
          <w:tcPr>
            <w:tcW w:w="3740" w:type="dxa"/>
            <w:vAlign w:val="bottom"/>
            <w:tcBorders>
              <w:right w:val="single" w:sz="8" w:color="auto"/>
            </w:tcBorders>
            <w:shd w:val="clear" w:color="auto" w:fill="CFF0FC"/>
          </w:tcPr>
          <w:p>
            <w:pPr>
              <w:ind w:left="100"/>
              <w:spacing w:after="0" w:line="145" w:lineRule="exact"/>
              <w:rPr>
                <w:sz w:val="20"/>
                <w:szCs w:val="20"/>
                <w:color w:val="auto"/>
              </w:rPr>
            </w:pPr>
            <w:r>
              <w:rPr>
                <w:rFonts w:ascii="Arial" w:cs="Arial" w:eastAsia="Arial" w:hAnsi="Arial"/>
                <w:sz w:val="14"/>
                <w:szCs w:val="14"/>
                <w:color w:val="auto"/>
              </w:rPr>
              <w:t>impact on its consolidated financial statements.</w:t>
            </w:r>
          </w:p>
        </w:tc>
        <w:tc>
          <w:tcPr>
            <w:tcW w:w="0" w:type="dxa"/>
            <w:vAlign w:val="bottom"/>
          </w:tcPr>
          <w:p>
            <w:pPr>
              <w:spacing w:after="0"/>
              <w:rPr>
                <w:sz w:val="1"/>
                <w:szCs w:val="1"/>
                <w:color w:val="auto"/>
              </w:rPr>
            </w:pPr>
          </w:p>
        </w:tc>
      </w:tr>
      <w:tr>
        <w:trPr>
          <w:trHeight w:val="163"/>
        </w:trPr>
        <w:tc>
          <w:tcPr>
            <w:tcW w:w="1600" w:type="dxa"/>
            <w:vAlign w:val="bottom"/>
            <w:tcBorders>
              <w:left w:val="single" w:sz="8" w:color="auto"/>
              <w:bottom w:val="single" w:sz="8" w:color="auto"/>
              <w:right w:val="single" w:sz="8" w:color="auto"/>
            </w:tcBorders>
            <w:shd w:val="clear" w:color="auto" w:fill="CFF0FC"/>
          </w:tcPr>
          <w:p>
            <w:pPr>
              <w:spacing w:after="0"/>
              <w:rPr>
                <w:sz w:val="14"/>
                <w:szCs w:val="14"/>
                <w:color w:val="auto"/>
              </w:rPr>
            </w:pPr>
          </w:p>
        </w:tc>
        <w:tc>
          <w:tcPr>
            <w:tcW w:w="4880" w:type="dxa"/>
            <w:vAlign w:val="bottom"/>
            <w:tcBorders>
              <w:bottom w:val="single" w:sz="8" w:color="auto"/>
              <w:right w:val="single" w:sz="8" w:color="auto"/>
            </w:tcBorders>
            <w:shd w:val="clear" w:color="auto" w:fill="CFF0FC"/>
          </w:tcPr>
          <w:p>
            <w:pPr>
              <w:ind w:left="80"/>
              <w:spacing w:after="0"/>
              <w:rPr>
                <w:sz w:val="20"/>
                <w:szCs w:val="20"/>
                <w:color w:val="auto"/>
              </w:rPr>
            </w:pPr>
            <w:r>
              <w:rPr>
                <w:rFonts w:ascii="Arial" w:cs="Arial" w:eastAsia="Arial" w:hAnsi="Arial"/>
                <w:sz w:val="14"/>
                <w:szCs w:val="14"/>
                <w:color w:val="auto"/>
                <w:w w:val="95"/>
              </w:rPr>
              <w:t>simplifies the requirements for assessing effectiveness in a hedging relationship.</w:t>
            </w:r>
          </w:p>
        </w:tc>
        <w:tc>
          <w:tcPr>
            <w:tcW w:w="1200" w:type="dxa"/>
            <w:vAlign w:val="bottom"/>
            <w:tcBorders>
              <w:bottom w:val="single" w:sz="8" w:color="auto"/>
              <w:right w:val="single" w:sz="8" w:color="auto"/>
            </w:tcBorders>
            <w:shd w:val="clear" w:color="auto" w:fill="CFF0FC"/>
          </w:tcPr>
          <w:p>
            <w:pPr>
              <w:ind w:left="80"/>
              <w:spacing w:after="0"/>
              <w:rPr>
                <w:sz w:val="20"/>
                <w:szCs w:val="20"/>
                <w:color w:val="auto"/>
              </w:rPr>
            </w:pPr>
            <w:r>
              <w:rPr>
                <w:rFonts w:ascii="Arial" w:cs="Arial" w:eastAsia="Arial" w:hAnsi="Arial"/>
                <w:sz w:val="14"/>
                <w:szCs w:val="14"/>
                <w:color w:val="auto"/>
              </w:rPr>
              <w:t>permitted</w:t>
            </w:r>
          </w:p>
        </w:tc>
        <w:tc>
          <w:tcPr>
            <w:tcW w:w="3740" w:type="dxa"/>
            <w:vAlign w:val="bottom"/>
            <w:tcBorders>
              <w:bottom w:val="single" w:sz="8" w:color="auto"/>
              <w:right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16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Improving the</w:t>
            </w:r>
          </w:p>
        </w:tc>
        <w:tc>
          <w:tcPr>
            <w:tcW w:w="488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w w:val="96"/>
              </w:rPr>
              <w:t>The amended guidance requires the service cost component of the net periodic</w:t>
            </w:r>
          </w:p>
        </w:tc>
        <w:tc>
          <w:tcPr>
            <w:tcW w:w="120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January 1, 2018</w:t>
            </w:r>
          </w:p>
        </w:tc>
        <w:tc>
          <w:tcPr>
            <w:tcW w:w="374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The Company adopted the new reporting requirements</w:t>
            </w:r>
          </w:p>
        </w:tc>
        <w:tc>
          <w:tcPr>
            <w:tcW w:w="0" w:type="dxa"/>
            <w:vAlign w:val="bottom"/>
          </w:tcPr>
          <w:p>
            <w:pPr>
              <w:spacing w:after="0"/>
              <w:rPr>
                <w:sz w:val="1"/>
                <w:szCs w:val="1"/>
                <w:color w:val="auto"/>
              </w:rPr>
            </w:pPr>
          </w:p>
        </w:tc>
      </w:tr>
      <w:tr>
        <w:trPr>
          <w:trHeight w:val="145"/>
        </w:trPr>
        <w:tc>
          <w:tcPr>
            <w:tcW w:w="1600" w:type="dxa"/>
            <w:vAlign w:val="bottom"/>
            <w:tcBorders>
              <w:left w:val="single" w:sz="8" w:color="auto"/>
              <w:right w:val="single" w:sz="8" w:color="auto"/>
            </w:tcBorders>
          </w:tcPr>
          <w:p>
            <w:pPr>
              <w:ind w:left="20"/>
              <w:spacing w:after="0" w:line="145" w:lineRule="exact"/>
              <w:rPr>
                <w:sz w:val="20"/>
                <w:szCs w:val="20"/>
                <w:color w:val="auto"/>
              </w:rPr>
            </w:pPr>
            <w:r>
              <w:rPr>
                <w:rFonts w:ascii="Arial" w:cs="Arial" w:eastAsia="Arial" w:hAnsi="Arial"/>
                <w:sz w:val="14"/>
                <w:szCs w:val="14"/>
                <w:color w:val="auto"/>
              </w:rPr>
              <w:t>Presentation of Net</w:t>
            </w:r>
          </w:p>
        </w:tc>
        <w:tc>
          <w:tcPr>
            <w:tcW w:w="4880" w:type="dxa"/>
            <w:vAlign w:val="bottom"/>
            <w:tcBorders>
              <w:right w:val="single" w:sz="8" w:color="auto"/>
            </w:tcBorders>
          </w:tcPr>
          <w:p>
            <w:pPr>
              <w:ind w:left="80"/>
              <w:spacing w:after="0" w:line="145" w:lineRule="exact"/>
              <w:rPr>
                <w:sz w:val="20"/>
                <w:szCs w:val="20"/>
                <w:color w:val="auto"/>
              </w:rPr>
            </w:pPr>
            <w:r>
              <w:rPr>
                <w:rFonts w:ascii="Arial" w:cs="Arial" w:eastAsia="Arial" w:hAnsi="Arial"/>
                <w:sz w:val="14"/>
                <w:szCs w:val="14"/>
                <w:color w:val="auto"/>
                <w:w w:val="91"/>
              </w:rPr>
              <w:t>pension cost and net periodic postretirement benefit cost to be reported in the same</w:t>
            </w:r>
          </w:p>
        </w:tc>
        <w:tc>
          <w:tcPr>
            <w:tcW w:w="1200" w:type="dxa"/>
            <w:vAlign w:val="bottom"/>
            <w:tcBorders>
              <w:right w:val="single" w:sz="8" w:color="auto"/>
            </w:tcBorders>
          </w:tcPr>
          <w:p>
            <w:pPr>
              <w:spacing w:after="0"/>
              <w:rPr>
                <w:sz w:val="12"/>
                <w:szCs w:val="12"/>
                <w:color w:val="auto"/>
              </w:rPr>
            </w:pPr>
          </w:p>
        </w:tc>
        <w:tc>
          <w:tcPr>
            <w:tcW w:w="3740" w:type="dxa"/>
            <w:vAlign w:val="bottom"/>
            <w:tcBorders>
              <w:right w:val="single" w:sz="8" w:color="auto"/>
            </w:tcBorders>
          </w:tcPr>
          <w:p>
            <w:pPr>
              <w:ind w:left="100"/>
              <w:spacing w:after="0" w:line="145" w:lineRule="exact"/>
              <w:rPr>
                <w:sz w:val="20"/>
                <w:szCs w:val="20"/>
                <w:color w:val="auto"/>
              </w:rPr>
            </w:pPr>
            <w:r>
              <w:rPr>
                <w:rFonts w:ascii="Arial" w:cs="Arial" w:eastAsia="Arial" w:hAnsi="Arial"/>
                <w:sz w:val="14"/>
                <w:szCs w:val="14"/>
                <w:color w:val="auto"/>
              </w:rPr>
              <w:t>effective January 1, 2018. The Company has previously</w:t>
            </w:r>
          </w:p>
        </w:tc>
        <w:tc>
          <w:tcPr>
            <w:tcW w:w="0" w:type="dxa"/>
            <w:vAlign w:val="bottom"/>
          </w:tcPr>
          <w:p>
            <w:pPr>
              <w:spacing w:after="0"/>
              <w:rPr>
                <w:sz w:val="1"/>
                <w:szCs w:val="1"/>
                <w:color w:val="auto"/>
              </w:rPr>
            </w:pPr>
          </w:p>
        </w:tc>
      </w:tr>
      <w:tr>
        <w:trPr>
          <w:trHeight w:val="145"/>
        </w:trPr>
        <w:tc>
          <w:tcPr>
            <w:tcW w:w="1600" w:type="dxa"/>
            <w:vAlign w:val="bottom"/>
            <w:tcBorders>
              <w:left w:val="single" w:sz="8" w:color="auto"/>
              <w:right w:val="single" w:sz="8" w:color="auto"/>
            </w:tcBorders>
          </w:tcPr>
          <w:p>
            <w:pPr>
              <w:ind w:left="20"/>
              <w:spacing w:after="0" w:line="145" w:lineRule="exact"/>
              <w:rPr>
                <w:sz w:val="20"/>
                <w:szCs w:val="20"/>
                <w:color w:val="auto"/>
              </w:rPr>
            </w:pPr>
            <w:r>
              <w:rPr>
                <w:rFonts w:ascii="Arial" w:cs="Arial" w:eastAsia="Arial" w:hAnsi="Arial"/>
                <w:sz w:val="14"/>
                <w:szCs w:val="14"/>
                <w:color w:val="auto"/>
              </w:rPr>
              <w:t>Periodic Pension Cost</w:t>
            </w:r>
          </w:p>
        </w:tc>
        <w:tc>
          <w:tcPr>
            <w:tcW w:w="4880" w:type="dxa"/>
            <w:vAlign w:val="bottom"/>
            <w:tcBorders>
              <w:right w:val="single" w:sz="8" w:color="auto"/>
            </w:tcBorders>
          </w:tcPr>
          <w:p>
            <w:pPr>
              <w:ind w:left="80"/>
              <w:spacing w:after="0" w:line="145" w:lineRule="exact"/>
              <w:rPr>
                <w:sz w:val="20"/>
                <w:szCs w:val="20"/>
                <w:color w:val="auto"/>
              </w:rPr>
            </w:pPr>
            <w:r>
              <w:rPr>
                <w:rFonts w:ascii="Arial" w:cs="Arial" w:eastAsia="Arial" w:hAnsi="Arial"/>
                <w:sz w:val="14"/>
                <w:szCs w:val="14"/>
                <w:color w:val="auto"/>
              </w:rPr>
              <w:t>line item in the income statement as other compensation costs arising from</w:t>
            </w:r>
          </w:p>
        </w:tc>
        <w:tc>
          <w:tcPr>
            <w:tcW w:w="1200" w:type="dxa"/>
            <w:vAlign w:val="bottom"/>
            <w:tcBorders>
              <w:right w:val="single" w:sz="8" w:color="auto"/>
            </w:tcBorders>
          </w:tcPr>
          <w:p>
            <w:pPr>
              <w:spacing w:after="0"/>
              <w:rPr>
                <w:sz w:val="12"/>
                <w:szCs w:val="12"/>
                <w:color w:val="auto"/>
              </w:rPr>
            </w:pPr>
          </w:p>
        </w:tc>
        <w:tc>
          <w:tcPr>
            <w:tcW w:w="3740" w:type="dxa"/>
            <w:vAlign w:val="bottom"/>
            <w:tcBorders>
              <w:right w:val="single" w:sz="8" w:color="auto"/>
            </w:tcBorders>
          </w:tcPr>
          <w:p>
            <w:pPr>
              <w:ind w:left="100"/>
              <w:spacing w:after="0" w:line="145" w:lineRule="exact"/>
              <w:rPr>
                <w:sz w:val="20"/>
                <w:szCs w:val="20"/>
                <w:color w:val="auto"/>
              </w:rPr>
            </w:pPr>
            <w:r>
              <w:rPr>
                <w:rFonts w:ascii="Arial" w:cs="Arial" w:eastAsia="Arial" w:hAnsi="Arial"/>
                <w:sz w:val="14"/>
                <w:szCs w:val="14"/>
                <w:color w:val="auto"/>
              </w:rPr>
              <w:t>reported all of its net periodic pension and postretirement</w:t>
            </w:r>
          </w:p>
        </w:tc>
        <w:tc>
          <w:tcPr>
            <w:tcW w:w="0" w:type="dxa"/>
            <w:vAlign w:val="bottom"/>
          </w:tcPr>
          <w:p>
            <w:pPr>
              <w:spacing w:after="0"/>
              <w:rPr>
                <w:sz w:val="1"/>
                <w:szCs w:val="1"/>
                <w:color w:val="auto"/>
              </w:rPr>
            </w:pPr>
          </w:p>
        </w:tc>
      </w:tr>
      <w:tr>
        <w:trPr>
          <w:trHeight w:val="145"/>
        </w:trPr>
        <w:tc>
          <w:tcPr>
            <w:tcW w:w="1600" w:type="dxa"/>
            <w:vAlign w:val="bottom"/>
            <w:tcBorders>
              <w:left w:val="single" w:sz="8" w:color="auto"/>
              <w:right w:val="single" w:sz="8" w:color="auto"/>
            </w:tcBorders>
          </w:tcPr>
          <w:p>
            <w:pPr>
              <w:ind w:left="20"/>
              <w:spacing w:after="0" w:line="145" w:lineRule="exact"/>
              <w:rPr>
                <w:sz w:val="20"/>
                <w:szCs w:val="20"/>
                <w:color w:val="auto"/>
              </w:rPr>
            </w:pPr>
            <w:r>
              <w:rPr>
                <w:rFonts w:ascii="Arial" w:cs="Arial" w:eastAsia="Arial" w:hAnsi="Arial"/>
                <w:sz w:val="14"/>
                <w:szCs w:val="14"/>
                <w:color w:val="auto"/>
              </w:rPr>
              <w:t>and Net Periodic</w:t>
            </w:r>
          </w:p>
        </w:tc>
        <w:tc>
          <w:tcPr>
            <w:tcW w:w="4880" w:type="dxa"/>
            <w:vAlign w:val="bottom"/>
            <w:tcBorders>
              <w:right w:val="single" w:sz="8" w:color="auto"/>
            </w:tcBorders>
          </w:tcPr>
          <w:p>
            <w:pPr>
              <w:ind w:left="80"/>
              <w:spacing w:after="0" w:line="145" w:lineRule="exact"/>
              <w:rPr>
                <w:sz w:val="20"/>
                <w:szCs w:val="20"/>
                <w:color w:val="auto"/>
              </w:rPr>
            </w:pPr>
            <w:r>
              <w:rPr>
                <w:rFonts w:ascii="Arial" w:cs="Arial" w:eastAsia="Arial" w:hAnsi="Arial"/>
                <w:sz w:val="14"/>
                <w:szCs w:val="14"/>
                <w:color w:val="auto"/>
                <w:w w:val="93"/>
              </w:rPr>
              <w:t>services rendered by the pertinent employees during the period. The amendments</w:t>
            </w:r>
          </w:p>
        </w:tc>
        <w:tc>
          <w:tcPr>
            <w:tcW w:w="1200" w:type="dxa"/>
            <w:vAlign w:val="bottom"/>
            <w:tcBorders>
              <w:right w:val="single" w:sz="8" w:color="auto"/>
            </w:tcBorders>
          </w:tcPr>
          <w:p>
            <w:pPr>
              <w:spacing w:after="0"/>
              <w:rPr>
                <w:sz w:val="12"/>
                <w:szCs w:val="12"/>
                <w:color w:val="auto"/>
              </w:rPr>
            </w:pPr>
          </w:p>
        </w:tc>
        <w:tc>
          <w:tcPr>
            <w:tcW w:w="3740" w:type="dxa"/>
            <w:vAlign w:val="bottom"/>
            <w:tcBorders>
              <w:right w:val="single" w:sz="8" w:color="auto"/>
            </w:tcBorders>
          </w:tcPr>
          <w:p>
            <w:pPr>
              <w:ind w:left="100"/>
              <w:spacing w:after="0" w:line="145" w:lineRule="exact"/>
              <w:rPr>
                <w:sz w:val="20"/>
                <w:szCs w:val="20"/>
                <w:color w:val="auto"/>
              </w:rPr>
            </w:pPr>
            <w:r>
              <w:rPr>
                <w:rFonts w:ascii="Arial" w:cs="Arial" w:eastAsia="Arial" w:hAnsi="Arial"/>
                <w:sz w:val="14"/>
                <w:szCs w:val="14"/>
                <w:color w:val="auto"/>
              </w:rPr>
              <w:t>benefit costs in salaries and employee benefits within the</w:t>
            </w:r>
          </w:p>
        </w:tc>
        <w:tc>
          <w:tcPr>
            <w:tcW w:w="0" w:type="dxa"/>
            <w:vAlign w:val="bottom"/>
          </w:tcPr>
          <w:p>
            <w:pPr>
              <w:spacing w:after="0"/>
              <w:rPr>
                <w:sz w:val="1"/>
                <w:szCs w:val="1"/>
                <w:color w:val="auto"/>
              </w:rPr>
            </w:pPr>
          </w:p>
        </w:tc>
      </w:tr>
      <w:tr>
        <w:trPr>
          <w:trHeight w:val="145"/>
        </w:trPr>
        <w:tc>
          <w:tcPr>
            <w:tcW w:w="1600" w:type="dxa"/>
            <w:vAlign w:val="bottom"/>
            <w:tcBorders>
              <w:left w:val="single" w:sz="8" w:color="auto"/>
              <w:right w:val="single" w:sz="8" w:color="auto"/>
            </w:tcBorders>
          </w:tcPr>
          <w:p>
            <w:pPr>
              <w:ind w:left="20"/>
              <w:spacing w:after="0" w:line="145" w:lineRule="exact"/>
              <w:rPr>
                <w:sz w:val="20"/>
                <w:szCs w:val="20"/>
                <w:color w:val="auto"/>
              </w:rPr>
            </w:pPr>
            <w:r>
              <w:rPr>
                <w:rFonts w:ascii="Arial" w:cs="Arial" w:eastAsia="Arial" w:hAnsi="Arial"/>
                <w:sz w:val="14"/>
                <w:szCs w:val="14"/>
                <w:color w:val="auto"/>
              </w:rPr>
              <w:t>Postretirement Benefit</w:t>
            </w:r>
          </w:p>
        </w:tc>
        <w:tc>
          <w:tcPr>
            <w:tcW w:w="4880" w:type="dxa"/>
            <w:vAlign w:val="bottom"/>
            <w:tcBorders>
              <w:right w:val="single" w:sz="8" w:color="auto"/>
            </w:tcBorders>
          </w:tcPr>
          <w:p>
            <w:pPr>
              <w:ind w:left="80"/>
              <w:spacing w:after="0" w:line="145" w:lineRule="exact"/>
              <w:rPr>
                <w:sz w:val="20"/>
                <w:szCs w:val="20"/>
                <w:color w:val="auto"/>
              </w:rPr>
            </w:pPr>
            <w:r>
              <w:rPr>
                <w:rFonts w:ascii="Arial" w:cs="Arial" w:eastAsia="Arial" w:hAnsi="Arial"/>
                <w:sz w:val="14"/>
                <w:szCs w:val="14"/>
                <w:color w:val="auto"/>
                <w:w w:val="92"/>
              </w:rPr>
              <w:t>also require that the other components of net benefit costs be presented separately</w:t>
            </w:r>
          </w:p>
        </w:tc>
        <w:tc>
          <w:tcPr>
            <w:tcW w:w="1200" w:type="dxa"/>
            <w:vAlign w:val="bottom"/>
            <w:tcBorders>
              <w:right w:val="single" w:sz="8" w:color="auto"/>
            </w:tcBorders>
          </w:tcPr>
          <w:p>
            <w:pPr>
              <w:spacing w:after="0"/>
              <w:rPr>
                <w:sz w:val="12"/>
                <w:szCs w:val="12"/>
                <w:color w:val="auto"/>
              </w:rPr>
            </w:pPr>
          </w:p>
        </w:tc>
        <w:tc>
          <w:tcPr>
            <w:tcW w:w="3740" w:type="dxa"/>
            <w:vAlign w:val="bottom"/>
            <w:tcBorders>
              <w:right w:val="single" w:sz="8" w:color="auto"/>
            </w:tcBorders>
          </w:tcPr>
          <w:p>
            <w:pPr>
              <w:ind w:left="100"/>
              <w:spacing w:after="0" w:line="145" w:lineRule="exact"/>
              <w:rPr>
                <w:sz w:val="20"/>
                <w:szCs w:val="20"/>
                <w:color w:val="auto"/>
              </w:rPr>
            </w:pPr>
            <w:r>
              <w:rPr>
                <w:rFonts w:ascii="Arial" w:cs="Arial" w:eastAsia="Arial" w:hAnsi="Arial"/>
                <w:sz w:val="14"/>
                <w:szCs w:val="14"/>
                <w:color w:val="auto"/>
              </w:rPr>
              <w:t>consolidated statement of income. Information about net</w:t>
            </w:r>
          </w:p>
        </w:tc>
        <w:tc>
          <w:tcPr>
            <w:tcW w:w="0" w:type="dxa"/>
            <w:vAlign w:val="bottom"/>
          </w:tcPr>
          <w:p>
            <w:pPr>
              <w:spacing w:after="0"/>
              <w:rPr>
                <w:sz w:val="1"/>
                <w:szCs w:val="1"/>
                <w:color w:val="auto"/>
              </w:rPr>
            </w:pPr>
          </w:p>
        </w:tc>
      </w:tr>
      <w:tr>
        <w:trPr>
          <w:trHeight w:val="145"/>
        </w:trPr>
        <w:tc>
          <w:tcPr>
            <w:tcW w:w="1600" w:type="dxa"/>
            <w:vAlign w:val="bottom"/>
            <w:tcBorders>
              <w:left w:val="single" w:sz="8" w:color="auto"/>
              <w:right w:val="single" w:sz="8" w:color="auto"/>
            </w:tcBorders>
          </w:tcPr>
          <w:p>
            <w:pPr>
              <w:ind w:left="20"/>
              <w:spacing w:after="0" w:line="145" w:lineRule="exact"/>
              <w:rPr>
                <w:sz w:val="20"/>
                <w:szCs w:val="20"/>
                <w:color w:val="auto"/>
              </w:rPr>
            </w:pPr>
            <w:r>
              <w:rPr>
                <w:rFonts w:ascii="Arial" w:cs="Arial" w:eastAsia="Arial" w:hAnsi="Arial"/>
                <w:sz w:val="14"/>
                <w:szCs w:val="14"/>
                <w:color w:val="auto"/>
              </w:rPr>
              <w:t>Cost</w:t>
            </w:r>
          </w:p>
        </w:tc>
        <w:tc>
          <w:tcPr>
            <w:tcW w:w="4880" w:type="dxa"/>
            <w:vAlign w:val="bottom"/>
            <w:tcBorders>
              <w:right w:val="single" w:sz="8" w:color="auto"/>
            </w:tcBorders>
          </w:tcPr>
          <w:p>
            <w:pPr>
              <w:ind w:left="80"/>
              <w:spacing w:after="0" w:line="145" w:lineRule="exact"/>
              <w:rPr>
                <w:sz w:val="20"/>
                <w:szCs w:val="20"/>
                <w:color w:val="auto"/>
              </w:rPr>
            </w:pPr>
            <w:r>
              <w:rPr>
                <w:rFonts w:ascii="Arial" w:cs="Arial" w:eastAsia="Arial" w:hAnsi="Arial"/>
                <w:sz w:val="14"/>
                <w:szCs w:val="14"/>
                <w:color w:val="auto"/>
              </w:rPr>
              <w:t>from the service cost component.</w:t>
            </w:r>
          </w:p>
        </w:tc>
        <w:tc>
          <w:tcPr>
            <w:tcW w:w="1200" w:type="dxa"/>
            <w:vAlign w:val="bottom"/>
            <w:tcBorders>
              <w:right w:val="single" w:sz="8" w:color="auto"/>
            </w:tcBorders>
          </w:tcPr>
          <w:p>
            <w:pPr>
              <w:spacing w:after="0"/>
              <w:rPr>
                <w:sz w:val="12"/>
                <w:szCs w:val="12"/>
                <w:color w:val="auto"/>
              </w:rPr>
            </w:pPr>
          </w:p>
        </w:tc>
        <w:tc>
          <w:tcPr>
            <w:tcW w:w="3740" w:type="dxa"/>
            <w:vAlign w:val="bottom"/>
            <w:tcBorders>
              <w:right w:val="single" w:sz="8" w:color="auto"/>
            </w:tcBorders>
          </w:tcPr>
          <w:p>
            <w:pPr>
              <w:ind w:left="100"/>
              <w:spacing w:after="0" w:line="145" w:lineRule="exact"/>
              <w:rPr>
                <w:sz w:val="20"/>
                <w:szCs w:val="20"/>
                <w:color w:val="auto"/>
              </w:rPr>
            </w:pPr>
            <w:r>
              <w:rPr>
                <w:rFonts w:ascii="Arial" w:cs="Arial" w:eastAsia="Arial" w:hAnsi="Arial"/>
                <w:sz w:val="14"/>
                <w:szCs w:val="14"/>
                <w:color w:val="auto"/>
                <w:w w:val="98"/>
              </w:rPr>
              <w:t>periodic pension and postretirement benefit costs that were</w:t>
            </w:r>
          </w:p>
        </w:tc>
        <w:tc>
          <w:tcPr>
            <w:tcW w:w="0" w:type="dxa"/>
            <w:vAlign w:val="bottom"/>
          </w:tcPr>
          <w:p>
            <w:pPr>
              <w:spacing w:after="0"/>
              <w:rPr>
                <w:sz w:val="1"/>
                <w:szCs w:val="1"/>
                <w:color w:val="auto"/>
              </w:rPr>
            </w:pPr>
          </w:p>
        </w:tc>
      </w:tr>
      <w:tr>
        <w:trPr>
          <w:trHeight w:val="163"/>
        </w:trPr>
        <w:tc>
          <w:tcPr>
            <w:tcW w:w="1600" w:type="dxa"/>
            <w:vAlign w:val="bottom"/>
            <w:tcBorders>
              <w:left w:val="single" w:sz="8" w:color="auto"/>
              <w:bottom w:val="single" w:sz="8" w:color="auto"/>
              <w:right w:val="single" w:sz="8" w:color="auto"/>
            </w:tcBorders>
          </w:tcPr>
          <w:p>
            <w:pPr>
              <w:spacing w:after="0"/>
              <w:rPr>
                <w:sz w:val="14"/>
                <w:szCs w:val="14"/>
                <w:color w:val="auto"/>
              </w:rPr>
            </w:pPr>
          </w:p>
        </w:tc>
        <w:tc>
          <w:tcPr>
            <w:tcW w:w="4880" w:type="dxa"/>
            <w:vAlign w:val="bottom"/>
            <w:tcBorders>
              <w:bottom w:val="single" w:sz="8" w:color="auto"/>
              <w:right w:val="single" w:sz="8" w:color="auto"/>
            </w:tcBorders>
          </w:tcPr>
          <w:p>
            <w:pPr>
              <w:spacing w:after="0"/>
              <w:rPr>
                <w:sz w:val="14"/>
                <w:szCs w:val="14"/>
                <w:color w:val="auto"/>
              </w:rPr>
            </w:pPr>
          </w:p>
        </w:tc>
        <w:tc>
          <w:tcPr>
            <w:tcW w:w="1200" w:type="dxa"/>
            <w:vAlign w:val="bottom"/>
            <w:tcBorders>
              <w:bottom w:val="single" w:sz="8" w:color="auto"/>
              <w:right w:val="single" w:sz="8" w:color="auto"/>
            </w:tcBorders>
          </w:tcPr>
          <w:p>
            <w:pPr>
              <w:spacing w:after="0"/>
              <w:rPr>
                <w:sz w:val="14"/>
                <w:szCs w:val="14"/>
                <w:color w:val="auto"/>
              </w:rPr>
            </w:pPr>
          </w:p>
        </w:tc>
        <w:tc>
          <w:tcPr>
            <w:tcW w:w="37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not service cost-related is included in note 12.</w:t>
            </w:r>
          </w:p>
        </w:tc>
        <w:tc>
          <w:tcPr>
            <w:tcW w:w="0" w:type="dxa"/>
            <w:vAlign w:val="bottom"/>
          </w:tcPr>
          <w:p>
            <w:pPr>
              <w:spacing w:after="0"/>
              <w:rPr>
                <w:sz w:val="1"/>
                <w:szCs w:val="1"/>
                <w:color w:val="auto"/>
              </w:rPr>
            </w:pPr>
          </w:p>
        </w:tc>
      </w:tr>
      <w:tr>
        <w:trPr>
          <w:trHeight w:val="277"/>
        </w:trPr>
        <w:tc>
          <w:tcPr>
            <w:tcW w:w="1600" w:type="dxa"/>
            <w:vAlign w:val="bottom"/>
            <w:tcBorders>
              <w:left w:val="single" w:sz="8" w:color="auto"/>
              <w:right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Scope of Modification</w:t>
            </w:r>
          </w:p>
        </w:tc>
        <w:tc>
          <w:tcPr>
            <w:tcW w:w="4880" w:type="dxa"/>
            <w:vAlign w:val="bottom"/>
            <w:tcBorders>
              <w:right w:val="single" w:sz="8" w:color="auto"/>
            </w:tcBorders>
            <w:shd w:val="clear" w:color="auto" w:fill="CFF0FC"/>
          </w:tcPr>
          <w:p>
            <w:pPr>
              <w:ind w:left="80"/>
              <w:spacing w:after="0"/>
              <w:rPr>
                <w:sz w:val="20"/>
                <w:szCs w:val="20"/>
                <w:color w:val="auto"/>
              </w:rPr>
            </w:pPr>
            <w:r>
              <w:rPr>
                <w:rFonts w:ascii="Arial" w:cs="Arial" w:eastAsia="Arial" w:hAnsi="Arial"/>
                <w:sz w:val="14"/>
                <w:szCs w:val="14"/>
                <w:color w:val="auto"/>
                <w:w w:val="93"/>
              </w:rPr>
              <w:t>The amended guidance addresses which changes to the terms and conditions of a</w:t>
            </w:r>
          </w:p>
        </w:tc>
        <w:tc>
          <w:tcPr>
            <w:tcW w:w="1200" w:type="dxa"/>
            <w:vAlign w:val="bottom"/>
            <w:tcBorders>
              <w:right w:val="single" w:sz="8" w:color="auto"/>
            </w:tcBorders>
            <w:shd w:val="clear" w:color="auto" w:fill="CFF0FC"/>
          </w:tcPr>
          <w:p>
            <w:pPr>
              <w:ind w:left="80"/>
              <w:spacing w:after="0"/>
              <w:rPr>
                <w:sz w:val="20"/>
                <w:szCs w:val="20"/>
                <w:color w:val="auto"/>
              </w:rPr>
            </w:pPr>
            <w:r>
              <w:rPr>
                <w:rFonts w:ascii="Arial" w:cs="Arial" w:eastAsia="Arial" w:hAnsi="Arial"/>
                <w:sz w:val="14"/>
                <w:szCs w:val="14"/>
                <w:color w:val="auto"/>
              </w:rPr>
              <w:t>January 1, 2018</w:t>
            </w:r>
          </w:p>
        </w:tc>
        <w:tc>
          <w:tcPr>
            <w:tcW w:w="3740" w:type="dxa"/>
            <w:vAlign w:val="bottom"/>
            <w:tcBorders>
              <w:right w:val="single" w:sz="8" w:color="auto"/>
            </w:tcBorders>
            <w:shd w:val="clear" w:color="auto" w:fill="CFF0FC"/>
          </w:tcPr>
          <w:p>
            <w:pPr>
              <w:ind w:left="100"/>
              <w:spacing w:after="0"/>
              <w:rPr>
                <w:sz w:val="20"/>
                <w:szCs w:val="20"/>
                <w:color w:val="auto"/>
              </w:rPr>
            </w:pPr>
            <w:r>
              <w:rPr>
                <w:rFonts w:ascii="Arial" w:cs="Arial" w:eastAsia="Arial" w:hAnsi="Arial"/>
                <w:sz w:val="14"/>
                <w:szCs w:val="14"/>
                <w:color w:val="auto"/>
                <w:w w:val="95"/>
              </w:rPr>
              <w:t>The Company adopted the amended guidance on January 1,</w:t>
            </w:r>
          </w:p>
        </w:tc>
        <w:tc>
          <w:tcPr>
            <w:tcW w:w="0" w:type="dxa"/>
            <w:vAlign w:val="bottom"/>
          </w:tcPr>
          <w:p>
            <w:pPr>
              <w:spacing w:after="0"/>
              <w:rPr>
                <w:sz w:val="1"/>
                <w:szCs w:val="1"/>
                <w:color w:val="auto"/>
              </w:rPr>
            </w:pPr>
          </w:p>
        </w:tc>
      </w:tr>
      <w:tr>
        <w:trPr>
          <w:trHeight w:val="145"/>
        </w:trPr>
        <w:tc>
          <w:tcPr>
            <w:tcW w:w="1600" w:type="dxa"/>
            <w:vAlign w:val="bottom"/>
            <w:tcBorders>
              <w:left w:val="single" w:sz="8" w:color="auto"/>
              <w:right w:val="single" w:sz="8" w:color="auto"/>
            </w:tcBorders>
            <w:shd w:val="clear" w:color="auto" w:fill="CFF0FC"/>
          </w:tcPr>
          <w:p>
            <w:pPr>
              <w:ind w:left="20"/>
              <w:spacing w:after="0" w:line="145" w:lineRule="exact"/>
              <w:rPr>
                <w:sz w:val="20"/>
                <w:szCs w:val="20"/>
                <w:color w:val="auto"/>
              </w:rPr>
            </w:pPr>
            <w:r>
              <w:rPr>
                <w:rFonts w:ascii="Arial" w:cs="Arial" w:eastAsia="Arial" w:hAnsi="Arial"/>
                <w:sz w:val="14"/>
                <w:szCs w:val="14"/>
                <w:color w:val="auto"/>
              </w:rPr>
              <w:t>Accounting for Share-</w:t>
            </w:r>
          </w:p>
        </w:tc>
        <w:tc>
          <w:tcPr>
            <w:tcW w:w="4880" w:type="dxa"/>
            <w:vAlign w:val="bottom"/>
            <w:tcBorders>
              <w:right w:val="single" w:sz="8" w:color="auto"/>
            </w:tcBorders>
            <w:shd w:val="clear" w:color="auto" w:fill="CFF0FC"/>
          </w:tcPr>
          <w:p>
            <w:pPr>
              <w:ind w:left="80"/>
              <w:spacing w:after="0" w:line="145" w:lineRule="exact"/>
              <w:rPr>
                <w:sz w:val="20"/>
                <w:szCs w:val="20"/>
                <w:color w:val="auto"/>
              </w:rPr>
            </w:pPr>
            <w:r>
              <w:rPr>
                <w:rFonts w:ascii="Arial" w:cs="Arial" w:eastAsia="Arial" w:hAnsi="Arial"/>
                <w:sz w:val="14"/>
                <w:szCs w:val="14"/>
                <w:color w:val="auto"/>
                <w:w w:val="97"/>
              </w:rPr>
              <w:t>share-based payment award require an entity to apply modification accounting.</w:t>
            </w:r>
          </w:p>
        </w:tc>
        <w:tc>
          <w:tcPr>
            <w:tcW w:w="1200" w:type="dxa"/>
            <w:vAlign w:val="bottom"/>
            <w:tcBorders>
              <w:right w:val="single" w:sz="8" w:color="auto"/>
            </w:tcBorders>
            <w:shd w:val="clear" w:color="auto" w:fill="CFF0FC"/>
          </w:tcPr>
          <w:p>
            <w:pPr>
              <w:spacing w:after="0"/>
              <w:rPr>
                <w:sz w:val="12"/>
                <w:szCs w:val="12"/>
                <w:color w:val="auto"/>
              </w:rPr>
            </w:pPr>
          </w:p>
        </w:tc>
        <w:tc>
          <w:tcPr>
            <w:tcW w:w="3740" w:type="dxa"/>
            <w:vAlign w:val="bottom"/>
            <w:tcBorders>
              <w:right w:val="single" w:sz="8" w:color="auto"/>
            </w:tcBorders>
            <w:shd w:val="clear" w:color="auto" w:fill="CFF0FC"/>
          </w:tcPr>
          <w:p>
            <w:pPr>
              <w:ind w:left="100"/>
              <w:spacing w:after="0" w:line="145" w:lineRule="exact"/>
              <w:rPr>
                <w:sz w:val="20"/>
                <w:szCs w:val="20"/>
                <w:color w:val="auto"/>
              </w:rPr>
            </w:pPr>
            <w:r>
              <w:rPr>
                <w:rFonts w:ascii="Arial" w:cs="Arial" w:eastAsia="Arial" w:hAnsi="Arial"/>
                <w:sz w:val="14"/>
                <w:szCs w:val="14"/>
                <w:color w:val="auto"/>
                <w:w w:val="98"/>
              </w:rPr>
              <w:t>2018. The guidance is to be applied on a prospective basis</w:t>
            </w:r>
          </w:p>
        </w:tc>
        <w:tc>
          <w:tcPr>
            <w:tcW w:w="0" w:type="dxa"/>
            <w:vAlign w:val="bottom"/>
          </w:tcPr>
          <w:p>
            <w:pPr>
              <w:spacing w:after="0"/>
              <w:rPr>
                <w:sz w:val="1"/>
                <w:szCs w:val="1"/>
                <w:color w:val="auto"/>
              </w:rPr>
            </w:pPr>
          </w:p>
        </w:tc>
      </w:tr>
      <w:tr>
        <w:trPr>
          <w:trHeight w:val="163"/>
        </w:trPr>
        <w:tc>
          <w:tcPr>
            <w:tcW w:w="1600" w:type="dxa"/>
            <w:vAlign w:val="bottom"/>
            <w:tcBorders>
              <w:left w:val="single" w:sz="8" w:color="auto"/>
              <w:bottom w:val="single" w:sz="8" w:color="auto"/>
              <w:right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Based Payment Awards</w:t>
            </w:r>
          </w:p>
        </w:tc>
        <w:tc>
          <w:tcPr>
            <w:tcW w:w="4880" w:type="dxa"/>
            <w:vAlign w:val="bottom"/>
            <w:tcBorders>
              <w:bottom w:val="single" w:sz="8" w:color="auto"/>
              <w:right w:val="single" w:sz="8" w:color="auto"/>
            </w:tcBorders>
            <w:shd w:val="clear" w:color="auto" w:fill="CFF0FC"/>
          </w:tcPr>
          <w:p>
            <w:pPr>
              <w:spacing w:after="0"/>
              <w:rPr>
                <w:sz w:val="14"/>
                <w:szCs w:val="14"/>
                <w:color w:val="auto"/>
              </w:rPr>
            </w:pPr>
          </w:p>
        </w:tc>
        <w:tc>
          <w:tcPr>
            <w:tcW w:w="1200" w:type="dxa"/>
            <w:vAlign w:val="bottom"/>
            <w:tcBorders>
              <w:bottom w:val="single" w:sz="8" w:color="auto"/>
              <w:right w:val="single" w:sz="8" w:color="auto"/>
            </w:tcBorders>
            <w:shd w:val="clear" w:color="auto" w:fill="CFF0FC"/>
          </w:tcPr>
          <w:p>
            <w:pPr>
              <w:spacing w:after="0"/>
              <w:rPr>
                <w:sz w:val="14"/>
                <w:szCs w:val="14"/>
                <w:color w:val="auto"/>
              </w:rPr>
            </w:pPr>
          </w:p>
        </w:tc>
        <w:tc>
          <w:tcPr>
            <w:tcW w:w="3740" w:type="dxa"/>
            <w:vAlign w:val="bottom"/>
            <w:tcBorders>
              <w:bottom w:val="single" w:sz="8" w:color="auto"/>
              <w:right w:val="single" w:sz="8" w:color="auto"/>
            </w:tcBorders>
            <w:shd w:val="clear" w:color="auto" w:fill="CFF0FC"/>
          </w:tcPr>
          <w:p>
            <w:pPr>
              <w:ind w:left="100"/>
              <w:spacing w:after="0"/>
              <w:rPr>
                <w:sz w:val="20"/>
                <w:szCs w:val="20"/>
                <w:color w:val="auto"/>
              </w:rPr>
            </w:pPr>
            <w:r>
              <w:rPr>
                <w:rFonts w:ascii="Arial" w:cs="Arial" w:eastAsia="Arial" w:hAnsi="Arial"/>
                <w:sz w:val="14"/>
                <w:szCs w:val="14"/>
                <w:color w:val="auto"/>
              </w:rPr>
              <w:t>for awards modified on or after the adoption date.</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0" w:right="239" w:bottom="1440" w:gutter="0" w:footer="0" w:header="0"/>
        </w:sectPr>
      </w:pPr>
    </w:p>
    <w:bookmarkStart w:id="187" w:name="page188"/>
    <w:bookmarkEnd w:id="187"/>
    <w:tbl>
      <w:tblPr>
        <w:tblLayout w:type="fixed"/>
        <w:tblInd w:w="10" w:type="dxa"/>
        <w:tblCellMar>
          <w:top w:w="0" w:type="dxa"/>
          <w:left w:w="0" w:type="dxa"/>
          <w:bottom w:w="0" w:type="dxa"/>
          <w:right w:w="0" w:type="dxa"/>
        </w:tblCellMar>
      </w:tblPr>
      <w:tr>
        <w:trPr>
          <w:trHeight w:val="148"/>
        </w:trPr>
        <w:tc>
          <w:tcPr>
            <w:tcW w:w="1600" w:type="dxa"/>
            <w:vAlign w:val="bottom"/>
            <w:tcBorders>
              <w:top w:val="single" w:sz="8" w:color="auto"/>
              <w:left w:val="single" w:sz="8" w:color="auto"/>
              <w:right w:val="single" w:sz="8" w:color="auto"/>
            </w:tcBorders>
            <w:vMerge w:val="restart"/>
          </w:tcPr>
          <w:p>
            <w:pPr>
              <w:ind w:left="460"/>
              <w:spacing w:after="0"/>
              <w:rPr>
                <w:sz w:val="20"/>
                <w:szCs w:val="20"/>
                <w:color w:val="auto"/>
              </w:rPr>
            </w:pPr>
            <w:r>
              <w:rPr>
                <w:rFonts w:ascii="Arial" w:cs="Arial" w:eastAsia="Arial" w:hAnsi="Arial"/>
                <w:sz w:val="14"/>
                <w:szCs w:val="14"/>
                <w:b w:val="1"/>
                <w:bCs w:val="1"/>
                <w:color w:val="auto"/>
              </w:rPr>
              <w:t>Standard</w:t>
            </w:r>
          </w:p>
        </w:tc>
        <w:tc>
          <w:tcPr>
            <w:tcW w:w="4880" w:type="dxa"/>
            <w:vAlign w:val="bottom"/>
            <w:tcBorders>
              <w:top w:val="single" w:sz="8" w:color="auto"/>
              <w:right w:val="single" w:sz="8" w:color="auto"/>
            </w:tcBorders>
            <w:vMerge w:val="restart"/>
          </w:tcPr>
          <w:p>
            <w:pPr>
              <w:ind w:left="2060"/>
              <w:spacing w:after="0"/>
              <w:rPr>
                <w:sz w:val="20"/>
                <w:szCs w:val="20"/>
                <w:color w:val="auto"/>
              </w:rPr>
            </w:pPr>
            <w:r>
              <w:rPr>
                <w:rFonts w:ascii="Arial" w:cs="Arial" w:eastAsia="Arial" w:hAnsi="Arial"/>
                <w:sz w:val="14"/>
                <w:szCs w:val="14"/>
                <w:b w:val="1"/>
                <w:bCs w:val="1"/>
                <w:color w:val="auto"/>
              </w:rPr>
              <w:t>Description</w:t>
            </w:r>
          </w:p>
        </w:tc>
        <w:tc>
          <w:tcPr>
            <w:tcW w:w="1200" w:type="dxa"/>
            <w:vAlign w:val="bottom"/>
            <w:tcBorders>
              <w:top w:val="single" w:sz="8" w:color="auto"/>
              <w:right w:val="single" w:sz="8" w:color="auto"/>
            </w:tcBorders>
          </w:tcPr>
          <w:p>
            <w:pPr>
              <w:ind w:left="140"/>
              <w:spacing w:after="0" w:line="149" w:lineRule="exact"/>
              <w:rPr>
                <w:sz w:val="20"/>
                <w:szCs w:val="20"/>
                <w:color w:val="auto"/>
              </w:rPr>
            </w:pPr>
            <w:r>
              <w:rPr>
                <w:rFonts w:ascii="Arial" w:cs="Arial" w:eastAsia="Arial" w:hAnsi="Arial"/>
                <w:sz w:val="14"/>
                <w:szCs w:val="14"/>
                <w:b w:val="1"/>
                <w:bCs w:val="1"/>
                <w:color w:val="auto"/>
              </w:rPr>
              <w:t>Required date</w:t>
            </w:r>
          </w:p>
        </w:tc>
        <w:tc>
          <w:tcPr>
            <w:tcW w:w="3740" w:type="dxa"/>
            <w:vAlign w:val="bottom"/>
            <w:tcBorders>
              <w:top w:val="single" w:sz="8" w:color="auto"/>
              <w:right w:val="single" w:sz="8" w:color="auto"/>
            </w:tcBorders>
            <w:vMerge w:val="restart"/>
          </w:tcPr>
          <w:p>
            <w:pPr>
              <w:ind w:left="540"/>
              <w:spacing w:after="0"/>
              <w:rPr>
                <w:sz w:val="20"/>
                <w:szCs w:val="20"/>
                <w:color w:val="auto"/>
              </w:rPr>
            </w:pPr>
            <w:r>
              <w:rPr>
                <w:rFonts w:ascii="Arial" w:cs="Arial" w:eastAsia="Arial" w:hAnsi="Arial"/>
                <w:sz w:val="14"/>
                <w:szCs w:val="14"/>
                <w:b w:val="1"/>
                <w:bCs w:val="1"/>
                <w:color w:val="auto"/>
              </w:rPr>
              <w:t>Effect on consolidated financial statements</w:t>
            </w:r>
          </w:p>
        </w:tc>
        <w:tc>
          <w:tcPr>
            <w:tcW w:w="0" w:type="dxa"/>
            <w:vAlign w:val="bottom"/>
          </w:tcPr>
          <w:p>
            <w:pPr>
              <w:spacing w:after="0"/>
              <w:rPr>
                <w:sz w:val="1"/>
                <w:szCs w:val="1"/>
                <w:color w:val="auto"/>
              </w:rPr>
            </w:pPr>
          </w:p>
        </w:tc>
      </w:tr>
      <w:tr>
        <w:trPr>
          <w:trHeight w:val="167"/>
        </w:trPr>
        <w:tc>
          <w:tcPr>
            <w:tcW w:w="160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4880" w:type="dxa"/>
            <w:vAlign w:val="bottom"/>
            <w:tcBorders>
              <w:bottom w:val="single" w:sz="8" w:color="auto"/>
              <w:right w:val="single" w:sz="8" w:color="auto"/>
            </w:tcBorders>
            <w:vMerge w:val="continue"/>
          </w:tcPr>
          <w:p>
            <w:pPr>
              <w:spacing w:after="0"/>
              <w:rPr>
                <w:sz w:val="14"/>
                <w:szCs w:val="14"/>
                <w:color w:val="auto"/>
              </w:rPr>
            </w:pPr>
          </w:p>
        </w:tc>
        <w:tc>
          <w:tcPr>
            <w:tcW w:w="120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b w:val="1"/>
                <w:bCs w:val="1"/>
                <w:color w:val="auto"/>
              </w:rPr>
              <w:t>of adoption</w:t>
            </w:r>
          </w:p>
        </w:tc>
        <w:tc>
          <w:tcPr>
            <w:tcW w:w="37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6480" w:type="dxa"/>
            <w:vAlign w:val="bottom"/>
            <w:tcBorders>
              <w:left w:val="single" w:sz="8" w:color="auto"/>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Standards Not Yet Adopted as of December 31, 2017</w:t>
            </w:r>
          </w:p>
        </w:tc>
        <w:tc>
          <w:tcPr>
            <w:tcW w:w="1200" w:type="dxa"/>
            <w:vAlign w:val="bottom"/>
            <w:tcBorders>
              <w:bottom w:val="single" w:sz="8" w:color="auto"/>
            </w:tcBorders>
          </w:tcPr>
          <w:p>
            <w:pPr>
              <w:spacing w:after="0"/>
              <w:rPr>
                <w:sz w:val="14"/>
                <w:szCs w:val="14"/>
                <w:color w:val="auto"/>
              </w:rPr>
            </w:pPr>
          </w:p>
        </w:tc>
        <w:tc>
          <w:tcPr>
            <w:tcW w:w="37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16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Restricted Cash</w:t>
            </w:r>
          </w:p>
        </w:tc>
        <w:tc>
          <w:tcPr>
            <w:tcW w:w="488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w w:val="91"/>
              </w:rPr>
              <w:t>The amended guidance requires that restricted cash and restricted cash equivalents</w:t>
            </w:r>
          </w:p>
        </w:tc>
        <w:tc>
          <w:tcPr>
            <w:tcW w:w="120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January 1, 2018</w:t>
            </w:r>
          </w:p>
        </w:tc>
        <w:tc>
          <w:tcPr>
            <w:tcW w:w="374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w w:val="97"/>
              </w:rPr>
              <w:t>The guidance will be applied using a retrospective transition</w:t>
            </w:r>
          </w:p>
        </w:tc>
        <w:tc>
          <w:tcPr>
            <w:tcW w:w="0" w:type="dxa"/>
            <w:vAlign w:val="bottom"/>
          </w:tcPr>
          <w:p>
            <w:pPr>
              <w:spacing w:after="0"/>
              <w:rPr>
                <w:sz w:val="1"/>
                <w:szCs w:val="1"/>
                <w:color w:val="auto"/>
              </w:rPr>
            </w:pPr>
          </w:p>
        </w:tc>
      </w:tr>
      <w:tr>
        <w:trPr>
          <w:trHeight w:val="145"/>
        </w:trPr>
        <w:tc>
          <w:tcPr>
            <w:tcW w:w="1600" w:type="dxa"/>
            <w:vAlign w:val="bottom"/>
            <w:tcBorders>
              <w:left w:val="single" w:sz="8" w:color="auto"/>
              <w:right w:val="single" w:sz="8" w:color="auto"/>
            </w:tcBorders>
          </w:tcPr>
          <w:p>
            <w:pPr>
              <w:spacing w:after="0"/>
              <w:rPr>
                <w:sz w:val="12"/>
                <w:szCs w:val="12"/>
                <w:color w:val="auto"/>
              </w:rPr>
            </w:pPr>
          </w:p>
        </w:tc>
        <w:tc>
          <w:tcPr>
            <w:tcW w:w="4880" w:type="dxa"/>
            <w:vAlign w:val="bottom"/>
            <w:tcBorders>
              <w:right w:val="single" w:sz="8" w:color="auto"/>
            </w:tcBorders>
          </w:tcPr>
          <w:p>
            <w:pPr>
              <w:ind w:left="80"/>
              <w:spacing w:after="0" w:line="145" w:lineRule="exact"/>
              <w:rPr>
                <w:sz w:val="20"/>
                <w:szCs w:val="20"/>
                <w:color w:val="auto"/>
              </w:rPr>
            </w:pPr>
            <w:r>
              <w:rPr>
                <w:rFonts w:ascii="Arial" w:cs="Arial" w:eastAsia="Arial" w:hAnsi="Arial"/>
                <w:sz w:val="14"/>
                <w:szCs w:val="14"/>
                <w:color w:val="auto"/>
                <w:w w:val="97"/>
              </w:rPr>
              <w:t>be included with cash and cash equivalents when reconciling the beginning-of-</w:t>
            </w:r>
          </w:p>
        </w:tc>
        <w:tc>
          <w:tcPr>
            <w:tcW w:w="1200" w:type="dxa"/>
            <w:vAlign w:val="bottom"/>
            <w:tcBorders>
              <w:right w:val="single" w:sz="8" w:color="auto"/>
            </w:tcBorders>
          </w:tcPr>
          <w:p>
            <w:pPr>
              <w:spacing w:after="0"/>
              <w:rPr>
                <w:sz w:val="12"/>
                <w:szCs w:val="12"/>
                <w:color w:val="auto"/>
              </w:rPr>
            </w:pPr>
          </w:p>
        </w:tc>
        <w:tc>
          <w:tcPr>
            <w:tcW w:w="3740" w:type="dxa"/>
            <w:vAlign w:val="bottom"/>
            <w:tcBorders>
              <w:right w:val="single" w:sz="8" w:color="auto"/>
            </w:tcBorders>
          </w:tcPr>
          <w:p>
            <w:pPr>
              <w:ind w:left="100"/>
              <w:spacing w:after="0" w:line="145" w:lineRule="exact"/>
              <w:rPr>
                <w:sz w:val="20"/>
                <w:szCs w:val="20"/>
                <w:color w:val="auto"/>
              </w:rPr>
            </w:pPr>
            <w:r>
              <w:rPr>
                <w:rFonts w:ascii="Arial" w:cs="Arial" w:eastAsia="Arial" w:hAnsi="Arial"/>
                <w:sz w:val="14"/>
                <w:szCs w:val="14"/>
                <w:color w:val="auto"/>
              </w:rPr>
              <w:t>method beginning with first quarter 2018 reporting.</w:t>
            </w:r>
          </w:p>
        </w:tc>
        <w:tc>
          <w:tcPr>
            <w:tcW w:w="0" w:type="dxa"/>
            <w:vAlign w:val="bottom"/>
          </w:tcPr>
          <w:p>
            <w:pPr>
              <w:spacing w:after="0"/>
              <w:rPr>
                <w:sz w:val="1"/>
                <w:szCs w:val="1"/>
                <w:color w:val="auto"/>
              </w:rPr>
            </w:pPr>
          </w:p>
        </w:tc>
      </w:tr>
      <w:tr>
        <w:trPr>
          <w:trHeight w:val="145"/>
        </w:trPr>
        <w:tc>
          <w:tcPr>
            <w:tcW w:w="1600" w:type="dxa"/>
            <w:vAlign w:val="bottom"/>
            <w:tcBorders>
              <w:left w:val="single" w:sz="8" w:color="auto"/>
              <w:right w:val="single" w:sz="8" w:color="auto"/>
            </w:tcBorders>
          </w:tcPr>
          <w:p>
            <w:pPr>
              <w:spacing w:after="0"/>
              <w:rPr>
                <w:sz w:val="12"/>
                <w:szCs w:val="12"/>
                <w:color w:val="auto"/>
              </w:rPr>
            </w:pPr>
          </w:p>
        </w:tc>
        <w:tc>
          <w:tcPr>
            <w:tcW w:w="4880" w:type="dxa"/>
            <w:vAlign w:val="bottom"/>
            <w:tcBorders>
              <w:right w:val="single" w:sz="8" w:color="auto"/>
            </w:tcBorders>
          </w:tcPr>
          <w:p>
            <w:pPr>
              <w:ind w:left="80"/>
              <w:spacing w:after="0" w:line="145" w:lineRule="exact"/>
              <w:rPr>
                <w:sz w:val="20"/>
                <w:szCs w:val="20"/>
                <w:color w:val="auto"/>
              </w:rPr>
            </w:pPr>
            <w:r>
              <w:rPr>
                <w:rFonts w:ascii="Arial" w:cs="Arial" w:eastAsia="Arial" w:hAnsi="Arial"/>
                <w:sz w:val="14"/>
                <w:szCs w:val="14"/>
                <w:color w:val="auto"/>
                <w:w w:val="95"/>
              </w:rPr>
              <w:t>period and end-of-period total amounts shown on the statement of cash flows. In</w:t>
            </w:r>
          </w:p>
        </w:tc>
        <w:tc>
          <w:tcPr>
            <w:tcW w:w="1200" w:type="dxa"/>
            <w:vAlign w:val="bottom"/>
            <w:tcBorders>
              <w:right w:val="single" w:sz="8" w:color="auto"/>
            </w:tcBorders>
          </w:tcPr>
          <w:p>
            <w:pPr>
              <w:spacing w:after="0"/>
              <w:rPr>
                <w:sz w:val="12"/>
                <w:szCs w:val="12"/>
                <w:color w:val="auto"/>
              </w:rPr>
            </w:pPr>
          </w:p>
        </w:tc>
        <w:tc>
          <w:tcPr>
            <w:tcW w:w="37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00" w:type="dxa"/>
            <w:vAlign w:val="bottom"/>
            <w:tcBorders>
              <w:left w:val="single" w:sz="8" w:color="auto"/>
              <w:right w:val="single" w:sz="8" w:color="auto"/>
            </w:tcBorders>
          </w:tcPr>
          <w:p>
            <w:pPr>
              <w:spacing w:after="0"/>
              <w:rPr>
                <w:sz w:val="12"/>
                <w:szCs w:val="12"/>
                <w:color w:val="auto"/>
              </w:rPr>
            </w:pPr>
          </w:p>
        </w:tc>
        <w:tc>
          <w:tcPr>
            <w:tcW w:w="4880" w:type="dxa"/>
            <w:vAlign w:val="bottom"/>
            <w:tcBorders>
              <w:right w:val="single" w:sz="8" w:color="auto"/>
            </w:tcBorders>
          </w:tcPr>
          <w:p>
            <w:pPr>
              <w:ind w:left="80"/>
              <w:spacing w:after="0" w:line="145" w:lineRule="exact"/>
              <w:rPr>
                <w:sz w:val="20"/>
                <w:szCs w:val="20"/>
                <w:color w:val="auto"/>
              </w:rPr>
            </w:pPr>
            <w:r>
              <w:rPr>
                <w:rFonts w:ascii="Arial" w:cs="Arial" w:eastAsia="Arial" w:hAnsi="Arial"/>
                <w:sz w:val="14"/>
                <w:szCs w:val="14"/>
                <w:color w:val="auto"/>
              </w:rPr>
              <w:t>addition, when cash, cash equivalents, and restricted cash or restricted cash</w:t>
            </w:r>
          </w:p>
        </w:tc>
        <w:tc>
          <w:tcPr>
            <w:tcW w:w="1200" w:type="dxa"/>
            <w:vAlign w:val="bottom"/>
            <w:tcBorders>
              <w:right w:val="single" w:sz="8" w:color="auto"/>
            </w:tcBorders>
          </w:tcPr>
          <w:p>
            <w:pPr>
              <w:spacing w:after="0"/>
              <w:rPr>
                <w:sz w:val="12"/>
                <w:szCs w:val="12"/>
                <w:color w:val="auto"/>
              </w:rPr>
            </w:pPr>
          </w:p>
        </w:tc>
        <w:tc>
          <w:tcPr>
            <w:tcW w:w="37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00" w:type="dxa"/>
            <w:vAlign w:val="bottom"/>
            <w:tcBorders>
              <w:left w:val="single" w:sz="8" w:color="auto"/>
              <w:right w:val="single" w:sz="8" w:color="auto"/>
            </w:tcBorders>
          </w:tcPr>
          <w:p>
            <w:pPr>
              <w:spacing w:after="0"/>
              <w:rPr>
                <w:sz w:val="12"/>
                <w:szCs w:val="12"/>
                <w:color w:val="auto"/>
              </w:rPr>
            </w:pPr>
          </w:p>
        </w:tc>
        <w:tc>
          <w:tcPr>
            <w:tcW w:w="4880" w:type="dxa"/>
            <w:vAlign w:val="bottom"/>
            <w:tcBorders>
              <w:right w:val="single" w:sz="8" w:color="auto"/>
            </w:tcBorders>
          </w:tcPr>
          <w:p>
            <w:pPr>
              <w:ind w:left="80"/>
              <w:spacing w:after="0" w:line="145" w:lineRule="exact"/>
              <w:rPr>
                <w:sz w:val="20"/>
                <w:szCs w:val="20"/>
                <w:color w:val="auto"/>
              </w:rPr>
            </w:pPr>
            <w:r>
              <w:rPr>
                <w:rFonts w:ascii="Arial" w:cs="Arial" w:eastAsia="Arial" w:hAnsi="Arial"/>
                <w:sz w:val="14"/>
                <w:szCs w:val="14"/>
                <w:color w:val="auto"/>
              </w:rPr>
              <w:t>equivalents are presented in more than one line item within the statement of</w:t>
            </w:r>
          </w:p>
        </w:tc>
        <w:tc>
          <w:tcPr>
            <w:tcW w:w="1200" w:type="dxa"/>
            <w:vAlign w:val="bottom"/>
            <w:tcBorders>
              <w:right w:val="single" w:sz="8" w:color="auto"/>
            </w:tcBorders>
          </w:tcPr>
          <w:p>
            <w:pPr>
              <w:spacing w:after="0"/>
              <w:rPr>
                <w:sz w:val="12"/>
                <w:szCs w:val="12"/>
                <w:color w:val="auto"/>
              </w:rPr>
            </w:pPr>
          </w:p>
        </w:tc>
        <w:tc>
          <w:tcPr>
            <w:tcW w:w="37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00" w:type="dxa"/>
            <w:vAlign w:val="bottom"/>
            <w:tcBorders>
              <w:left w:val="single" w:sz="8" w:color="auto"/>
              <w:right w:val="single" w:sz="8" w:color="auto"/>
            </w:tcBorders>
          </w:tcPr>
          <w:p>
            <w:pPr>
              <w:spacing w:after="0"/>
              <w:rPr>
                <w:sz w:val="12"/>
                <w:szCs w:val="12"/>
                <w:color w:val="auto"/>
              </w:rPr>
            </w:pPr>
          </w:p>
        </w:tc>
        <w:tc>
          <w:tcPr>
            <w:tcW w:w="4880" w:type="dxa"/>
            <w:vAlign w:val="bottom"/>
            <w:tcBorders>
              <w:right w:val="single" w:sz="8" w:color="auto"/>
            </w:tcBorders>
          </w:tcPr>
          <w:p>
            <w:pPr>
              <w:ind w:left="80"/>
              <w:spacing w:after="0" w:line="145" w:lineRule="exact"/>
              <w:rPr>
                <w:sz w:val="20"/>
                <w:szCs w:val="20"/>
                <w:color w:val="auto"/>
              </w:rPr>
            </w:pPr>
            <w:r>
              <w:rPr>
                <w:rFonts w:ascii="Arial" w:cs="Arial" w:eastAsia="Arial" w:hAnsi="Arial"/>
                <w:sz w:val="14"/>
                <w:szCs w:val="14"/>
                <w:color w:val="auto"/>
                <w:w w:val="93"/>
              </w:rPr>
              <w:t>financial position, the line items and amounts must be presented on the face of the</w:t>
            </w:r>
          </w:p>
        </w:tc>
        <w:tc>
          <w:tcPr>
            <w:tcW w:w="1200" w:type="dxa"/>
            <w:vAlign w:val="bottom"/>
            <w:tcBorders>
              <w:right w:val="single" w:sz="8" w:color="auto"/>
            </w:tcBorders>
          </w:tcPr>
          <w:p>
            <w:pPr>
              <w:spacing w:after="0"/>
              <w:rPr>
                <w:sz w:val="12"/>
                <w:szCs w:val="12"/>
                <w:color w:val="auto"/>
              </w:rPr>
            </w:pPr>
          </w:p>
        </w:tc>
        <w:tc>
          <w:tcPr>
            <w:tcW w:w="37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00" w:type="dxa"/>
            <w:vAlign w:val="bottom"/>
            <w:tcBorders>
              <w:left w:val="single" w:sz="8" w:color="auto"/>
              <w:right w:val="single" w:sz="8" w:color="auto"/>
            </w:tcBorders>
          </w:tcPr>
          <w:p>
            <w:pPr>
              <w:spacing w:after="0"/>
              <w:rPr>
                <w:sz w:val="12"/>
                <w:szCs w:val="12"/>
                <w:color w:val="auto"/>
              </w:rPr>
            </w:pPr>
          </w:p>
        </w:tc>
        <w:tc>
          <w:tcPr>
            <w:tcW w:w="4880" w:type="dxa"/>
            <w:vAlign w:val="bottom"/>
            <w:tcBorders>
              <w:right w:val="single" w:sz="8" w:color="auto"/>
            </w:tcBorders>
          </w:tcPr>
          <w:p>
            <w:pPr>
              <w:ind w:left="80"/>
              <w:spacing w:after="0" w:line="145" w:lineRule="exact"/>
              <w:rPr>
                <w:sz w:val="20"/>
                <w:szCs w:val="20"/>
                <w:color w:val="auto"/>
              </w:rPr>
            </w:pPr>
            <w:r>
              <w:rPr>
                <w:rFonts w:ascii="Arial" w:cs="Arial" w:eastAsia="Arial" w:hAnsi="Arial"/>
                <w:sz w:val="14"/>
                <w:szCs w:val="14"/>
                <w:color w:val="auto"/>
              </w:rPr>
              <w:t>statement of cash flows or disclosed in the notes to the financial</w:t>
            </w:r>
          </w:p>
        </w:tc>
        <w:tc>
          <w:tcPr>
            <w:tcW w:w="1200" w:type="dxa"/>
            <w:vAlign w:val="bottom"/>
            <w:tcBorders>
              <w:right w:val="single" w:sz="8" w:color="auto"/>
            </w:tcBorders>
          </w:tcPr>
          <w:p>
            <w:pPr>
              <w:spacing w:after="0"/>
              <w:rPr>
                <w:sz w:val="12"/>
                <w:szCs w:val="12"/>
                <w:color w:val="auto"/>
              </w:rPr>
            </w:pPr>
          </w:p>
        </w:tc>
        <w:tc>
          <w:tcPr>
            <w:tcW w:w="37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00" w:type="dxa"/>
            <w:vAlign w:val="bottom"/>
            <w:tcBorders>
              <w:left w:val="single" w:sz="8" w:color="auto"/>
              <w:right w:val="single" w:sz="8" w:color="auto"/>
            </w:tcBorders>
          </w:tcPr>
          <w:p>
            <w:pPr>
              <w:spacing w:after="0"/>
              <w:rPr>
                <w:sz w:val="12"/>
                <w:szCs w:val="12"/>
                <w:color w:val="auto"/>
              </w:rPr>
            </w:pPr>
          </w:p>
        </w:tc>
        <w:tc>
          <w:tcPr>
            <w:tcW w:w="4880" w:type="dxa"/>
            <w:vAlign w:val="bottom"/>
            <w:tcBorders>
              <w:right w:val="single" w:sz="8" w:color="auto"/>
            </w:tcBorders>
          </w:tcPr>
          <w:p>
            <w:pPr>
              <w:ind w:left="80"/>
              <w:spacing w:after="0" w:line="145" w:lineRule="exact"/>
              <w:rPr>
                <w:sz w:val="20"/>
                <w:szCs w:val="20"/>
                <w:color w:val="auto"/>
              </w:rPr>
            </w:pPr>
            <w:r>
              <w:rPr>
                <w:rFonts w:ascii="Arial" w:cs="Arial" w:eastAsia="Arial" w:hAnsi="Arial"/>
                <w:sz w:val="14"/>
                <w:szCs w:val="14"/>
                <w:color w:val="auto"/>
                <w:w w:val="97"/>
              </w:rPr>
              <w:t>statements. Information about the nature of restrictions on an entity’s cash and</w:t>
            </w:r>
          </w:p>
        </w:tc>
        <w:tc>
          <w:tcPr>
            <w:tcW w:w="1200" w:type="dxa"/>
            <w:vAlign w:val="bottom"/>
            <w:tcBorders>
              <w:right w:val="single" w:sz="8" w:color="auto"/>
            </w:tcBorders>
          </w:tcPr>
          <w:p>
            <w:pPr>
              <w:spacing w:after="0"/>
              <w:rPr>
                <w:sz w:val="12"/>
                <w:szCs w:val="12"/>
                <w:color w:val="auto"/>
              </w:rPr>
            </w:pPr>
          </w:p>
        </w:tc>
        <w:tc>
          <w:tcPr>
            <w:tcW w:w="37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1600" w:type="dxa"/>
            <w:vAlign w:val="bottom"/>
            <w:tcBorders>
              <w:left w:val="single" w:sz="8" w:color="auto"/>
              <w:bottom w:val="single" w:sz="8" w:color="auto"/>
              <w:right w:val="single" w:sz="8" w:color="auto"/>
            </w:tcBorders>
          </w:tcPr>
          <w:p>
            <w:pPr>
              <w:spacing w:after="0"/>
              <w:rPr>
                <w:sz w:val="14"/>
                <w:szCs w:val="14"/>
                <w:color w:val="auto"/>
              </w:rPr>
            </w:pPr>
          </w:p>
        </w:tc>
        <w:tc>
          <w:tcPr>
            <w:tcW w:w="4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cash equivalents must also be disclosed.</w:t>
            </w:r>
          </w:p>
        </w:tc>
        <w:tc>
          <w:tcPr>
            <w:tcW w:w="1200" w:type="dxa"/>
            <w:vAlign w:val="bottom"/>
            <w:tcBorders>
              <w:bottom w:val="single" w:sz="8" w:color="auto"/>
              <w:right w:val="single" w:sz="8" w:color="auto"/>
            </w:tcBorders>
          </w:tcPr>
          <w:p>
            <w:pPr>
              <w:spacing w:after="0"/>
              <w:rPr>
                <w:sz w:val="14"/>
                <w:szCs w:val="14"/>
                <w:color w:val="auto"/>
              </w:rPr>
            </w:pPr>
          </w:p>
        </w:tc>
        <w:tc>
          <w:tcPr>
            <w:tcW w:w="37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1600" w:type="dxa"/>
            <w:vAlign w:val="bottom"/>
            <w:tcBorders>
              <w:left w:val="single" w:sz="8" w:color="auto"/>
              <w:right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Classification of Certain</w:t>
            </w:r>
          </w:p>
        </w:tc>
        <w:tc>
          <w:tcPr>
            <w:tcW w:w="4880" w:type="dxa"/>
            <w:vAlign w:val="bottom"/>
            <w:tcBorders>
              <w:right w:val="single" w:sz="8" w:color="auto"/>
            </w:tcBorders>
            <w:shd w:val="clear" w:color="auto" w:fill="CFF0FC"/>
          </w:tcPr>
          <w:p>
            <w:pPr>
              <w:ind w:left="80"/>
              <w:spacing w:after="0"/>
              <w:rPr>
                <w:sz w:val="20"/>
                <w:szCs w:val="20"/>
                <w:color w:val="auto"/>
              </w:rPr>
            </w:pPr>
            <w:r>
              <w:rPr>
                <w:rFonts w:ascii="Arial" w:cs="Arial" w:eastAsia="Arial" w:hAnsi="Arial"/>
                <w:sz w:val="14"/>
                <w:szCs w:val="14"/>
                <w:color w:val="auto"/>
              </w:rPr>
              <w:t>This amendment provides clarifying guidance for classifying cash inflows or</w:t>
            </w:r>
          </w:p>
        </w:tc>
        <w:tc>
          <w:tcPr>
            <w:tcW w:w="1200" w:type="dxa"/>
            <w:vAlign w:val="bottom"/>
            <w:tcBorders>
              <w:right w:val="single" w:sz="8" w:color="auto"/>
            </w:tcBorders>
            <w:shd w:val="clear" w:color="auto" w:fill="CFF0FC"/>
          </w:tcPr>
          <w:p>
            <w:pPr>
              <w:ind w:left="80"/>
              <w:spacing w:after="0"/>
              <w:rPr>
                <w:sz w:val="20"/>
                <w:szCs w:val="20"/>
                <w:color w:val="auto"/>
              </w:rPr>
            </w:pPr>
            <w:r>
              <w:rPr>
                <w:rFonts w:ascii="Arial" w:cs="Arial" w:eastAsia="Arial" w:hAnsi="Arial"/>
                <w:sz w:val="14"/>
                <w:szCs w:val="14"/>
                <w:color w:val="auto"/>
              </w:rPr>
              <w:t>January 1, 2018</w:t>
            </w:r>
          </w:p>
        </w:tc>
        <w:tc>
          <w:tcPr>
            <w:tcW w:w="3740" w:type="dxa"/>
            <w:vAlign w:val="bottom"/>
            <w:tcBorders>
              <w:right w:val="single" w:sz="8" w:color="auto"/>
            </w:tcBorders>
            <w:shd w:val="clear" w:color="auto" w:fill="CFF0FC"/>
          </w:tcPr>
          <w:p>
            <w:pPr>
              <w:ind w:left="100"/>
              <w:spacing w:after="0"/>
              <w:rPr>
                <w:sz w:val="20"/>
                <w:szCs w:val="20"/>
                <w:color w:val="auto"/>
              </w:rPr>
            </w:pPr>
            <w:r>
              <w:rPr>
                <w:rFonts w:ascii="Arial" w:cs="Arial" w:eastAsia="Arial" w:hAnsi="Arial"/>
                <w:sz w:val="14"/>
                <w:szCs w:val="14"/>
                <w:color w:val="auto"/>
                <w:w w:val="97"/>
              </w:rPr>
              <w:t>The guidance will be applied using a retrospective transition</w:t>
            </w:r>
          </w:p>
        </w:tc>
        <w:tc>
          <w:tcPr>
            <w:tcW w:w="0" w:type="dxa"/>
            <w:vAlign w:val="bottom"/>
          </w:tcPr>
          <w:p>
            <w:pPr>
              <w:spacing w:after="0"/>
              <w:rPr>
                <w:sz w:val="1"/>
                <w:szCs w:val="1"/>
                <w:color w:val="auto"/>
              </w:rPr>
            </w:pPr>
          </w:p>
        </w:tc>
      </w:tr>
      <w:tr>
        <w:trPr>
          <w:trHeight w:val="145"/>
        </w:trPr>
        <w:tc>
          <w:tcPr>
            <w:tcW w:w="1600" w:type="dxa"/>
            <w:vAlign w:val="bottom"/>
            <w:tcBorders>
              <w:left w:val="single" w:sz="8" w:color="auto"/>
              <w:right w:val="single" w:sz="8" w:color="auto"/>
            </w:tcBorders>
            <w:shd w:val="clear" w:color="auto" w:fill="CFF0FC"/>
          </w:tcPr>
          <w:p>
            <w:pPr>
              <w:ind w:left="20"/>
              <w:spacing w:after="0" w:line="145" w:lineRule="exact"/>
              <w:rPr>
                <w:sz w:val="20"/>
                <w:szCs w:val="20"/>
                <w:color w:val="auto"/>
              </w:rPr>
            </w:pPr>
            <w:r>
              <w:rPr>
                <w:rFonts w:ascii="Arial" w:cs="Arial" w:eastAsia="Arial" w:hAnsi="Arial"/>
                <w:sz w:val="14"/>
                <w:szCs w:val="14"/>
                <w:color w:val="auto"/>
                <w:w w:val="99"/>
              </w:rPr>
              <w:t>Cash Receipts and Cash</w:t>
            </w:r>
          </w:p>
        </w:tc>
        <w:tc>
          <w:tcPr>
            <w:tcW w:w="4880" w:type="dxa"/>
            <w:vAlign w:val="bottom"/>
            <w:tcBorders>
              <w:right w:val="single" w:sz="8" w:color="auto"/>
            </w:tcBorders>
            <w:shd w:val="clear" w:color="auto" w:fill="CFF0FC"/>
          </w:tcPr>
          <w:p>
            <w:pPr>
              <w:ind w:left="80"/>
              <w:spacing w:after="0" w:line="145" w:lineRule="exact"/>
              <w:rPr>
                <w:sz w:val="20"/>
                <w:szCs w:val="20"/>
                <w:color w:val="auto"/>
              </w:rPr>
            </w:pPr>
            <w:r>
              <w:rPr>
                <w:rFonts w:ascii="Arial" w:cs="Arial" w:eastAsia="Arial" w:hAnsi="Arial"/>
                <w:sz w:val="14"/>
                <w:szCs w:val="14"/>
                <w:color w:val="auto"/>
              </w:rPr>
              <w:t>outflows on the statement of cash flows where current guidance is unclear or</w:t>
            </w:r>
          </w:p>
        </w:tc>
        <w:tc>
          <w:tcPr>
            <w:tcW w:w="1200" w:type="dxa"/>
            <w:vAlign w:val="bottom"/>
            <w:tcBorders>
              <w:right w:val="single" w:sz="8" w:color="auto"/>
            </w:tcBorders>
            <w:shd w:val="clear" w:color="auto" w:fill="CFF0FC"/>
          </w:tcPr>
          <w:p>
            <w:pPr>
              <w:spacing w:after="0"/>
              <w:rPr>
                <w:sz w:val="12"/>
                <w:szCs w:val="12"/>
                <w:color w:val="auto"/>
              </w:rPr>
            </w:pPr>
          </w:p>
        </w:tc>
        <w:tc>
          <w:tcPr>
            <w:tcW w:w="3740" w:type="dxa"/>
            <w:vAlign w:val="bottom"/>
            <w:tcBorders>
              <w:right w:val="single" w:sz="8" w:color="auto"/>
            </w:tcBorders>
            <w:shd w:val="clear" w:color="auto" w:fill="CFF0FC"/>
          </w:tcPr>
          <w:p>
            <w:pPr>
              <w:ind w:left="100"/>
              <w:spacing w:after="0" w:line="145" w:lineRule="exact"/>
              <w:rPr>
                <w:sz w:val="20"/>
                <w:szCs w:val="20"/>
                <w:color w:val="auto"/>
              </w:rPr>
            </w:pPr>
            <w:r>
              <w:rPr>
                <w:rFonts w:ascii="Arial" w:cs="Arial" w:eastAsia="Arial" w:hAnsi="Arial"/>
                <w:sz w:val="14"/>
                <w:szCs w:val="14"/>
                <w:color w:val="auto"/>
              </w:rPr>
              <w:t>method beginning with first quarter 2018 reporting.</w:t>
            </w:r>
          </w:p>
        </w:tc>
        <w:tc>
          <w:tcPr>
            <w:tcW w:w="0" w:type="dxa"/>
            <w:vAlign w:val="bottom"/>
          </w:tcPr>
          <w:p>
            <w:pPr>
              <w:spacing w:after="0"/>
              <w:rPr>
                <w:sz w:val="1"/>
                <w:szCs w:val="1"/>
                <w:color w:val="auto"/>
              </w:rPr>
            </w:pPr>
          </w:p>
        </w:tc>
      </w:tr>
      <w:tr>
        <w:trPr>
          <w:trHeight w:val="163"/>
        </w:trPr>
        <w:tc>
          <w:tcPr>
            <w:tcW w:w="1600" w:type="dxa"/>
            <w:vAlign w:val="bottom"/>
            <w:tcBorders>
              <w:left w:val="single" w:sz="8" w:color="auto"/>
              <w:bottom w:val="single" w:sz="8" w:color="auto"/>
              <w:right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Payments</w:t>
            </w:r>
          </w:p>
        </w:tc>
        <w:tc>
          <w:tcPr>
            <w:tcW w:w="4880" w:type="dxa"/>
            <w:vAlign w:val="bottom"/>
            <w:tcBorders>
              <w:bottom w:val="single" w:sz="8" w:color="auto"/>
              <w:right w:val="single" w:sz="8" w:color="auto"/>
            </w:tcBorders>
            <w:shd w:val="clear" w:color="auto" w:fill="CFF0FC"/>
          </w:tcPr>
          <w:p>
            <w:pPr>
              <w:ind w:left="80"/>
              <w:spacing w:after="0"/>
              <w:rPr>
                <w:sz w:val="20"/>
                <w:szCs w:val="20"/>
                <w:color w:val="auto"/>
              </w:rPr>
            </w:pPr>
            <w:r>
              <w:rPr>
                <w:rFonts w:ascii="Arial" w:cs="Arial" w:eastAsia="Arial" w:hAnsi="Arial"/>
                <w:sz w:val="14"/>
                <w:szCs w:val="14"/>
                <w:color w:val="auto"/>
              </w:rPr>
              <w:t>silent.</w:t>
            </w:r>
          </w:p>
        </w:tc>
        <w:tc>
          <w:tcPr>
            <w:tcW w:w="1200" w:type="dxa"/>
            <w:vAlign w:val="bottom"/>
            <w:tcBorders>
              <w:bottom w:val="single" w:sz="8" w:color="auto"/>
              <w:right w:val="single" w:sz="8" w:color="auto"/>
            </w:tcBorders>
            <w:shd w:val="clear" w:color="auto" w:fill="CFF0FC"/>
          </w:tcPr>
          <w:p>
            <w:pPr>
              <w:spacing w:after="0"/>
              <w:rPr>
                <w:sz w:val="14"/>
                <w:szCs w:val="14"/>
                <w:color w:val="auto"/>
              </w:rPr>
            </w:pPr>
          </w:p>
        </w:tc>
        <w:tc>
          <w:tcPr>
            <w:tcW w:w="3740" w:type="dxa"/>
            <w:vAlign w:val="bottom"/>
            <w:tcBorders>
              <w:bottom w:val="single" w:sz="8" w:color="auto"/>
              <w:right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16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Clarifying the Definition</w:t>
            </w:r>
          </w:p>
        </w:tc>
        <w:tc>
          <w:tcPr>
            <w:tcW w:w="488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The amended guidance clarifies the definition of a business for purposes of</w:t>
            </w:r>
          </w:p>
        </w:tc>
        <w:tc>
          <w:tcPr>
            <w:tcW w:w="120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January 1, 2018</w:t>
            </w:r>
          </w:p>
        </w:tc>
        <w:tc>
          <w:tcPr>
            <w:tcW w:w="374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The guidance should be applied using a prospective</w:t>
            </w:r>
          </w:p>
        </w:tc>
        <w:tc>
          <w:tcPr>
            <w:tcW w:w="0" w:type="dxa"/>
            <w:vAlign w:val="bottom"/>
          </w:tcPr>
          <w:p>
            <w:pPr>
              <w:spacing w:after="0"/>
              <w:rPr>
                <w:sz w:val="1"/>
                <w:szCs w:val="1"/>
                <w:color w:val="auto"/>
              </w:rPr>
            </w:pPr>
          </w:p>
        </w:tc>
      </w:tr>
      <w:tr>
        <w:trPr>
          <w:trHeight w:val="145"/>
        </w:trPr>
        <w:tc>
          <w:tcPr>
            <w:tcW w:w="1600" w:type="dxa"/>
            <w:vAlign w:val="bottom"/>
            <w:tcBorders>
              <w:left w:val="single" w:sz="8" w:color="auto"/>
              <w:right w:val="single" w:sz="8" w:color="auto"/>
            </w:tcBorders>
          </w:tcPr>
          <w:p>
            <w:pPr>
              <w:ind w:left="20"/>
              <w:spacing w:after="0" w:line="145" w:lineRule="exact"/>
              <w:rPr>
                <w:sz w:val="20"/>
                <w:szCs w:val="20"/>
                <w:color w:val="auto"/>
              </w:rPr>
            </w:pPr>
            <w:r>
              <w:rPr>
                <w:rFonts w:ascii="Arial" w:cs="Arial" w:eastAsia="Arial" w:hAnsi="Arial"/>
                <w:sz w:val="14"/>
                <w:szCs w:val="14"/>
                <w:color w:val="auto"/>
              </w:rPr>
              <w:t>of a Business</w:t>
            </w:r>
          </w:p>
        </w:tc>
        <w:tc>
          <w:tcPr>
            <w:tcW w:w="4880" w:type="dxa"/>
            <w:vAlign w:val="bottom"/>
            <w:tcBorders>
              <w:right w:val="single" w:sz="8" w:color="auto"/>
            </w:tcBorders>
          </w:tcPr>
          <w:p>
            <w:pPr>
              <w:ind w:left="80"/>
              <w:spacing w:after="0" w:line="145" w:lineRule="exact"/>
              <w:rPr>
                <w:sz w:val="20"/>
                <w:szCs w:val="20"/>
                <w:color w:val="auto"/>
              </w:rPr>
            </w:pPr>
            <w:r>
              <w:rPr>
                <w:rFonts w:ascii="Arial" w:cs="Arial" w:eastAsia="Arial" w:hAnsi="Arial"/>
                <w:sz w:val="14"/>
                <w:szCs w:val="14"/>
                <w:color w:val="auto"/>
              </w:rPr>
              <w:t>evaluating whether transactions would be accounted for as acquisitions (or</w:t>
            </w:r>
          </w:p>
        </w:tc>
        <w:tc>
          <w:tcPr>
            <w:tcW w:w="1200" w:type="dxa"/>
            <w:vAlign w:val="bottom"/>
            <w:tcBorders>
              <w:right w:val="single" w:sz="8" w:color="auto"/>
            </w:tcBorders>
          </w:tcPr>
          <w:p>
            <w:pPr>
              <w:spacing w:after="0"/>
              <w:rPr>
                <w:sz w:val="12"/>
                <w:szCs w:val="12"/>
                <w:color w:val="auto"/>
              </w:rPr>
            </w:pPr>
          </w:p>
        </w:tc>
        <w:tc>
          <w:tcPr>
            <w:tcW w:w="3740" w:type="dxa"/>
            <w:vAlign w:val="bottom"/>
            <w:tcBorders>
              <w:right w:val="single" w:sz="8" w:color="auto"/>
            </w:tcBorders>
          </w:tcPr>
          <w:p>
            <w:pPr>
              <w:ind w:left="100"/>
              <w:spacing w:after="0" w:line="145" w:lineRule="exact"/>
              <w:rPr>
                <w:sz w:val="20"/>
                <w:szCs w:val="20"/>
                <w:color w:val="auto"/>
              </w:rPr>
            </w:pPr>
            <w:r>
              <w:rPr>
                <w:rFonts w:ascii="Arial" w:cs="Arial" w:eastAsia="Arial" w:hAnsi="Arial"/>
                <w:sz w:val="14"/>
                <w:szCs w:val="14"/>
                <w:color w:val="auto"/>
              </w:rPr>
              <w:t>transition method. The Company does not expect the</w:t>
            </w:r>
          </w:p>
        </w:tc>
        <w:tc>
          <w:tcPr>
            <w:tcW w:w="0" w:type="dxa"/>
            <w:vAlign w:val="bottom"/>
          </w:tcPr>
          <w:p>
            <w:pPr>
              <w:spacing w:after="0"/>
              <w:rPr>
                <w:sz w:val="1"/>
                <w:szCs w:val="1"/>
                <w:color w:val="auto"/>
              </w:rPr>
            </w:pPr>
          </w:p>
        </w:tc>
      </w:tr>
      <w:tr>
        <w:trPr>
          <w:trHeight w:val="145"/>
        </w:trPr>
        <w:tc>
          <w:tcPr>
            <w:tcW w:w="1600" w:type="dxa"/>
            <w:vAlign w:val="bottom"/>
            <w:tcBorders>
              <w:left w:val="single" w:sz="8" w:color="auto"/>
              <w:right w:val="single" w:sz="8" w:color="auto"/>
            </w:tcBorders>
          </w:tcPr>
          <w:p>
            <w:pPr>
              <w:spacing w:after="0"/>
              <w:rPr>
                <w:sz w:val="12"/>
                <w:szCs w:val="12"/>
                <w:color w:val="auto"/>
              </w:rPr>
            </w:pPr>
          </w:p>
        </w:tc>
        <w:tc>
          <w:tcPr>
            <w:tcW w:w="4880" w:type="dxa"/>
            <w:vAlign w:val="bottom"/>
            <w:tcBorders>
              <w:right w:val="single" w:sz="8" w:color="auto"/>
            </w:tcBorders>
          </w:tcPr>
          <w:p>
            <w:pPr>
              <w:ind w:left="80"/>
              <w:spacing w:after="0" w:line="145" w:lineRule="exact"/>
              <w:rPr>
                <w:sz w:val="20"/>
                <w:szCs w:val="20"/>
                <w:color w:val="auto"/>
              </w:rPr>
            </w:pPr>
            <w:r>
              <w:rPr>
                <w:rFonts w:ascii="Arial" w:cs="Arial" w:eastAsia="Arial" w:hAnsi="Arial"/>
                <w:sz w:val="14"/>
                <w:szCs w:val="14"/>
                <w:color w:val="auto"/>
              </w:rPr>
              <w:t>disposals) of assets or businesses.</w:t>
            </w:r>
          </w:p>
        </w:tc>
        <w:tc>
          <w:tcPr>
            <w:tcW w:w="1200" w:type="dxa"/>
            <w:vAlign w:val="bottom"/>
            <w:tcBorders>
              <w:right w:val="single" w:sz="8" w:color="auto"/>
            </w:tcBorders>
          </w:tcPr>
          <w:p>
            <w:pPr>
              <w:spacing w:after="0"/>
              <w:rPr>
                <w:sz w:val="12"/>
                <w:szCs w:val="12"/>
                <w:color w:val="auto"/>
              </w:rPr>
            </w:pPr>
          </w:p>
        </w:tc>
        <w:tc>
          <w:tcPr>
            <w:tcW w:w="3740" w:type="dxa"/>
            <w:vAlign w:val="bottom"/>
            <w:tcBorders>
              <w:right w:val="single" w:sz="8" w:color="auto"/>
            </w:tcBorders>
          </w:tcPr>
          <w:p>
            <w:pPr>
              <w:ind w:left="100"/>
              <w:spacing w:after="0" w:line="145" w:lineRule="exact"/>
              <w:rPr>
                <w:sz w:val="20"/>
                <w:szCs w:val="20"/>
                <w:color w:val="auto"/>
              </w:rPr>
            </w:pPr>
            <w:r>
              <w:rPr>
                <w:rFonts w:ascii="Arial" w:cs="Arial" w:eastAsia="Arial" w:hAnsi="Arial"/>
                <w:sz w:val="14"/>
                <w:szCs w:val="14"/>
                <w:color w:val="auto"/>
              </w:rPr>
              <w:t>guidance to have a material impact on its consolidated</w:t>
            </w:r>
          </w:p>
        </w:tc>
        <w:tc>
          <w:tcPr>
            <w:tcW w:w="0" w:type="dxa"/>
            <w:vAlign w:val="bottom"/>
          </w:tcPr>
          <w:p>
            <w:pPr>
              <w:spacing w:after="0"/>
              <w:rPr>
                <w:sz w:val="1"/>
                <w:szCs w:val="1"/>
                <w:color w:val="auto"/>
              </w:rPr>
            </w:pPr>
          </w:p>
        </w:tc>
      </w:tr>
      <w:tr>
        <w:trPr>
          <w:trHeight w:val="163"/>
        </w:trPr>
        <w:tc>
          <w:tcPr>
            <w:tcW w:w="1600" w:type="dxa"/>
            <w:vAlign w:val="bottom"/>
            <w:tcBorders>
              <w:left w:val="single" w:sz="8" w:color="auto"/>
              <w:bottom w:val="single" w:sz="8" w:color="auto"/>
              <w:right w:val="single" w:sz="8" w:color="auto"/>
            </w:tcBorders>
          </w:tcPr>
          <w:p>
            <w:pPr>
              <w:spacing w:after="0"/>
              <w:rPr>
                <w:sz w:val="14"/>
                <w:szCs w:val="14"/>
                <w:color w:val="auto"/>
              </w:rPr>
            </w:pPr>
          </w:p>
        </w:tc>
        <w:tc>
          <w:tcPr>
            <w:tcW w:w="4880" w:type="dxa"/>
            <w:vAlign w:val="bottom"/>
            <w:tcBorders>
              <w:bottom w:val="single" w:sz="8" w:color="auto"/>
              <w:right w:val="single" w:sz="8" w:color="auto"/>
            </w:tcBorders>
          </w:tcPr>
          <w:p>
            <w:pPr>
              <w:spacing w:after="0"/>
              <w:rPr>
                <w:sz w:val="14"/>
                <w:szCs w:val="14"/>
                <w:color w:val="auto"/>
              </w:rPr>
            </w:pPr>
          </w:p>
        </w:tc>
        <w:tc>
          <w:tcPr>
            <w:tcW w:w="1200" w:type="dxa"/>
            <w:vAlign w:val="bottom"/>
            <w:tcBorders>
              <w:bottom w:val="single" w:sz="8" w:color="auto"/>
              <w:right w:val="single" w:sz="8" w:color="auto"/>
            </w:tcBorders>
          </w:tcPr>
          <w:p>
            <w:pPr>
              <w:spacing w:after="0"/>
              <w:rPr>
                <w:sz w:val="14"/>
                <w:szCs w:val="14"/>
                <w:color w:val="auto"/>
              </w:rPr>
            </w:pPr>
          </w:p>
        </w:tc>
        <w:tc>
          <w:tcPr>
            <w:tcW w:w="37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financial statements.</w:t>
            </w:r>
          </w:p>
        </w:tc>
        <w:tc>
          <w:tcPr>
            <w:tcW w:w="0" w:type="dxa"/>
            <w:vAlign w:val="bottom"/>
          </w:tcPr>
          <w:p>
            <w:pPr>
              <w:spacing w:after="0"/>
              <w:rPr>
                <w:sz w:val="1"/>
                <w:szCs w:val="1"/>
                <w:color w:val="auto"/>
              </w:rPr>
            </w:pPr>
          </w:p>
        </w:tc>
      </w:tr>
      <w:tr>
        <w:trPr>
          <w:trHeight w:val="277"/>
        </w:trPr>
        <w:tc>
          <w:tcPr>
            <w:tcW w:w="1600" w:type="dxa"/>
            <w:vAlign w:val="bottom"/>
            <w:tcBorders>
              <w:left w:val="single" w:sz="8" w:color="auto"/>
              <w:right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Leases</w:t>
            </w:r>
          </w:p>
        </w:tc>
        <w:tc>
          <w:tcPr>
            <w:tcW w:w="4880" w:type="dxa"/>
            <w:vAlign w:val="bottom"/>
            <w:tcBorders>
              <w:right w:val="single" w:sz="8" w:color="auto"/>
            </w:tcBorders>
            <w:shd w:val="clear" w:color="auto" w:fill="CFF0FC"/>
          </w:tcPr>
          <w:p>
            <w:pPr>
              <w:ind w:left="80"/>
              <w:spacing w:after="0"/>
              <w:rPr>
                <w:sz w:val="20"/>
                <w:szCs w:val="20"/>
                <w:color w:val="auto"/>
              </w:rPr>
            </w:pPr>
            <w:r>
              <w:rPr>
                <w:rFonts w:ascii="Arial" w:cs="Arial" w:eastAsia="Arial" w:hAnsi="Arial"/>
                <w:sz w:val="14"/>
                <w:szCs w:val="14"/>
                <w:color w:val="auto"/>
                <w:w w:val="99"/>
              </w:rPr>
              <w:t>The new guidance requires lessees to record a right-of-use asset and a lease</w:t>
            </w:r>
          </w:p>
        </w:tc>
        <w:tc>
          <w:tcPr>
            <w:tcW w:w="1200" w:type="dxa"/>
            <w:vAlign w:val="bottom"/>
            <w:tcBorders>
              <w:right w:val="single" w:sz="8" w:color="auto"/>
            </w:tcBorders>
            <w:shd w:val="clear" w:color="auto" w:fill="CFF0FC"/>
          </w:tcPr>
          <w:p>
            <w:pPr>
              <w:ind w:left="80"/>
              <w:spacing w:after="0"/>
              <w:rPr>
                <w:sz w:val="20"/>
                <w:szCs w:val="20"/>
                <w:color w:val="auto"/>
              </w:rPr>
            </w:pPr>
            <w:r>
              <w:rPr>
                <w:rFonts w:ascii="Arial" w:cs="Arial" w:eastAsia="Arial" w:hAnsi="Arial"/>
                <w:sz w:val="14"/>
                <w:szCs w:val="14"/>
                <w:color w:val="auto"/>
              </w:rPr>
              <w:t>January 1, 2019</w:t>
            </w:r>
          </w:p>
        </w:tc>
        <w:tc>
          <w:tcPr>
            <w:tcW w:w="3740" w:type="dxa"/>
            <w:vAlign w:val="bottom"/>
            <w:tcBorders>
              <w:right w:val="single" w:sz="8" w:color="auto"/>
            </w:tcBorders>
            <w:shd w:val="clear" w:color="auto" w:fill="CFF0FC"/>
          </w:tcPr>
          <w:p>
            <w:pPr>
              <w:ind w:left="100"/>
              <w:spacing w:after="0"/>
              <w:rPr>
                <w:sz w:val="20"/>
                <w:szCs w:val="20"/>
                <w:color w:val="auto"/>
              </w:rPr>
            </w:pPr>
            <w:r>
              <w:rPr>
                <w:rFonts w:ascii="Arial" w:cs="Arial" w:eastAsia="Arial" w:hAnsi="Arial"/>
                <w:sz w:val="14"/>
                <w:szCs w:val="14"/>
                <w:color w:val="auto"/>
              </w:rPr>
              <w:t>The Company occupies certain banking offices and uses</w:t>
            </w:r>
          </w:p>
        </w:tc>
        <w:tc>
          <w:tcPr>
            <w:tcW w:w="0" w:type="dxa"/>
            <w:vAlign w:val="bottom"/>
          </w:tcPr>
          <w:p>
            <w:pPr>
              <w:spacing w:after="0"/>
              <w:rPr>
                <w:sz w:val="1"/>
                <w:szCs w:val="1"/>
                <w:color w:val="auto"/>
              </w:rPr>
            </w:pPr>
          </w:p>
        </w:tc>
      </w:tr>
      <w:tr>
        <w:trPr>
          <w:trHeight w:val="145"/>
        </w:trPr>
        <w:tc>
          <w:tcPr>
            <w:tcW w:w="1600" w:type="dxa"/>
            <w:vAlign w:val="bottom"/>
            <w:tcBorders>
              <w:left w:val="single" w:sz="8" w:color="auto"/>
              <w:right w:val="single" w:sz="8" w:color="auto"/>
            </w:tcBorders>
            <w:shd w:val="clear" w:color="auto" w:fill="CFF0FC"/>
          </w:tcPr>
          <w:p>
            <w:pPr>
              <w:spacing w:after="0"/>
              <w:rPr>
                <w:sz w:val="12"/>
                <w:szCs w:val="12"/>
                <w:color w:val="auto"/>
              </w:rPr>
            </w:pPr>
          </w:p>
        </w:tc>
        <w:tc>
          <w:tcPr>
            <w:tcW w:w="4880" w:type="dxa"/>
            <w:vAlign w:val="bottom"/>
            <w:tcBorders>
              <w:right w:val="single" w:sz="8" w:color="auto"/>
            </w:tcBorders>
            <w:shd w:val="clear" w:color="auto" w:fill="CFF0FC"/>
          </w:tcPr>
          <w:p>
            <w:pPr>
              <w:ind w:left="80"/>
              <w:spacing w:after="0" w:line="145" w:lineRule="exact"/>
              <w:rPr>
                <w:sz w:val="20"/>
                <w:szCs w:val="20"/>
                <w:color w:val="auto"/>
              </w:rPr>
            </w:pPr>
            <w:r>
              <w:rPr>
                <w:rFonts w:ascii="Arial" w:cs="Arial" w:eastAsia="Arial" w:hAnsi="Arial"/>
                <w:sz w:val="14"/>
                <w:szCs w:val="14"/>
                <w:color w:val="auto"/>
              </w:rPr>
              <w:t>liability for all leases with a term greater than 12 months. While the guidance</w:t>
            </w:r>
          </w:p>
        </w:tc>
        <w:tc>
          <w:tcPr>
            <w:tcW w:w="1200" w:type="dxa"/>
            <w:vAlign w:val="bottom"/>
            <w:tcBorders>
              <w:right w:val="single" w:sz="8" w:color="auto"/>
            </w:tcBorders>
            <w:shd w:val="clear" w:color="auto" w:fill="CFF0FC"/>
          </w:tcPr>
          <w:p>
            <w:pPr>
              <w:spacing w:after="0"/>
              <w:rPr>
                <w:sz w:val="12"/>
                <w:szCs w:val="12"/>
                <w:color w:val="auto"/>
              </w:rPr>
            </w:pPr>
          </w:p>
        </w:tc>
        <w:tc>
          <w:tcPr>
            <w:tcW w:w="3740" w:type="dxa"/>
            <w:vAlign w:val="bottom"/>
            <w:tcBorders>
              <w:right w:val="single" w:sz="8" w:color="auto"/>
            </w:tcBorders>
            <w:shd w:val="clear" w:color="auto" w:fill="CFF0FC"/>
          </w:tcPr>
          <w:p>
            <w:pPr>
              <w:ind w:left="100"/>
              <w:spacing w:after="0" w:line="145" w:lineRule="exact"/>
              <w:rPr>
                <w:sz w:val="20"/>
                <w:szCs w:val="20"/>
                <w:color w:val="auto"/>
              </w:rPr>
            </w:pPr>
            <w:r>
              <w:rPr>
                <w:rFonts w:ascii="Arial" w:cs="Arial" w:eastAsia="Arial" w:hAnsi="Arial"/>
                <w:sz w:val="14"/>
                <w:szCs w:val="14"/>
                <w:color w:val="auto"/>
              </w:rPr>
              <w:t>certain equipment under noncancelable operating lease</w:t>
            </w:r>
          </w:p>
        </w:tc>
        <w:tc>
          <w:tcPr>
            <w:tcW w:w="0" w:type="dxa"/>
            <w:vAlign w:val="bottom"/>
          </w:tcPr>
          <w:p>
            <w:pPr>
              <w:spacing w:after="0"/>
              <w:rPr>
                <w:sz w:val="1"/>
                <w:szCs w:val="1"/>
                <w:color w:val="auto"/>
              </w:rPr>
            </w:pPr>
          </w:p>
        </w:tc>
      </w:tr>
      <w:tr>
        <w:trPr>
          <w:trHeight w:val="145"/>
        </w:trPr>
        <w:tc>
          <w:tcPr>
            <w:tcW w:w="1600" w:type="dxa"/>
            <w:vAlign w:val="bottom"/>
            <w:tcBorders>
              <w:left w:val="single" w:sz="8" w:color="auto"/>
              <w:right w:val="single" w:sz="8" w:color="auto"/>
            </w:tcBorders>
            <w:shd w:val="clear" w:color="auto" w:fill="CFF0FC"/>
          </w:tcPr>
          <w:p>
            <w:pPr>
              <w:spacing w:after="0"/>
              <w:rPr>
                <w:sz w:val="12"/>
                <w:szCs w:val="12"/>
                <w:color w:val="auto"/>
              </w:rPr>
            </w:pPr>
          </w:p>
        </w:tc>
        <w:tc>
          <w:tcPr>
            <w:tcW w:w="4880" w:type="dxa"/>
            <w:vAlign w:val="bottom"/>
            <w:tcBorders>
              <w:right w:val="single" w:sz="8" w:color="auto"/>
            </w:tcBorders>
            <w:shd w:val="clear" w:color="auto" w:fill="CFF0FC"/>
          </w:tcPr>
          <w:p>
            <w:pPr>
              <w:ind w:left="80"/>
              <w:spacing w:after="0" w:line="145" w:lineRule="exact"/>
              <w:rPr>
                <w:sz w:val="20"/>
                <w:szCs w:val="20"/>
                <w:color w:val="auto"/>
              </w:rPr>
            </w:pPr>
            <w:r>
              <w:rPr>
                <w:rFonts w:ascii="Arial" w:cs="Arial" w:eastAsia="Arial" w:hAnsi="Arial"/>
                <w:sz w:val="14"/>
                <w:szCs w:val="14"/>
                <w:color w:val="auto"/>
                <w:w w:val="95"/>
              </w:rPr>
              <w:t>requires all leases to be recognized in the balance sheet, there continues to be a</w:t>
            </w:r>
          </w:p>
        </w:tc>
        <w:tc>
          <w:tcPr>
            <w:tcW w:w="1200" w:type="dxa"/>
            <w:vAlign w:val="bottom"/>
            <w:tcBorders>
              <w:right w:val="single" w:sz="8" w:color="auto"/>
            </w:tcBorders>
            <w:shd w:val="clear" w:color="auto" w:fill="CFF0FC"/>
          </w:tcPr>
          <w:p>
            <w:pPr>
              <w:ind w:left="80"/>
              <w:spacing w:after="0" w:line="145" w:lineRule="exact"/>
              <w:rPr>
                <w:sz w:val="20"/>
                <w:szCs w:val="20"/>
                <w:color w:val="auto"/>
              </w:rPr>
            </w:pPr>
            <w:r>
              <w:rPr>
                <w:rFonts w:ascii="Arial" w:cs="Arial" w:eastAsia="Arial" w:hAnsi="Arial"/>
                <w:sz w:val="14"/>
                <w:szCs w:val="14"/>
                <w:color w:val="auto"/>
              </w:rPr>
              <w:t>Early adoption</w:t>
            </w:r>
          </w:p>
        </w:tc>
        <w:tc>
          <w:tcPr>
            <w:tcW w:w="3740" w:type="dxa"/>
            <w:vAlign w:val="bottom"/>
            <w:tcBorders>
              <w:right w:val="single" w:sz="8" w:color="auto"/>
            </w:tcBorders>
            <w:shd w:val="clear" w:color="auto" w:fill="CFF0FC"/>
          </w:tcPr>
          <w:p>
            <w:pPr>
              <w:ind w:left="100"/>
              <w:spacing w:after="0" w:line="145" w:lineRule="exact"/>
              <w:rPr>
                <w:sz w:val="20"/>
                <w:szCs w:val="20"/>
                <w:color w:val="auto"/>
              </w:rPr>
            </w:pPr>
            <w:r>
              <w:rPr>
                <w:rFonts w:ascii="Arial" w:cs="Arial" w:eastAsia="Arial" w:hAnsi="Arial"/>
                <w:sz w:val="14"/>
                <w:szCs w:val="14"/>
                <w:color w:val="auto"/>
              </w:rPr>
              <w:t>agreements which currently are not reflected in its</w:t>
            </w:r>
          </w:p>
        </w:tc>
        <w:tc>
          <w:tcPr>
            <w:tcW w:w="0" w:type="dxa"/>
            <w:vAlign w:val="bottom"/>
          </w:tcPr>
          <w:p>
            <w:pPr>
              <w:spacing w:after="0"/>
              <w:rPr>
                <w:sz w:val="1"/>
                <w:szCs w:val="1"/>
                <w:color w:val="auto"/>
              </w:rPr>
            </w:pPr>
          </w:p>
        </w:tc>
      </w:tr>
      <w:tr>
        <w:trPr>
          <w:trHeight w:val="145"/>
        </w:trPr>
        <w:tc>
          <w:tcPr>
            <w:tcW w:w="1600" w:type="dxa"/>
            <w:vAlign w:val="bottom"/>
            <w:tcBorders>
              <w:left w:val="single" w:sz="8" w:color="auto"/>
              <w:right w:val="single" w:sz="8" w:color="auto"/>
            </w:tcBorders>
            <w:shd w:val="clear" w:color="auto" w:fill="CFF0FC"/>
          </w:tcPr>
          <w:p>
            <w:pPr>
              <w:spacing w:after="0"/>
              <w:rPr>
                <w:sz w:val="12"/>
                <w:szCs w:val="12"/>
                <w:color w:val="auto"/>
              </w:rPr>
            </w:pPr>
          </w:p>
        </w:tc>
        <w:tc>
          <w:tcPr>
            <w:tcW w:w="4880" w:type="dxa"/>
            <w:vAlign w:val="bottom"/>
            <w:tcBorders>
              <w:right w:val="single" w:sz="8" w:color="auto"/>
            </w:tcBorders>
            <w:shd w:val="clear" w:color="auto" w:fill="CFF0FC"/>
          </w:tcPr>
          <w:p>
            <w:pPr>
              <w:ind w:left="80"/>
              <w:spacing w:after="0" w:line="145" w:lineRule="exact"/>
              <w:rPr>
                <w:sz w:val="20"/>
                <w:szCs w:val="20"/>
                <w:color w:val="auto"/>
              </w:rPr>
            </w:pPr>
            <w:r>
              <w:rPr>
                <w:rFonts w:ascii="Arial" w:cs="Arial" w:eastAsia="Arial" w:hAnsi="Arial"/>
                <w:sz w:val="14"/>
                <w:szCs w:val="14"/>
                <w:color w:val="auto"/>
                <w:w w:val="92"/>
              </w:rPr>
              <w:t>differentiation between finance leases and operating leases for purposes of income</w:t>
            </w:r>
          </w:p>
        </w:tc>
        <w:tc>
          <w:tcPr>
            <w:tcW w:w="1200" w:type="dxa"/>
            <w:vAlign w:val="bottom"/>
            <w:tcBorders>
              <w:right w:val="single" w:sz="8" w:color="auto"/>
            </w:tcBorders>
            <w:shd w:val="clear" w:color="auto" w:fill="CFF0FC"/>
          </w:tcPr>
          <w:p>
            <w:pPr>
              <w:ind w:left="80"/>
              <w:spacing w:after="0" w:line="145" w:lineRule="exact"/>
              <w:rPr>
                <w:sz w:val="20"/>
                <w:szCs w:val="20"/>
                <w:color w:val="auto"/>
              </w:rPr>
            </w:pPr>
            <w:r>
              <w:rPr>
                <w:rFonts w:ascii="Arial" w:cs="Arial" w:eastAsia="Arial" w:hAnsi="Arial"/>
                <w:sz w:val="14"/>
                <w:szCs w:val="14"/>
                <w:color w:val="auto"/>
              </w:rPr>
              <w:t>permitted</w:t>
            </w:r>
          </w:p>
        </w:tc>
        <w:tc>
          <w:tcPr>
            <w:tcW w:w="3740" w:type="dxa"/>
            <w:vAlign w:val="bottom"/>
            <w:tcBorders>
              <w:right w:val="single" w:sz="8" w:color="auto"/>
            </w:tcBorders>
            <w:shd w:val="clear" w:color="auto" w:fill="CFF0FC"/>
          </w:tcPr>
          <w:p>
            <w:pPr>
              <w:ind w:left="100"/>
              <w:spacing w:after="0" w:line="145" w:lineRule="exact"/>
              <w:rPr>
                <w:sz w:val="20"/>
                <w:szCs w:val="20"/>
                <w:color w:val="auto"/>
              </w:rPr>
            </w:pPr>
            <w:r>
              <w:rPr>
                <w:rFonts w:ascii="Arial" w:cs="Arial" w:eastAsia="Arial" w:hAnsi="Arial"/>
                <w:sz w:val="14"/>
                <w:szCs w:val="14"/>
                <w:color w:val="auto"/>
                <w:w w:val="96"/>
              </w:rPr>
              <w:t>consolidated balance sheet. Upon adoption of the guidance,</w:t>
            </w:r>
          </w:p>
        </w:tc>
        <w:tc>
          <w:tcPr>
            <w:tcW w:w="0" w:type="dxa"/>
            <w:vAlign w:val="bottom"/>
          </w:tcPr>
          <w:p>
            <w:pPr>
              <w:spacing w:after="0"/>
              <w:rPr>
                <w:sz w:val="1"/>
                <w:szCs w:val="1"/>
                <w:color w:val="auto"/>
              </w:rPr>
            </w:pPr>
          </w:p>
        </w:tc>
      </w:tr>
      <w:tr>
        <w:trPr>
          <w:trHeight w:val="145"/>
        </w:trPr>
        <w:tc>
          <w:tcPr>
            <w:tcW w:w="1600" w:type="dxa"/>
            <w:vAlign w:val="bottom"/>
            <w:tcBorders>
              <w:left w:val="single" w:sz="8" w:color="auto"/>
              <w:right w:val="single" w:sz="8" w:color="auto"/>
            </w:tcBorders>
            <w:shd w:val="clear" w:color="auto" w:fill="CFF0FC"/>
          </w:tcPr>
          <w:p>
            <w:pPr>
              <w:spacing w:after="0"/>
              <w:rPr>
                <w:sz w:val="12"/>
                <w:szCs w:val="12"/>
                <w:color w:val="auto"/>
              </w:rPr>
            </w:pPr>
          </w:p>
        </w:tc>
        <w:tc>
          <w:tcPr>
            <w:tcW w:w="4880" w:type="dxa"/>
            <w:vAlign w:val="bottom"/>
            <w:tcBorders>
              <w:right w:val="single" w:sz="8" w:color="auto"/>
            </w:tcBorders>
            <w:shd w:val="clear" w:color="auto" w:fill="CFF0FC"/>
          </w:tcPr>
          <w:p>
            <w:pPr>
              <w:ind w:left="80"/>
              <w:spacing w:after="0" w:line="145" w:lineRule="exact"/>
              <w:rPr>
                <w:sz w:val="20"/>
                <w:szCs w:val="20"/>
                <w:color w:val="auto"/>
              </w:rPr>
            </w:pPr>
            <w:r>
              <w:rPr>
                <w:rFonts w:ascii="Arial" w:cs="Arial" w:eastAsia="Arial" w:hAnsi="Arial"/>
                <w:sz w:val="14"/>
                <w:szCs w:val="14"/>
                <w:color w:val="auto"/>
                <w:w w:val="96"/>
              </w:rPr>
              <w:t>statement recognition and cash flow statement presentation. For finance leases,</w:t>
            </w:r>
          </w:p>
        </w:tc>
        <w:tc>
          <w:tcPr>
            <w:tcW w:w="1200" w:type="dxa"/>
            <w:vAlign w:val="bottom"/>
            <w:tcBorders>
              <w:right w:val="single" w:sz="8" w:color="auto"/>
            </w:tcBorders>
            <w:shd w:val="clear" w:color="auto" w:fill="CFF0FC"/>
          </w:tcPr>
          <w:p>
            <w:pPr>
              <w:spacing w:after="0"/>
              <w:rPr>
                <w:sz w:val="12"/>
                <w:szCs w:val="12"/>
                <w:color w:val="auto"/>
              </w:rPr>
            </w:pPr>
          </w:p>
        </w:tc>
        <w:tc>
          <w:tcPr>
            <w:tcW w:w="3740" w:type="dxa"/>
            <w:vAlign w:val="bottom"/>
            <w:tcBorders>
              <w:right w:val="single" w:sz="8" w:color="auto"/>
            </w:tcBorders>
            <w:shd w:val="clear" w:color="auto" w:fill="CFF0FC"/>
          </w:tcPr>
          <w:p>
            <w:pPr>
              <w:ind w:left="100"/>
              <w:spacing w:after="0" w:line="145" w:lineRule="exact"/>
              <w:rPr>
                <w:sz w:val="20"/>
                <w:szCs w:val="20"/>
                <w:color w:val="auto"/>
              </w:rPr>
            </w:pPr>
            <w:r>
              <w:rPr>
                <w:rFonts w:ascii="Arial" w:cs="Arial" w:eastAsia="Arial" w:hAnsi="Arial"/>
                <w:sz w:val="14"/>
                <w:szCs w:val="14"/>
                <w:color w:val="auto"/>
              </w:rPr>
              <w:t>the Company expects to report increased assets and</w:t>
            </w:r>
          </w:p>
        </w:tc>
        <w:tc>
          <w:tcPr>
            <w:tcW w:w="0" w:type="dxa"/>
            <w:vAlign w:val="bottom"/>
          </w:tcPr>
          <w:p>
            <w:pPr>
              <w:spacing w:after="0"/>
              <w:rPr>
                <w:sz w:val="1"/>
                <w:szCs w:val="1"/>
                <w:color w:val="auto"/>
              </w:rPr>
            </w:pPr>
          </w:p>
        </w:tc>
      </w:tr>
      <w:tr>
        <w:trPr>
          <w:trHeight w:val="145"/>
        </w:trPr>
        <w:tc>
          <w:tcPr>
            <w:tcW w:w="1600" w:type="dxa"/>
            <w:vAlign w:val="bottom"/>
            <w:tcBorders>
              <w:left w:val="single" w:sz="8" w:color="auto"/>
              <w:right w:val="single" w:sz="8" w:color="auto"/>
            </w:tcBorders>
            <w:shd w:val="clear" w:color="auto" w:fill="CFF0FC"/>
          </w:tcPr>
          <w:p>
            <w:pPr>
              <w:spacing w:after="0"/>
              <w:rPr>
                <w:sz w:val="12"/>
                <w:szCs w:val="12"/>
                <w:color w:val="auto"/>
              </w:rPr>
            </w:pPr>
          </w:p>
        </w:tc>
        <w:tc>
          <w:tcPr>
            <w:tcW w:w="4880" w:type="dxa"/>
            <w:vAlign w:val="bottom"/>
            <w:tcBorders>
              <w:right w:val="single" w:sz="8" w:color="auto"/>
            </w:tcBorders>
            <w:shd w:val="clear" w:color="auto" w:fill="CFF0FC"/>
          </w:tcPr>
          <w:p>
            <w:pPr>
              <w:ind w:left="80"/>
              <w:spacing w:after="0" w:line="145" w:lineRule="exact"/>
              <w:rPr>
                <w:sz w:val="20"/>
                <w:szCs w:val="20"/>
                <w:color w:val="auto"/>
              </w:rPr>
            </w:pPr>
            <w:r>
              <w:rPr>
                <w:rFonts w:ascii="Arial" w:cs="Arial" w:eastAsia="Arial" w:hAnsi="Arial"/>
                <w:sz w:val="14"/>
                <w:szCs w:val="14"/>
                <w:color w:val="auto"/>
              </w:rPr>
              <w:t>interest on the lease liability and amortization of the right-of-use asset will be</w:t>
            </w:r>
          </w:p>
        </w:tc>
        <w:tc>
          <w:tcPr>
            <w:tcW w:w="1200" w:type="dxa"/>
            <w:vAlign w:val="bottom"/>
            <w:tcBorders>
              <w:right w:val="single" w:sz="8" w:color="auto"/>
            </w:tcBorders>
            <w:shd w:val="clear" w:color="auto" w:fill="CFF0FC"/>
          </w:tcPr>
          <w:p>
            <w:pPr>
              <w:spacing w:after="0"/>
              <w:rPr>
                <w:sz w:val="12"/>
                <w:szCs w:val="12"/>
                <w:color w:val="auto"/>
              </w:rPr>
            </w:pPr>
          </w:p>
        </w:tc>
        <w:tc>
          <w:tcPr>
            <w:tcW w:w="3740" w:type="dxa"/>
            <w:vAlign w:val="bottom"/>
            <w:tcBorders>
              <w:right w:val="single" w:sz="8" w:color="auto"/>
            </w:tcBorders>
            <w:shd w:val="clear" w:color="auto" w:fill="CFF0FC"/>
          </w:tcPr>
          <w:p>
            <w:pPr>
              <w:ind w:left="100"/>
              <w:spacing w:after="0" w:line="145" w:lineRule="exact"/>
              <w:rPr>
                <w:sz w:val="20"/>
                <w:szCs w:val="20"/>
                <w:color w:val="auto"/>
              </w:rPr>
            </w:pPr>
            <w:r>
              <w:rPr>
                <w:rFonts w:ascii="Arial" w:cs="Arial" w:eastAsia="Arial" w:hAnsi="Arial"/>
                <w:sz w:val="14"/>
                <w:szCs w:val="14"/>
                <w:color w:val="auto"/>
              </w:rPr>
              <w:t>increased liabilities as a result of recognizing right-of-use</w:t>
            </w:r>
          </w:p>
        </w:tc>
        <w:tc>
          <w:tcPr>
            <w:tcW w:w="0" w:type="dxa"/>
            <w:vAlign w:val="bottom"/>
          </w:tcPr>
          <w:p>
            <w:pPr>
              <w:spacing w:after="0"/>
              <w:rPr>
                <w:sz w:val="1"/>
                <w:szCs w:val="1"/>
                <w:color w:val="auto"/>
              </w:rPr>
            </w:pPr>
          </w:p>
        </w:tc>
      </w:tr>
      <w:tr>
        <w:trPr>
          <w:trHeight w:val="145"/>
        </w:trPr>
        <w:tc>
          <w:tcPr>
            <w:tcW w:w="1600" w:type="dxa"/>
            <w:vAlign w:val="bottom"/>
            <w:tcBorders>
              <w:left w:val="single" w:sz="8" w:color="auto"/>
              <w:right w:val="single" w:sz="8" w:color="auto"/>
            </w:tcBorders>
            <w:shd w:val="clear" w:color="auto" w:fill="CFF0FC"/>
          </w:tcPr>
          <w:p>
            <w:pPr>
              <w:spacing w:after="0"/>
              <w:rPr>
                <w:sz w:val="12"/>
                <w:szCs w:val="12"/>
                <w:color w:val="auto"/>
              </w:rPr>
            </w:pPr>
          </w:p>
        </w:tc>
        <w:tc>
          <w:tcPr>
            <w:tcW w:w="4880" w:type="dxa"/>
            <w:vAlign w:val="bottom"/>
            <w:tcBorders>
              <w:right w:val="single" w:sz="8" w:color="auto"/>
            </w:tcBorders>
            <w:shd w:val="clear" w:color="auto" w:fill="CFF0FC"/>
          </w:tcPr>
          <w:p>
            <w:pPr>
              <w:ind w:left="80"/>
              <w:spacing w:after="0" w:line="145" w:lineRule="exact"/>
              <w:rPr>
                <w:sz w:val="20"/>
                <w:szCs w:val="20"/>
                <w:color w:val="auto"/>
              </w:rPr>
            </w:pPr>
            <w:r>
              <w:rPr>
                <w:rFonts w:ascii="Arial" w:cs="Arial" w:eastAsia="Arial" w:hAnsi="Arial"/>
                <w:sz w:val="14"/>
                <w:szCs w:val="14"/>
                <w:color w:val="auto"/>
                <w:w w:val="98"/>
              </w:rPr>
              <w:t>recognized separately in the statement of income. Repayments of principal on</w:t>
            </w:r>
          </w:p>
        </w:tc>
        <w:tc>
          <w:tcPr>
            <w:tcW w:w="1200" w:type="dxa"/>
            <w:vAlign w:val="bottom"/>
            <w:tcBorders>
              <w:right w:val="single" w:sz="8" w:color="auto"/>
            </w:tcBorders>
            <w:shd w:val="clear" w:color="auto" w:fill="CFF0FC"/>
          </w:tcPr>
          <w:p>
            <w:pPr>
              <w:spacing w:after="0"/>
              <w:rPr>
                <w:sz w:val="12"/>
                <w:szCs w:val="12"/>
                <w:color w:val="auto"/>
              </w:rPr>
            </w:pPr>
          </w:p>
        </w:tc>
        <w:tc>
          <w:tcPr>
            <w:tcW w:w="3740" w:type="dxa"/>
            <w:vAlign w:val="bottom"/>
            <w:tcBorders>
              <w:right w:val="single" w:sz="8" w:color="auto"/>
            </w:tcBorders>
            <w:shd w:val="clear" w:color="auto" w:fill="CFF0FC"/>
          </w:tcPr>
          <w:p>
            <w:pPr>
              <w:ind w:left="100"/>
              <w:spacing w:after="0" w:line="145" w:lineRule="exact"/>
              <w:rPr>
                <w:sz w:val="20"/>
                <w:szCs w:val="20"/>
                <w:color w:val="auto"/>
              </w:rPr>
            </w:pPr>
            <w:r>
              <w:rPr>
                <w:rFonts w:ascii="Arial" w:cs="Arial" w:eastAsia="Arial" w:hAnsi="Arial"/>
                <w:sz w:val="14"/>
                <w:szCs w:val="14"/>
                <w:color w:val="auto"/>
                <w:w w:val="95"/>
              </w:rPr>
              <w:t>assets and lease liabilities on its consolidated balance sheet.</w:t>
            </w:r>
          </w:p>
        </w:tc>
        <w:tc>
          <w:tcPr>
            <w:tcW w:w="0" w:type="dxa"/>
            <w:vAlign w:val="bottom"/>
          </w:tcPr>
          <w:p>
            <w:pPr>
              <w:spacing w:after="0"/>
              <w:rPr>
                <w:sz w:val="1"/>
                <w:szCs w:val="1"/>
                <w:color w:val="auto"/>
              </w:rPr>
            </w:pPr>
          </w:p>
        </w:tc>
      </w:tr>
      <w:tr>
        <w:trPr>
          <w:trHeight w:val="145"/>
        </w:trPr>
        <w:tc>
          <w:tcPr>
            <w:tcW w:w="1600" w:type="dxa"/>
            <w:vAlign w:val="bottom"/>
            <w:tcBorders>
              <w:left w:val="single" w:sz="8" w:color="auto"/>
              <w:right w:val="single" w:sz="8" w:color="auto"/>
            </w:tcBorders>
            <w:shd w:val="clear" w:color="auto" w:fill="CFF0FC"/>
          </w:tcPr>
          <w:p>
            <w:pPr>
              <w:spacing w:after="0"/>
              <w:rPr>
                <w:sz w:val="12"/>
                <w:szCs w:val="12"/>
                <w:color w:val="auto"/>
              </w:rPr>
            </w:pPr>
          </w:p>
        </w:tc>
        <w:tc>
          <w:tcPr>
            <w:tcW w:w="4880" w:type="dxa"/>
            <w:vAlign w:val="bottom"/>
            <w:tcBorders>
              <w:right w:val="single" w:sz="8" w:color="auto"/>
            </w:tcBorders>
            <w:shd w:val="clear" w:color="auto" w:fill="CFF0FC"/>
          </w:tcPr>
          <w:p>
            <w:pPr>
              <w:ind w:left="80"/>
              <w:spacing w:after="0" w:line="145" w:lineRule="exact"/>
              <w:rPr>
                <w:sz w:val="20"/>
                <w:szCs w:val="20"/>
                <w:color w:val="auto"/>
              </w:rPr>
            </w:pPr>
            <w:r>
              <w:rPr>
                <w:rFonts w:ascii="Arial" w:cs="Arial" w:eastAsia="Arial" w:hAnsi="Arial"/>
                <w:sz w:val="14"/>
                <w:szCs w:val="14"/>
                <w:color w:val="auto"/>
                <w:w w:val="95"/>
              </w:rPr>
              <w:t>those lease liabilities will be classified within financing activities and payments of</w:t>
            </w:r>
          </w:p>
        </w:tc>
        <w:tc>
          <w:tcPr>
            <w:tcW w:w="1200" w:type="dxa"/>
            <w:vAlign w:val="bottom"/>
            <w:tcBorders>
              <w:right w:val="single" w:sz="8" w:color="auto"/>
            </w:tcBorders>
            <w:shd w:val="clear" w:color="auto" w:fill="CFF0FC"/>
          </w:tcPr>
          <w:p>
            <w:pPr>
              <w:spacing w:after="0"/>
              <w:rPr>
                <w:sz w:val="12"/>
                <w:szCs w:val="12"/>
                <w:color w:val="auto"/>
              </w:rPr>
            </w:pPr>
          </w:p>
        </w:tc>
        <w:tc>
          <w:tcPr>
            <w:tcW w:w="3740" w:type="dxa"/>
            <w:vAlign w:val="bottom"/>
            <w:tcBorders>
              <w:right w:val="single" w:sz="8" w:color="auto"/>
            </w:tcBorders>
            <w:shd w:val="clear" w:color="auto" w:fill="CFF0FC"/>
          </w:tcPr>
          <w:p>
            <w:pPr>
              <w:ind w:left="100"/>
              <w:spacing w:after="0" w:line="145" w:lineRule="exact"/>
              <w:rPr>
                <w:sz w:val="20"/>
                <w:szCs w:val="20"/>
                <w:color w:val="auto"/>
              </w:rPr>
            </w:pPr>
            <w:r>
              <w:rPr>
                <w:rFonts w:ascii="Arial" w:cs="Arial" w:eastAsia="Arial" w:hAnsi="Arial"/>
                <w:sz w:val="14"/>
                <w:szCs w:val="14"/>
                <w:color w:val="auto"/>
              </w:rPr>
              <w:t>The Company was committed to $429 million of minimum</w:t>
            </w:r>
          </w:p>
        </w:tc>
        <w:tc>
          <w:tcPr>
            <w:tcW w:w="0" w:type="dxa"/>
            <w:vAlign w:val="bottom"/>
          </w:tcPr>
          <w:p>
            <w:pPr>
              <w:spacing w:after="0"/>
              <w:rPr>
                <w:sz w:val="1"/>
                <w:szCs w:val="1"/>
                <w:color w:val="auto"/>
              </w:rPr>
            </w:pPr>
          </w:p>
        </w:tc>
      </w:tr>
      <w:tr>
        <w:trPr>
          <w:trHeight w:val="145"/>
        </w:trPr>
        <w:tc>
          <w:tcPr>
            <w:tcW w:w="1600" w:type="dxa"/>
            <w:vAlign w:val="bottom"/>
            <w:tcBorders>
              <w:left w:val="single" w:sz="8" w:color="auto"/>
              <w:right w:val="single" w:sz="8" w:color="auto"/>
            </w:tcBorders>
            <w:shd w:val="clear" w:color="auto" w:fill="CFF0FC"/>
          </w:tcPr>
          <w:p>
            <w:pPr>
              <w:spacing w:after="0"/>
              <w:rPr>
                <w:sz w:val="12"/>
                <w:szCs w:val="12"/>
                <w:color w:val="auto"/>
              </w:rPr>
            </w:pPr>
          </w:p>
        </w:tc>
        <w:tc>
          <w:tcPr>
            <w:tcW w:w="4880" w:type="dxa"/>
            <w:vAlign w:val="bottom"/>
            <w:tcBorders>
              <w:right w:val="single" w:sz="8" w:color="auto"/>
            </w:tcBorders>
            <w:shd w:val="clear" w:color="auto" w:fill="CFF0FC"/>
          </w:tcPr>
          <w:p>
            <w:pPr>
              <w:ind w:left="80"/>
              <w:spacing w:after="0" w:line="145" w:lineRule="exact"/>
              <w:rPr>
                <w:sz w:val="20"/>
                <w:szCs w:val="20"/>
                <w:color w:val="auto"/>
              </w:rPr>
            </w:pPr>
            <w:r>
              <w:rPr>
                <w:rFonts w:ascii="Arial" w:cs="Arial" w:eastAsia="Arial" w:hAnsi="Arial"/>
                <w:sz w:val="14"/>
                <w:szCs w:val="14"/>
                <w:color w:val="auto"/>
              </w:rPr>
              <w:t>interest on the lease liability will be classified within operating activities in the</w:t>
            </w:r>
          </w:p>
        </w:tc>
        <w:tc>
          <w:tcPr>
            <w:tcW w:w="1200" w:type="dxa"/>
            <w:vAlign w:val="bottom"/>
            <w:tcBorders>
              <w:right w:val="single" w:sz="8" w:color="auto"/>
            </w:tcBorders>
            <w:shd w:val="clear" w:color="auto" w:fill="CFF0FC"/>
          </w:tcPr>
          <w:p>
            <w:pPr>
              <w:spacing w:after="0"/>
              <w:rPr>
                <w:sz w:val="12"/>
                <w:szCs w:val="12"/>
                <w:color w:val="auto"/>
              </w:rPr>
            </w:pPr>
          </w:p>
        </w:tc>
        <w:tc>
          <w:tcPr>
            <w:tcW w:w="3740" w:type="dxa"/>
            <w:vAlign w:val="bottom"/>
            <w:tcBorders>
              <w:right w:val="single" w:sz="8" w:color="auto"/>
            </w:tcBorders>
            <w:shd w:val="clear" w:color="auto" w:fill="CFF0FC"/>
          </w:tcPr>
          <w:p>
            <w:pPr>
              <w:ind w:left="100"/>
              <w:spacing w:after="0" w:line="145" w:lineRule="exact"/>
              <w:rPr>
                <w:sz w:val="20"/>
                <w:szCs w:val="20"/>
                <w:color w:val="auto"/>
              </w:rPr>
            </w:pPr>
            <w:r>
              <w:rPr>
                <w:rFonts w:ascii="Arial" w:cs="Arial" w:eastAsia="Arial" w:hAnsi="Arial"/>
                <w:sz w:val="14"/>
                <w:szCs w:val="14"/>
                <w:color w:val="auto"/>
              </w:rPr>
              <w:t>lease payments under noncancelable operating lease</w:t>
            </w:r>
          </w:p>
        </w:tc>
        <w:tc>
          <w:tcPr>
            <w:tcW w:w="0" w:type="dxa"/>
            <w:vAlign w:val="bottom"/>
          </w:tcPr>
          <w:p>
            <w:pPr>
              <w:spacing w:after="0"/>
              <w:rPr>
                <w:sz w:val="1"/>
                <w:szCs w:val="1"/>
                <w:color w:val="auto"/>
              </w:rPr>
            </w:pPr>
          </w:p>
        </w:tc>
      </w:tr>
      <w:tr>
        <w:trPr>
          <w:trHeight w:val="145"/>
        </w:trPr>
        <w:tc>
          <w:tcPr>
            <w:tcW w:w="1600" w:type="dxa"/>
            <w:vAlign w:val="bottom"/>
            <w:tcBorders>
              <w:left w:val="single" w:sz="8" w:color="auto"/>
              <w:right w:val="single" w:sz="8" w:color="auto"/>
            </w:tcBorders>
            <w:shd w:val="clear" w:color="auto" w:fill="CFF0FC"/>
          </w:tcPr>
          <w:p>
            <w:pPr>
              <w:spacing w:after="0"/>
              <w:rPr>
                <w:sz w:val="12"/>
                <w:szCs w:val="12"/>
                <w:color w:val="auto"/>
              </w:rPr>
            </w:pPr>
          </w:p>
        </w:tc>
        <w:tc>
          <w:tcPr>
            <w:tcW w:w="4880" w:type="dxa"/>
            <w:vAlign w:val="bottom"/>
            <w:tcBorders>
              <w:right w:val="single" w:sz="8" w:color="auto"/>
            </w:tcBorders>
            <w:shd w:val="clear" w:color="auto" w:fill="CFF0FC"/>
          </w:tcPr>
          <w:p>
            <w:pPr>
              <w:ind w:left="80"/>
              <w:spacing w:after="0" w:line="145" w:lineRule="exact"/>
              <w:rPr>
                <w:sz w:val="20"/>
                <w:szCs w:val="20"/>
                <w:color w:val="auto"/>
              </w:rPr>
            </w:pPr>
            <w:r>
              <w:rPr>
                <w:rFonts w:ascii="Arial" w:cs="Arial" w:eastAsia="Arial" w:hAnsi="Arial"/>
                <w:sz w:val="14"/>
                <w:szCs w:val="14"/>
                <w:color w:val="auto"/>
                <w:w w:val="94"/>
              </w:rPr>
              <w:t>statement of cash flows. For operating leases, a single lease cost is recognized in</w:t>
            </w:r>
          </w:p>
        </w:tc>
        <w:tc>
          <w:tcPr>
            <w:tcW w:w="1200" w:type="dxa"/>
            <w:vAlign w:val="bottom"/>
            <w:tcBorders>
              <w:right w:val="single" w:sz="8" w:color="auto"/>
            </w:tcBorders>
            <w:shd w:val="clear" w:color="auto" w:fill="CFF0FC"/>
          </w:tcPr>
          <w:p>
            <w:pPr>
              <w:spacing w:after="0"/>
              <w:rPr>
                <w:sz w:val="12"/>
                <w:szCs w:val="12"/>
                <w:color w:val="auto"/>
              </w:rPr>
            </w:pPr>
          </w:p>
        </w:tc>
        <w:tc>
          <w:tcPr>
            <w:tcW w:w="3740" w:type="dxa"/>
            <w:vAlign w:val="bottom"/>
            <w:tcBorders>
              <w:right w:val="single" w:sz="8" w:color="auto"/>
            </w:tcBorders>
            <w:shd w:val="clear" w:color="auto" w:fill="CFF0FC"/>
          </w:tcPr>
          <w:p>
            <w:pPr>
              <w:ind w:left="100"/>
              <w:spacing w:after="0" w:line="145" w:lineRule="exact"/>
              <w:rPr>
                <w:sz w:val="20"/>
                <w:szCs w:val="20"/>
                <w:color w:val="auto"/>
              </w:rPr>
            </w:pPr>
            <w:r>
              <w:rPr>
                <w:rFonts w:ascii="Arial" w:cs="Arial" w:eastAsia="Arial" w:hAnsi="Arial"/>
                <w:sz w:val="14"/>
                <w:szCs w:val="14"/>
                <w:color w:val="auto"/>
                <w:w w:val="97"/>
              </w:rPr>
              <w:t>agreements at December 31, 2017. The Company does not</w:t>
            </w:r>
          </w:p>
        </w:tc>
        <w:tc>
          <w:tcPr>
            <w:tcW w:w="0" w:type="dxa"/>
            <w:vAlign w:val="bottom"/>
          </w:tcPr>
          <w:p>
            <w:pPr>
              <w:spacing w:after="0"/>
              <w:rPr>
                <w:sz w:val="1"/>
                <w:szCs w:val="1"/>
                <w:color w:val="auto"/>
              </w:rPr>
            </w:pPr>
          </w:p>
        </w:tc>
      </w:tr>
      <w:tr>
        <w:trPr>
          <w:trHeight w:val="145"/>
        </w:trPr>
        <w:tc>
          <w:tcPr>
            <w:tcW w:w="1600" w:type="dxa"/>
            <w:vAlign w:val="bottom"/>
            <w:tcBorders>
              <w:left w:val="single" w:sz="8" w:color="auto"/>
              <w:right w:val="single" w:sz="8" w:color="auto"/>
            </w:tcBorders>
            <w:shd w:val="clear" w:color="auto" w:fill="CFF0FC"/>
          </w:tcPr>
          <w:p>
            <w:pPr>
              <w:spacing w:after="0"/>
              <w:rPr>
                <w:sz w:val="12"/>
                <w:szCs w:val="12"/>
                <w:color w:val="auto"/>
              </w:rPr>
            </w:pPr>
          </w:p>
        </w:tc>
        <w:tc>
          <w:tcPr>
            <w:tcW w:w="4880" w:type="dxa"/>
            <w:vAlign w:val="bottom"/>
            <w:tcBorders>
              <w:right w:val="single" w:sz="8" w:color="auto"/>
            </w:tcBorders>
            <w:shd w:val="clear" w:color="auto" w:fill="CFF0FC"/>
          </w:tcPr>
          <w:p>
            <w:pPr>
              <w:ind w:left="80"/>
              <w:spacing w:after="0" w:line="145" w:lineRule="exact"/>
              <w:rPr>
                <w:sz w:val="20"/>
                <w:szCs w:val="20"/>
                <w:color w:val="auto"/>
              </w:rPr>
            </w:pPr>
            <w:r>
              <w:rPr>
                <w:rFonts w:ascii="Arial" w:cs="Arial" w:eastAsia="Arial" w:hAnsi="Arial"/>
                <w:sz w:val="14"/>
                <w:szCs w:val="14"/>
                <w:color w:val="auto"/>
                <w:w w:val="93"/>
              </w:rPr>
              <w:t>the statement of income and allocated over the lease term, generally on a straight-</w:t>
            </w:r>
          </w:p>
        </w:tc>
        <w:tc>
          <w:tcPr>
            <w:tcW w:w="1200" w:type="dxa"/>
            <w:vAlign w:val="bottom"/>
            <w:tcBorders>
              <w:right w:val="single" w:sz="8" w:color="auto"/>
            </w:tcBorders>
            <w:shd w:val="clear" w:color="auto" w:fill="CFF0FC"/>
          </w:tcPr>
          <w:p>
            <w:pPr>
              <w:spacing w:after="0"/>
              <w:rPr>
                <w:sz w:val="12"/>
                <w:szCs w:val="12"/>
                <w:color w:val="auto"/>
              </w:rPr>
            </w:pPr>
          </w:p>
        </w:tc>
        <w:tc>
          <w:tcPr>
            <w:tcW w:w="3740" w:type="dxa"/>
            <w:vAlign w:val="bottom"/>
            <w:tcBorders>
              <w:right w:val="single" w:sz="8" w:color="auto"/>
            </w:tcBorders>
            <w:shd w:val="clear" w:color="auto" w:fill="CFF0FC"/>
          </w:tcPr>
          <w:p>
            <w:pPr>
              <w:ind w:left="100"/>
              <w:spacing w:after="0" w:line="145" w:lineRule="exact"/>
              <w:rPr>
                <w:sz w:val="20"/>
                <w:szCs w:val="20"/>
                <w:color w:val="auto"/>
              </w:rPr>
            </w:pPr>
            <w:r>
              <w:rPr>
                <w:rFonts w:ascii="Arial" w:cs="Arial" w:eastAsia="Arial" w:hAnsi="Arial"/>
                <w:sz w:val="14"/>
                <w:szCs w:val="14"/>
                <w:color w:val="auto"/>
              </w:rPr>
              <w:t>expect the new guidance will have a material impact to its</w:t>
            </w:r>
          </w:p>
        </w:tc>
        <w:tc>
          <w:tcPr>
            <w:tcW w:w="0" w:type="dxa"/>
            <w:vAlign w:val="bottom"/>
          </w:tcPr>
          <w:p>
            <w:pPr>
              <w:spacing w:after="0"/>
              <w:rPr>
                <w:sz w:val="1"/>
                <w:szCs w:val="1"/>
                <w:color w:val="auto"/>
              </w:rPr>
            </w:pPr>
          </w:p>
        </w:tc>
      </w:tr>
      <w:tr>
        <w:trPr>
          <w:trHeight w:val="145"/>
        </w:trPr>
        <w:tc>
          <w:tcPr>
            <w:tcW w:w="1600" w:type="dxa"/>
            <w:vAlign w:val="bottom"/>
            <w:tcBorders>
              <w:left w:val="single" w:sz="8" w:color="auto"/>
              <w:right w:val="single" w:sz="8" w:color="auto"/>
            </w:tcBorders>
            <w:shd w:val="clear" w:color="auto" w:fill="CFF0FC"/>
          </w:tcPr>
          <w:p>
            <w:pPr>
              <w:spacing w:after="0"/>
              <w:rPr>
                <w:sz w:val="12"/>
                <w:szCs w:val="12"/>
                <w:color w:val="auto"/>
              </w:rPr>
            </w:pPr>
          </w:p>
        </w:tc>
        <w:tc>
          <w:tcPr>
            <w:tcW w:w="4880" w:type="dxa"/>
            <w:vAlign w:val="bottom"/>
            <w:tcBorders>
              <w:right w:val="single" w:sz="8" w:color="auto"/>
            </w:tcBorders>
            <w:shd w:val="clear" w:color="auto" w:fill="CFF0FC"/>
          </w:tcPr>
          <w:p>
            <w:pPr>
              <w:ind w:left="80"/>
              <w:spacing w:after="0" w:line="145" w:lineRule="exact"/>
              <w:rPr>
                <w:sz w:val="20"/>
                <w:szCs w:val="20"/>
                <w:color w:val="auto"/>
              </w:rPr>
            </w:pPr>
            <w:r>
              <w:rPr>
                <w:rFonts w:ascii="Arial" w:cs="Arial" w:eastAsia="Arial" w:hAnsi="Arial"/>
                <w:sz w:val="14"/>
                <w:szCs w:val="14"/>
                <w:color w:val="auto"/>
              </w:rPr>
              <w:t>line basis. All cash payments are presented within operating activities in the</w:t>
            </w:r>
          </w:p>
        </w:tc>
        <w:tc>
          <w:tcPr>
            <w:tcW w:w="1200" w:type="dxa"/>
            <w:vAlign w:val="bottom"/>
            <w:tcBorders>
              <w:right w:val="single" w:sz="8" w:color="auto"/>
            </w:tcBorders>
            <w:shd w:val="clear" w:color="auto" w:fill="CFF0FC"/>
          </w:tcPr>
          <w:p>
            <w:pPr>
              <w:spacing w:after="0"/>
              <w:rPr>
                <w:sz w:val="12"/>
                <w:szCs w:val="12"/>
                <w:color w:val="auto"/>
              </w:rPr>
            </w:pPr>
          </w:p>
        </w:tc>
        <w:tc>
          <w:tcPr>
            <w:tcW w:w="3740" w:type="dxa"/>
            <w:vAlign w:val="bottom"/>
            <w:tcBorders>
              <w:right w:val="single" w:sz="8" w:color="auto"/>
            </w:tcBorders>
            <w:shd w:val="clear" w:color="auto" w:fill="CFF0FC"/>
          </w:tcPr>
          <w:p>
            <w:pPr>
              <w:ind w:left="100"/>
              <w:spacing w:after="0" w:line="145" w:lineRule="exact"/>
              <w:rPr>
                <w:sz w:val="20"/>
                <w:szCs w:val="20"/>
                <w:color w:val="auto"/>
              </w:rPr>
            </w:pPr>
            <w:r>
              <w:rPr>
                <w:rFonts w:ascii="Arial" w:cs="Arial" w:eastAsia="Arial" w:hAnsi="Arial"/>
                <w:sz w:val="14"/>
                <w:szCs w:val="14"/>
                <w:color w:val="auto"/>
              </w:rPr>
              <w:t>consolidated statement of income.</w:t>
            </w:r>
          </w:p>
        </w:tc>
        <w:tc>
          <w:tcPr>
            <w:tcW w:w="0" w:type="dxa"/>
            <w:vAlign w:val="bottom"/>
          </w:tcPr>
          <w:p>
            <w:pPr>
              <w:spacing w:after="0"/>
              <w:rPr>
                <w:sz w:val="1"/>
                <w:szCs w:val="1"/>
                <w:color w:val="auto"/>
              </w:rPr>
            </w:pPr>
          </w:p>
        </w:tc>
      </w:tr>
      <w:tr>
        <w:trPr>
          <w:trHeight w:val="145"/>
        </w:trPr>
        <w:tc>
          <w:tcPr>
            <w:tcW w:w="1600" w:type="dxa"/>
            <w:vAlign w:val="bottom"/>
            <w:tcBorders>
              <w:left w:val="single" w:sz="8" w:color="auto"/>
              <w:right w:val="single" w:sz="8" w:color="auto"/>
            </w:tcBorders>
            <w:shd w:val="clear" w:color="auto" w:fill="CFF0FC"/>
          </w:tcPr>
          <w:p>
            <w:pPr>
              <w:spacing w:after="0"/>
              <w:rPr>
                <w:sz w:val="12"/>
                <w:szCs w:val="12"/>
                <w:color w:val="auto"/>
              </w:rPr>
            </w:pPr>
          </w:p>
        </w:tc>
        <w:tc>
          <w:tcPr>
            <w:tcW w:w="4880" w:type="dxa"/>
            <w:vAlign w:val="bottom"/>
            <w:tcBorders>
              <w:right w:val="single" w:sz="8" w:color="auto"/>
            </w:tcBorders>
            <w:shd w:val="clear" w:color="auto" w:fill="CFF0FC"/>
          </w:tcPr>
          <w:p>
            <w:pPr>
              <w:ind w:left="80"/>
              <w:spacing w:after="0" w:line="145" w:lineRule="exact"/>
              <w:rPr>
                <w:sz w:val="20"/>
                <w:szCs w:val="20"/>
                <w:color w:val="auto"/>
              </w:rPr>
            </w:pPr>
            <w:r>
              <w:rPr>
                <w:rFonts w:ascii="Arial" w:cs="Arial" w:eastAsia="Arial" w:hAnsi="Arial"/>
                <w:sz w:val="14"/>
                <w:szCs w:val="14"/>
                <w:color w:val="auto"/>
                <w:w w:val="95"/>
              </w:rPr>
              <w:t>statement of cash flows. The accounting applied by lessors is largely unchanged</w:t>
            </w:r>
          </w:p>
        </w:tc>
        <w:tc>
          <w:tcPr>
            <w:tcW w:w="1200" w:type="dxa"/>
            <w:vAlign w:val="bottom"/>
            <w:tcBorders>
              <w:right w:val="single" w:sz="8" w:color="auto"/>
            </w:tcBorders>
            <w:shd w:val="clear" w:color="auto" w:fill="CFF0FC"/>
          </w:tcPr>
          <w:p>
            <w:pPr>
              <w:spacing w:after="0"/>
              <w:rPr>
                <w:sz w:val="12"/>
                <w:szCs w:val="12"/>
                <w:color w:val="auto"/>
              </w:rPr>
            </w:pPr>
          </w:p>
        </w:tc>
        <w:tc>
          <w:tcPr>
            <w:tcW w:w="374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00" w:type="dxa"/>
            <w:vAlign w:val="bottom"/>
            <w:tcBorders>
              <w:left w:val="single" w:sz="8" w:color="auto"/>
              <w:right w:val="single" w:sz="8" w:color="auto"/>
            </w:tcBorders>
            <w:shd w:val="clear" w:color="auto" w:fill="CFF0FC"/>
          </w:tcPr>
          <w:p>
            <w:pPr>
              <w:spacing w:after="0"/>
              <w:rPr>
                <w:sz w:val="12"/>
                <w:szCs w:val="12"/>
                <w:color w:val="auto"/>
              </w:rPr>
            </w:pPr>
          </w:p>
        </w:tc>
        <w:tc>
          <w:tcPr>
            <w:tcW w:w="4880" w:type="dxa"/>
            <w:vAlign w:val="bottom"/>
            <w:tcBorders>
              <w:right w:val="single" w:sz="8" w:color="auto"/>
            </w:tcBorders>
            <w:shd w:val="clear" w:color="auto" w:fill="CFF0FC"/>
          </w:tcPr>
          <w:p>
            <w:pPr>
              <w:ind w:left="80"/>
              <w:spacing w:after="0" w:line="145" w:lineRule="exact"/>
              <w:rPr>
                <w:sz w:val="20"/>
                <w:szCs w:val="20"/>
                <w:color w:val="auto"/>
              </w:rPr>
            </w:pPr>
            <w:r>
              <w:rPr>
                <w:rFonts w:ascii="Arial" w:cs="Arial" w:eastAsia="Arial" w:hAnsi="Arial"/>
                <w:sz w:val="14"/>
                <w:szCs w:val="14"/>
                <w:color w:val="auto"/>
                <w:w w:val="96"/>
              </w:rPr>
              <w:t>from existing GAAP, however, the guidance eliminates the accounting model for</w:t>
            </w:r>
          </w:p>
        </w:tc>
        <w:tc>
          <w:tcPr>
            <w:tcW w:w="1200" w:type="dxa"/>
            <w:vAlign w:val="bottom"/>
            <w:tcBorders>
              <w:right w:val="single" w:sz="8" w:color="auto"/>
            </w:tcBorders>
            <w:shd w:val="clear" w:color="auto" w:fill="CFF0FC"/>
          </w:tcPr>
          <w:p>
            <w:pPr>
              <w:spacing w:after="0"/>
              <w:rPr>
                <w:sz w:val="12"/>
                <w:szCs w:val="12"/>
                <w:color w:val="auto"/>
              </w:rPr>
            </w:pPr>
          </w:p>
        </w:tc>
        <w:tc>
          <w:tcPr>
            <w:tcW w:w="374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1600" w:type="dxa"/>
            <w:vAlign w:val="bottom"/>
            <w:tcBorders>
              <w:left w:val="single" w:sz="8" w:color="auto"/>
              <w:bottom w:val="single" w:sz="8" w:color="auto"/>
              <w:right w:val="single" w:sz="8" w:color="auto"/>
            </w:tcBorders>
            <w:shd w:val="clear" w:color="auto" w:fill="CFF0FC"/>
          </w:tcPr>
          <w:p>
            <w:pPr>
              <w:spacing w:after="0"/>
              <w:rPr>
                <w:sz w:val="14"/>
                <w:szCs w:val="14"/>
                <w:color w:val="auto"/>
              </w:rPr>
            </w:pPr>
          </w:p>
        </w:tc>
        <w:tc>
          <w:tcPr>
            <w:tcW w:w="4880" w:type="dxa"/>
            <w:vAlign w:val="bottom"/>
            <w:tcBorders>
              <w:bottom w:val="single" w:sz="8" w:color="auto"/>
              <w:right w:val="single" w:sz="8" w:color="auto"/>
            </w:tcBorders>
            <w:shd w:val="clear" w:color="auto" w:fill="CFF0FC"/>
          </w:tcPr>
          <w:p>
            <w:pPr>
              <w:ind w:left="80"/>
              <w:spacing w:after="0"/>
              <w:rPr>
                <w:sz w:val="20"/>
                <w:szCs w:val="20"/>
                <w:color w:val="auto"/>
              </w:rPr>
            </w:pPr>
            <w:r>
              <w:rPr>
                <w:rFonts w:ascii="Arial" w:cs="Arial" w:eastAsia="Arial" w:hAnsi="Arial"/>
                <w:sz w:val="14"/>
                <w:szCs w:val="14"/>
                <w:color w:val="auto"/>
                <w:w w:val="92"/>
              </w:rPr>
              <w:t>leveraged leases for leases that commence after the effective date of the guidance.</w:t>
            </w:r>
          </w:p>
        </w:tc>
        <w:tc>
          <w:tcPr>
            <w:tcW w:w="1200" w:type="dxa"/>
            <w:vAlign w:val="bottom"/>
            <w:tcBorders>
              <w:bottom w:val="single" w:sz="8" w:color="auto"/>
              <w:right w:val="single" w:sz="8" w:color="auto"/>
            </w:tcBorders>
            <w:shd w:val="clear" w:color="auto" w:fill="CFF0FC"/>
          </w:tcPr>
          <w:p>
            <w:pPr>
              <w:spacing w:after="0"/>
              <w:rPr>
                <w:sz w:val="14"/>
                <w:szCs w:val="14"/>
                <w:color w:val="auto"/>
              </w:rPr>
            </w:pPr>
          </w:p>
        </w:tc>
        <w:tc>
          <w:tcPr>
            <w:tcW w:w="3740" w:type="dxa"/>
            <w:vAlign w:val="bottom"/>
            <w:tcBorders>
              <w:bottom w:val="single" w:sz="8" w:color="auto"/>
              <w:right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16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Premium Amortization</w:t>
            </w:r>
          </w:p>
        </w:tc>
        <w:tc>
          <w:tcPr>
            <w:tcW w:w="4880" w:type="dxa"/>
            <w:vAlign w:val="bottom"/>
            <w:tcBorders>
              <w:right w:val="single" w:sz="8" w:color="auto"/>
            </w:tcBorders>
            <w:vMerge w:val="restart"/>
          </w:tcPr>
          <w:p>
            <w:pPr>
              <w:ind w:left="80"/>
              <w:spacing w:after="0"/>
              <w:rPr>
                <w:sz w:val="20"/>
                <w:szCs w:val="20"/>
                <w:color w:val="auto"/>
              </w:rPr>
            </w:pPr>
            <w:r>
              <w:rPr>
                <w:rFonts w:ascii="Arial" w:cs="Arial" w:eastAsia="Arial" w:hAnsi="Arial"/>
                <w:sz w:val="14"/>
                <w:szCs w:val="14"/>
                <w:color w:val="auto"/>
                <w:w w:val="98"/>
              </w:rPr>
              <w:t>The amended guidance requires the premium on callable debt securities to be</w:t>
            </w:r>
          </w:p>
        </w:tc>
        <w:tc>
          <w:tcPr>
            <w:tcW w:w="120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January 1, 2019</w:t>
            </w:r>
          </w:p>
        </w:tc>
        <w:tc>
          <w:tcPr>
            <w:tcW w:w="374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The amendments should be applied on a modified</w:t>
            </w:r>
          </w:p>
        </w:tc>
        <w:tc>
          <w:tcPr>
            <w:tcW w:w="0" w:type="dxa"/>
            <w:vAlign w:val="bottom"/>
          </w:tcPr>
          <w:p>
            <w:pPr>
              <w:spacing w:after="0"/>
              <w:rPr>
                <w:sz w:val="1"/>
                <w:szCs w:val="1"/>
                <w:color w:val="auto"/>
              </w:rPr>
            </w:pPr>
          </w:p>
        </w:tc>
      </w:tr>
      <w:tr>
        <w:trPr>
          <w:trHeight w:val="79"/>
        </w:trPr>
        <w:tc>
          <w:tcPr>
            <w:tcW w:w="1600" w:type="dxa"/>
            <w:vAlign w:val="bottom"/>
            <w:tcBorders>
              <w:left w:val="single" w:sz="8" w:color="auto"/>
              <w:right w:val="single" w:sz="8" w:color="auto"/>
            </w:tcBorders>
            <w:vMerge w:val="restart"/>
          </w:tcPr>
          <w:p>
            <w:pPr>
              <w:ind w:left="20"/>
              <w:spacing w:after="0" w:line="145" w:lineRule="exact"/>
              <w:rPr>
                <w:sz w:val="20"/>
                <w:szCs w:val="20"/>
                <w:color w:val="auto"/>
              </w:rPr>
            </w:pPr>
            <w:r>
              <w:rPr>
                <w:rFonts w:ascii="Arial" w:cs="Arial" w:eastAsia="Arial" w:hAnsi="Arial"/>
                <w:sz w:val="14"/>
                <w:szCs w:val="14"/>
                <w:color w:val="auto"/>
              </w:rPr>
              <w:t>on Purchased Callable</w:t>
            </w:r>
          </w:p>
        </w:tc>
        <w:tc>
          <w:tcPr>
            <w:tcW w:w="4880" w:type="dxa"/>
            <w:vAlign w:val="bottom"/>
            <w:tcBorders>
              <w:right w:val="single" w:sz="8" w:color="auto"/>
            </w:tcBorders>
            <w:vMerge w:val="continue"/>
          </w:tcPr>
          <w:p>
            <w:pPr>
              <w:spacing w:after="0"/>
              <w:rPr>
                <w:sz w:val="6"/>
                <w:szCs w:val="6"/>
                <w:color w:val="auto"/>
              </w:rPr>
            </w:pPr>
          </w:p>
        </w:tc>
        <w:tc>
          <w:tcPr>
            <w:tcW w:w="1200" w:type="dxa"/>
            <w:vAlign w:val="bottom"/>
            <w:tcBorders>
              <w:right w:val="single" w:sz="8" w:color="auto"/>
            </w:tcBorders>
          </w:tcPr>
          <w:p>
            <w:pPr>
              <w:spacing w:after="0"/>
              <w:rPr>
                <w:sz w:val="6"/>
                <w:szCs w:val="6"/>
                <w:color w:val="auto"/>
              </w:rPr>
            </w:pPr>
          </w:p>
        </w:tc>
        <w:tc>
          <w:tcPr>
            <w:tcW w:w="3740" w:type="dxa"/>
            <w:vAlign w:val="bottom"/>
            <w:tcBorders>
              <w:right w:val="single" w:sz="8" w:color="auto"/>
            </w:tcBorders>
            <w:vMerge w:val="restart"/>
          </w:tcPr>
          <w:p>
            <w:pPr>
              <w:ind w:left="100"/>
              <w:spacing w:after="0" w:line="145" w:lineRule="exact"/>
              <w:rPr>
                <w:sz w:val="20"/>
                <w:szCs w:val="20"/>
                <w:color w:val="auto"/>
              </w:rPr>
            </w:pPr>
            <w:r>
              <w:rPr>
                <w:rFonts w:ascii="Arial" w:cs="Arial" w:eastAsia="Arial" w:hAnsi="Arial"/>
                <w:sz w:val="14"/>
                <w:szCs w:val="14"/>
                <w:color w:val="auto"/>
                <w:w w:val="99"/>
              </w:rPr>
              <w:t>retrospective basis through a cumulative-effect adjustment</w:t>
            </w:r>
          </w:p>
        </w:tc>
        <w:tc>
          <w:tcPr>
            <w:tcW w:w="0" w:type="dxa"/>
            <w:vAlign w:val="bottom"/>
          </w:tcPr>
          <w:p>
            <w:pPr>
              <w:spacing w:after="0"/>
              <w:rPr>
                <w:sz w:val="1"/>
                <w:szCs w:val="1"/>
                <w:color w:val="auto"/>
              </w:rPr>
            </w:pPr>
          </w:p>
        </w:tc>
      </w:tr>
      <w:tr>
        <w:trPr>
          <w:trHeight w:val="66"/>
        </w:trPr>
        <w:tc>
          <w:tcPr>
            <w:tcW w:w="1600" w:type="dxa"/>
            <w:vAlign w:val="bottom"/>
            <w:tcBorders>
              <w:left w:val="single" w:sz="8" w:color="auto"/>
              <w:right w:val="single" w:sz="8" w:color="auto"/>
            </w:tcBorders>
            <w:vMerge w:val="continue"/>
          </w:tcPr>
          <w:p>
            <w:pPr>
              <w:spacing w:after="0"/>
              <w:rPr>
                <w:sz w:val="5"/>
                <w:szCs w:val="5"/>
                <w:color w:val="auto"/>
              </w:rPr>
            </w:pPr>
          </w:p>
        </w:tc>
        <w:tc>
          <w:tcPr>
            <w:tcW w:w="4880" w:type="dxa"/>
            <w:vAlign w:val="bottom"/>
            <w:tcBorders>
              <w:right w:val="single" w:sz="8" w:color="auto"/>
            </w:tcBorders>
            <w:vMerge w:val="restart"/>
          </w:tcPr>
          <w:p>
            <w:pPr>
              <w:ind w:left="80"/>
              <w:spacing w:after="0" w:line="145" w:lineRule="exact"/>
              <w:rPr>
                <w:sz w:val="20"/>
                <w:szCs w:val="20"/>
                <w:color w:val="auto"/>
              </w:rPr>
            </w:pPr>
            <w:r>
              <w:rPr>
                <w:rFonts w:ascii="Arial" w:cs="Arial" w:eastAsia="Arial" w:hAnsi="Arial"/>
                <w:sz w:val="14"/>
                <w:szCs w:val="14"/>
                <w:color w:val="auto"/>
                <w:w w:val="94"/>
              </w:rPr>
              <w:t>amortized to the earliest call date. The amendments do not require an accounting</w:t>
            </w:r>
          </w:p>
        </w:tc>
        <w:tc>
          <w:tcPr>
            <w:tcW w:w="1200" w:type="dxa"/>
            <w:vAlign w:val="bottom"/>
            <w:tcBorders>
              <w:right w:val="single" w:sz="8" w:color="auto"/>
            </w:tcBorders>
          </w:tcPr>
          <w:p>
            <w:pPr>
              <w:spacing w:after="0"/>
              <w:rPr>
                <w:sz w:val="5"/>
                <w:szCs w:val="5"/>
                <w:color w:val="auto"/>
              </w:rPr>
            </w:pPr>
          </w:p>
        </w:tc>
        <w:tc>
          <w:tcPr>
            <w:tcW w:w="374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1600" w:type="dxa"/>
            <w:vAlign w:val="bottom"/>
            <w:tcBorders>
              <w:left w:val="single" w:sz="8" w:color="auto"/>
              <w:right w:val="single" w:sz="8" w:color="auto"/>
            </w:tcBorders>
            <w:vMerge w:val="restart"/>
          </w:tcPr>
          <w:p>
            <w:pPr>
              <w:ind w:left="20"/>
              <w:spacing w:after="0" w:line="145" w:lineRule="exact"/>
              <w:rPr>
                <w:sz w:val="20"/>
                <w:szCs w:val="20"/>
                <w:color w:val="auto"/>
              </w:rPr>
            </w:pPr>
            <w:r>
              <w:rPr>
                <w:rFonts w:ascii="Arial" w:cs="Arial" w:eastAsia="Arial" w:hAnsi="Arial"/>
                <w:sz w:val="14"/>
                <w:szCs w:val="14"/>
                <w:color w:val="auto"/>
              </w:rPr>
              <w:t>Debt Securities</w:t>
            </w:r>
          </w:p>
        </w:tc>
        <w:tc>
          <w:tcPr>
            <w:tcW w:w="4880" w:type="dxa"/>
            <w:vAlign w:val="bottom"/>
            <w:tcBorders>
              <w:right w:val="single" w:sz="8" w:color="auto"/>
            </w:tcBorders>
            <w:vMerge w:val="continue"/>
          </w:tcPr>
          <w:p>
            <w:pPr>
              <w:spacing w:after="0"/>
              <w:rPr>
                <w:sz w:val="6"/>
                <w:szCs w:val="6"/>
                <w:color w:val="auto"/>
              </w:rPr>
            </w:pPr>
          </w:p>
        </w:tc>
        <w:tc>
          <w:tcPr>
            <w:tcW w:w="1200" w:type="dxa"/>
            <w:vAlign w:val="bottom"/>
            <w:tcBorders>
              <w:right w:val="single" w:sz="8" w:color="auto"/>
            </w:tcBorders>
            <w:vMerge w:val="restart"/>
          </w:tcPr>
          <w:p>
            <w:pPr>
              <w:ind w:left="80"/>
              <w:spacing w:after="0" w:line="145" w:lineRule="exact"/>
              <w:rPr>
                <w:sz w:val="20"/>
                <w:szCs w:val="20"/>
                <w:color w:val="auto"/>
              </w:rPr>
            </w:pPr>
            <w:r>
              <w:rPr>
                <w:rFonts w:ascii="Arial" w:cs="Arial" w:eastAsia="Arial" w:hAnsi="Arial"/>
                <w:sz w:val="14"/>
                <w:szCs w:val="14"/>
                <w:color w:val="auto"/>
              </w:rPr>
              <w:t>Early adoption</w:t>
            </w:r>
          </w:p>
        </w:tc>
        <w:tc>
          <w:tcPr>
            <w:tcW w:w="3740" w:type="dxa"/>
            <w:vAlign w:val="bottom"/>
            <w:tcBorders>
              <w:right w:val="single" w:sz="8" w:color="auto"/>
            </w:tcBorders>
            <w:vMerge w:val="restart"/>
          </w:tcPr>
          <w:p>
            <w:pPr>
              <w:ind w:left="100"/>
              <w:spacing w:after="0" w:line="145" w:lineRule="exact"/>
              <w:rPr>
                <w:sz w:val="20"/>
                <w:szCs w:val="20"/>
                <w:color w:val="auto"/>
              </w:rPr>
            </w:pPr>
            <w:r>
              <w:rPr>
                <w:rFonts w:ascii="Arial" w:cs="Arial" w:eastAsia="Arial" w:hAnsi="Arial"/>
                <w:sz w:val="14"/>
                <w:szCs w:val="14"/>
                <w:color w:val="auto"/>
                <w:w w:val="95"/>
              </w:rPr>
              <w:t>directly to retained earnings as of the beginning of the period</w:t>
            </w:r>
          </w:p>
        </w:tc>
        <w:tc>
          <w:tcPr>
            <w:tcW w:w="0" w:type="dxa"/>
            <w:vAlign w:val="bottom"/>
          </w:tcPr>
          <w:p>
            <w:pPr>
              <w:spacing w:after="0"/>
              <w:rPr>
                <w:sz w:val="1"/>
                <w:szCs w:val="1"/>
                <w:color w:val="auto"/>
              </w:rPr>
            </w:pPr>
          </w:p>
        </w:tc>
      </w:tr>
      <w:tr>
        <w:trPr>
          <w:trHeight w:val="66"/>
        </w:trPr>
        <w:tc>
          <w:tcPr>
            <w:tcW w:w="1600" w:type="dxa"/>
            <w:vAlign w:val="bottom"/>
            <w:tcBorders>
              <w:left w:val="single" w:sz="8" w:color="auto"/>
              <w:right w:val="single" w:sz="8" w:color="auto"/>
            </w:tcBorders>
            <w:vMerge w:val="continue"/>
          </w:tcPr>
          <w:p>
            <w:pPr>
              <w:spacing w:after="0"/>
              <w:rPr>
                <w:sz w:val="5"/>
                <w:szCs w:val="5"/>
                <w:color w:val="auto"/>
              </w:rPr>
            </w:pPr>
          </w:p>
        </w:tc>
        <w:tc>
          <w:tcPr>
            <w:tcW w:w="4880" w:type="dxa"/>
            <w:vAlign w:val="bottom"/>
            <w:tcBorders>
              <w:right w:val="single" w:sz="8" w:color="auto"/>
            </w:tcBorders>
            <w:vMerge w:val="restart"/>
          </w:tcPr>
          <w:p>
            <w:pPr>
              <w:ind w:left="80"/>
              <w:spacing w:after="0" w:line="145" w:lineRule="exact"/>
              <w:rPr>
                <w:sz w:val="20"/>
                <w:szCs w:val="20"/>
                <w:color w:val="auto"/>
              </w:rPr>
            </w:pPr>
            <w:r>
              <w:rPr>
                <w:rFonts w:ascii="Arial" w:cs="Arial" w:eastAsia="Arial" w:hAnsi="Arial"/>
                <w:sz w:val="14"/>
                <w:szCs w:val="14"/>
                <w:color w:val="auto"/>
                <w:w w:val="94"/>
              </w:rPr>
              <w:t>change for securities held at a discount; the discount continues to be amortized to</w:t>
            </w:r>
          </w:p>
        </w:tc>
        <w:tc>
          <w:tcPr>
            <w:tcW w:w="1200" w:type="dxa"/>
            <w:vAlign w:val="bottom"/>
            <w:tcBorders>
              <w:right w:val="single" w:sz="8" w:color="auto"/>
            </w:tcBorders>
            <w:vMerge w:val="continue"/>
          </w:tcPr>
          <w:p>
            <w:pPr>
              <w:spacing w:after="0"/>
              <w:rPr>
                <w:sz w:val="5"/>
                <w:szCs w:val="5"/>
                <w:color w:val="auto"/>
              </w:rPr>
            </w:pPr>
          </w:p>
        </w:tc>
        <w:tc>
          <w:tcPr>
            <w:tcW w:w="374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1600" w:type="dxa"/>
            <w:vAlign w:val="bottom"/>
            <w:tcBorders>
              <w:left w:val="single" w:sz="8" w:color="auto"/>
              <w:right w:val="single" w:sz="8" w:color="auto"/>
            </w:tcBorders>
          </w:tcPr>
          <w:p>
            <w:pPr>
              <w:spacing w:after="0"/>
              <w:rPr>
                <w:sz w:val="6"/>
                <w:szCs w:val="6"/>
                <w:color w:val="auto"/>
              </w:rPr>
            </w:pPr>
          </w:p>
        </w:tc>
        <w:tc>
          <w:tcPr>
            <w:tcW w:w="4880" w:type="dxa"/>
            <w:vAlign w:val="bottom"/>
            <w:tcBorders>
              <w:right w:val="single" w:sz="8" w:color="auto"/>
            </w:tcBorders>
            <w:vMerge w:val="continue"/>
          </w:tcPr>
          <w:p>
            <w:pPr>
              <w:spacing w:after="0"/>
              <w:rPr>
                <w:sz w:val="6"/>
                <w:szCs w:val="6"/>
                <w:color w:val="auto"/>
              </w:rPr>
            </w:pPr>
          </w:p>
        </w:tc>
        <w:tc>
          <w:tcPr>
            <w:tcW w:w="1200" w:type="dxa"/>
            <w:vAlign w:val="bottom"/>
            <w:tcBorders>
              <w:right w:val="single" w:sz="8" w:color="auto"/>
            </w:tcBorders>
            <w:vMerge w:val="restart"/>
          </w:tcPr>
          <w:p>
            <w:pPr>
              <w:ind w:left="80"/>
              <w:spacing w:after="0" w:line="145" w:lineRule="exact"/>
              <w:rPr>
                <w:sz w:val="20"/>
                <w:szCs w:val="20"/>
                <w:color w:val="auto"/>
              </w:rPr>
            </w:pPr>
            <w:r>
              <w:rPr>
                <w:rFonts w:ascii="Arial" w:cs="Arial" w:eastAsia="Arial" w:hAnsi="Arial"/>
                <w:sz w:val="14"/>
                <w:szCs w:val="14"/>
                <w:color w:val="auto"/>
              </w:rPr>
              <w:t>permitted</w:t>
            </w:r>
          </w:p>
        </w:tc>
        <w:tc>
          <w:tcPr>
            <w:tcW w:w="3740" w:type="dxa"/>
            <w:vAlign w:val="bottom"/>
            <w:tcBorders>
              <w:right w:val="single" w:sz="8" w:color="auto"/>
            </w:tcBorders>
            <w:vMerge w:val="restart"/>
          </w:tcPr>
          <w:p>
            <w:pPr>
              <w:ind w:left="100"/>
              <w:spacing w:after="0" w:line="145" w:lineRule="exact"/>
              <w:rPr>
                <w:sz w:val="20"/>
                <w:szCs w:val="20"/>
                <w:color w:val="auto"/>
              </w:rPr>
            </w:pPr>
            <w:r>
              <w:rPr>
                <w:rFonts w:ascii="Arial" w:cs="Arial" w:eastAsia="Arial" w:hAnsi="Arial"/>
                <w:sz w:val="14"/>
                <w:szCs w:val="14"/>
                <w:color w:val="auto"/>
                <w:w w:val="97"/>
              </w:rPr>
              <w:t>of adoption. The Company does not expect the guidance to</w:t>
            </w:r>
          </w:p>
        </w:tc>
        <w:tc>
          <w:tcPr>
            <w:tcW w:w="0" w:type="dxa"/>
            <w:vAlign w:val="bottom"/>
          </w:tcPr>
          <w:p>
            <w:pPr>
              <w:spacing w:after="0"/>
              <w:rPr>
                <w:sz w:val="1"/>
                <w:szCs w:val="1"/>
                <w:color w:val="auto"/>
              </w:rPr>
            </w:pPr>
          </w:p>
        </w:tc>
      </w:tr>
      <w:tr>
        <w:trPr>
          <w:trHeight w:val="66"/>
        </w:trPr>
        <w:tc>
          <w:tcPr>
            <w:tcW w:w="1600" w:type="dxa"/>
            <w:vAlign w:val="bottom"/>
            <w:tcBorders>
              <w:left w:val="single" w:sz="8" w:color="auto"/>
              <w:right w:val="single" w:sz="8" w:color="auto"/>
            </w:tcBorders>
          </w:tcPr>
          <w:p>
            <w:pPr>
              <w:spacing w:after="0"/>
              <w:rPr>
                <w:sz w:val="5"/>
                <w:szCs w:val="5"/>
                <w:color w:val="auto"/>
              </w:rPr>
            </w:pPr>
          </w:p>
        </w:tc>
        <w:tc>
          <w:tcPr>
            <w:tcW w:w="4880" w:type="dxa"/>
            <w:vAlign w:val="bottom"/>
            <w:tcBorders>
              <w:right w:val="single" w:sz="8" w:color="auto"/>
            </w:tcBorders>
            <w:vMerge w:val="restart"/>
          </w:tcPr>
          <w:p>
            <w:pPr>
              <w:ind w:left="80"/>
              <w:spacing w:after="0"/>
              <w:rPr>
                <w:sz w:val="20"/>
                <w:szCs w:val="20"/>
                <w:color w:val="auto"/>
              </w:rPr>
            </w:pPr>
            <w:r>
              <w:rPr>
                <w:rFonts w:ascii="Arial" w:cs="Arial" w:eastAsia="Arial" w:hAnsi="Arial"/>
                <w:sz w:val="14"/>
                <w:szCs w:val="14"/>
                <w:color w:val="auto"/>
              </w:rPr>
              <w:t>maturity.</w:t>
            </w:r>
          </w:p>
        </w:tc>
        <w:tc>
          <w:tcPr>
            <w:tcW w:w="1200" w:type="dxa"/>
            <w:vAlign w:val="bottom"/>
            <w:tcBorders>
              <w:right w:val="single" w:sz="8" w:color="auto"/>
            </w:tcBorders>
            <w:vMerge w:val="continue"/>
          </w:tcPr>
          <w:p>
            <w:pPr>
              <w:spacing w:after="0"/>
              <w:rPr>
                <w:sz w:val="5"/>
                <w:szCs w:val="5"/>
                <w:color w:val="auto"/>
              </w:rPr>
            </w:pPr>
          </w:p>
        </w:tc>
        <w:tc>
          <w:tcPr>
            <w:tcW w:w="374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3"/>
        </w:trPr>
        <w:tc>
          <w:tcPr>
            <w:tcW w:w="1600" w:type="dxa"/>
            <w:vAlign w:val="bottom"/>
            <w:tcBorders>
              <w:left w:val="single" w:sz="8" w:color="auto"/>
              <w:right w:val="single" w:sz="8" w:color="auto"/>
            </w:tcBorders>
          </w:tcPr>
          <w:p>
            <w:pPr>
              <w:spacing w:after="0"/>
              <w:rPr>
                <w:sz w:val="9"/>
                <w:szCs w:val="9"/>
                <w:color w:val="auto"/>
              </w:rPr>
            </w:pPr>
          </w:p>
        </w:tc>
        <w:tc>
          <w:tcPr>
            <w:tcW w:w="4880" w:type="dxa"/>
            <w:vAlign w:val="bottom"/>
            <w:tcBorders>
              <w:right w:val="single" w:sz="8" w:color="auto"/>
            </w:tcBorders>
            <w:vMerge w:val="continue"/>
          </w:tcPr>
          <w:p>
            <w:pPr>
              <w:spacing w:after="0"/>
              <w:rPr>
                <w:sz w:val="9"/>
                <w:szCs w:val="9"/>
                <w:color w:val="auto"/>
              </w:rPr>
            </w:pPr>
          </w:p>
        </w:tc>
        <w:tc>
          <w:tcPr>
            <w:tcW w:w="1200" w:type="dxa"/>
            <w:vAlign w:val="bottom"/>
            <w:tcBorders>
              <w:right w:val="single" w:sz="8" w:color="auto"/>
            </w:tcBorders>
          </w:tcPr>
          <w:p>
            <w:pPr>
              <w:spacing w:after="0"/>
              <w:rPr>
                <w:sz w:val="9"/>
                <w:szCs w:val="9"/>
                <w:color w:val="auto"/>
              </w:rPr>
            </w:pPr>
          </w:p>
        </w:tc>
        <w:tc>
          <w:tcPr>
            <w:tcW w:w="3740" w:type="dxa"/>
            <w:vAlign w:val="bottom"/>
            <w:tcBorders>
              <w:right w:val="single" w:sz="8" w:color="auto"/>
            </w:tcBorders>
            <w:vMerge w:val="restart"/>
          </w:tcPr>
          <w:p>
            <w:pPr>
              <w:ind w:left="100"/>
              <w:spacing w:after="0" w:line="145" w:lineRule="exact"/>
              <w:rPr>
                <w:sz w:val="20"/>
                <w:szCs w:val="20"/>
                <w:color w:val="auto"/>
              </w:rPr>
            </w:pPr>
            <w:r>
              <w:rPr>
                <w:rFonts w:ascii="Arial" w:cs="Arial" w:eastAsia="Arial" w:hAnsi="Arial"/>
                <w:sz w:val="14"/>
                <w:szCs w:val="14"/>
                <w:color w:val="auto"/>
              </w:rPr>
              <w:t>have a material impact on its consolidated financial</w:t>
            </w:r>
          </w:p>
        </w:tc>
        <w:tc>
          <w:tcPr>
            <w:tcW w:w="0" w:type="dxa"/>
            <w:vAlign w:val="bottom"/>
          </w:tcPr>
          <w:p>
            <w:pPr>
              <w:spacing w:after="0"/>
              <w:rPr>
                <w:sz w:val="1"/>
                <w:szCs w:val="1"/>
                <w:color w:val="auto"/>
              </w:rPr>
            </w:pPr>
          </w:p>
        </w:tc>
      </w:tr>
      <w:tr>
        <w:trPr>
          <w:trHeight w:val="31"/>
        </w:trPr>
        <w:tc>
          <w:tcPr>
            <w:tcW w:w="1600" w:type="dxa"/>
            <w:vAlign w:val="bottom"/>
            <w:tcBorders>
              <w:left w:val="single" w:sz="8" w:color="auto"/>
              <w:right w:val="single" w:sz="8" w:color="auto"/>
            </w:tcBorders>
          </w:tcPr>
          <w:p>
            <w:pPr>
              <w:spacing w:after="0"/>
              <w:rPr>
                <w:sz w:val="2"/>
                <w:szCs w:val="2"/>
                <w:color w:val="auto"/>
              </w:rPr>
            </w:pPr>
          </w:p>
        </w:tc>
        <w:tc>
          <w:tcPr>
            <w:tcW w:w="4880" w:type="dxa"/>
            <w:vAlign w:val="bottom"/>
            <w:tcBorders>
              <w:right w:val="single" w:sz="8" w:color="auto"/>
            </w:tcBorders>
          </w:tcPr>
          <w:p>
            <w:pPr>
              <w:spacing w:after="0"/>
              <w:rPr>
                <w:sz w:val="2"/>
                <w:szCs w:val="2"/>
                <w:color w:val="auto"/>
              </w:rPr>
            </w:pPr>
          </w:p>
        </w:tc>
        <w:tc>
          <w:tcPr>
            <w:tcW w:w="1200" w:type="dxa"/>
            <w:vAlign w:val="bottom"/>
            <w:tcBorders>
              <w:right w:val="single" w:sz="8" w:color="auto"/>
            </w:tcBorders>
          </w:tcPr>
          <w:p>
            <w:pPr>
              <w:spacing w:after="0"/>
              <w:rPr>
                <w:sz w:val="2"/>
                <w:szCs w:val="2"/>
                <w:color w:val="auto"/>
              </w:rPr>
            </w:pPr>
          </w:p>
        </w:tc>
        <w:tc>
          <w:tcPr>
            <w:tcW w:w="3740" w:type="dxa"/>
            <w:vAlign w:val="bottom"/>
            <w:tcBorders>
              <w:right w:val="single" w:sz="8" w:color="auto"/>
            </w:tcBorders>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3"/>
        </w:trPr>
        <w:tc>
          <w:tcPr>
            <w:tcW w:w="1600" w:type="dxa"/>
            <w:vAlign w:val="bottom"/>
            <w:tcBorders>
              <w:left w:val="single" w:sz="8" w:color="auto"/>
              <w:bottom w:val="single" w:sz="8" w:color="auto"/>
              <w:right w:val="single" w:sz="8" w:color="auto"/>
            </w:tcBorders>
          </w:tcPr>
          <w:p>
            <w:pPr>
              <w:spacing w:after="0"/>
              <w:rPr>
                <w:sz w:val="14"/>
                <w:szCs w:val="14"/>
                <w:color w:val="auto"/>
              </w:rPr>
            </w:pPr>
          </w:p>
        </w:tc>
        <w:tc>
          <w:tcPr>
            <w:tcW w:w="4880" w:type="dxa"/>
            <w:vAlign w:val="bottom"/>
            <w:tcBorders>
              <w:bottom w:val="single" w:sz="8" w:color="auto"/>
              <w:right w:val="single" w:sz="8" w:color="auto"/>
            </w:tcBorders>
          </w:tcPr>
          <w:p>
            <w:pPr>
              <w:spacing w:after="0"/>
              <w:rPr>
                <w:sz w:val="14"/>
                <w:szCs w:val="14"/>
                <w:color w:val="auto"/>
              </w:rPr>
            </w:pPr>
          </w:p>
        </w:tc>
        <w:tc>
          <w:tcPr>
            <w:tcW w:w="1200" w:type="dxa"/>
            <w:vAlign w:val="bottom"/>
            <w:tcBorders>
              <w:bottom w:val="single" w:sz="8" w:color="auto"/>
              <w:right w:val="single" w:sz="8" w:color="auto"/>
            </w:tcBorders>
          </w:tcPr>
          <w:p>
            <w:pPr>
              <w:spacing w:after="0"/>
              <w:rPr>
                <w:sz w:val="14"/>
                <w:szCs w:val="14"/>
                <w:color w:val="auto"/>
              </w:rPr>
            </w:pPr>
          </w:p>
        </w:tc>
        <w:tc>
          <w:tcPr>
            <w:tcW w:w="37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statements.</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0" w:right="239" w:bottom="1440" w:gutter="0" w:footer="0" w:header="0"/>
        </w:sectPr>
      </w:pPr>
    </w:p>
    <w:bookmarkStart w:id="188" w:name="page189"/>
    <w:bookmarkEnd w:id="188"/>
    <w:tbl>
      <w:tblPr>
        <w:tblLayout w:type="fixed"/>
        <w:tblInd w:w="10" w:type="dxa"/>
        <w:tblCellMar>
          <w:top w:w="0" w:type="dxa"/>
          <w:left w:w="0" w:type="dxa"/>
          <w:bottom w:w="0" w:type="dxa"/>
          <w:right w:w="0" w:type="dxa"/>
        </w:tblCellMar>
      </w:tblPr>
      <w:tr>
        <w:trPr>
          <w:trHeight w:val="148"/>
        </w:trPr>
        <w:tc>
          <w:tcPr>
            <w:tcW w:w="1600" w:type="dxa"/>
            <w:vAlign w:val="bottom"/>
            <w:tcBorders>
              <w:top w:val="single" w:sz="8" w:color="auto"/>
              <w:left w:val="single" w:sz="8" w:color="auto"/>
              <w:right w:val="single" w:sz="8" w:color="auto"/>
            </w:tcBorders>
            <w:vMerge w:val="restart"/>
          </w:tcPr>
          <w:p>
            <w:pPr>
              <w:ind w:left="460"/>
              <w:spacing w:after="0"/>
              <w:rPr>
                <w:sz w:val="20"/>
                <w:szCs w:val="20"/>
                <w:color w:val="auto"/>
              </w:rPr>
            </w:pPr>
            <w:r>
              <w:rPr>
                <w:rFonts w:ascii="Arial" w:cs="Arial" w:eastAsia="Arial" w:hAnsi="Arial"/>
                <w:sz w:val="14"/>
                <w:szCs w:val="14"/>
                <w:b w:val="1"/>
                <w:bCs w:val="1"/>
                <w:color w:val="auto"/>
              </w:rPr>
              <w:t>Standard</w:t>
            </w:r>
          </w:p>
        </w:tc>
        <w:tc>
          <w:tcPr>
            <w:tcW w:w="4880" w:type="dxa"/>
            <w:vAlign w:val="bottom"/>
            <w:tcBorders>
              <w:top w:val="single" w:sz="8" w:color="auto"/>
              <w:right w:val="single" w:sz="8" w:color="auto"/>
            </w:tcBorders>
            <w:vMerge w:val="restart"/>
          </w:tcPr>
          <w:p>
            <w:pPr>
              <w:ind w:left="2060"/>
              <w:spacing w:after="0"/>
              <w:rPr>
                <w:sz w:val="20"/>
                <w:szCs w:val="20"/>
                <w:color w:val="auto"/>
              </w:rPr>
            </w:pPr>
            <w:r>
              <w:rPr>
                <w:rFonts w:ascii="Arial" w:cs="Arial" w:eastAsia="Arial" w:hAnsi="Arial"/>
                <w:sz w:val="14"/>
                <w:szCs w:val="14"/>
                <w:b w:val="1"/>
                <w:bCs w:val="1"/>
                <w:color w:val="auto"/>
              </w:rPr>
              <w:t>Description</w:t>
            </w:r>
          </w:p>
        </w:tc>
        <w:tc>
          <w:tcPr>
            <w:tcW w:w="1200" w:type="dxa"/>
            <w:vAlign w:val="bottom"/>
            <w:tcBorders>
              <w:top w:val="single" w:sz="8" w:color="auto"/>
              <w:right w:val="single" w:sz="8" w:color="auto"/>
            </w:tcBorders>
          </w:tcPr>
          <w:p>
            <w:pPr>
              <w:ind w:left="140"/>
              <w:spacing w:after="0" w:line="149" w:lineRule="exact"/>
              <w:rPr>
                <w:sz w:val="20"/>
                <w:szCs w:val="20"/>
                <w:color w:val="auto"/>
              </w:rPr>
            </w:pPr>
            <w:r>
              <w:rPr>
                <w:rFonts w:ascii="Arial" w:cs="Arial" w:eastAsia="Arial" w:hAnsi="Arial"/>
                <w:sz w:val="14"/>
                <w:szCs w:val="14"/>
                <w:b w:val="1"/>
                <w:bCs w:val="1"/>
                <w:color w:val="auto"/>
              </w:rPr>
              <w:t>Required date</w:t>
            </w:r>
          </w:p>
        </w:tc>
        <w:tc>
          <w:tcPr>
            <w:tcW w:w="3740" w:type="dxa"/>
            <w:vAlign w:val="bottom"/>
            <w:tcBorders>
              <w:top w:val="single" w:sz="8" w:color="auto"/>
              <w:right w:val="single" w:sz="8" w:color="auto"/>
            </w:tcBorders>
            <w:vMerge w:val="restart"/>
          </w:tcPr>
          <w:p>
            <w:pPr>
              <w:ind w:left="540"/>
              <w:spacing w:after="0"/>
              <w:rPr>
                <w:sz w:val="20"/>
                <w:szCs w:val="20"/>
                <w:color w:val="auto"/>
              </w:rPr>
            </w:pPr>
            <w:r>
              <w:rPr>
                <w:rFonts w:ascii="Arial" w:cs="Arial" w:eastAsia="Arial" w:hAnsi="Arial"/>
                <w:sz w:val="14"/>
                <w:szCs w:val="14"/>
                <w:b w:val="1"/>
                <w:bCs w:val="1"/>
                <w:color w:val="auto"/>
              </w:rPr>
              <w:t>Effect on consolidated financial statements</w:t>
            </w:r>
          </w:p>
        </w:tc>
        <w:tc>
          <w:tcPr>
            <w:tcW w:w="0" w:type="dxa"/>
            <w:vAlign w:val="bottom"/>
          </w:tcPr>
          <w:p>
            <w:pPr>
              <w:spacing w:after="0"/>
              <w:rPr>
                <w:sz w:val="1"/>
                <w:szCs w:val="1"/>
                <w:color w:val="auto"/>
              </w:rPr>
            </w:pPr>
          </w:p>
        </w:tc>
      </w:tr>
      <w:tr>
        <w:trPr>
          <w:trHeight w:val="167"/>
        </w:trPr>
        <w:tc>
          <w:tcPr>
            <w:tcW w:w="160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4880" w:type="dxa"/>
            <w:vAlign w:val="bottom"/>
            <w:tcBorders>
              <w:bottom w:val="single" w:sz="8" w:color="auto"/>
              <w:right w:val="single" w:sz="8" w:color="auto"/>
            </w:tcBorders>
            <w:vMerge w:val="continue"/>
          </w:tcPr>
          <w:p>
            <w:pPr>
              <w:spacing w:after="0"/>
              <w:rPr>
                <w:sz w:val="14"/>
                <w:szCs w:val="14"/>
                <w:color w:val="auto"/>
              </w:rPr>
            </w:pPr>
          </w:p>
        </w:tc>
        <w:tc>
          <w:tcPr>
            <w:tcW w:w="120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b w:val="1"/>
                <w:bCs w:val="1"/>
                <w:color w:val="auto"/>
              </w:rPr>
              <w:t>of adoption</w:t>
            </w:r>
          </w:p>
        </w:tc>
        <w:tc>
          <w:tcPr>
            <w:tcW w:w="37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6480" w:type="dxa"/>
            <w:vAlign w:val="bottom"/>
            <w:tcBorders>
              <w:left w:val="single" w:sz="8" w:color="auto"/>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Standards Not Yet Adopted as of December 31, 2017</w:t>
            </w:r>
          </w:p>
        </w:tc>
        <w:tc>
          <w:tcPr>
            <w:tcW w:w="1200" w:type="dxa"/>
            <w:vAlign w:val="bottom"/>
            <w:tcBorders>
              <w:bottom w:val="single" w:sz="8" w:color="auto"/>
            </w:tcBorders>
          </w:tcPr>
          <w:p>
            <w:pPr>
              <w:spacing w:after="0"/>
              <w:rPr>
                <w:sz w:val="14"/>
                <w:szCs w:val="14"/>
                <w:color w:val="auto"/>
              </w:rPr>
            </w:pPr>
          </w:p>
        </w:tc>
        <w:tc>
          <w:tcPr>
            <w:tcW w:w="37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1600" w:type="dxa"/>
            <w:vAlign w:val="bottom"/>
            <w:tcBorders>
              <w:left w:val="single" w:sz="8" w:color="auto"/>
              <w:right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Measurement of Credit</w:t>
            </w:r>
          </w:p>
        </w:tc>
        <w:tc>
          <w:tcPr>
            <w:tcW w:w="4880" w:type="dxa"/>
            <w:vAlign w:val="bottom"/>
            <w:tcBorders>
              <w:right w:val="single" w:sz="8" w:color="auto"/>
            </w:tcBorders>
            <w:shd w:val="clear" w:color="auto" w:fill="CFF0FC"/>
          </w:tcPr>
          <w:p>
            <w:pPr>
              <w:ind w:left="80"/>
              <w:spacing w:after="0"/>
              <w:rPr>
                <w:sz w:val="20"/>
                <w:szCs w:val="20"/>
                <w:color w:val="auto"/>
              </w:rPr>
            </w:pPr>
            <w:r>
              <w:rPr>
                <w:rFonts w:ascii="Arial" w:cs="Arial" w:eastAsia="Arial" w:hAnsi="Arial"/>
                <w:sz w:val="14"/>
                <w:szCs w:val="14"/>
                <w:color w:val="auto"/>
                <w:w w:val="95"/>
              </w:rPr>
              <w:t>The amended guidance replaces the current incurred loss model for determining</w:t>
            </w:r>
          </w:p>
        </w:tc>
        <w:tc>
          <w:tcPr>
            <w:tcW w:w="1200" w:type="dxa"/>
            <w:vAlign w:val="bottom"/>
            <w:tcBorders>
              <w:right w:val="single" w:sz="8" w:color="auto"/>
            </w:tcBorders>
            <w:shd w:val="clear" w:color="auto" w:fill="CFF0FC"/>
          </w:tcPr>
          <w:p>
            <w:pPr>
              <w:ind w:left="80"/>
              <w:spacing w:after="0"/>
              <w:rPr>
                <w:sz w:val="20"/>
                <w:szCs w:val="20"/>
                <w:color w:val="auto"/>
              </w:rPr>
            </w:pPr>
            <w:r>
              <w:rPr>
                <w:rFonts w:ascii="Arial" w:cs="Arial" w:eastAsia="Arial" w:hAnsi="Arial"/>
                <w:sz w:val="14"/>
                <w:szCs w:val="14"/>
                <w:color w:val="auto"/>
              </w:rPr>
              <w:t>January 1, 2020</w:t>
            </w:r>
          </w:p>
        </w:tc>
        <w:tc>
          <w:tcPr>
            <w:tcW w:w="3740" w:type="dxa"/>
            <w:vAlign w:val="bottom"/>
            <w:tcBorders>
              <w:right w:val="single" w:sz="8" w:color="auto"/>
            </w:tcBorders>
            <w:shd w:val="clear" w:color="auto" w:fill="CFF0FC"/>
          </w:tcPr>
          <w:p>
            <w:pPr>
              <w:ind w:left="100"/>
              <w:spacing w:after="0"/>
              <w:rPr>
                <w:sz w:val="20"/>
                <w:szCs w:val="20"/>
                <w:color w:val="auto"/>
              </w:rPr>
            </w:pPr>
            <w:r>
              <w:rPr>
                <w:rFonts w:ascii="Arial" w:cs="Arial" w:eastAsia="Arial" w:hAnsi="Arial"/>
                <w:sz w:val="14"/>
                <w:szCs w:val="14"/>
                <w:color w:val="auto"/>
                <w:w w:val="99"/>
              </w:rPr>
              <w:t>The Company is assessing the new guidance to determine</w:t>
            </w:r>
          </w:p>
        </w:tc>
        <w:tc>
          <w:tcPr>
            <w:tcW w:w="0" w:type="dxa"/>
            <w:vAlign w:val="bottom"/>
          </w:tcPr>
          <w:p>
            <w:pPr>
              <w:spacing w:after="0"/>
              <w:rPr>
                <w:sz w:val="1"/>
                <w:szCs w:val="1"/>
                <w:color w:val="auto"/>
              </w:rPr>
            </w:pPr>
          </w:p>
        </w:tc>
      </w:tr>
      <w:tr>
        <w:trPr>
          <w:trHeight w:val="145"/>
        </w:trPr>
        <w:tc>
          <w:tcPr>
            <w:tcW w:w="1600" w:type="dxa"/>
            <w:vAlign w:val="bottom"/>
            <w:tcBorders>
              <w:left w:val="single" w:sz="8" w:color="auto"/>
              <w:right w:val="single" w:sz="8" w:color="auto"/>
            </w:tcBorders>
            <w:shd w:val="clear" w:color="auto" w:fill="CFF0FC"/>
          </w:tcPr>
          <w:p>
            <w:pPr>
              <w:ind w:left="20"/>
              <w:spacing w:after="0" w:line="145" w:lineRule="exact"/>
              <w:rPr>
                <w:sz w:val="20"/>
                <w:szCs w:val="20"/>
                <w:color w:val="auto"/>
              </w:rPr>
            </w:pPr>
            <w:r>
              <w:rPr>
                <w:rFonts w:ascii="Arial" w:cs="Arial" w:eastAsia="Arial" w:hAnsi="Arial"/>
                <w:sz w:val="14"/>
                <w:szCs w:val="14"/>
                <w:color w:val="auto"/>
              </w:rPr>
              <w:t>Losses on Financial</w:t>
            </w:r>
          </w:p>
        </w:tc>
        <w:tc>
          <w:tcPr>
            <w:tcW w:w="4880" w:type="dxa"/>
            <w:vAlign w:val="bottom"/>
            <w:tcBorders>
              <w:right w:val="single" w:sz="8" w:color="auto"/>
            </w:tcBorders>
            <w:shd w:val="clear" w:color="auto" w:fill="CFF0FC"/>
          </w:tcPr>
          <w:p>
            <w:pPr>
              <w:ind w:left="80"/>
              <w:spacing w:after="0" w:line="145" w:lineRule="exact"/>
              <w:rPr>
                <w:sz w:val="20"/>
                <w:szCs w:val="20"/>
                <w:color w:val="auto"/>
              </w:rPr>
            </w:pPr>
            <w:r>
              <w:rPr>
                <w:rFonts w:ascii="Arial" w:cs="Arial" w:eastAsia="Arial" w:hAnsi="Arial"/>
                <w:sz w:val="14"/>
                <w:szCs w:val="14"/>
                <w:color w:val="auto"/>
                <w:w w:val="92"/>
              </w:rPr>
              <w:t>the allowance for credit losses. The guidance requires financial assets measured at</w:t>
            </w:r>
          </w:p>
        </w:tc>
        <w:tc>
          <w:tcPr>
            <w:tcW w:w="1200" w:type="dxa"/>
            <w:vAlign w:val="bottom"/>
            <w:tcBorders>
              <w:right w:val="single" w:sz="8" w:color="auto"/>
            </w:tcBorders>
            <w:shd w:val="clear" w:color="auto" w:fill="CFF0FC"/>
          </w:tcPr>
          <w:p>
            <w:pPr>
              <w:spacing w:after="0"/>
              <w:rPr>
                <w:sz w:val="12"/>
                <w:szCs w:val="12"/>
                <w:color w:val="auto"/>
              </w:rPr>
            </w:pPr>
          </w:p>
        </w:tc>
        <w:tc>
          <w:tcPr>
            <w:tcW w:w="3740" w:type="dxa"/>
            <w:vAlign w:val="bottom"/>
            <w:tcBorders>
              <w:right w:val="single" w:sz="8" w:color="auto"/>
            </w:tcBorders>
            <w:shd w:val="clear" w:color="auto" w:fill="CFF0FC"/>
          </w:tcPr>
          <w:p>
            <w:pPr>
              <w:ind w:left="100"/>
              <w:spacing w:after="0" w:line="145" w:lineRule="exact"/>
              <w:rPr>
                <w:sz w:val="20"/>
                <w:szCs w:val="20"/>
                <w:color w:val="auto"/>
              </w:rPr>
            </w:pPr>
            <w:r>
              <w:rPr>
                <w:rFonts w:ascii="Arial" w:cs="Arial" w:eastAsia="Arial" w:hAnsi="Arial"/>
                <w:sz w:val="14"/>
                <w:szCs w:val="14"/>
                <w:color w:val="auto"/>
              </w:rPr>
              <w:t>what modifications to existing credit estimation processes</w:t>
            </w:r>
          </w:p>
        </w:tc>
        <w:tc>
          <w:tcPr>
            <w:tcW w:w="0" w:type="dxa"/>
            <w:vAlign w:val="bottom"/>
          </w:tcPr>
          <w:p>
            <w:pPr>
              <w:spacing w:after="0"/>
              <w:rPr>
                <w:sz w:val="1"/>
                <w:szCs w:val="1"/>
                <w:color w:val="auto"/>
              </w:rPr>
            </w:pPr>
          </w:p>
        </w:tc>
      </w:tr>
      <w:tr>
        <w:trPr>
          <w:trHeight w:val="145"/>
        </w:trPr>
        <w:tc>
          <w:tcPr>
            <w:tcW w:w="1600" w:type="dxa"/>
            <w:vAlign w:val="bottom"/>
            <w:tcBorders>
              <w:left w:val="single" w:sz="8" w:color="auto"/>
              <w:right w:val="single" w:sz="8" w:color="auto"/>
            </w:tcBorders>
            <w:shd w:val="clear" w:color="auto" w:fill="CFF0FC"/>
          </w:tcPr>
          <w:p>
            <w:pPr>
              <w:ind w:left="20"/>
              <w:spacing w:after="0" w:line="145" w:lineRule="exact"/>
              <w:rPr>
                <w:sz w:val="20"/>
                <w:szCs w:val="20"/>
                <w:color w:val="auto"/>
              </w:rPr>
            </w:pPr>
            <w:r>
              <w:rPr>
                <w:rFonts w:ascii="Arial" w:cs="Arial" w:eastAsia="Arial" w:hAnsi="Arial"/>
                <w:sz w:val="14"/>
                <w:szCs w:val="14"/>
                <w:color w:val="auto"/>
              </w:rPr>
              <w:t>Instruments</w:t>
            </w:r>
          </w:p>
        </w:tc>
        <w:tc>
          <w:tcPr>
            <w:tcW w:w="4880" w:type="dxa"/>
            <w:vAlign w:val="bottom"/>
            <w:tcBorders>
              <w:right w:val="single" w:sz="8" w:color="auto"/>
            </w:tcBorders>
            <w:shd w:val="clear" w:color="auto" w:fill="CFF0FC"/>
          </w:tcPr>
          <w:p>
            <w:pPr>
              <w:ind w:left="80"/>
              <w:spacing w:after="0" w:line="145" w:lineRule="exact"/>
              <w:rPr>
                <w:sz w:val="20"/>
                <w:szCs w:val="20"/>
                <w:color w:val="auto"/>
              </w:rPr>
            </w:pPr>
            <w:r>
              <w:rPr>
                <w:rFonts w:ascii="Arial" w:cs="Arial" w:eastAsia="Arial" w:hAnsi="Arial"/>
                <w:sz w:val="14"/>
                <w:szCs w:val="14"/>
                <w:color w:val="auto"/>
                <w:w w:val="96"/>
              </w:rPr>
              <w:t>amortized cost to be presented at the net amount expected to be collected. The</w:t>
            </w:r>
          </w:p>
        </w:tc>
        <w:tc>
          <w:tcPr>
            <w:tcW w:w="1200" w:type="dxa"/>
            <w:vAlign w:val="bottom"/>
            <w:tcBorders>
              <w:right w:val="single" w:sz="8" w:color="auto"/>
            </w:tcBorders>
            <w:shd w:val="clear" w:color="auto" w:fill="CFF0FC"/>
          </w:tcPr>
          <w:p>
            <w:pPr>
              <w:ind w:left="80"/>
              <w:spacing w:after="0" w:line="145" w:lineRule="exact"/>
              <w:rPr>
                <w:sz w:val="20"/>
                <w:szCs w:val="20"/>
                <w:color w:val="auto"/>
              </w:rPr>
            </w:pPr>
            <w:r>
              <w:rPr>
                <w:rFonts w:ascii="Arial" w:cs="Arial" w:eastAsia="Arial" w:hAnsi="Arial"/>
                <w:sz w:val="14"/>
                <w:szCs w:val="14"/>
                <w:color w:val="auto"/>
              </w:rPr>
              <w:t>Early adoption</w:t>
            </w:r>
          </w:p>
        </w:tc>
        <w:tc>
          <w:tcPr>
            <w:tcW w:w="3740" w:type="dxa"/>
            <w:vAlign w:val="bottom"/>
            <w:tcBorders>
              <w:right w:val="single" w:sz="8" w:color="auto"/>
            </w:tcBorders>
            <w:shd w:val="clear" w:color="auto" w:fill="CFF0FC"/>
          </w:tcPr>
          <w:p>
            <w:pPr>
              <w:ind w:left="100"/>
              <w:spacing w:after="0" w:line="145" w:lineRule="exact"/>
              <w:rPr>
                <w:sz w:val="20"/>
                <w:szCs w:val="20"/>
                <w:color w:val="auto"/>
              </w:rPr>
            </w:pPr>
            <w:r>
              <w:rPr>
                <w:rFonts w:ascii="Arial" w:cs="Arial" w:eastAsia="Arial" w:hAnsi="Arial"/>
                <w:sz w:val="14"/>
                <w:szCs w:val="14"/>
                <w:color w:val="auto"/>
              </w:rPr>
              <w:t>may be required. The Company expects that the new</w:t>
            </w:r>
          </w:p>
        </w:tc>
        <w:tc>
          <w:tcPr>
            <w:tcW w:w="0" w:type="dxa"/>
            <w:vAlign w:val="bottom"/>
          </w:tcPr>
          <w:p>
            <w:pPr>
              <w:spacing w:after="0"/>
              <w:rPr>
                <w:sz w:val="1"/>
                <w:szCs w:val="1"/>
                <w:color w:val="auto"/>
              </w:rPr>
            </w:pPr>
          </w:p>
        </w:tc>
      </w:tr>
      <w:tr>
        <w:trPr>
          <w:trHeight w:val="145"/>
        </w:trPr>
        <w:tc>
          <w:tcPr>
            <w:tcW w:w="1600" w:type="dxa"/>
            <w:vAlign w:val="bottom"/>
            <w:tcBorders>
              <w:left w:val="single" w:sz="8" w:color="auto"/>
              <w:right w:val="single" w:sz="8" w:color="auto"/>
            </w:tcBorders>
            <w:shd w:val="clear" w:color="auto" w:fill="CFF0FC"/>
          </w:tcPr>
          <w:p>
            <w:pPr>
              <w:spacing w:after="0"/>
              <w:rPr>
                <w:sz w:val="12"/>
                <w:szCs w:val="12"/>
                <w:color w:val="auto"/>
              </w:rPr>
            </w:pPr>
          </w:p>
        </w:tc>
        <w:tc>
          <w:tcPr>
            <w:tcW w:w="4880" w:type="dxa"/>
            <w:vAlign w:val="bottom"/>
            <w:tcBorders>
              <w:right w:val="single" w:sz="8" w:color="auto"/>
            </w:tcBorders>
            <w:shd w:val="clear" w:color="auto" w:fill="CFF0FC"/>
          </w:tcPr>
          <w:p>
            <w:pPr>
              <w:ind w:left="80"/>
              <w:spacing w:after="0" w:line="145" w:lineRule="exact"/>
              <w:rPr>
                <w:sz w:val="20"/>
                <w:szCs w:val="20"/>
                <w:color w:val="auto"/>
              </w:rPr>
            </w:pPr>
            <w:r>
              <w:rPr>
                <w:rFonts w:ascii="Arial" w:cs="Arial" w:eastAsia="Arial" w:hAnsi="Arial"/>
                <w:sz w:val="14"/>
                <w:szCs w:val="14"/>
                <w:color w:val="auto"/>
                <w:w w:val="93"/>
              </w:rPr>
              <w:t>allowance for credit losses will represent a valuation account that is deducted from</w:t>
            </w:r>
          </w:p>
        </w:tc>
        <w:tc>
          <w:tcPr>
            <w:tcW w:w="1200" w:type="dxa"/>
            <w:vAlign w:val="bottom"/>
            <w:tcBorders>
              <w:right w:val="single" w:sz="8" w:color="auto"/>
            </w:tcBorders>
            <w:shd w:val="clear" w:color="auto" w:fill="CFF0FC"/>
          </w:tcPr>
          <w:p>
            <w:pPr>
              <w:ind w:left="80"/>
              <w:spacing w:after="0" w:line="145" w:lineRule="exact"/>
              <w:rPr>
                <w:sz w:val="20"/>
                <w:szCs w:val="20"/>
                <w:color w:val="auto"/>
              </w:rPr>
            </w:pPr>
            <w:r>
              <w:rPr>
                <w:rFonts w:ascii="Arial" w:cs="Arial" w:eastAsia="Arial" w:hAnsi="Arial"/>
                <w:sz w:val="14"/>
                <w:szCs w:val="14"/>
                <w:color w:val="auto"/>
              </w:rPr>
              <w:t>permitted as of</w:t>
            </w:r>
          </w:p>
        </w:tc>
        <w:tc>
          <w:tcPr>
            <w:tcW w:w="3740" w:type="dxa"/>
            <w:vAlign w:val="bottom"/>
            <w:tcBorders>
              <w:right w:val="single" w:sz="8" w:color="auto"/>
            </w:tcBorders>
            <w:shd w:val="clear" w:color="auto" w:fill="CFF0FC"/>
          </w:tcPr>
          <w:p>
            <w:pPr>
              <w:ind w:left="100"/>
              <w:spacing w:after="0" w:line="145" w:lineRule="exact"/>
              <w:rPr>
                <w:sz w:val="20"/>
                <w:szCs w:val="20"/>
                <w:color w:val="auto"/>
              </w:rPr>
            </w:pPr>
            <w:r>
              <w:rPr>
                <w:rFonts w:ascii="Arial" w:cs="Arial" w:eastAsia="Arial" w:hAnsi="Arial"/>
                <w:sz w:val="14"/>
                <w:szCs w:val="14"/>
                <w:color w:val="auto"/>
                <w:w w:val="98"/>
              </w:rPr>
              <w:t>guidance will result in an increase in its allowance for credit</w:t>
            </w:r>
          </w:p>
        </w:tc>
        <w:tc>
          <w:tcPr>
            <w:tcW w:w="0" w:type="dxa"/>
            <w:vAlign w:val="bottom"/>
          </w:tcPr>
          <w:p>
            <w:pPr>
              <w:spacing w:after="0"/>
              <w:rPr>
                <w:sz w:val="1"/>
                <w:szCs w:val="1"/>
                <w:color w:val="auto"/>
              </w:rPr>
            </w:pPr>
          </w:p>
        </w:tc>
      </w:tr>
      <w:tr>
        <w:trPr>
          <w:trHeight w:val="145"/>
        </w:trPr>
        <w:tc>
          <w:tcPr>
            <w:tcW w:w="1600" w:type="dxa"/>
            <w:vAlign w:val="bottom"/>
            <w:tcBorders>
              <w:left w:val="single" w:sz="8" w:color="auto"/>
              <w:right w:val="single" w:sz="8" w:color="auto"/>
            </w:tcBorders>
            <w:shd w:val="clear" w:color="auto" w:fill="CFF0FC"/>
          </w:tcPr>
          <w:p>
            <w:pPr>
              <w:spacing w:after="0"/>
              <w:rPr>
                <w:sz w:val="12"/>
                <w:szCs w:val="12"/>
                <w:color w:val="auto"/>
              </w:rPr>
            </w:pPr>
          </w:p>
        </w:tc>
        <w:tc>
          <w:tcPr>
            <w:tcW w:w="4880" w:type="dxa"/>
            <w:vAlign w:val="bottom"/>
            <w:tcBorders>
              <w:right w:val="single" w:sz="8" w:color="auto"/>
            </w:tcBorders>
            <w:shd w:val="clear" w:color="auto" w:fill="CFF0FC"/>
          </w:tcPr>
          <w:p>
            <w:pPr>
              <w:ind w:left="80"/>
              <w:spacing w:after="0" w:line="145" w:lineRule="exact"/>
              <w:rPr>
                <w:sz w:val="20"/>
                <w:szCs w:val="20"/>
                <w:color w:val="auto"/>
              </w:rPr>
            </w:pPr>
            <w:r>
              <w:rPr>
                <w:rFonts w:ascii="Arial" w:cs="Arial" w:eastAsia="Arial" w:hAnsi="Arial"/>
                <w:sz w:val="14"/>
                <w:szCs w:val="14"/>
                <w:color w:val="auto"/>
                <w:w w:val="92"/>
              </w:rPr>
              <w:t>the amortized cost basis of the financial assets to present their net carrying value at</w:t>
            </w:r>
          </w:p>
        </w:tc>
        <w:tc>
          <w:tcPr>
            <w:tcW w:w="1200" w:type="dxa"/>
            <w:vAlign w:val="bottom"/>
            <w:tcBorders>
              <w:right w:val="single" w:sz="8" w:color="auto"/>
            </w:tcBorders>
            <w:shd w:val="clear" w:color="auto" w:fill="CFF0FC"/>
          </w:tcPr>
          <w:p>
            <w:pPr>
              <w:ind w:left="80"/>
              <w:spacing w:after="0" w:line="145" w:lineRule="exact"/>
              <w:rPr>
                <w:sz w:val="20"/>
                <w:szCs w:val="20"/>
                <w:color w:val="auto"/>
              </w:rPr>
            </w:pPr>
            <w:r>
              <w:rPr>
                <w:rFonts w:ascii="Arial" w:cs="Arial" w:eastAsia="Arial" w:hAnsi="Arial"/>
                <w:sz w:val="14"/>
                <w:szCs w:val="14"/>
                <w:color w:val="auto"/>
              </w:rPr>
              <w:t>January 1, 2019</w:t>
            </w:r>
          </w:p>
        </w:tc>
        <w:tc>
          <w:tcPr>
            <w:tcW w:w="3740" w:type="dxa"/>
            <w:vAlign w:val="bottom"/>
            <w:tcBorders>
              <w:right w:val="single" w:sz="8" w:color="auto"/>
            </w:tcBorders>
            <w:shd w:val="clear" w:color="auto" w:fill="CFF0FC"/>
          </w:tcPr>
          <w:p>
            <w:pPr>
              <w:ind w:left="100"/>
              <w:spacing w:after="0" w:line="145" w:lineRule="exact"/>
              <w:rPr>
                <w:sz w:val="20"/>
                <w:szCs w:val="20"/>
                <w:color w:val="auto"/>
              </w:rPr>
            </w:pPr>
            <w:r>
              <w:rPr>
                <w:rFonts w:ascii="Arial" w:cs="Arial" w:eastAsia="Arial" w:hAnsi="Arial"/>
                <w:sz w:val="14"/>
                <w:szCs w:val="14"/>
                <w:color w:val="auto"/>
              </w:rPr>
              <w:t>losses as a result of considering credit losses over the</w:t>
            </w:r>
          </w:p>
        </w:tc>
        <w:tc>
          <w:tcPr>
            <w:tcW w:w="0" w:type="dxa"/>
            <w:vAlign w:val="bottom"/>
          </w:tcPr>
          <w:p>
            <w:pPr>
              <w:spacing w:after="0"/>
              <w:rPr>
                <w:sz w:val="1"/>
                <w:szCs w:val="1"/>
                <w:color w:val="auto"/>
              </w:rPr>
            </w:pPr>
          </w:p>
        </w:tc>
      </w:tr>
      <w:tr>
        <w:trPr>
          <w:trHeight w:val="145"/>
        </w:trPr>
        <w:tc>
          <w:tcPr>
            <w:tcW w:w="1600" w:type="dxa"/>
            <w:vAlign w:val="bottom"/>
            <w:tcBorders>
              <w:left w:val="single" w:sz="8" w:color="auto"/>
              <w:right w:val="single" w:sz="8" w:color="auto"/>
            </w:tcBorders>
            <w:shd w:val="clear" w:color="auto" w:fill="CFF0FC"/>
          </w:tcPr>
          <w:p>
            <w:pPr>
              <w:spacing w:after="0"/>
              <w:rPr>
                <w:sz w:val="12"/>
                <w:szCs w:val="12"/>
                <w:color w:val="auto"/>
              </w:rPr>
            </w:pPr>
          </w:p>
        </w:tc>
        <w:tc>
          <w:tcPr>
            <w:tcW w:w="4880" w:type="dxa"/>
            <w:vAlign w:val="bottom"/>
            <w:tcBorders>
              <w:right w:val="single" w:sz="8" w:color="auto"/>
            </w:tcBorders>
            <w:shd w:val="clear" w:color="auto" w:fill="CFF0FC"/>
          </w:tcPr>
          <w:p>
            <w:pPr>
              <w:ind w:left="80"/>
              <w:spacing w:after="0" w:line="145" w:lineRule="exact"/>
              <w:rPr>
                <w:sz w:val="20"/>
                <w:szCs w:val="20"/>
                <w:color w:val="auto"/>
              </w:rPr>
            </w:pPr>
            <w:r>
              <w:rPr>
                <w:rFonts w:ascii="Arial" w:cs="Arial" w:eastAsia="Arial" w:hAnsi="Arial"/>
                <w:sz w:val="14"/>
                <w:szCs w:val="14"/>
                <w:color w:val="auto"/>
              </w:rPr>
              <w:t>the amount expected to be collected. The income statement will reflect the</w:t>
            </w:r>
          </w:p>
        </w:tc>
        <w:tc>
          <w:tcPr>
            <w:tcW w:w="1200" w:type="dxa"/>
            <w:vAlign w:val="bottom"/>
            <w:tcBorders>
              <w:right w:val="single" w:sz="8" w:color="auto"/>
            </w:tcBorders>
            <w:shd w:val="clear" w:color="auto" w:fill="CFF0FC"/>
          </w:tcPr>
          <w:p>
            <w:pPr>
              <w:spacing w:after="0"/>
              <w:rPr>
                <w:sz w:val="12"/>
                <w:szCs w:val="12"/>
                <w:color w:val="auto"/>
              </w:rPr>
            </w:pPr>
          </w:p>
        </w:tc>
        <w:tc>
          <w:tcPr>
            <w:tcW w:w="3740" w:type="dxa"/>
            <w:vAlign w:val="bottom"/>
            <w:tcBorders>
              <w:right w:val="single" w:sz="8" w:color="auto"/>
            </w:tcBorders>
            <w:shd w:val="clear" w:color="auto" w:fill="CFF0FC"/>
          </w:tcPr>
          <w:p>
            <w:pPr>
              <w:ind w:left="100"/>
              <w:spacing w:after="0" w:line="145" w:lineRule="exact"/>
              <w:rPr>
                <w:sz w:val="20"/>
                <w:szCs w:val="20"/>
                <w:color w:val="auto"/>
              </w:rPr>
            </w:pPr>
            <w:r>
              <w:rPr>
                <w:rFonts w:ascii="Arial" w:cs="Arial" w:eastAsia="Arial" w:hAnsi="Arial"/>
                <w:sz w:val="14"/>
                <w:szCs w:val="14"/>
                <w:color w:val="auto"/>
              </w:rPr>
              <w:t>expected life of its loan portfolios. Increases in the level of</w:t>
            </w:r>
          </w:p>
        </w:tc>
        <w:tc>
          <w:tcPr>
            <w:tcW w:w="0" w:type="dxa"/>
            <w:vAlign w:val="bottom"/>
          </w:tcPr>
          <w:p>
            <w:pPr>
              <w:spacing w:after="0"/>
              <w:rPr>
                <w:sz w:val="1"/>
                <w:szCs w:val="1"/>
                <w:color w:val="auto"/>
              </w:rPr>
            </w:pPr>
          </w:p>
        </w:tc>
      </w:tr>
      <w:tr>
        <w:trPr>
          <w:trHeight w:val="145"/>
        </w:trPr>
        <w:tc>
          <w:tcPr>
            <w:tcW w:w="1600" w:type="dxa"/>
            <w:vAlign w:val="bottom"/>
            <w:tcBorders>
              <w:left w:val="single" w:sz="8" w:color="auto"/>
              <w:right w:val="single" w:sz="8" w:color="auto"/>
            </w:tcBorders>
            <w:shd w:val="clear" w:color="auto" w:fill="CFF0FC"/>
          </w:tcPr>
          <w:p>
            <w:pPr>
              <w:spacing w:after="0"/>
              <w:rPr>
                <w:sz w:val="12"/>
                <w:szCs w:val="12"/>
                <w:color w:val="auto"/>
              </w:rPr>
            </w:pPr>
          </w:p>
        </w:tc>
        <w:tc>
          <w:tcPr>
            <w:tcW w:w="4880" w:type="dxa"/>
            <w:vAlign w:val="bottom"/>
            <w:tcBorders>
              <w:right w:val="single" w:sz="8" w:color="auto"/>
            </w:tcBorders>
            <w:shd w:val="clear" w:color="auto" w:fill="CFF0FC"/>
          </w:tcPr>
          <w:p>
            <w:pPr>
              <w:ind w:left="80"/>
              <w:spacing w:after="0" w:line="145" w:lineRule="exact"/>
              <w:rPr>
                <w:sz w:val="20"/>
                <w:szCs w:val="20"/>
                <w:color w:val="auto"/>
              </w:rPr>
            </w:pPr>
            <w:r>
              <w:rPr>
                <w:rFonts w:ascii="Arial" w:cs="Arial" w:eastAsia="Arial" w:hAnsi="Arial"/>
                <w:sz w:val="14"/>
                <w:szCs w:val="14"/>
                <w:color w:val="auto"/>
                <w:w w:val="99"/>
              </w:rPr>
              <w:t>measurement of credit losses for newly recognized financial assets as well as</w:t>
            </w:r>
          </w:p>
        </w:tc>
        <w:tc>
          <w:tcPr>
            <w:tcW w:w="1200" w:type="dxa"/>
            <w:vAlign w:val="bottom"/>
            <w:tcBorders>
              <w:right w:val="single" w:sz="8" w:color="auto"/>
            </w:tcBorders>
            <w:shd w:val="clear" w:color="auto" w:fill="CFF0FC"/>
          </w:tcPr>
          <w:p>
            <w:pPr>
              <w:spacing w:after="0"/>
              <w:rPr>
                <w:sz w:val="12"/>
                <w:szCs w:val="12"/>
                <w:color w:val="auto"/>
              </w:rPr>
            </w:pPr>
          </w:p>
        </w:tc>
        <w:tc>
          <w:tcPr>
            <w:tcW w:w="3740" w:type="dxa"/>
            <w:vAlign w:val="bottom"/>
            <w:tcBorders>
              <w:right w:val="single" w:sz="8" w:color="auto"/>
            </w:tcBorders>
            <w:shd w:val="clear" w:color="auto" w:fill="CFF0FC"/>
          </w:tcPr>
          <w:p>
            <w:pPr>
              <w:ind w:left="100"/>
              <w:spacing w:after="0" w:line="145" w:lineRule="exact"/>
              <w:rPr>
                <w:sz w:val="20"/>
                <w:szCs w:val="20"/>
                <w:color w:val="auto"/>
              </w:rPr>
            </w:pPr>
            <w:r>
              <w:rPr>
                <w:rFonts w:ascii="Arial" w:cs="Arial" w:eastAsia="Arial" w:hAnsi="Arial"/>
                <w:sz w:val="14"/>
                <w:szCs w:val="14"/>
                <w:color w:val="auto"/>
                <w:w w:val="98"/>
              </w:rPr>
              <w:t>allowances will also reflect new requirements to include the</w:t>
            </w:r>
          </w:p>
        </w:tc>
        <w:tc>
          <w:tcPr>
            <w:tcW w:w="0" w:type="dxa"/>
            <w:vAlign w:val="bottom"/>
          </w:tcPr>
          <w:p>
            <w:pPr>
              <w:spacing w:after="0"/>
              <w:rPr>
                <w:sz w:val="1"/>
                <w:szCs w:val="1"/>
                <w:color w:val="auto"/>
              </w:rPr>
            </w:pPr>
          </w:p>
        </w:tc>
      </w:tr>
      <w:tr>
        <w:trPr>
          <w:trHeight w:val="145"/>
        </w:trPr>
        <w:tc>
          <w:tcPr>
            <w:tcW w:w="1600" w:type="dxa"/>
            <w:vAlign w:val="bottom"/>
            <w:tcBorders>
              <w:left w:val="single" w:sz="8" w:color="auto"/>
              <w:right w:val="single" w:sz="8" w:color="auto"/>
            </w:tcBorders>
            <w:shd w:val="clear" w:color="auto" w:fill="CFF0FC"/>
          </w:tcPr>
          <w:p>
            <w:pPr>
              <w:spacing w:after="0"/>
              <w:rPr>
                <w:sz w:val="12"/>
                <w:szCs w:val="12"/>
                <w:color w:val="auto"/>
              </w:rPr>
            </w:pPr>
          </w:p>
        </w:tc>
        <w:tc>
          <w:tcPr>
            <w:tcW w:w="4880" w:type="dxa"/>
            <w:vAlign w:val="bottom"/>
            <w:tcBorders>
              <w:right w:val="single" w:sz="8" w:color="auto"/>
            </w:tcBorders>
            <w:shd w:val="clear" w:color="auto" w:fill="CFF0FC"/>
          </w:tcPr>
          <w:p>
            <w:pPr>
              <w:ind w:left="80"/>
              <w:spacing w:after="0" w:line="145" w:lineRule="exact"/>
              <w:rPr>
                <w:sz w:val="20"/>
                <w:szCs w:val="20"/>
                <w:color w:val="auto"/>
              </w:rPr>
            </w:pPr>
            <w:r>
              <w:rPr>
                <w:rFonts w:ascii="Arial" w:cs="Arial" w:eastAsia="Arial" w:hAnsi="Arial"/>
                <w:sz w:val="14"/>
                <w:szCs w:val="14"/>
                <w:color w:val="auto"/>
                <w:w w:val="95"/>
              </w:rPr>
              <w:t>expected increases or decreases of expected credit losses that have taken place</w:t>
            </w:r>
          </w:p>
        </w:tc>
        <w:tc>
          <w:tcPr>
            <w:tcW w:w="1200" w:type="dxa"/>
            <w:vAlign w:val="bottom"/>
            <w:tcBorders>
              <w:right w:val="single" w:sz="8" w:color="auto"/>
            </w:tcBorders>
            <w:shd w:val="clear" w:color="auto" w:fill="CFF0FC"/>
          </w:tcPr>
          <w:p>
            <w:pPr>
              <w:spacing w:after="0"/>
              <w:rPr>
                <w:sz w:val="12"/>
                <w:szCs w:val="12"/>
                <w:color w:val="auto"/>
              </w:rPr>
            </w:pPr>
          </w:p>
        </w:tc>
        <w:tc>
          <w:tcPr>
            <w:tcW w:w="3740" w:type="dxa"/>
            <w:vAlign w:val="bottom"/>
            <w:tcBorders>
              <w:right w:val="single" w:sz="8" w:color="auto"/>
            </w:tcBorders>
            <w:shd w:val="clear" w:color="auto" w:fill="CFF0FC"/>
          </w:tcPr>
          <w:p>
            <w:pPr>
              <w:ind w:left="100"/>
              <w:spacing w:after="0" w:line="145" w:lineRule="exact"/>
              <w:rPr>
                <w:sz w:val="20"/>
                <w:szCs w:val="20"/>
                <w:color w:val="auto"/>
              </w:rPr>
            </w:pPr>
            <w:r>
              <w:rPr>
                <w:rFonts w:ascii="Arial" w:cs="Arial" w:eastAsia="Arial" w:hAnsi="Arial"/>
                <w:sz w:val="14"/>
                <w:szCs w:val="14"/>
                <w:color w:val="auto"/>
              </w:rPr>
              <w:t>nonaccretable principal difference on purchased credit</w:t>
            </w:r>
          </w:p>
        </w:tc>
        <w:tc>
          <w:tcPr>
            <w:tcW w:w="0" w:type="dxa"/>
            <w:vAlign w:val="bottom"/>
          </w:tcPr>
          <w:p>
            <w:pPr>
              <w:spacing w:after="0"/>
              <w:rPr>
                <w:sz w:val="1"/>
                <w:szCs w:val="1"/>
                <w:color w:val="auto"/>
              </w:rPr>
            </w:pPr>
          </w:p>
        </w:tc>
      </w:tr>
      <w:tr>
        <w:trPr>
          <w:trHeight w:val="145"/>
        </w:trPr>
        <w:tc>
          <w:tcPr>
            <w:tcW w:w="1600" w:type="dxa"/>
            <w:vAlign w:val="bottom"/>
            <w:tcBorders>
              <w:left w:val="single" w:sz="8" w:color="auto"/>
              <w:right w:val="single" w:sz="8" w:color="auto"/>
            </w:tcBorders>
            <w:shd w:val="clear" w:color="auto" w:fill="CFF0FC"/>
          </w:tcPr>
          <w:p>
            <w:pPr>
              <w:spacing w:after="0"/>
              <w:rPr>
                <w:sz w:val="12"/>
                <w:szCs w:val="12"/>
                <w:color w:val="auto"/>
              </w:rPr>
            </w:pPr>
          </w:p>
        </w:tc>
        <w:tc>
          <w:tcPr>
            <w:tcW w:w="4880" w:type="dxa"/>
            <w:vAlign w:val="bottom"/>
            <w:tcBorders>
              <w:right w:val="single" w:sz="8" w:color="auto"/>
            </w:tcBorders>
            <w:shd w:val="clear" w:color="auto" w:fill="CFF0FC"/>
          </w:tcPr>
          <w:p>
            <w:pPr>
              <w:ind w:left="80"/>
              <w:spacing w:after="0" w:line="145" w:lineRule="exact"/>
              <w:rPr>
                <w:sz w:val="20"/>
                <w:szCs w:val="20"/>
                <w:color w:val="auto"/>
              </w:rPr>
            </w:pPr>
            <w:r>
              <w:rPr>
                <w:rFonts w:ascii="Arial" w:cs="Arial" w:eastAsia="Arial" w:hAnsi="Arial"/>
                <w:sz w:val="14"/>
                <w:szCs w:val="14"/>
                <w:color w:val="auto"/>
                <w:w w:val="96"/>
              </w:rPr>
              <w:t>during the period. When determining the allowance, expected credit losses over</w:t>
            </w:r>
          </w:p>
        </w:tc>
        <w:tc>
          <w:tcPr>
            <w:tcW w:w="1200" w:type="dxa"/>
            <w:vAlign w:val="bottom"/>
            <w:tcBorders>
              <w:right w:val="single" w:sz="8" w:color="auto"/>
            </w:tcBorders>
            <w:shd w:val="clear" w:color="auto" w:fill="CFF0FC"/>
          </w:tcPr>
          <w:p>
            <w:pPr>
              <w:spacing w:after="0"/>
              <w:rPr>
                <w:sz w:val="12"/>
                <w:szCs w:val="12"/>
                <w:color w:val="auto"/>
              </w:rPr>
            </w:pPr>
          </w:p>
        </w:tc>
        <w:tc>
          <w:tcPr>
            <w:tcW w:w="3740" w:type="dxa"/>
            <w:vAlign w:val="bottom"/>
            <w:tcBorders>
              <w:right w:val="single" w:sz="8" w:color="auto"/>
            </w:tcBorders>
            <w:shd w:val="clear" w:color="auto" w:fill="CFF0FC"/>
          </w:tcPr>
          <w:p>
            <w:pPr>
              <w:ind w:left="100"/>
              <w:spacing w:after="0" w:line="145" w:lineRule="exact"/>
              <w:rPr>
                <w:sz w:val="20"/>
                <w:szCs w:val="20"/>
                <w:color w:val="auto"/>
              </w:rPr>
            </w:pPr>
            <w:r>
              <w:rPr>
                <w:rFonts w:ascii="Arial" w:cs="Arial" w:eastAsia="Arial" w:hAnsi="Arial"/>
                <w:sz w:val="14"/>
                <w:szCs w:val="14"/>
                <w:color w:val="auto"/>
              </w:rPr>
              <w:t>impaired loans and estimated credit losses on investment</w:t>
            </w:r>
          </w:p>
        </w:tc>
        <w:tc>
          <w:tcPr>
            <w:tcW w:w="0" w:type="dxa"/>
            <w:vAlign w:val="bottom"/>
          </w:tcPr>
          <w:p>
            <w:pPr>
              <w:spacing w:after="0"/>
              <w:rPr>
                <w:sz w:val="1"/>
                <w:szCs w:val="1"/>
                <w:color w:val="auto"/>
              </w:rPr>
            </w:pPr>
          </w:p>
        </w:tc>
      </w:tr>
      <w:tr>
        <w:trPr>
          <w:trHeight w:val="145"/>
        </w:trPr>
        <w:tc>
          <w:tcPr>
            <w:tcW w:w="1600" w:type="dxa"/>
            <w:vAlign w:val="bottom"/>
            <w:tcBorders>
              <w:left w:val="single" w:sz="8" w:color="auto"/>
              <w:right w:val="single" w:sz="8" w:color="auto"/>
            </w:tcBorders>
            <w:shd w:val="clear" w:color="auto" w:fill="CFF0FC"/>
          </w:tcPr>
          <w:p>
            <w:pPr>
              <w:spacing w:after="0"/>
              <w:rPr>
                <w:sz w:val="12"/>
                <w:szCs w:val="12"/>
                <w:color w:val="auto"/>
              </w:rPr>
            </w:pPr>
          </w:p>
        </w:tc>
        <w:tc>
          <w:tcPr>
            <w:tcW w:w="4880" w:type="dxa"/>
            <w:vAlign w:val="bottom"/>
            <w:tcBorders>
              <w:right w:val="single" w:sz="8" w:color="auto"/>
            </w:tcBorders>
            <w:shd w:val="clear" w:color="auto" w:fill="CFF0FC"/>
          </w:tcPr>
          <w:p>
            <w:pPr>
              <w:ind w:left="80"/>
              <w:spacing w:after="0" w:line="145" w:lineRule="exact"/>
              <w:rPr>
                <w:sz w:val="20"/>
                <w:szCs w:val="20"/>
                <w:color w:val="auto"/>
              </w:rPr>
            </w:pPr>
            <w:r>
              <w:rPr>
                <w:rFonts w:ascii="Arial" w:cs="Arial" w:eastAsia="Arial" w:hAnsi="Arial"/>
                <w:sz w:val="14"/>
                <w:szCs w:val="14"/>
                <w:color w:val="auto"/>
                <w:w w:val="97"/>
              </w:rPr>
              <w:t>the contractual term of the financial asset(s) (taking into account prepayments)</w:t>
            </w:r>
          </w:p>
        </w:tc>
        <w:tc>
          <w:tcPr>
            <w:tcW w:w="1200" w:type="dxa"/>
            <w:vAlign w:val="bottom"/>
            <w:tcBorders>
              <w:right w:val="single" w:sz="8" w:color="auto"/>
            </w:tcBorders>
            <w:shd w:val="clear" w:color="auto" w:fill="CFF0FC"/>
          </w:tcPr>
          <w:p>
            <w:pPr>
              <w:spacing w:after="0"/>
              <w:rPr>
                <w:sz w:val="12"/>
                <w:szCs w:val="12"/>
                <w:color w:val="auto"/>
              </w:rPr>
            </w:pPr>
          </w:p>
        </w:tc>
        <w:tc>
          <w:tcPr>
            <w:tcW w:w="3740" w:type="dxa"/>
            <w:vAlign w:val="bottom"/>
            <w:tcBorders>
              <w:right w:val="single" w:sz="8" w:color="auto"/>
            </w:tcBorders>
            <w:shd w:val="clear" w:color="auto" w:fill="CFF0FC"/>
          </w:tcPr>
          <w:p>
            <w:pPr>
              <w:ind w:left="100"/>
              <w:spacing w:after="0" w:line="145" w:lineRule="exact"/>
              <w:rPr>
                <w:sz w:val="20"/>
                <w:szCs w:val="20"/>
                <w:color w:val="auto"/>
              </w:rPr>
            </w:pPr>
            <w:r>
              <w:rPr>
                <w:rFonts w:ascii="Arial" w:cs="Arial" w:eastAsia="Arial" w:hAnsi="Arial"/>
                <w:sz w:val="14"/>
                <w:szCs w:val="14"/>
                <w:color w:val="auto"/>
              </w:rPr>
              <w:t>securities classified as held-to-maturity, if any. The</w:t>
            </w:r>
          </w:p>
        </w:tc>
        <w:tc>
          <w:tcPr>
            <w:tcW w:w="0" w:type="dxa"/>
            <w:vAlign w:val="bottom"/>
          </w:tcPr>
          <w:p>
            <w:pPr>
              <w:spacing w:after="0"/>
              <w:rPr>
                <w:sz w:val="1"/>
                <w:szCs w:val="1"/>
                <w:color w:val="auto"/>
              </w:rPr>
            </w:pPr>
          </w:p>
        </w:tc>
      </w:tr>
      <w:tr>
        <w:trPr>
          <w:trHeight w:val="145"/>
        </w:trPr>
        <w:tc>
          <w:tcPr>
            <w:tcW w:w="1600" w:type="dxa"/>
            <w:vAlign w:val="bottom"/>
            <w:tcBorders>
              <w:left w:val="single" w:sz="8" w:color="auto"/>
              <w:right w:val="single" w:sz="8" w:color="auto"/>
            </w:tcBorders>
            <w:shd w:val="clear" w:color="auto" w:fill="CFF0FC"/>
          </w:tcPr>
          <w:p>
            <w:pPr>
              <w:spacing w:after="0"/>
              <w:rPr>
                <w:sz w:val="12"/>
                <w:szCs w:val="12"/>
                <w:color w:val="auto"/>
              </w:rPr>
            </w:pPr>
          </w:p>
        </w:tc>
        <w:tc>
          <w:tcPr>
            <w:tcW w:w="4880" w:type="dxa"/>
            <w:vAlign w:val="bottom"/>
            <w:tcBorders>
              <w:right w:val="single" w:sz="8" w:color="auto"/>
            </w:tcBorders>
            <w:shd w:val="clear" w:color="auto" w:fill="CFF0FC"/>
          </w:tcPr>
          <w:p>
            <w:pPr>
              <w:ind w:left="80"/>
              <w:spacing w:after="0" w:line="145" w:lineRule="exact"/>
              <w:rPr>
                <w:sz w:val="20"/>
                <w:szCs w:val="20"/>
                <w:color w:val="auto"/>
              </w:rPr>
            </w:pPr>
            <w:r>
              <w:rPr>
                <w:rFonts w:ascii="Arial" w:cs="Arial" w:eastAsia="Arial" w:hAnsi="Arial"/>
                <w:sz w:val="14"/>
                <w:szCs w:val="14"/>
                <w:color w:val="auto"/>
              </w:rPr>
              <w:t>will be estimated considering relevant information about past events, current</w:t>
            </w:r>
          </w:p>
        </w:tc>
        <w:tc>
          <w:tcPr>
            <w:tcW w:w="1200" w:type="dxa"/>
            <w:vAlign w:val="bottom"/>
            <w:tcBorders>
              <w:right w:val="single" w:sz="8" w:color="auto"/>
            </w:tcBorders>
            <w:shd w:val="clear" w:color="auto" w:fill="CFF0FC"/>
          </w:tcPr>
          <w:p>
            <w:pPr>
              <w:spacing w:after="0"/>
              <w:rPr>
                <w:sz w:val="12"/>
                <w:szCs w:val="12"/>
                <w:color w:val="auto"/>
              </w:rPr>
            </w:pPr>
          </w:p>
        </w:tc>
        <w:tc>
          <w:tcPr>
            <w:tcW w:w="3740" w:type="dxa"/>
            <w:vAlign w:val="bottom"/>
            <w:tcBorders>
              <w:right w:val="single" w:sz="8" w:color="auto"/>
            </w:tcBorders>
            <w:shd w:val="clear" w:color="auto" w:fill="CFF0FC"/>
          </w:tcPr>
          <w:p>
            <w:pPr>
              <w:ind w:left="100"/>
              <w:spacing w:after="0" w:line="145" w:lineRule="exact"/>
              <w:rPr>
                <w:sz w:val="20"/>
                <w:szCs w:val="20"/>
                <w:color w:val="auto"/>
              </w:rPr>
            </w:pPr>
            <w:r>
              <w:rPr>
                <w:rFonts w:ascii="Arial" w:cs="Arial" w:eastAsia="Arial" w:hAnsi="Arial"/>
                <w:sz w:val="14"/>
                <w:szCs w:val="14"/>
                <w:color w:val="auto"/>
                <w:w w:val="98"/>
              </w:rPr>
              <w:t>Company is still evaluating the extent of the increase to the</w:t>
            </w:r>
          </w:p>
        </w:tc>
        <w:tc>
          <w:tcPr>
            <w:tcW w:w="0" w:type="dxa"/>
            <w:vAlign w:val="bottom"/>
          </w:tcPr>
          <w:p>
            <w:pPr>
              <w:spacing w:after="0"/>
              <w:rPr>
                <w:sz w:val="1"/>
                <w:szCs w:val="1"/>
                <w:color w:val="auto"/>
              </w:rPr>
            </w:pPr>
          </w:p>
        </w:tc>
      </w:tr>
      <w:tr>
        <w:trPr>
          <w:trHeight w:val="145"/>
        </w:trPr>
        <w:tc>
          <w:tcPr>
            <w:tcW w:w="1600" w:type="dxa"/>
            <w:vAlign w:val="bottom"/>
            <w:tcBorders>
              <w:left w:val="single" w:sz="8" w:color="auto"/>
              <w:right w:val="single" w:sz="8" w:color="auto"/>
            </w:tcBorders>
            <w:shd w:val="clear" w:color="auto" w:fill="CFF0FC"/>
          </w:tcPr>
          <w:p>
            <w:pPr>
              <w:spacing w:after="0"/>
              <w:rPr>
                <w:sz w:val="12"/>
                <w:szCs w:val="12"/>
                <w:color w:val="auto"/>
              </w:rPr>
            </w:pPr>
          </w:p>
        </w:tc>
        <w:tc>
          <w:tcPr>
            <w:tcW w:w="4880" w:type="dxa"/>
            <w:vAlign w:val="bottom"/>
            <w:tcBorders>
              <w:right w:val="single" w:sz="8" w:color="auto"/>
            </w:tcBorders>
            <w:shd w:val="clear" w:color="auto" w:fill="CFF0FC"/>
          </w:tcPr>
          <w:p>
            <w:pPr>
              <w:ind w:left="80"/>
              <w:spacing w:after="0" w:line="145" w:lineRule="exact"/>
              <w:rPr>
                <w:sz w:val="20"/>
                <w:szCs w:val="20"/>
                <w:color w:val="auto"/>
              </w:rPr>
            </w:pPr>
            <w:r>
              <w:rPr>
                <w:rFonts w:ascii="Arial" w:cs="Arial" w:eastAsia="Arial" w:hAnsi="Arial"/>
                <w:sz w:val="14"/>
                <w:szCs w:val="14"/>
                <w:color w:val="auto"/>
                <w:w w:val="93"/>
              </w:rPr>
              <w:t>conditions, and reasonable and supportable forecasts that affect the collectibility of</w:t>
            </w:r>
          </w:p>
        </w:tc>
        <w:tc>
          <w:tcPr>
            <w:tcW w:w="1200" w:type="dxa"/>
            <w:vAlign w:val="bottom"/>
            <w:tcBorders>
              <w:right w:val="single" w:sz="8" w:color="auto"/>
            </w:tcBorders>
            <w:shd w:val="clear" w:color="auto" w:fill="CFF0FC"/>
          </w:tcPr>
          <w:p>
            <w:pPr>
              <w:spacing w:after="0"/>
              <w:rPr>
                <w:sz w:val="12"/>
                <w:szCs w:val="12"/>
                <w:color w:val="auto"/>
              </w:rPr>
            </w:pPr>
          </w:p>
        </w:tc>
        <w:tc>
          <w:tcPr>
            <w:tcW w:w="3740" w:type="dxa"/>
            <w:vAlign w:val="bottom"/>
            <w:tcBorders>
              <w:right w:val="single" w:sz="8" w:color="auto"/>
            </w:tcBorders>
            <w:shd w:val="clear" w:color="auto" w:fill="CFF0FC"/>
          </w:tcPr>
          <w:p>
            <w:pPr>
              <w:ind w:left="100"/>
              <w:spacing w:after="0" w:line="145" w:lineRule="exact"/>
              <w:rPr>
                <w:sz w:val="20"/>
                <w:szCs w:val="20"/>
                <w:color w:val="auto"/>
              </w:rPr>
            </w:pPr>
            <w:r>
              <w:rPr>
                <w:rFonts w:ascii="Arial" w:cs="Arial" w:eastAsia="Arial" w:hAnsi="Arial"/>
                <w:sz w:val="14"/>
                <w:szCs w:val="14"/>
                <w:color w:val="auto"/>
              </w:rPr>
              <w:t>allowance for credit losses and the impact to its financial</w:t>
            </w:r>
          </w:p>
        </w:tc>
        <w:tc>
          <w:tcPr>
            <w:tcW w:w="0" w:type="dxa"/>
            <w:vAlign w:val="bottom"/>
          </w:tcPr>
          <w:p>
            <w:pPr>
              <w:spacing w:after="0"/>
              <w:rPr>
                <w:sz w:val="1"/>
                <w:szCs w:val="1"/>
                <w:color w:val="auto"/>
              </w:rPr>
            </w:pPr>
          </w:p>
        </w:tc>
      </w:tr>
      <w:tr>
        <w:trPr>
          <w:trHeight w:val="145"/>
        </w:trPr>
        <w:tc>
          <w:tcPr>
            <w:tcW w:w="1600" w:type="dxa"/>
            <w:vAlign w:val="bottom"/>
            <w:tcBorders>
              <w:left w:val="single" w:sz="8" w:color="auto"/>
              <w:right w:val="single" w:sz="8" w:color="auto"/>
            </w:tcBorders>
            <w:shd w:val="clear" w:color="auto" w:fill="CFF0FC"/>
          </w:tcPr>
          <w:p>
            <w:pPr>
              <w:spacing w:after="0"/>
              <w:rPr>
                <w:sz w:val="12"/>
                <w:szCs w:val="12"/>
                <w:color w:val="auto"/>
              </w:rPr>
            </w:pPr>
          </w:p>
        </w:tc>
        <w:tc>
          <w:tcPr>
            <w:tcW w:w="4880" w:type="dxa"/>
            <w:vAlign w:val="bottom"/>
            <w:tcBorders>
              <w:right w:val="single" w:sz="8" w:color="auto"/>
            </w:tcBorders>
            <w:shd w:val="clear" w:color="auto" w:fill="CFF0FC"/>
          </w:tcPr>
          <w:p>
            <w:pPr>
              <w:ind w:left="80"/>
              <w:spacing w:after="0" w:line="145" w:lineRule="exact"/>
              <w:rPr>
                <w:sz w:val="20"/>
                <w:szCs w:val="20"/>
                <w:color w:val="auto"/>
              </w:rPr>
            </w:pPr>
            <w:r>
              <w:rPr>
                <w:rFonts w:ascii="Arial" w:cs="Arial" w:eastAsia="Arial" w:hAnsi="Arial"/>
                <w:sz w:val="14"/>
                <w:szCs w:val="14"/>
                <w:color w:val="auto"/>
                <w:w w:val="92"/>
              </w:rPr>
              <w:t>the reported amount. The amended guidance also requires recording an allowance</w:t>
            </w:r>
          </w:p>
        </w:tc>
        <w:tc>
          <w:tcPr>
            <w:tcW w:w="1200" w:type="dxa"/>
            <w:vAlign w:val="bottom"/>
            <w:tcBorders>
              <w:right w:val="single" w:sz="8" w:color="auto"/>
            </w:tcBorders>
            <w:shd w:val="clear" w:color="auto" w:fill="CFF0FC"/>
          </w:tcPr>
          <w:p>
            <w:pPr>
              <w:spacing w:after="0"/>
              <w:rPr>
                <w:sz w:val="12"/>
                <w:szCs w:val="12"/>
                <w:color w:val="auto"/>
              </w:rPr>
            </w:pPr>
          </w:p>
        </w:tc>
        <w:tc>
          <w:tcPr>
            <w:tcW w:w="3740" w:type="dxa"/>
            <w:vAlign w:val="bottom"/>
            <w:tcBorders>
              <w:right w:val="single" w:sz="8" w:color="auto"/>
            </w:tcBorders>
            <w:shd w:val="clear" w:color="auto" w:fill="CFF0FC"/>
          </w:tcPr>
          <w:p>
            <w:pPr>
              <w:ind w:left="100"/>
              <w:spacing w:after="0" w:line="145" w:lineRule="exact"/>
              <w:rPr>
                <w:sz w:val="20"/>
                <w:szCs w:val="20"/>
                <w:color w:val="auto"/>
              </w:rPr>
            </w:pPr>
            <w:r>
              <w:rPr>
                <w:rFonts w:ascii="Arial" w:cs="Arial" w:eastAsia="Arial" w:hAnsi="Arial"/>
                <w:sz w:val="14"/>
                <w:szCs w:val="14"/>
                <w:color w:val="auto"/>
              </w:rPr>
              <w:t>statements.</w:t>
            </w:r>
          </w:p>
        </w:tc>
        <w:tc>
          <w:tcPr>
            <w:tcW w:w="0" w:type="dxa"/>
            <w:vAlign w:val="bottom"/>
          </w:tcPr>
          <w:p>
            <w:pPr>
              <w:spacing w:after="0"/>
              <w:rPr>
                <w:sz w:val="1"/>
                <w:szCs w:val="1"/>
                <w:color w:val="auto"/>
              </w:rPr>
            </w:pPr>
          </w:p>
        </w:tc>
      </w:tr>
      <w:tr>
        <w:trPr>
          <w:trHeight w:val="145"/>
        </w:trPr>
        <w:tc>
          <w:tcPr>
            <w:tcW w:w="1600" w:type="dxa"/>
            <w:vAlign w:val="bottom"/>
            <w:tcBorders>
              <w:left w:val="single" w:sz="8" w:color="auto"/>
              <w:right w:val="single" w:sz="8" w:color="auto"/>
            </w:tcBorders>
            <w:shd w:val="clear" w:color="auto" w:fill="CFF0FC"/>
          </w:tcPr>
          <w:p>
            <w:pPr>
              <w:spacing w:after="0"/>
              <w:rPr>
                <w:sz w:val="12"/>
                <w:szCs w:val="12"/>
                <w:color w:val="auto"/>
              </w:rPr>
            </w:pPr>
          </w:p>
        </w:tc>
        <w:tc>
          <w:tcPr>
            <w:tcW w:w="4880" w:type="dxa"/>
            <w:vAlign w:val="bottom"/>
            <w:tcBorders>
              <w:right w:val="single" w:sz="8" w:color="auto"/>
            </w:tcBorders>
            <w:shd w:val="clear" w:color="auto" w:fill="CFF0FC"/>
          </w:tcPr>
          <w:p>
            <w:pPr>
              <w:ind w:left="80"/>
              <w:spacing w:after="0" w:line="145" w:lineRule="exact"/>
              <w:rPr>
                <w:sz w:val="20"/>
                <w:szCs w:val="20"/>
                <w:color w:val="auto"/>
              </w:rPr>
            </w:pPr>
            <w:r>
              <w:rPr>
                <w:rFonts w:ascii="Arial" w:cs="Arial" w:eastAsia="Arial" w:hAnsi="Arial"/>
                <w:sz w:val="14"/>
                <w:szCs w:val="14"/>
                <w:color w:val="auto"/>
              </w:rPr>
              <w:t>for credit losses for purchased financial assets with a more-than-insignificant</w:t>
            </w:r>
          </w:p>
        </w:tc>
        <w:tc>
          <w:tcPr>
            <w:tcW w:w="1200" w:type="dxa"/>
            <w:vAlign w:val="bottom"/>
            <w:tcBorders>
              <w:right w:val="single" w:sz="8" w:color="auto"/>
            </w:tcBorders>
            <w:shd w:val="clear" w:color="auto" w:fill="CFF0FC"/>
          </w:tcPr>
          <w:p>
            <w:pPr>
              <w:spacing w:after="0"/>
              <w:rPr>
                <w:sz w:val="12"/>
                <w:szCs w:val="12"/>
                <w:color w:val="auto"/>
              </w:rPr>
            </w:pPr>
          </w:p>
        </w:tc>
        <w:tc>
          <w:tcPr>
            <w:tcW w:w="374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00" w:type="dxa"/>
            <w:vAlign w:val="bottom"/>
            <w:tcBorders>
              <w:left w:val="single" w:sz="8" w:color="auto"/>
              <w:right w:val="single" w:sz="8" w:color="auto"/>
            </w:tcBorders>
            <w:shd w:val="clear" w:color="auto" w:fill="CFF0FC"/>
          </w:tcPr>
          <w:p>
            <w:pPr>
              <w:spacing w:after="0"/>
              <w:rPr>
                <w:sz w:val="12"/>
                <w:szCs w:val="12"/>
                <w:color w:val="auto"/>
              </w:rPr>
            </w:pPr>
          </w:p>
        </w:tc>
        <w:tc>
          <w:tcPr>
            <w:tcW w:w="4880" w:type="dxa"/>
            <w:vAlign w:val="bottom"/>
            <w:tcBorders>
              <w:right w:val="single" w:sz="8" w:color="auto"/>
            </w:tcBorders>
            <w:shd w:val="clear" w:color="auto" w:fill="CFF0FC"/>
          </w:tcPr>
          <w:p>
            <w:pPr>
              <w:ind w:left="80"/>
              <w:spacing w:after="0" w:line="145" w:lineRule="exact"/>
              <w:rPr>
                <w:sz w:val="20"/>
                <w:szCs w:val="20"/>
                <w:color w:val="auto"/>
              </w:rPr>
            </w:pPr>
            <w:r>
              <w:rPr>
                <w:rFonts w:ascii="Arial" w:cs="Arial" w:eastAsia="Arial" w:hAnsi="Arial"/>
                <w:sz w:val="14"/>
                <w:szCs w:val="14"/>
                <w:color w:val="auto"/>
                <w:w w:val="99"/>
              </w:rPr>
              <w:t>amount of credit deterioration since origination. The initial allowance for these</w:t>
            </w:r>
          </w:p>
        </w:tc>
        <w:tc>
          <w:tcPr>
            <w:tcW w:w="1200" w:type="dxa"/>
            <w:vAlign w:val="bottom"/>
            <w:tcBorders>
              <w:right w:val="single" w:sz="8" w:color="auto"/>
            </w:tcBorders>
            <w:shd w:val="clear" w:color="auto" w:fill="CFF0FC"/>
          </w:tcPr>
          <w:p>
            <w:pPr>
              <w:spacing w:after="0"/>
              <w:rPr>
                <w:sz w:val="12"/>
                <w:szCs w:val="12"/>
                <w:color w:val="auto"/>
              </w:rPr>
            </w:pPr>
          </w:p>
        </w:tc>
        <w:tc>
          <w:tcPr>
            <w:tcW w:w="374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00" w:type="dxa"/>
            <w:vAlign w:val="bottom"/>
            <w:tcBorders>
              <w:left w:val="single" w:sz="8" w:color="auto"/>
              <w:right w:val="single" w:sz="8" w:color="auto"/>
            </w:tcBorders>
            <w:shd w:val="clear" w:color="auto" w:fill="CFF0FC"/>
          </w:tcPr>
          <w:p>
            <w:pPr>
              <w:spacing w:after="0"/>
              <w:rPr>
                <w:sz w:val="12"/>
                <w:szCs w:val="12"/>
                <w:color w:val="auto"/>
              </w:rPr>
            </w:pPr>
          </w:p>
        </w:tc>
        <w:tc>
          <w:tcPr>
            <w:tcW w:w="4880" w:type="dxa"/>
            <w:vAlign w:val="bottom"/>
            <w:tcBorders>
              <w:right w:val="single" w:sz="8" w:color="auto"/>
            </w:tcBorders>
            <w:shd w:val="clear" w:color="auto" w:fill="CFF0FC"/>
          </w:tcPr>
          <w:p>
            <w:pPr>
              <w:ind w:left="80"/>
              <w:spacing w:after="0" w:line="145" w:lineRule="exact"/>
              <w:rPr>
                <w:sz w:val="20"/>
                <w:szCs w:val="20"/>
                <w:color w:val="auto"/>
              </w:rPr>
            </w:pPr>
            <w:r>
              <w:rPr>
                <w:rFonts w:ascii="Arial" w:cs="Arial" w:eastAsia="Arial" w:hAnsi="Arial"/>
                <w:sz w:val="14"/>
                <w:szCs w:val="14"/>
                <w:color w:val="auto"/>
                <w:w w:val="92"/>
              </w:rPr>
              <w:t>assets will be added to the purchase price at acquisition rather than being reported</w:t>
            </w:r>
          </w:p>
        </w:tc>
        <w:tc>
          <w:tcPr>
            <w:tcW w:w="1200" w:type="dxa"/>
            <w:vAlign w:val="bottom"/>
            <w:tcBorders>
              <w:right w:val="single" w:sz="8" w:color="auto"/>
            </w:tcBorders>
            <w:shd w:val="clear" w:color="auto" w:fill="CFF0FC"/>
          </w:tcPr>
          <w:p>
            <w:pPr>
              <w:spacing w:after="0"/>
              <w:rPr>
                <w:sz w:val="12"/>
                <w:szCs w:val="12"/>
                <w:color w:val="auto"/>
              </w:rPr>
            </w:pPr>
          </w:p>
        </w:tc>
        <w:tc>
          <w:tcPr>
            <w:tcW w:w="374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00" w:type="dxa"/>
            <w:vAlign w:val="bottom"/>
            <w:tcBorders>
              <w:left w:val="single" w:sz="8" w:color="auto"/>
              <w:right w:val="single" w:sz="8" w:color="auto"/>
            </w:tcBorders>
            <w:shd w:val="clear" w:color="auto" w:fill="CFF0FC"/>
          </w:tcPr>
          <w:p>
            <w:pPr>
              <w:spacing w:after="0"/>
              <w:rPr>
                <w:sz w:val="12"/>
                <w:szCs w:val="12"/>
                <w:color w:val="auto"/>
              </w:rPr>
            </w:pPr>
          </w:p>
        </w:tc>
        <w:tc>
          <w:tcPr>
            <w:tcW w:w="4880" w:type="dxa"/>
            <w:vAlign w:val="bottom"/>
            <w:tcBorders>
              <w:right w:val="single" w:sz="8" w:color="auto"/>
            </w:tcBorders>
            <w:shd w:val="clear" w:color="auto" w:fill="CFF0FC"/>
          </w:tcPr>
          <w:p>
            <w:pPr>
              <w:ind w:left="80"/>
              <w:spacing w:after="0" w:line="145" w:lineRule="exact"/>
              <w:rPr>
                <w:sz w:val="20"/>
                <w:szCs w:val="20"/>
                <w:color w:val="auto"/>
              </w:rPr>
            </w:pPr>
            <w:r>
              <w:rPr>
                <w:rFonts w:ascii="Arial" w:cs="Arial" w:eastAsia="Arial" w:hAnsi="Arial"/>
                <w:sz w:val="14"/>
                <w:szCs w:val="14"/>
                <w:color w:val="auto"/>
                <w:w w:val="93"/>
              </w:rPr>
              <w:t>as an expense. Subsequent changes in the allowance will be recorded through the</w:t>
            </w:r>
          </w:p>
        </w:tc>
        <w:tc>
          <w:tcPr>
            <w:tcW w:w="1200" w:type="dxa"/>
            <w:vAlign w:val="bottom"/>
            <w:tcBorders>
              <w:right w:val="single" w:sz="8" w:color="auto"/>
            </w:tcBorders>
            <w:shd w:val="clear" w:color="auto" w:fill="CFF0FC"/>
          </w:tcPr>
          <w:p>
            <w:pPr>
              <w:spacing w:after="0"/>
              <w:rPr>
                <w:sz w:val="12"/>
                <w:szCs w:val="12"/>
                <w:color w:val="auto"/>
              </w:rPr>
            </w:pPr>
          </w:p>
        </w:tc>
        <w:tc>
          <w:tcPr>
            <w:tcW w:w="374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00" w:type="dxa"/>
            <w:vAlign w:val="bottom"/>
            <w:tcBorders>
              <w:left w:val="single" w:sz="8" w:color="auto"/>
              <w:right w:val="single" w:sz="8" w:color="auto"/>
            </w:tcBorders>
            <w:shd w:val="clear" w:color="auto" w:fill="CFF0FC"/>
          </w:tcPr>
          <w:p>
            <w:pPr>
              <w:spacing w:after="0"/>
              <w:rPr>
                <w:sz w:val="12"/>
                <w:szCs w:val="12"/>
                <w:color w:val="auto"/>
              </w:rPr>
            </w:pPr>
          </w:p>
        </w:tc>
        <w:tc>
          <w:tcPr>
            <w:tcW w:w="4880" w:type="dxa"/>
            <w:vAlign w:val="bottom"/>
            <w:tcBorders>
              <w:right w:val="single" w:sz="8" w:color="auto"/>
            </w:tcBorders>
            <w:shd w:val="clear" w:color="auto" w:fill="CFF0FC"/>
          </w:tcPr>
          <w:p>
            <w:pPr>
              <w:ind w:left="80"/>
              <w:spacing w:after="0" w:line="145" w:lineRule="exact"/>
              <w:rPr>
                <w:sz w:val="20"/>
                <w:szCs w:val="20"/>
                <w:color w:val="auto"/>
              </w:rPr>
            </w:pPr>
            <w:r>
              <w:rPr>
                <w:rFonts w:ascii="Arial" w:cs="Arial" w:eastAsia="Arial" w:hAnsi="Arial"/>
                <w:sz w:val="14"/>
                <w:szCs w:val="14"/>
                <w:color w:val="auto"/>
                <w:w w:val="95"/>
              </w:rPr>
              <w:t>income statement as an expense adjustment. In addition, the amended guidance</w:t>
            </w:r>
          </w:p>
        </w:tc>
        <w:tc>
          <w:tcPr>
            <w:tcW w:w="1200" w:type="dxa"/>
            <w:vAlign w:val="bottom"/>
            <w:tcBorders>
              <w:right w:val="single" w:sz="8" w:color="auto"/>
            </w:tcBorders>
            <w:shd w:val="clear" w:color="auto" w:fill="CFF0FC"/>
          </w:tcPr>
          <w:p>
            <w:pPr>
              <w:spacing w:after="0"/>
              <w:rPr>
                <w:sz w:val="12"/>
                <w:szCs w:val="12"/>
                <w:color w:val="auto"/>
              </w:rPr>
            </w:pPr>
          </w:p>
        </w:tc>
        <w:tc>
          <w:tcPr>
            <w:tcW w:w="374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00" w:type="dxa"/>
            <w:vAlign w:val="bottom"/>
            <w:tcBorders>
              <w:left w:val="single" w:sz="8" w:color="auto"/>
              <w:right w:val="single" w:sz="8" w:color="auto"/>
            </w:tcBorders>
            <w:shd w:val="clear" w:color="auto" w:fill="CFF0FC"/>
          </w:tcPr>
          <w:p>
            <w:pPr>
              <w:spacing w:after="0"/>
              <w:rPr>
                <w:sz w:val="12"/>
                <w:szCs w:val="12"/>
                <w:color w:val="auto"/>
              </w:rPr>
            </w:pPr>
          </w:p>
        </w:tc>
        <w:tc>
          <w:tcPr>
            <w:tcW w:w="4880" w:type="dxa"/>
            <w:vAlign w:val="bottom"/>
            <w:tcBorders>
              <w:right w:val="single" w:sz="8" w:color="auto"/>
            </w:tcBorders>
            <w:shd w:val="clear" w:color="auto" w:fill="CFF0FC"/>
          </w:tcPr>
          <w:p>
            <w:pPr>
              <w:ind w:left="80"/>
              <w:spacing w:after="0" w:line="145" w:lineRule="exact"/>
              <w:rPr>
                <w:sz w:val="20"/>
                <w:szCs w:val="20"/>
                <w:color w:val="auto"/>
              </w:rPr>
            </w:pPr>
            <w:r>
              <w:rPr>
                <w:rFonts w:ascii="Arial" w:cs="Arial" w:eastAsia="Arial" w:hAnsi="Arial"/>
                <w:sz w:val="14"/>
                <w:szCs w:val="14"/>
                <w:color w:val="auto"/>
                <w:w w:val="95"/>
              </w:rPr>
              <w:t>requires credit losses relating to available-for-sale debt securities to be recorded</w:t>
            </w:r>
          </w:p>
        </w:tc>
        <w:tc>
          <w:tcPr>
            <w:tcW w:w="1200" w:type="dxa"/>
            <w:vAlign w:val="bottom"/>
            <w:tcBorders>
              <w:right w:val="single" w:sz="8" w:color="auto"/>
            </w:tcBorders>
            <w:shd w:val="clear" w:color="auto" w:fill="CFF0FC"/>
          </w:tcPr>
          <w:p>
            <w:pPr>
              <w:spacing w:after="0"/>
              <w:rPr>
                <w:sz w:val="12"/>
                <w:szCs w:val="12"/>
                <w:color w:val="auto"/>
              </w:rPr>
            </w:pPr>
          </w:p>
        </w:tc>
        <w:tc>
          <w:tcPr>
            <w:tcW w:w="374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00" w:type="dxa"/>
            <w:vAlign w:val="bottom"/>
            <w:tcBorders>
              <w:left w:val="single" w:sz="8" w:color="auto"/>
              <w:right w:val="single" w:sz="8" w:color="auto"/>
            </w:tcBorders>
            <w:shd w:val="clear" w:color="auto" w:fill="CFF0FC"/>
          </w:tcPr>
          <w:p>
            <w:pPr>
              <w:spacing w:after="0"/>
              <w:rPr>
                <w:sz w:val="12"/>
                <w:szCs w:val="12"/>
                <w:color w:val="auto"/>
              </w:rPr>
            </w:pPr>
          </w:p>
        </w:tc>
        <w:tc>
          <w:tcPr>
            <w:tcW w:w="4880" w:type="dxa"/>
            <w:vAlign w:val="bottom"/>
            <w:tcBorders>
              <w:right w:val="single" w:sz="8" w:color="auto"/>
            </w:tcBorders>
            <w:shd w:val="clear" w:color="auto" w:fill="CFF0FC"/>
          </w:tcPr>
          <w:p>
            <w:pPr>
              <w:ind w:left="80"/>
              <w:spacing w:after="0" w:line="145" w:lineRule="exact"/>
              <w:rPr>
                <w:sz w:val="20"/>
                <w:szCs w:val="20"/>
                <w:color w:val="auto"/>
              </w:rPr>
            </w:pPr>
            <w:r>
              <w:rPr>
                <w:rFonts w:ascii="Arial" w:cs="Arial" w:eastAsia="Arial" w:hAnsi="Arial"/>
                <w:sz w:val="14"/>
                <w:szCs w:val="14"/>
                <w:color w:val="auto"/>
              </w:rPr>
              <w:t>through an allowance for credit losses. The calculation of credit losses for</w:t>
            </w:r>
          </w:p>
        </w:tc>
        <w:tc>
          <w:tcPr>
            <w:tcW w:w="1200" w:type="dxa"/>
            <w:vAlign w:val="bottom"/>
            <w:tcBorders>
              <w:right w:val="single" w:sz="8" w:color="auto"/>
            </w:tcBorders>
            <w:shd w:val="clear" w:color="auto" w:fill="CFF0FC"/>
          </w:tcPr>
          <w:p>
            <w:pPr>
              <w:spacing w:after="0"/>
              <w:rPr>
                <w:sz w:val="12"/>
                <w:szCs w:val="12"/>
                <w:color w:val="auto"/>
              </w:rPr>
            </w:pPr>
          </w:p>
        </w:tc>
        <w:tc>
          <w:tcPr>
            <w:tcW w:w="374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00" w:type="dxa"/>
            <w:vAlign w:val="bottom"/>
            <w:tcBorders>
              <w:left w:val="single" w:sz="8" w:color="auto"/>
              <w:right w:val="single" w:sz="8" w:color="auto"/>
            </w:tcBorders>
            <w:shd w:val="clear" w:color="auto" w:fill="CFF0FC"/>
          </w:tcPr>
          <w:p>
            <w:pPr>
              <w:spacing w:after="0"/>
              <w:rPr>
                <w:sz w:val="12"/>
                <w:szCs w:val="12"/>
                <w:color w:val="auto"/>
              </w:rPr>
            </w:pPr>
          </w:p>
        </w:tc>
        <w:tc>
          <w:tcPr>
            <w:tcW w:w="4880" w:type="dxa"/>
            <w:vAlign w:val="bottom"/>
            <w:tcBorders>
              <w:right w:val="single" w:sz="8" w:color="auto"/>
            </w:tcBorders>
            <w:shd w:val="clear" w:color="auto" w:fill="CFF0FC"/>
          </w:tcPr>
          <w:p>
            <w:pPr>
              <w:ind w:left="80"/>
              <w:spacing w:after="0" w:line="145" w:lineRule="exact"/>
              <w:rPr>
                <w:sz w:val="20"/>
                <w:szCs w:val="20"/>
                <w:color w:val="auto"/>
              </w:rPr>
            </w:pPr>
            <w:r>
              <w:rPr>
                <w:rFonts w:ascii="Arial" w:cs="Arial" w:eastAsia="Arial" w:hAnsi="Arial"/>
                <w:sz w:val="14"/>
                <w:szCs w:val="14"/>
                <w:color w:val="auto"/>
                <w:w w:val="96"/>
              </w:rPr>
              <w:t>available-for-sale securities will be similar to how it is determined under existing</w:t>
            </w:r>
          </w:p>
        </w:tc>
        <w:tc>
          <w:tcPr>
            <w:tcW w:w="1200" w:type="dxa"/>
            <w:vAlign w:val="bottom"/>
            <w:tcBorders>
              <w:right w:val="single" w:sz="8" w:color="auto"/>
            </w:tcBorders>
            <w:shd w:val="clear" w:color="auto" w:fill="CFF0FC"/>
          </w:tcPr>
          <w:p>
            <w:pPr>
              <w:spacing w:after="0"/>
              <w:rPr>
                <w:sz w:val="12"/>
                <w:szCs w:val="12"/>
                <w:color w:val="auto"/>
              </w:rPr>
            </w:pPr>
          </w:p>
        </w:tc>
        <w:tc>
          <w:tcPr>
            <w:tcW w:w="374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1600" w:type="dxa"/>
            <w:vAlign w:val="bottom"/>
            <w:tcBorders>
              <w:left w:val="single" w:sz="8" w:color="auto"/>
              <w:bottom w:val="single" w:sz="8" w:color="auto"/>
              <w:right w:val="single" w:sz="8" w:color="auto"/>
            </w:tcBorders>
            <w:shd w:val="clear" w:color="auto" w:fill="CFF0FC"/>
          </w:tcPr>
          <w:p>
            <w:pPr>
              <w:spacing w:after="0"/>
              <w:rPr>
                <w:sz w:val="14"/>
                <w:szCs w:val="14"/>
                <w:color w:val="auto"/>
              </w:rPr>
            </w:pPr>
          </w:p>
        </w:tc>
        <w:tc>
          <w:tcPr>
            <w:tcW w:w="4880" w:type="dxa"/>
            <w:vAlign w:val="bottom"/>
            <w:tcBorders>
              <w:bottom w:val="single" w:sz="8" w:color="auto"/>
              <w:right w:val="single" w:sz="8" w:color="auto"/>
            </w:tcBorders>
            <w:shd w:val="clear" w:color="auto" w:fill="CFF0FC"/>
          </w:tcPr>
          <w:p>
            <w:pPr>
              <w:ind w:left="80"/>
              <w:spacing w:after="0"/>
              <w:rPr>
                <w:sz w:val="20"/>
                <w:szCs w:val="20"/>
                <w:color w:val="auto"/>
              </w:rPr>
            </w:pPr>
            <w:r>
              <w:rPr>
                <w:rFonts w:ascii="Arial" w:cs="Arial" w:eastAsia="Arial" w:hAnsi="Arial"/>
                <w:sz w:val="14"/>
                <w:szCs w:val="14"/>
                <w:color w:val="auto"/>
              </w:rPr>
              <w:t>guidance.</w:t>
            </w:r>
          </w:p>
        </w:tc>
        <w:tc>
          <w:tcPr>
            <w:tcW w:w="1200" w:type="dxa"/>
            <w:vAlign w:val="bottom"/>
            <w:tcBorders>
              <w:bottom w:val="single" w:sz="8" w:color="auto"/>
              <w:right w:val="single" w:sz="8" w:color="auto"/>
            </w:tcBorders>
            <w:shd w:val="clear" w:color="auto" w:fill="CFF0FC"/>
          </w:tcPr>
          <w:p>
            <w:pPr>
              <w:spacing w:after="0"/>
              <w:rPr>
                <w:sz w:val="14"/>
                <w:szCs w:val="14"/>
                <w:color w:val="auto"/>
              </w:rPr>
            </w:pPr>
          </w:p>
        </w:tc>
        <w:tc>
          <w:tcPr>
            <w:tcW w:w="3740" w:type="dxa"/>
            <w:vAlign w:val="bottom"/>
            <w:tcBorders>
              <w:bottom w:val="single" w:sz="8" w:color="auto"/>
              <w:right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16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Simplifying the Test for</w:t>
            </w:r>
          </w:p>
        </w:tc>
        <w:tc>
          <w:tcPr>
            <w:tcW w:w="488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The amended guidance eliminates step 2 from the goodwill impairment test.</w:t>
            </w:r>
          </w:p>
        </w:tc>
        <w:tc>
          <w:tcPr>
            <w:tcW w:w="120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January 1, 2020</w:t>
            </w:r>
          </w:p>
        </w:tc>
        <w:tc>
          <w:tcPr>
            <w:tcW w:w="374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The amendments should be applied using a prospective</w:t>
            </w:r>
          </w:p>
        </w:tc>
        <w:tc>
          <w:tcPr>
            <w:tcW w:w="0" w:type="dxa"/>
            <w:vAlign w:val="bottom"/>
          </w:tcPr>
          <w:p>
            <w:pPr>
              <w:spacing w:after="0"/>
              <w:rPr>
                <w:sz w:val="1"/>
                <w:szCs w:val="1"/>
                <w:color w:val="auto"/>
              </w:rPr>
            </w:pPr>
          </w:p>
        </w:tc>
      </w:tr>
      <w:tr>
        <w:trPr>
          <w:trHeight w:val="145"/>
        </w:trPr>
        <w:tc>
          <w:tcPr>
            <w:tcW w:w="1600" w:type="dxa"/>
            <w:vAlign w:val="bottom"/>
            <w:tcBorders>
              <w:left w:val="single" w:sz="8" w:color="auto"/>
              <w:right w:val="single" w:sz="8" w:color="auto"/>
            </w:tcBorders>
          </w:tcPr>
          <w:p>
            <w:pPr>
              <w:ind w:left="20"/>
              <w:spacing w:after="0" w:line="145" w:lineRule="exact"/>
              <w:rPr>
                <w:sz w:val="20"/>
                <w:szCs w:val="20"/>
                <w:color w:val="auto"/>
              </w:rPr>
            </w:pPr>
            <w:r>
              <w:rPr>
                <w:rFonts w:ascii="Arial" w:cs="Arial" w:eastAsia="Arial" w:hAnsi="Arial"/>
                <w:sz w:val="14"/>
                <w:szCs w:val="14"/>
                <w:color w:val="auto"/>
              </w:rPr>
              <w:t>Goodwill Impairment</w:t>
            </w:r>
          </w:p>
        </w:tc>
        <w:tc>
          <w:tcPr>
            <w:tcW w:w="4880" w:type="dxa"/>
            <w:vAlign w:val="bottom"/>
            <w:tcBorders>
              <w:right w:val="single" w:sz="8" w:color="auto"/>
            </w:tcBorders>
          </w:tcPr>
          <w:p>
            <w:pPr>
              <w:spacing w:after="0"/>
              <w:rPr>
                <w:sz w:val="12"/>
                <w:szCs w:val="12"/>
                <w:color w:val="auto"/>
              </w:rPr>
            </w:pPr>
          </w:p>
        </w:tc>
        <w:tc>
          <w:tcPr>
            <w:tcW w:w="1200" w:type="dxa"/>
            <w:vAlign w:val="bottom"/>
            <w:tcBorders>
              <w:right w:val="single" w:sz="8" w:color="auto"/>
            </w:tcBorders>
          </w:tcPr>
          <w:p>
            <w:pPr>
              <w:spacing w:after="0"/>
              <w:rPr>
                <w:sz w:val="12"/>
                <w:szCs w:val="12"/>
                <w:color w:val="auto"/>
              </w:rPr>
            </w:pPr>
          </w:p>
        </w:tc>
        <w:tc>
          <w:tcPr>
            <w:tcW w:w="3740" w:type="dxa"/>
            <w:vAlign w:val="bottom"/>
            <w:tcBorders>
              <w:right w:val="single" w:sz="8" w:color="auto"/>
            </w:tcBorders>
          </w:tcPr>
          <w:p>
            <w:pPr>
              <w:ind w:left="100"/>
              <w:spacing w:after="0" w:line="145" w:lineRule="exact"/>
              <w:rPr>
                <w:sz w:val="20"/>
                <w:szCs w:val="20"/>
                <w:color w:val="auto"/>
              </w:rPr>
            </w:pPr>
            <w:r>
              <w:rPr>
                <w:rFonts w:ascii="Arial" w:cs="Arial" w:eastAsia="Arial" w:hAnsi="Arial"/>
                <w:sz w:val="14"/>
                <w:szCs w:val="14"/>
                <w:color w:val="auto"/>
              </w:rPr>
              <w:t>transition method. The Company does not expect the</w:t>
            </w:r>
          </w:p>
        </w:tc>
        <w:tc>
          <w:tcPr>
            <w:tcW w:w="0" w:type="dxa"/>
            <w:vAlign w:val="bottom"/>
          </w:tcPr>
          <w:p>
            <w:pPr>
              <w:spacing w:after="0"/>
              <w:rPr>
                <w:sz w:val="1"/>
                <w:szCs w:val="1"/>
                <w:color w:val="auto"/>
              </w:rPr>
            </w:pPr>
          </w:p>
        </w:tc>
      </w:tr>
      <w:tr>
        <w:trPr>
          <w:trHeight w:val="145"/>
        </w:trPr>
        <w:tc>
          <w:tcPr>
            <w:tcW w:w="1600" w:type="dxa"/>
            <w:vAlign w:val="bottom"/>
            <w:tcBorders>
              <w:left w:val="single" w:sz="8" w:color="auto"/>
              <w:right w:val="single" w:sz="8" w:color="auto"/>
            </w:tcBorders>
          </w:tcPr>
          <w:p>
            <w:pPr>
              <w:spacing w:after="0"/>
              <w:rPr>
                <w:sz w:val="12"/>
                <w:szCs w:val="12"/>
                <w:color w:val="auto"/>
              </w:rPr>
            </w:pPr>
          </w:p>
        </w:tc>
        <w:tc>
          <w:tcPr>
            <w:tcW w:w="4880" w:type="dxa"/>
            <w:vAlign w:val="bottom"/>
            <w:tcBorders>
              <w:right w:val="single" w:sz="8" w:color="auto"/>
            </w:tcBorders>
          </w:tcPr>
          <w:p>
            <w:pPr>
              <w:spacing w:after="0"/>
              <w:rPr>
                <w:sz w:val="12"/>
                <w:szCs w:val="12"/>
                <w:color w:val="auto"/>
              </w:rPr>
            </w:pPr>
          </w:p>
        </w:tc>
        <w:tc>
          <w:tcPr>
            <w:tcW w:w="1200" w:type="dxa"/>
            <w:vAlign w:val="bottom"/>
            <w:tcBorders>
              <w:right w:val="single" w:sz="8" w:color="auto"/>
            </w:tcBorders>
          </w:tcPr>
          <w:p>
            <w:pPr>
              <w:ind w:left="80"/>
              <w:spacing w:after="0" w:line="145" w:lineRule="exact"/>
              <w:rPr>
                <w:sz w:val="20"/>
                <w:szCs w:val="20"/>
                <w:color w:val="auto"/>
              </w:rPr>
            </w:pPr>
            <w:r>
              <w:rPr>
                <w:rFonts w:ascii="Arial" w:cs="Arial" w:eastAsia="Arial" w:hAnsi="Arial"/>
                <w:sz w:val="14"/>
                <w:szCs w:val="14"/>
                <w:color w:val="auto"/>
              </w:rPr>
              <w:t>Early adoption</w:t>
            </w:r>
          </w:p>
        </w:tc>
        <w:tc>
          <w:tcPr>
            <w:tcW w:w="3740" w:type="dxa"/>
            <w:vAlign w:val="bottom"/>
            <w:tcBorders>
              <w:right w:val="single" w:sz="8" w:color="auto"/>
            </w:tcBorders>
          </w:tcPr>
          <w:p>
            <w:pPr>
              <w:ind w:left="100"/>
              <w:spacing w:after="0" w:line="145" w:lineRule="exact"/>
              <w:rPr>
                <w:sz w:val="20"/>
                <w:szCs w:val="20"/>
                <w:color w:val="auto"/>
              </w:rPr>
            </w:pPr>
            <w:r>
              <w:rPr>
                <w:rFonts w:ascii="Arial" w:cs="Arial" w:eastAsia="Arial" w:hAnsi="Arial"/>
                <w:sz w:val="14"/>
                <w:szCs w:val="14"/>
                <w:color w:val="auto"/>
              </w:rPr>
              <w:t>guidance will have a material impact on its consolidated</w:t>
            </w:r>
          </w:p>
        </w:tc>
        <w:tc>
          <w:tcPr>
            <w:tcW w:w="0" w:type="dxa"/>
            <w:vAlign w:val="bottom"/>
          </w:tcPr>
          <w:p>
            <w:pPr>
              <w:spacing w:after="0"/>
              <w:rPr>
                <w:sz w:val="1"/>
                <w:szCs w:val="1"/>
                <w:color w:val="auto"/>
              </w:rPr>
            </w:pPr>
          </w:p>
        </w:tc>
      </w:tr>
      <w:tr>
        <w:trPr>
          <w:trHeight w:val="145"/>
        </w:trPr>
        <w:tc>
          <w:tcPr>
            <w:tcW w:w="1600" w:type="dxa"/>
            <w:vAlign w:val="bottom"/>
            <w:tcBorders>
              <w:left w:val="single" w:sz="8" w:color="auto"/>
              <w:right w:val="single" w:sz="8" w:color="auto"/>
            </w:tcBorders>
          </w:tcPr>
          <w:p>
            <w:pPr>
              <w:spacing w:after="0"/>
              <w:rPr>
                <w:sz w:val="12"/>
                <w:szCs w:val="12"/>
                <w:color w:val="auto"/>
              </w:rPr>
            </w:pPr>
          </w:p>
        </w:tc>
        <w:tc>
          <w:tcPr>
            <w:tcW w:w="4880" w:type="dxa"/>
            <w:vAlign w:val="bottom"/>
            <w:tcBorders>
              <w:right w:val="single" w:sz="8" w:color="auto"/>
            </w:tcBorders>
          </w:tcPr>
          <w:p>
            <w:pPr>
              <w:spacing w:after="0"/>
              <w:rPr>
                <w:sz w:val="12"/>
                <w:szCs w:val="12"/>
                <w:color w:val="auto"/>
              </w:rPr>
            </w:pPr>
          </w:p>
        </w:tc>
        <w:tc>
          <w:tcPr>
            <w:tcW w:w="1200" w:type="dxa"/>
            <w:vAlign w:val="bottom"/>
            <w:tcBorders>
              <w:right w:val="single" w:sz="8" w:color="auto"/>
            </w:tcBorders>
          </w:tcPr>
          <w:p>
            <w:pPr>
              <w:ind w:left="80"/>
              <w:spacing w:after="0" w:line="145" w:lineRule="exact"/>
              <w:rPr>
                <w:sz w:val="20"/>
                <w:szCs w:val="20"/>
                <w:color w:val="auto"/>
              </w:rPr>
            </w:pPr>
            <w:r>
              <w:rPr>
                <w:rFonts w:ascii="Arial" w:cs="Arial" w:eastAsia="Arial" w:hAnsi="Arial"/>
                <w:sz w:val="14"/>
                <w:szCs w:val="14"/>
                <w:color w:val="auto"/>
              </w:rPr>
              <w:t>permitted</w:t>
            </w:r>
          </w:p>
        </w:tc>
        <w:tc>
          <w:tcPr>
            <w:tcW w:w="3740" w:type="dxa"/>
            <w:vAlign w:val="bottom"/>
            <w:tcBorders>
              <w:right w:val="single" w:sz="8" w:color="auto"/>
            </w:tcBorders>
          </w:tcPr>
          <w:p>
            <w:pPr>
              <w:ind w:left="100"/>
              <w:spacing w:after="0" w:line="145" w:lineRule="exact"/>
              <w:rPr>
                <w:sz w:val="20"/>
                <w:szCs w:val="20"/>
                <w:color w:val="auto"/>
              </w:rPr>
            </w:pPr>
            <w:r>
              <w:rPr>
                <w:rFonts w:ascii="Arial" w:cs="Arial" w:eastAsia="Arial" w:hAnsi="Arial"/>
                <w:sz w:val="14"/>
                <w:szCs w:val="14"/>
                <w:color w:val="auto"/>
                <w:w w:val="94"/>
              </w:rPr>
              <w:t>financial statements, unless at some point in the future one of</w:t>
            </w:r>
          </w:p>
        </w:tc>
        <w:tc>
          <w:tcPr>
            <w:tcW w:w="0" w:type="dxa"/>
            <w:vAlign w:val="bottom"/>
          </w:tcPr>
          <w:p>
            <w:pPr>
              <w:spacing w:after="0"/>
              <w:rPr>
                <w:sz w:val="1"/>
                <w:szCs w:val="1"/>
                <w:color w:val="auto"/>
              </w:rPr>
            </w:pPr>
          </w:p>
        </w:tc>
      </w:tr>
      <w:tr>
        <w:trPr>
          <w:trHeight w:val="145"/>
        </w:trPr>
        <w:tc>
          <w:tcPr>
            <w:tcW w:w="1600" w:type="dxa"/>
            <w:vAlign w:val="bottom"/>
            <w:tcBorders>
              <w:left w:val="single" w:sz="8" w:color="auto"/>
              <w:right w:val="single" w:sz="8" w:color="auto"/>
            </w:tcBorders>
          </w:tcPr>
          <w:p>
            <w:pPr>
              <w:spacing w:after="0"/>
              <w:rPr>
                <w:sz w:val="12"/>
                <w:szCs w:val="12"/>
                <w:color w:val="auto"/>
              </w:rPr>
            </w:pPr>
          </w:p>
        </w:tc>
        <w:tc>
          <w:tcPr>
            <w:tcW w:w="4880" w:type="dxa"/>
            <w:vAlign w:val="bottom"/>
            <w:tcBorders>
              <w:right w:val="single" w:sz="8" w:color="auto"/>
            </w:tcBorders>
          </w:tcPr>
          <w:p>
            <w:pPr>
              <w:spacing w:after="0"/>
              <w:rPr>
                <w:sz w:val="12"/>
                <w:szCs w:val="12"/>
                <w:color w:val="auto"/>
              </w:rPr>
            </w:pPr>
          </w:p>
        </w:tc>
        <w:tc>
          <w:tcPr>
            <w:tcW w:w="1200" w:type="dxa"/>
            <w:vAlign w:val="bottom"/>
            <w:tcBorders>
              <w:right w:val="single" w:sz="8" w:color="auto"/>
            </w:tcBorders>
          </w:tcPr>
          <w:p>
            <w:pPr>
              <w:spacing w:after="0"/>
              <w:rPr>
                <w:sz w:val="12"/>
                <w:szCs w:val="12"/>
                <w:color w:val="auto"/>
              </w:rPr>
            </w:pPr>
          </w:p>
        </w:tc>
        <w:tc>
          <w:tcPr>
            <w:tcW w:w="3740" w:type="dxa"/>
            <w:vAlign w:val="bottom"/>
            <w:tcBorders>
              <w:right w:val="single" w:sz="8" w:color="auto"/>
            </w:tcBorders>
          </w:tcPr>
          <w:p>
            <w:pPr>
              <w:ind w:left="100"/>
              <w:spacing w:after="0" w:line="145" w:lineRule="exact"/>
              <w:rPr>
                <w:sz w:val="20"/>
                <w:szCs w:val="20"/>
                <w:color w:val="auto"/>
              </w:rPr>
            </w:pPr>
            <w:r>
              <w:rPr>
                <w:rFonts w:ascii="Arial" w:cs="Arial" w:eastAsia="Arial" w:hAnsi="Arial"/>
                <w:sz w:val="14"/>
                <w:szCs w:val="14"/>
                <w:color w:val="auto"/>
              </w:rPr>
              <w:t>its reporting units were to fail step 1 of the goodwill</w:t>
            </w:r>
          </w:p>
        </w:tc>
        <w:tc>
          <w:tcPr>
            <w:tcW w:w="0" w:type="dxa"/>
            <w:vAlign w:val="bottom"/>
          </w:tcPr>
          <w:p>
            <w:pPr>
              <w:spacing w:after="0"/>
              <w:rPr>
                <w:sz w:val="1"/>
                <w:szCs w:val="1"/>
                <w:color w:val="auto"/>
              </w:rPr>
            </w:pPr>
          </w:p>
        </w:tc>
      </w:tr>
      <w:tr>
        <w:trPr>
          <w:trHeight w:val="163"/>
        </w:trPr>
        <w:tc>
          <w:tcPr>
            <w:tcW w:w="1600" w:type="dxa"/>
            <w:vAlign w:val="bottom"/>
            <w:tcBorders>
              <w:left w:val="single" w:sz="8" w:color="auto"/>
              <w:bottom w:val="single" w:sz="8" w:color="auto"/>
              <w:right w:val="single" w:sz="8" w:color="auto"/>
            </w:tcBorders>
          </w:tcPr>
          <w:p>
            <w:pPr>
              <w:spacing w:after="0"/>
              <w:rPr>
                <w:sz w:val="14"/>
                <w:szCs w:val="14"/>
                <w:color w:val="auto"/>
              </w:rPr>
            </w:pPr>
          </w:p>
        </w:tc>
        <w:tc>
          <w:tcPr>
            <w:tcW w:w="4880" w:type="dxa"/>
            <w:vAlign w:val="bottom"/>
            <w:tcBorders>
              <w:bottom w:val="single" w:sz="8" w:color="auto"/>
              <w:right w:val="single" w:sz="8" w:color="auto"/>
            </w:tcBorders>
          </w:tcPr>
          <w:p>
            <w:pPr>
              <w:spacing w:after="0"/>
              <w:rPr>
                <w:sz w:val="14"/>
                <w:szCs w:val="14"/>
                <w:color w:val="auto"/>
              </w:rPr>
            </w:pPr>
          </w:p>
        </w:tc>
        <w:tc>
          <w:tcPr>
            <w:tcW w:w="1200" w:type="dxa"/>
            <w:vAlign w:val="bottom"/>
            <w:tcBorders>
              <w:bottom w:val="single" w:sz="8" w:color="auto"/>
              <w:right w:val="single" w:sz="8" w:color="auto"/>
            </w:tcBorders>
          </w:tcPr>
          <w:p>
            <w:pPr>
              <w:spacing w:after="0"/>
              <w:rPr>
                <w:sz w:val="14"/>
                <w:szCs w:val="14"/>
                <w:color w:val="auto"/>
              </w:rPr>
            </w:pPr>
          </w:p>
        </w:tc>
        <w:tc>
          <w:tcPr>
            <w:tcW w:w="37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impairment test.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0" w:right="239" w:bottom="1440" w:gutter="0" w:footer="0" w:header="0"/>
        </w:sectPr>
      </w:pPr>
    </w:p>
    <w:bookmarkStart w:id="189" w:name="page190"/>
    <w:bookmarkEnd w:id="189"/>
    <w:p>
      <w:pPr>
        <w:spacing w:after="0"/>
        <w:tabs>
          <w:tab w:leader="none" w:pos="1160" w:val="left"/>
        </w:tabs>
        <w:rPr>
          <w:sz w:val="20"/>
          <w:szCs w:val="20"/>
          <w:color w:val="auto"/>
        </w:rPr>
      </w:pPr>
      <w:r>
        <w:rPr>
          <w:rFonts w:ascii="Arial" w:cs="Arial" w:eastAsia="Arial" w:hAnsi="Arial"/>
          <w:sz w:val="20"/>
          <w:szCs w:val="20"/>
          <w:b w:val="1"/>
          <w:bCs w:val="1"/>
          <w:color w:val="auto"/>
        </w:rPr>
        <w:t>Item 9.</w:t>
      </w:r>
      <w:r>
        <w:rPr>
          <w:sz w:val="20"/>
          <w:szCs w:val="20"/>
          <w:color w:val="auto"/>
        </w:rPr>
        <w:tab/>
      </w:r>
      <w:r>
        <w:rPr>
          <w:rFonts w:ascii="Arial" w:cs="Arial" w:eastAsia="Arial" w:hAnsi="Arial"/>
          <w:sz w:val="17"/>
          <w:szCs w:val="17"/>
          <w:b w:val="1"/>
          <w:bCs w:val="1"/>
          <w:i w:val="1"/>
          <w:iCs w:val="1"/>
          <w:color w:val="auto"/>
        </w:rPr>
        <w:t>Changes in and Disagreements with Accountants on Accounting and Financial Disclosure.</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318" w:lineRule="exact"/>
        <w:rPr>
          <w:sz w:val="20"/>
          <w:szCs w:val="20"/>
          <w:color w:val="auto"/>
        </w:rPr>
      </w:pPr>
    </w:p>
    <w:p>
      <w:pPr>
        <w:spacing w:after="0"/>
        <w:tabs>
          <w:tab w:leader="none" w:pos="1160" w:val="left"/>
        </w:tabs>
        <w:rPr>
          <w:sz w:val="20"/>
          <w:szCs w:val="20"/>
          <w:color w:val="auto"/>
        </w:rPr>
      </w:pPr>
      <w:r>
        <w:rPr>
          <w:rFonts w:ascii="Arial" w:cs="Arial" w:eastAsia="Arial" w:hAnsi="Arial"/>
          <w:sz w:val="20"/>
          <w:szCs w:val="20"/>
          <w:b w:val="1"/>
          <w:bCs w:val="1"/>
          <w:color w:val="auto"/>
        </w:rPr>
        <w:t>Item 9A.</w:t>
      </w:r>
      <w:r>
        <w:rPr>
          <w:sz w:val="20"/>
          <w:szCs w:val="20"/>
          <w:color w:val="auto"/>
        </w:rPr>
        <w:tab/>
      </w:r>
      <w:r>
        <w:rPr>
          <w:rFonts w:ascii="Arial" w:cs="Arial" w:eastAsia="Arial" w:hAnsi="Arial"/>
          <w:sz w:val="17"/>
          <w:szCs w:val="17"/>
          <w:b w:val="1"/>
          <w:bCs w:val="1"/>
          <w:i w:val="1"/>
          <w:iCs w:val="1"/>
          <w:color w:val="auto"/>
        </w:rPr>
        <w:t>Controls and Procedures.</w:t>
      </w:r>
    </w:p>
    <w:p>
      <w:pPr>
        <w:spacing w:after="0" w:line="116" w:lineRule="exact"/>
        <w:rPr>
          <w:sz w:val="20"/>
          <w:szCs w:val="20"/>
          <w:color w:val="auto"/>
        </w:rPr>
      </w:pPr>
    </w:p>
    <w:p>
      <w:pPr>
        <w:ind w:right="60" w:firstLine="603"/>
        <w:spacing w:after="0" w:line="251" w:lineRule="auto"/>
        <w:tabs>
          <w:tab w:leader="none" w:pos="872" w:val="left"/>
        </w:tabs>
        <w:numPr>
          <w:ilvl w:val="0"/>
          <w:numId w:val="61"/>
        </w:numPr>
        <w:rPr>
          <w:rFonts w:ascii="Arial" w:cs="Arial" w:eastAsia="Arial" w:hAnsi="Arial"/>
          <w:sz w:val="20"/>
          <w:szCs w:val="20"/>
          <w:color w:val="auto"/>
        </w:rPr>
      </w:pPr>
      <w:r>
        <w:rPr>
          <w:rFonts w:ascii="Arial" w:cs="Arial" w:eastAsia="Arial" w:hAnsi="Arial"/>
          <w:sz w:val="20"/>
          <w:szCs w:val="20"/>
          <w:color w:val="auto"/>
        </w:rPr>
        <w:t>Evaluation of disclosure controls and procedures. Based upon their evaluation of the effectiveness of M&amp;T’s disclosure controls and procedures (as defined in Exchange Act rules 13a-15(e) and 15d-15(e)), René F. Jones, Chairman of the Board and Chief Executive Officer, and Darren J. King, Executive Vice President and Chief Financial Officer, concluded that M&amp;T’s disclosure controls and procedures were effective as of December 31, 2017.</w:t>
      </w:r>
    </w:p>
    <w:p>
      <w:pPr>
        <w:spacing w:after="0" w:line="1" w:lineRule="exact"/>
        <w:rPr>
          <w:rFonts w:ascii="Arial" w:cs="Arial" w:eastAsia="Arial" w:hAnsi="Arial"/>
          <w:sz w:val="20"/>
          <w:szCs w:val="20"/>
          <w:color w:val="auto"/>
        </w:rPr>
      </w:pPr>
    </w:p>
    <w:p>
      <w:pPr>
        <w:ind w:right="160" w:firstLine="603"/>
        <w:spacing w:after="0" w:line="246" w:lineRule="auto"/>
        <w:tabs>
          <w:tab w:leader="none" w:pos="883" w:val="left"/>
        </w:tabs>
        <w:numPr>
          <w:ilvl w:val="0"/>
          <w:numId w:val="61"/>
        </w:numPr>
        <w:rPr>
          <w:rFonts w:ascii="Arial" w:cs="Arial" w:eastAsia="Arial" w:hAnsi="Arial"/>
          <w:sz w:val="20"/>
          <w:szCs w:val="20"/>
          <w:color w:val="auto"/>
        </w:rPr>
      </w:pPr>
      <w:r>
        <w:rPr>
          <w:rFonts w:ascii="Arial" w:cs="Arial" w:eastAsia="Arial" w:hAnsi="Arial"/>
          <w:sz w:val="20"/>
          <w:szCs w:val="20"/>
          <w:color w:val="auto"/>
        </w:rPr>
        <w:t>Management’s annual report on internal control over financial reporting. Included under the heading “Report on Internal Control Over Financial Reporting” at Item 8 of this Annual Report on Form 10-K.</w:t>
      </w:r>
    </w:p>
    <w:p>
      <w:pPr>
        <w:spacing w:after="0" w:line="1" w:lineRule="exact"/>
        <w:rPr>
          <w:rFonts w:ascii="Arial" w:cs="Arial" w:eastAsia="Arial" w:hAnsi="Arial"/>
          <w:sz w:val="20"/>
          <w:szCs w:val="20"/>
          <w:color w:val="auto"/>
        </w:rPr>
      </w:pPr>
    </w:p>
    <w:p>
      <w:pPr>
        <w:ind w:right="160" w:firstLine="603"/>
        <w:spacing w:after="0" w:line="246" w:lineRule="auto"/>
        <w:tabs>
          <w:tab w:leader="none" w:pos="872" w:val="left"/>
        </w:tabs>
        <w:numPr>
          <w:ilvl w:val="0"/>
          <w:numId w:val="61"/>
        </w:numPr>
        <w:rPr>
          <w:rFonts w:ascii="Arial" w:cs="Arial" w:eastAsia="Arial" w:hAnsi="Arial"/>
          <w:sz w:val="20"/>
          <w:szCs w:val="20"/>
          <w:color w:val="auto"/>
        </w:rPr>
      </w:pPr>
      <w:r>
        <w:rPr>
          <w:rFonts w:ascii="Arial" w:cs="Arial" w:eastAsia="Arial" w:hAnsi="Arial"/>
          <w:sz w:val="20"/>
          <w:szCs w:val="20"/>
          <w:color w:val="auto"/>
        </w:rPr>
        <w:t>Attestation report of the registered public accounting firm. Included under the heading “Report of Independent Registered Public Accounting Firm” at Item 8 of this Annual Report on Form 10-K.</w:t>
      </w:r>
    </w:p>
    <w:p>
      <w:pPr>
        <w:spacing w:after="0" w:line="1" w:lineRule="exact"/>
        <w:rPr>
          <w:rFonts w:ascii="Arial" w:cs="Arial" w:eastAsia="Arial" w:hAnsi="Arial"/>
          <w:sz w:val="20"/>
          <w:szCs w:val="20"/>
          <w:color w:val="auto"/>
        </w:rPr>
      </w:pPr>
    </w:p>
    <w:p>
      <w:pPr>
        <w:ind w:right="340" w:firstLine="603"/>
        <w:spacing w:after="0" w:line="249" w:lineRule="auto"/>
        <w:tabs>
          <w:tab w:leader="none" w:pos="883" w:val="left"/>
        </w:tabs>
        <w:numPr>
          <w:ilvl w:val="0"/>
          <w:numId w:val="61"/>
        </w:numPr>
        <w:rPr>
          <w:rFonts w:ascii="Arial" w:cs="Arial" w:eastAsia="Arial" w:hAnsi="Arial"/>
          <w:sz w:val="20"/>
          <w:szCs w:val="20"/>
          <w:color w:val="auto"/>
        </w:rPr>
      </w:pPr>
      <w:r>
        <w:rPr>
          <w:rFonts w:ascii="Arial" w:cs="Arial" w:eastAsia="Arial" w:hAnsi="Arial"/>
          <w:sz w:val="20"/>
          <w:szCs w:val="20"/>
          <w:color w:val="auto"/>
        </w:rPr>
        <w:t>Changes in internal control over financial reporting. M&amp;T regularly assesses the adequacy of its internal control over financial reporting and enhances its controls in response to internal control assessments and internal and external audit and regulatory recommendations. No changes in internal control over financial reporting have been identified in connection with the evaluation of disclosure controls and procedures during the quarter ended December 31, 2017 that have materially affected, or are reasonably likely to materially affect, M&amp;T’s internal control over financial reporting.</w:t>
      </w:r>
    </w:p>
    <w:p>
      <w:pPr>
        <w:spacing w:after="0" w:line="283" w:lineRule="exact"/>
        <w:rPr>
          <w:sz w:val="20"/>
          <w:szCs w:val="20"/>
          <w:color w:val="auto"/>
        </w:rPr>
      </w:pPr>
    </w:p>
    <w:p>
      <w:pPr>
        <w:spacing w:after="0"/>
        <w:tabs>
          <w:tab w:leader="none" w:pos="1160" w:val="left"/>
        </w:tabs>
        <w:rPr>
          <w:sz w:val="20"/>
          <w:szCs w:val="20"/>
          <w:color w:val="auto"/>
        </w:rPr>
      </w:pPr>
      <w:r>
        <w:rPr>
          <w:rFonts w:ascii="Arial" w:cs="Arial" w:eastAsia="Arial" w:hAnsi="Arial"/>
          <w:sz w:val="20"/>
          <w:szCs w:val="20"/>
          <w:b w:val="1"/>
          <w:bCs w:val="1"/>
          <w:color w:val="auto"/>
        </w:rPr>
        <w:t>Item 9B.</w:t>
      </w:r>
      <w:r>
        <w:rPr>
          <w:sz w:val="20"/>
          <w:szCs w:val="20"/>
          <w:color w:val="auto"/>
        </w:rPr>
        <w:tab/>
      </w:r>
      <w:r>
        <w:rPr>
          <w:rFonts w:ascii="Arial" w:cs="Arial" w:eastAsia="Arial" w:hAnsi="Arial"/>
          <w:sz w:val="18"/>
          <w:szCs w:val="18"/>
          <w:b w:val="1"/>
          <w:bCs w:val="1"/>
          <w:i w:val="1"/>
          <w:iCs w:val="1"/>
          <w:color w:val="auto"/>
        </w:rPr>
        <w:t>Other Information.</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318" w:lineRule="exact"/>
        <w:rPr>
          <w:sz w:val="20"/>
          <w:szCs w:val="20"/>
          <w:color w:val="auto"/>
        </w:rPr>
      </w:pPr>
    </w:p>
    <w:p>
      <w:pPr>
        <w:ind w:left="5300"/>
        <w:spacing w:after="0"/>
        <w:rPr>
          <w:sz w:val="20"/>
          <w:szCs w:val="20"/>
          <w:color w:val="auto"/>
        </w:rPr>
      </w:pPr>
      <w:r>
        <w:rPr>
          <w:rFonts w:ascii="Arial" w:cs="Arial" w:eastAsia="Arial" w:hAnsi="Arial"/>
          <w:sz w:val="20"/>
          <w:szCs w:val="20"/>
          <w:b w:val="1"/>
          <w:bCs w:val="1"/>
          <w:color w:val="auto"/>
        </w:rPr>
        <w:t>PART III</w:t>
      </w:r>
    </w:p>
    <w:p>
      <w:pPr>
        <w:spacing w:after="0" w:line="217" w:lineRule="exact"/>
        <w:rPr>
          <w:sz w:val="20"/>
          <w:szCs w:val="20"/>
          <w:color w:val="auto"/>
        </w:rPr>
      </w:pPr>
    </w:p>
    <w:p>
      <w:pPr>
        <w:spacing w:after="0"/>
        <w:tabs>
          <w:tab w:leader="none" w:pos="1160" w:val="left"/>
        </w:tabs>
        <w:rPr>
          <w:sz w:val="20"/>
          <w:szCs w:val="20"/>
          <w:color w:val="auto"/>
        </w:rPr>
      </w:pPr>
      <w:r>
        <w:rPr>
          <w:rFonts w:ascii="Arial" w:cs="Arial" w:eastAsia="Arial" w:hAnsi="Arial"/>
          <w:sz w:val="20"/>
          <w:szCs w:val="20"/>
          <w:b w:val="1"/>
          <w:bCs w:val="1"/>
          <w:color w:val="auto"/>
        </w:rPr>
        <w:t>Item 10.</w:t>
      </w:r>
      <w:r>
        <w:rPr>
          <w:sz w:val="20"/>
          <w:szCs w:val="20"/>
          <w:color w:val="auto"/>
        </w:rPr>
        <w:tab/>
      </w:r>
      <w:r>
        <w:rPr>
          <w:rFonts w:ascii="Arial" w:cs="Arial" w:eastAsia="Arial" w:hAnsi="Arial"/>
          <w:sz w:val="17"/>
          <w:szCs w:val="17"/>
          <w:b w:val="1"/>
          <w:bCs w:val="1"/>
          <w:i w:val="1"/>
          <w:iCs w:val="1"/>
          <w:color w:val="auto"/>
        </w:rPr>
        <w:t>Directors, Executive Officers and Corporate Governance.</w:t>
      </w:r>
    </w:p>
    <w:p>
      <w:pPr>
        <w:spacing w:after="0" w:line="116"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The information required to be furnished pursuant to Items 401, 405, 406 and 407(c)(3), (d)(4) and (d)(5) of Regulation S-K will be included in M&amp;T’s Proxy Statement for the 2018 Annual Meeting of Shareholders, to be filed with the SEC pursuant to Regulation 14A on or about March 7, 2018 (the “2018 Proxy Statement”). The information concerning M&amp;T’s directors will appear under the caption “NOMINEES FOR DIRECTOR” in the 2018 Proxy Statement. The information regarding compliance with Section 16 of the Securities Exchange Act will appear under the caption “Section 16(a) Beneficial Ownership Reporting Compliance” in the 2018 Proxy Statement. The information concerning M&amp;T’s Code of Ethics for CEO and Senior Financial Officers will appear under the caption “CORPORATE GOVERNANCE OF M&amp;T BANK CORPORATION” in the 2018 Proxy Statement. The information regarding M&amp;T’s Audit Committee will appear under the caption “CORPORATE GOVERNANCE OF M&amp;T BANK CORPORATION.” Such information is incorporated herein by reference.</w:t>
      </w:r>
    </w:p>
    <w:p>
      <w:pPr>
        <w:spacing w:after="0" w:line="6" w:lineRule="exact"/>
        <w:rPr>
          <w:sz w:val="20"/>
          <w:szCs w:val="20"/>
          <w:color w:val="auto"/>
        </w:rPr>
      </w:pPr>
    </w:p>
    <w:p>
      <w:pPr>
        <w:ind w:firstLine="598"/>
        <w:spacing w:after="0" w:line="256" w:lineRule="auto"/>
        <w:rPr>
          <w:sz w:val="20"/>
          <w:szCs w:val="20"/>
          <w:color w:val="auto"/>
        </w:rPr>
      </w:pPr>
      <w:r>
        <w:rPr>
          <w:rFonts w:ascii="Arial" w:cs="Arial" w:eastAsia="Arial" w:hAnsi="Arial"/>
          <w:sz w:val="20"/>
          <w:szCs w:val="20"/>
          <w:color w:val="auto"/>
        </w:rPr>
        <w:t>The information concerning M&amp;T’s executive officers is presented under the caption “Executive Officers of the Registrant” contained in Part I of this Annual Report on Form 10-K.</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190" w:name="page191"/>
    <w:bookmarkEnd w:id="190"/>
    <w:p>
      <w:pPr>
        <w:spacing w:after="0"/>
        <w:tabs>
          <w:tab w:leader="none" w:pos="1160" w:val="left"/>
        </w:tabs>
        <w:rPr>
          <w:sz w:val="20"/>
          <w:szCs w:val="20"/>
          <w:color w:val="auto"/>
        </w:rPr>
      </w:pPr>
      <w:r>
        <w:rPr>
          <w:rFonts w:ascii="Arial" w:cs="Arial" w:eastAsia="Arial" w:hAnsi="Arial"/>
          <w:sz w:val="20"/>
          <w:szCs w:val="20"/>
          <w:b w:val="1"/>
          <w:bCs w:val="1"/>
          <w:color w:val="auto"/>
        </w:rPr>
        <w:t>Item 11.</w:t>
      </w:r>
      <w:r>
        <w:rPr>
          <w:sz w:val="20"/>
          <w:szCs w:val="20"/>
          <w:color w:val="auto"/>
        </w:rPr>
        <w:tab/>
      </w:r>
      <w:r>
        <w:rPr>
          <w:rFonts w:ascii="Arial" w:cs="Arial" w:eastAsia="Arial" w:hAnsi="Arial"/>
          <w:sz w:val="17"/>
          <w:szCs w:val="17"/>
          <w:b w:val="1"/>
          <w:bCs w:val="1"/>
          <w:i w:val="1"/>
          <w:iCs w:val="1"/>
          <w:color w:val="auto"/>
        </w:rPr>
        <w:t>Executive Compensation.</w:t>
      </w:r>
    </w:p>
    <w:p>
      <w:pPr>
        <w:spacing w:after="0" w:line="116" w:lineRule="exact"/>
        <w:rPr>
          <w:sz w:val="20"/>
          <w:szCs w:val="20"/>
          <w:color w:val="auto"/>
        </w:rPr>
      </w:pPr>
    </w:p>
    <w:p>
      <w:pPr>
        <w:ind w:right="240"/>
        <w:spacing w:after="0" w:line="253" w:lineRule="auto"/>
        <w:rPr>
          <w:sz w:val="20"/>
          <w:szCs w:val="20"/>
          <w:color w:val="auto"/>
        </w:rPr>
      </w:pPr>
      <w:r>
        <w:rPr>
          <w:rFonts w:ascii="Arial" w:cs="Arial" w:eastAsia="Arial" w:hAnsi="Arial"/>
          <w:sz w:val="20"/>
          <w:szCs w:val="20"/>
          <w:color w:val="auto"/>
        </w:rPr>
        <w:t>The information required to be furnished pursuant to Items 402 and 407 of Regulation S-K will appear under the captions “COMPENSATION DISCUSSION AND ANALYSIS,” “EXECUTIVE COMPENSATION,” “DIRECTOR COMPENSATION,” “NOMINATION, COMPENSATION AND GOVERNANCE COMMITTEE INTERLOCKS AND INSIDER PARTICIPATION,” and “NOMINATION, COMPENSATION AND GOVERNANCE COMMITTEE REPORT” in the 2018 Proxy Statement. Such information is incorporated herein by reference.</w:t>
      </w:r>
    </w:p>
    <w:p>
      <w:pPr>
        <w:spacing w:after="0" w:line="282" w:lineRule="exact"/>
        <w:rPr>
          <w:sz w:val="20"/>
          <w:szCs w:val="20"/>
          <w:color w:val="auto"/>
        </w:rPr>
      </w:pPr>
    </w:p>
    <w:p>
      <w:pPr>
        <w:spacing w:after="0"/>
        <w:tabs>
          <w:tab w:leader="none" w:pos="1160" w:val="left"/>
        </w:tabs>
        <w:rPr>
          <w:sz w:val="20"/>
          <w:szCs w:val="20"/>
          <w:color w:val="auto"/>
        </w:rPr>
      </w:pPr>
      <w:r>
        <w:rPr>
          <w:rFonts w:ascii="Arial" w:cs="Arial" w:eastAsia="Arial" w:hAnsi="Arial"/>
          <w:sz w:val="20"/>
          <w:szCs w:val="20"/>
          <w:b w:val="1"/>
          <w:bCs w:val="1"/>
          <w:color w:val="auto"/>
        </w:rPr>
        <w:t>Item 12.</w:t>
      </w:r>
      <w:r>
        <w:rPr>
          <w:sz w:val="20"/>
          <w:szCs w:val="20"/>
          <w:color w:val="auto"/>
        </w:rPr>
        <w:tab/>
      </w:r>
      <w:r>
        <w:rPr>
          <w:rFonts w:ascii="Arial" w:cs="Arial" w:eastAsia="Arial" w:hAnsi="Arial"/>
          <w:sz w:val="17"/>
          <w:szCs w:val="17"/>
          <w:b w:val="1"/>
          <w:bCs w:val="1"/>
          <w:i w:val="1"/>
          <w:iCs w:val="1"/>
          <w:color w:val="auto"/>
        </w:rPr>
        <w:t>Security Ownership of Certain Beneficial Owners and Management and Related Stockholder Matters.</w:t>
      </w:r>
    </w:p>
    <w:p>
      <w:pPr>
        <w:spacing w:after="0" w:line="116" w:lineRule="exact"/>
        <w:rPr>
          <w:sz w:val="20"/>
          <w:szCs w:val="20"/>
          <w:color w:val="auto"/>
        </w:rPr>
      </w:pPr>
    </w:p>
    <w:p>
      <w:pPr>
        <w:ind w:right="480"/>
        <w:spacing w:after="0" w:line="256" w:lineRule="auto"/>
        <w:rPr>
          <w:sz w:val="20"/>
          <w:szCs w:val="20"/>
          <w:color w:val="auto"/>
        </w:rPr>
      </w:pPr>
      <w:r>
        <w:rPr>
          <w:rFonts w:ascii="Arial" w:cs="Arial" w:eastAsia="Arial" w:hAnsi="Arial"/>
          <w:sz w:val="20"/>
          <w:szCs w:val="20"/>
          <w:color w:val="auto"/>
        </w:rPr>
        <w:t>The information required to be furnished pursuant to Item 403 of Regulation S-K will appear under the caption “STOCK OWNERSHIP INFORMATION” in the 2018 Proxy Statement. Such information is incorporated herein by reference.</w:t>
      </w:r>
    </w:p>
    <w:p>
      <w:pPr>
        <w:ind w:right="160" w:firstLine="598"/>
        <w:spacing w:after="0" w:line="251" w:lineRule="auto"/>
        <w:rPr>
          <w:sz w:val="20"/>
          <w:szCs w:val="20"/>
          <w:color w:val="auto"/>
        </w:rPr>
      </w:pPr>
      <w:r>
        <w:rPr>
          <w:rFonts w:ascii="Arial" w:cs="Arial" w:eastAsia="Arial" w:hAnsi="Arial"/>
          <w:sz w:val="20"/>
          <w:szCs w:val="20"/>
          <w:color w:val="auto"/>
        </w:rPr>
        <w:t>The information required to be furnished pursuant to Item 201(d) concerning equity compensation plans is presented under the caption “Market for Registrant’s Common Equity, Related Stockholder Matters and Issuer Purchases of Equity Securities” contained in Part II, Item 5 of this Annual Report on Form 10-K.</w:t>
      </w:r>
    </w:p>
    <w:p>
      <w:pPr>
        <w:spacing w:after="0" w:line="2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Item 13. </w:t>
      </w:r>
      <w:r>
        <w:rPr>
          <w:rFonts w:ascii="Arial" w:cs="Arial" w:eastAsia="Arial" w:hAnsi="Arial"/>
          <w:sz w:val="20"/>
          <w:szCs w:val="20"/>
          <w:b w:val="1"/>
          <w:bCs w:val="1"/>
          <w:i w:val="1"/>
          <w:iCs w:val="1"/>
          <w:color w:val="auto"/>
        </w:rPr>
        <w:t>Certain Relationships and Related Transactions, and Director Independence.</w:t>
      </w:r>
    </w:p>
    <w:p>
      <w:pPr>
        <w:spacing w:after="0" w:line="116" w:lineRule="exact"/>
        <w:rPr>
          <w:sz w:val="20"/>
          <w:szCs w:val="20"/>
          <w:color w:val="auto"/>
        </w:rPr>
      </w:pPr>
    </w:p>
    <w:p>
      <w:pPr>
        <w:ind w:right="40"/>
        <w:spacing w:after="0" w:line="261" w:lineRule="auto"/>
        <w:rPr>
          <w:sz w:val="20"/>
          <w:szCs w:val="20"/>
          <w:color w:val="auto"/>
        </w:rPr>
      </w:pPr>
      <w:r>
        <w:rPr>
          <w:rFonts w:ascii="Arial" w:cs="Arial" w:eastAsia="Arial" w:hAnsi="Arial"/>
          <w:sz w:val="20"/>
          <w:szCs w:val="20"/>
          <w:color w:val="auto"/>
        </w:rPr>
        <w:t>The information required to be furnished pursuant to Items 404 and 407 of Regulation S-K will appear under the caption “TRANSACTIONS WITH DIRECTORS AND EXECUTIVE OFFICERS” and “CORPORATE GOVERNANCE OF M&amp;T BANK CORPORATION” in the 2018 Proxy Statement. Such information is incorporated herein by reference.</w:t>
      </w:r>
    </w:p>
    <w:p>
      <w:pPr>
        <w:spacing w:after="0" w:line="271" w:lineRule="exact"/>
        <w:rPr>
          <w:sz w:val="20"/>
          <w:szCs w:val="20"/>
          <w:color w:val="auto"/>
        </w:rPr>
      </w:pPr>
    </w:p>
    <w:p>
      <w:pPr>
        <w:spacing w:after="0"/>
        <w:tabs>
          <w:tab w:leader="none" w:pos="1160" w:val="left"/>
        </w:tabs>
        <w:rPr>
          <w:sz w:val="20"/>
          <w:szCs w:val="20"/>
          <w:color w:val="auto"/>
        </w:rPr>
      </w:pPr>
      <w:r>
        <w:rPr>
          <w:rFonts w:ascii="Arial" w:cs="Arial" w:eastAsia="Arial" w:hAnsi="Arial"/>
          <w:sz w:val="20"/>
          <w:szCs w:val="20"/>
          <w:b w:val="1"/>
          <w:bCs w:val="1"/>
          <w:color w:val="auto"/>
        </w:rPr>
        <w:t>Item 14.</w:t>
      </w:r>
      <w:r>
        <w:rPr>
          <w:sz w:val="20"/>
          <w:szCs w:val="20"/>
          <w:color w:val="auto"/>
        </w:rPr>
        <w:tab/>
      </w:r>
      <w:r>
        <w:rPr>
          <w:rFonts w:ascii="Arial" w:cs="Arial" w:eastAsia="Arial" w:hAnsi="Arial"/>
          <w:sz w:val="17"/>
          <w:szCs w:val="17"/>
          <w:b w:val="1"/>
          <w:bCs w:val="1"/>
          <w:i w:val="1"/>
          <w:iCs w:val="1"/>
          <w:color w:val="auto"/>
        </w:rPr>
        <w:t>Principal Accountant Fees and Services.</w:t>
      </w:r>
    </w:p>
    <w:p>
      <w:pPr>
        <w:spacing w:after="0" w:line="116" w:lineRule="exact"/>
        <w:rPr>
          <w:sz w:val="20"/>
          <w:szCs w:val="20"/>
          <w:color w:val="auto"/>
        </w:rPr>
      </w:pPr>
    </w:p>
    <w:p>
      <w:pPr>
        <w:ind w:right="200"/>
        <w:spacing w:after="0" w:line="256" w:lineRule="auto"/>
        <w:rPr>
          <w:sz w:val="20"/>
          <w:szCs w:val="20"/>
          <w:color w:val="auto"/>
        </w:rPr>
      </w:pPr>
      <w:r>
        <w:rPr>
          <w:rFonts w:ascii="Arial" w:cs="Arial" w:eastAsia="Arial" w:hAnsi="Arial"/>
          <w:sz w:val="20"/>
          <w:szCs w:val="20"/>
          <w:color w:val="auto"/>
        </w:rPr>
        <w:t>The information required to be furnished by Item 9 of Schedule 14A will appear under the caption “PROPOSAL TO RATIFY THE APPOINTMENT OF PRICEWATERHOUSECOOPERS LLP AS THE INDEPENDENT REGISTERED PUBLIC ACCOUNTING FIRM OF M&amp;T BANK CORPORATION FOR THE YEAR ENDING DECEMBER 31, 2018” in the 2018 Proxy Statement. Such information is incorporated herein by reference.</w:t>
      </w:r>
    </w:p>
    <w:p>
      <w:pPr>
        <w:spacing w:after="0" w:line="276"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PART IV</w:t>
      </w:r>
    </w:p>
    <w:p>
      <w:pPr>
        <w:spacing w:after="0" w:line="217" w:lineRule="exact"/>
        <w:rPr>
          <w:sz w:val="20"/>
          <w:szCs w:val="20"/>
          <w:color w:val="auto"/>
        </w:rPr>
      </w:pPr>
    </w:p>
    <w:p>
      <w:pPr>
        <w:spacing w:after="0"/>
        <w:tabs>
          <w:tab w:leader="none" w:pos="1160" w:val="left"/>
        </w:tabs>
        <w:rPr>
          <w:sz w:val="20"/>
          <w:szCs w:val="20"/>
          <w:color w:val="auto"/>
        </w:rPr>
      </w:pPr>
      <w:r>
        <w:rPr>
          <w:rFonts w:ascii="Arial" w:cs="Arial" w:eastAsia="Arial" w:hAnsi="Arial"/>
          <w:sz w:val="20"/>
          <w:szCs w:val="20"/>
          <w:b w:val="1"/>
          <w:bCs w:val="1"/>
          <w:color w:val="auto"/>
        </w:rPr>
        <w:t>Item 15.</w:t>
      </w:r>
      <w:r>
        <w:rPr>
          <w:sz w:val="20"/>
          <w:szCs w:val="20"/>
          <w:color w:val="auto"/>
        </w:rPr>
        <w:tab/>
      </w:r>
      <w:r>
        <w:rPr>
          <w:rFonts w:ascii="Arial" w:cs="Arial" w:eastAsia="Arial" w:hAnsi="Arial"/>
          <w:sz w:val="17"/>
          <w:szCs w:val="17"/>
          <w:b w:val="1"/>
          <w:bCs w:val="1"/>
          <w:i w:val="1"/>
          <w:iCs w:val="1"/>
          <w:color w:val="auto"/>
        </w:rPr>
        <w:t>Exhibits and Financial Statement Schedules.</w:t>
      </w:r>
    </w:p>
    <w:p>
      <w:pPr>
        <w:spacing w:after="0" w:line="116" w:lineRule="exact"/>
        <w:rPr>
          <w:sz w:val="20"/>
          <w:szCs w:val="20"/>
          <w:color w:val="auto"/>
        </w:rPr>
      </w:pPr>
    </w:p>
    <w:p>
      <w:pPr>
        <w:ind w:right="120" w:firstLine="603"/>
        <w:spacing w:after="0" w:line="253" w:lineRule="auto"/>
        <w:tabs>
          <w:tab w:leader="none" w:pos="872" w:val="left"/>
        </w:tabs>
        <w:numPr>
          <w:ilvl w:val="0"/>
          <w:numId w:val="62"/>
        </w:numPr>
        <w:rPr>
          <w:rFonts w:ascii="Arial" w:cs="Arial" w:eastAsia="Arial" w:hAnsi="Arial"/>
          <w:sz w:val="20"/>
          <w:szCs w:val="20"/>
          <w:color w:val="auto"/>
        </w:rPr>
      </w:pPr>
      <w:r>
        <w:rPr>
          <w:rFonts w:ascii="Arial" w:cs="Arial" w:eastAsia="Arial" w:hAnsi="Arial"/>
          <w:sz w:val="20"/>
          <w:szCs w:val="20"/>
          <w:color w:val="auto"/>
        </w:rPr>
        <w:t>Financial statements and financial statement schedules filed as part of this Annual Report on Form 10-K. See Part II, Item 8. “Financial Statements and Supplementary Data.” Financial statement schedules are not required or are inapplicable, and therefore have been omitted.</w:t>
      </w:r>
    </w:p>
    <w:p>
      <w:pPr>
        <w:ind w:right="800" w:firstLine="603"/>
        <w:spacing w:after="0" w:line="256" w:lineRule="auto"/>
        <w:tabs>
          <w:tab w:leader="none" w:pos="883" w:val="left"/>
        </w:tabs>
        <w:numPr>
          <w:ilvl w:val="0"/>
          <w:numId w:val="62"/>
        </w:numPr>
        <w:rPr>
          <w:rFonts w:ascii="Arial" w:cs="Arial" w:eastAsia="Arial" w:hAnsi="Arial"/>
          <w:sz w:val="20"/>
          <w:szCs w:val="20"/>
          <w:color w:val="auto"/>
        </w:rPr>
      </w:pPr>
      <w:r>
        <w:rPr>
          <w:rFonts w:ascii="Arial" w:cs="Arial" w:eastAsia="Arial" w:hAnsi="Arial"/>
          <w:sz w:val="20"/>
          <w:szCs w:val="20"/>
          <w:color w:val="auto"/>
        </w:rPr>
        <w:t>Exhibits required by Item 601 of Regulation S-K. The exhibits listed have been previously filed, are filed herewith or are incorporated herein by reference to other filings.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00" w:type="dxa"/>
            <w:vAlign w:val="bottom"/>
          </w:tcPr>
          <w:p>
            <w:pPr>
              <w:jc w:val="right"/>
              <w:ind w:right="919"/>
              <w:spacing w:after="0"/>
              <w:rPr>
                <w:sz w:val="20"/>
                <w:szCs w:val="20"/>
                <w:color w:val="auto"/>
              </w:rPr>
            </w:pPr>
            <w:r>
              <w:rPr>
                <w:rFonts w:ascii="Arial" w:cs="Arial" w:eastAsia="Arial" w:hAnsi="Arial"/>
                <w:sz w:val="20"/>
                <w:szCs w:val="20"/>
                <w:color w:val="auto"/>
              </w:rPr>
              <w:t>3.1</w:t>
            </w:r>
          </w:p>
        </w:tc>
        <w:tc>
          <w:tcPr>
            <w:tcW w:w="10040" w:type="dxa"/>
            <w:vAlign w:val="bottom"/>
            <w:gridSpan w:val="3"/>
          </w:tcPr>
          <w:p>
            <w:pPr>
              <w:spacing w:after="0"/>
              <w:rPr>
                <w:rFonts w:ascii="Arial" w:cs="Arial" w:eastAsia="Arial" w:hAnsi="Arial"/>
                <w:sz w:val="20"/>
                <w:szCs w:val="20"/>
                <w:color w:val="0000EE"/>
                <w:w w:val="95"/>
              </w:rPr>
            </w:pPr>
            <w:hyperlink r:id="rId259">
              <w:r>
                <w:rPr>
                  <w:rFonts w:ascii="Arial" w:cs="Arial" w:eastAsia="Arial" w:hAnsi="Arial"/>
                  <w:sz w:val="20"/>
                  <w:szCs w:val="20"/>
                  <w:color w:val="0000EE"/>
                  <w:w w:val="95"/>
                </w:rPr>
                <w:t>Restated Certificate of Incorporation of M&amp;T Bank Corporation dated November 18, 2010. Incorporated by reference to</w:t>
              </w:r>
            </w:hyperlink>
          </w:p>
        </w:tc>
      </w:tr>
      <w:tr>
        <w:trPr>
          <w:trHeight w:val="217"/>
        </w:trPr>
        <w:tc>
          <w:tcPr>
            <w:tcW w:w="1400" w:type="dxa"/>
            <w:vAlign w:val="bottom"/>
          </w:tcPr>
          <w:p>
            <w:pPr>
              <w:spacing w:after="0"/>
              <w:rPr>
                <w:sz w:val="18"/>
                <w:szCs w:val="18"/>
                <w:color w:val="auto"/>
              </w:rPr>
            </w:pPr>
          </w:p>
        </w:tc>
        <w:tc>
          <w:tcPr>
            <w:tcW w:w="9700" w:type="dxa"/>
            <w:vAlign w:val="bottom"/>
            <w:tcBorders>
              <w:top w:val="single" w:sz="8" w:color="0000EE"/>
            </w:tcBorders>
            <w:gridSpan w:val="2"/>
          </w:tcPr>
          <w:p>
            <w:pPr>
              <w:spacing w:after="0" w:line="216" w:lineRule="exact"/>
              <w:rPr>
                <w:rFonts w:ascii="Arial" w:cs="Arial" w:eastAsia="Arial" w:hAnsi="Arial"/>
                <w:sz w:val="20"/>
                <w:szCs w:val="20"/>
                <w:color w:val="0000EE"/>
              </w:rPr>
            </w:pPr>
            <w:hyperlink r:id="rId259">
              <w:r>
                <w:rPr>
                  <w:rFonts w:ascii="Arial" w:cs="Arial" w:eastAsia="Arial" w:hAnsi="Arial"/>
                  <w:sz w:val="20"/>
                  <w:szCs w:val="20"/>
                  <w:color w:val="0000EE"/>
                </w:rPr>
                <w:t>Exhibit 3.1 to the Form 8-K dated November 19, 2010 (File No. 1-9861).</w:t>
              </w:r>
            </w:hyperlink>
          </w:p>
        </w:tc>
        <w:tc>
          <w:tcPr>
            <w:tcW w:w="340" w:type="dxa"/>
            <w:vAlign w:val="bottom"/>
          </w:tcPr>
          <w:p>
            <w:pPr>
              <w:spacing w:after="0"/>
              <w:rPr>
                <w:sz w:val="18"/>
                <w:szCs w:val="18"/>
                <w:color w:val="auto"/>
              </w:rPr>
            </w:pPr>
          </w:p>
        </w:tc>
      </w:tr>
      <w:tr>
        <w:trPr>
          <w:trHeight w:val="439"/>
        </w:trPr>
        <w:tc>
          <w:tcPr>
            <w:tcW w:w="1400" w:type="dxa"/>
            <w:vAlign w:val="bottom"/>
          </w:tcPr>
          <w:p>
            <w:pPr>
              <w:spacing w:after="0"/>
              <w:rPr>
                <w:sz w:val="24"/>
                <w:szCs w:val="24"/>
                <w:color w:val="auto"/>
              </w:rPr>
            </w:pPr>
          </w:p>
        </w:tc>
        <w:tc>
          <w:tcPr>
            <w:tcW w:w="5900" w:type="dxa"/>
            <w:vAlign w:val="bottom"/>
            <w:tcBorders>
              <w:top w:val="single" w:sz="8" w:color="0000EE"/>
            </w:tcBorders>
          </w:tcPr>
          <w:p>
            <w:pPr>
              <w:jc w:val="right"/>
              <w:ind w:right="1364"/>
              <w:spacing w:after="0"/>
              <w:rPr>
                <w:sz w:val="20"/>
                <w:szCs w:val="20"/>
                <w:color w:val="auto"/>
              </w:rPr>
            </w:pPr>
            <w:r>
              <w:rPr>
                <w:rFonts w:ascii="Arial" w:cs="Arial" w:eastAsia="Arial" w:hAnsi="Arial"/>
                <w:sz w:val="18"/>
                <w:szCs w:val="18"/>
                <w:color w:val="auto"/>
              </w:rPr>
              <w:t>191</w:t>
            </w:r>
          </w:p>
        </w:tc>
        <w:tc>
          <w:tcPr>
            <w:tcW w:w="38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12"/>
        </w:trPr>
        <w:tc>
          <w:tcPr>
            <w:tcW w:w="1400" w:type="dxa"/>
            <w:vAlign w:val="bottom"/>
            <w:tcBorders>
              <w:bottom w:val="single" w:sz="8" w:color="9A9A9A"/>
            </w:tcBorders>
          </w:tcPr>
          <w:p>
            <w:pPr>
              <w:spacing w:after="0"/>
              <w:rPr>
                <w:sz w:val="9"/>
                <w:szCs w:val="9"/>
                <w:color w:val="auto"/>
              </w:rPr>
            </w:pPr>
          </w:p>
        </w:tc>
        <w:tc>
          <w:tcPr>
            <w:tcW w:w="5900" w:type="dxa"/>
            <w:vAlign w:val="bottom"/>
            <w:tcBorders>
              <w:bottom w:val="single" w:sz="8" w:color="9A9A9A"/>
            </w:tcBorders>
          </w:tcPr>
          <w:p>
            <w:pPr>
              <w:spacing w:after="0"/>
              <w:rPr>
                <w:sz w:val="9"/>
                <w:szCs w:val="9"/>
                <w:color w:val="auto"/>
              </w:rPr>
            </w:pPr>
          </w:p>
        </w:tc>
        <w:tc>
          <w:tcPr>
            <w:tcW w:w="38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647" w:right="219" w:bottom="1440" w:gutter="0" w:footer="0" w:header="0"/>
        </w:sectPr>
      </w:pPr>
    </w:p>
    <w:bookmarkStart w:id="191" w:name="page192"/>
    <w:bookmarkEnd w:id="191"/>
    <w:tbl>
      <w:tblPr>
        <w:tblLayout w:type="fixed"/>
        <w:tblInd w:w="0" w:type="dxa"/>
        <w:tblCellMar>
          <w:top w:w="0" w:type="dxa"/>
          <w:left w:w="0" w:type="dxa"/>
          <w:bottom w:w="0" w:type="dxa"/>
          <w:right w:w="0" w:type="dxa"/>
        </w:tblCellMar>
      </w:tblPr>
      <w:tr>
        <w:trPr>
          <w:trHeight w:val="230"/>
        </w:trPr>
        <w:tc>
          <w:tcPr>
            <w:tcW w:w="1400" w:type="dxa"/>
            <w:vAlign w:val="bottom"/>
          </w:tcPr>
          <w:p>
            <w:pPr>
              <w:ind w:left="140"/>
              <w:spacing w:after="0"/>
              <w:rPr>
                <w:sz w:val="20"/>
                <w:szCs w:val="20"/>
                <w:color w:val="auto"/>
              </w:rPr>
            </w:pPr>
            <w:r>
              <w:rPr>
                <w:rFonts w:ascii="Arial" w:cs="Arial" w:eastAsia="Arial" w:hAnsi="Arial"/>
                <w:sz w:val="20"/>
                <w:szCs w:val="20"/>
                <w:color w:val="auto"/>
              </w:rPr>
              <w:t>3.2</w:t>
            </w:r>
          </w:p>
        </w:tc>
        <w:tc>
          <w:tcPr>
            <w:tcW w:w="10040" w:type="dxa"/>
            <w:vAlign w:val="bottom"/>
            <w:gridSpan w:val="27"/>
          </w:tcPr>
          <w:p>
            <w:pPr>
              <w:spacing w:after="0"/>
              <w:rPr>
                <w:rFonts w:ascii="Arial" w:cs="Arial" w:eastAsia="Arial" w:hAnsi="Arial"/>
                <w:sz w:val="20"/>
                <w:szCs w:val="20"/>
                <w:color w:val="0000EE"/>
                <w:w w:val="95"/>
              </w:rPr>
            </w:pPr>
            <w:hyperlink r:id="rId262">
              <w:r>
                <w:rPr>
                  <w:rFonts w:ascii="Arial" w:cs="Arial" w:eastAsia="Arial" w:hAnsi="Arial"/>
                  <w:sz w:val="20"/>
                  <w:szCs w:val="20"/>
                  <w:color w:val="0000EE"/>
                  <w:w w:val="95"/>
                </w:rPr>
                <w:t>Amended and Restated Bylaws of M&amp;T Bank Corporation, effective April 18, 2017. Incorporated by reference to Exhibit</w:t>
              </w:r>
            </w:hyperlink>
          </w:p>
        </w:tc>
      </w:tr>
      <w:tr>
        <w:trPr>
          <w:trHeight w:val="217"/>
        </w:trPr>
        <w:tc>
          <w:tcPr>
            <w:tcW w:w="1400" w:type="dxa"/>
            <w:vAlign w:val="bottom"/>
          </w:tcPr>
          <w:p>
            <w:pPr>
              <w:spacing w:after="0"/>
              <w:rPr>
                <w:sz w:val="18"/>
                <w:szCs w:val="18"/>
                <w:color w:val="auto"/>
              </w:rPr>
            </w:pPr>
          </w:p>
        </w:tc>
        <w:tc>
          <w:tcPr>
            <w:tcW w:w="6280" w:type="dxa"/>
            <w:vAlign w:val="bottom"/>
            <w:tcBorders>
              <w:top w:val="single" w:sz="8" w:color="0000EE"/>
              <w:bottom w:val="single" w:sz="8" w:color="0000EE"/>
            </w:tcBorders>
            <w:gridSpan w:val="10"/>
          </w:tcPr>
          <w:p>
            <w:pPr>
              <w:spacing w:after="0" w:line="216" w:lineRule="exact"/>
              <w:rPr>
                <w:rFonts w:ascii="Arial" w:cs="Arial" w:eastAsia="Arial" w:hAnsi="Arial"/>
                <w:sz w:val="20"/>
                <w:szCs w:val="20"/>
                <w:color w:val="0000EE"/>
                <w:w w:val="91"/>
              </w:rPr>
            </w:pPr>
            <w:hyperlink r:id="rId262">
              <w:r>
                <w:rPr>
                  <w:rFonts w:ascii="Arial" w:cs="Arial" w:eastAsia="Arial" w:hAnsi="Arial"/>
                  <w:sz w:val="20"/>
                  <w:szCs w:val="20"/>
                  <w:color w:val="0000EE"/>
                  <w:w w:val="91"/>
                </w:rPr>
                <w:t>3.</w:t>
              </w:r>
              <w:r>
                <w:rPr>
                  <w:rFonts w:ascii="Arial" w:cs="Arial" w:eastAsia="Arial" w:hAnsi="Arial"/>
                  <w:sz w:val="20"/>
                  <w:szCs w:val="20"/>
                  <w:u w:val="single" w:color="auto"/>
                  <w:color w:val="0000EE"/>
                  <w:w w:val="91"/>
                </w:rPr>
                <w:t>2</w:t>
              </w:r>
              <w:r>
                <w:rPr>
                  <w:rFonts w:ascii="Arial" w:cs="Arial" w:eastAsia="Arial" w:hAnsi="Arial"/>
                  <w:sz w:val="20"/>
                  <w:szCs w:val="20"/>
                  <w:color w:val="0000EE"/>
                  <w:w w:val="91"/>
                </w:rPr>
                <w:t xml:space="preserve"> to the Form 10-Q for the quarter ended March 31, 2017 (File No. 1-9861).</w:t>
              </w:r>
            </w:hyperlink>
          </w:p>
        </w:tc>
        <w:tc>
          <w:tcPr>
            <w:tcW w:w="3520" w:type="dxa"/>
            <w:vAlign w:val="bottom"/>
            <w:tcBorders>
              <w:top w:val="single" w:sz="8" w:color="0000EE"/>
            </w:tcBorders>
            <w:gridSpan w:val="10"/>
          </w:tcPr>
          <w:p>
            <w:pPr>
              <w:spacing w:after="0"/>
              <w:rPr>
                <w:sz w:val="18"/>
                <w:szCs w:val="18"/>
                <w:color w:val="auto"/>
              </w:rPr>
            </w:pPr>
          </w:p>
        </w:tc>
        <w:tc>
          <w:tcPr>
            <w:tcW w:w="240" w:type="dxa"/>
            <w:vAlign w:val="bottom"/>
            <w:gridSpan w:val="7"/>
          </w:tcPr>
          <w:p>
            <w:pPr>
              <w:spacing w:after="0"/>
              <w:rPr>
                <w:sz w:val="18"/>
                <w:szCs w:val="18"/>
                <w:color w:val="auto"/>
              </w:rPr>
            </w:pPr>
          </w:p>
        </w:tc>
      </w:tr>
      <w:tr>
        <w:trPr>
          <w:trHeight w:val="217"/>
        </w:trPr>
        <w:tc>
          <w:tcPr>
            <w:tcW w:w="1400" w:type="dxa"/>
            <w:vAlign w:val="bottom"/>
          </w:tcPr>
          <w:p>
            <w:pPr>
              <w:ind w:left="140"/>
              <w:spacing w:after="0" w:line="216" w:lineRule="exact"/>
              <w:rPr>
                <w:sz w:val="20"/>
                <w:szCs w:val="20"/>
                <w:color w:val="auto"/>
              </w:rPr>
            </w:pPr>
            <w:r>
              <w:rPr>
                <w:rFonts w:ascii="Arial" w:cs="Arial" w:eastAsia="Arial" w:hAnsi="Arial"/>
                <w:sz w:val="20"/>
                <w:szCs w:val="20"/>
                <w:color w:val="auto"/>
              </w:rPr>
              <w:t>3.3</w:t>
            </w:r>
          </w:p>
        </w:tc>
        <w:tc>
          <w:tcPr>
            <w:tcW w:w="9500" w:type="dxa"/>
            <w:vAlign w:val="bottom"/>
            <w:tcBorders>
              <w:bottom w:val="single" w:sz="8" w:color="0000EE"/>
            </w:tcBorders>
            <w:gridSpan w:val="16"/>
          </w:tcPr>
          <w:p>
            <w:pPr>
              <w:spacing w:after="0" w:line="216" w:lineRule="exact"/>
              <w:rPr>
                <w:rFonts w:ascii="Arial" w:cs="Arial" w:eastAsia="Arial" w:hAnsi="Arial"/>
                <w:sz w:val="20"/>
                <w:szCs w:val="20"/>
                <w:color w:val="0000EE"/>
                <w:w w:val="92"/>
              </w:rPr>
            </w:pPr>
            <w:hyperlink r:id="rId263">
              <w:r>
                <w:rPr>
                  <w:rFonts w:ascii="Arial" w:cs="Arial" w:eastAsia="Arial" w:hAnsi="Arial"/>
                  <w:sz w:val="20"/>
                  <w:szCs w:val="20"/>
                  <w:color w:val="0000EE"/>
                  <w:w w:val="92"/>
                </w:rPr>
                <w:t>Certificate of Amendment to Certificate of Incorporation with respect to Perpetual 6.875% Non-Cumulative Preferred</w:t>
              </w:r>
            </w:hyperlink>
          </w:p>
        </w:tc>
        <w:tc>
          <w:tcPr>
            <w:tcW w:w="540" w:type="dxa"/>
            <w:vAlign w:val="bottom"/>
            <w:gridSpan w:val="11"/>
          </w:tcPr>
          <w:p>
            <w:pPr>
              <w:spacing w:after="0"/>
              <w:rPr>
                <w:sz w:val="18"/>
                <w:szCs w:val="18"/>
                <w:color w:val="auto"/>
              </w:rPr>
            </w:pPr>
          </w:p>
        </w:tc>
      </w:tr>
      <w:tr>
        <w:trPr>
          <w:trHeight w:val="217"/>
        </w:trPr>
        <w:tc>
          <w:tcPr>
            <w:tcW w:w="1400" w:type="dxa"/>
            <w:vAlign w:val="bottom"/>
          </w:tcPr>
          <w:p>
            <w:pPr>
              <w:spacing w:after="0"/>
              <w:rPr>
                <w:sz w:val="18"/>
                <w:szCs w:val="18"/>
                <w:color w:val="auto"/>
              </w:rPr>
            </w:pPr>
          </w:p>
        </w:tc>
        <w:tc>
          <w:tcPr>
            <w:tcW w:w="9980" w:type="dxa"/>
            <w:vAlign w:val="bottom"/>
            <w:tcBorders>
              <w:bottom w:val="single" w:sz="8" w:color="0000EE"/>
            </w:tcBorders>
            <w:gridSpan w:val="25"/>
          </w:tcPr>
          <w:p>
            <w:pPr>
              <w:spacing w:after="0" w:line="216" w:lineRule="exact"/>
              <w:rPr>
                <w:rFonts w:ascii="Arial" w:cs="Arial" w:eastAsia="Arial" w:hAnsi="Arial"/>
                <w:sz w:val="20"/>
                <w:szCs w:val="20"/>
                <w:color w:val="0000EE"/>
                <w:w w:val="92"/>
              </w:rPr>
            </w:pPr>
            <w:hyperlink r:id="rId263">
              <w:r>
                <w:rPr>
                  <w:rFonts w:ascii="Arial" w:cs="Arial" w:eastAsia="Arial" w:hAnsi="Arial"/>
                  <w:sz w:val="20"/>
                  <w:szCs w:val="20"/>
                  <w:color w:val="0000EE"/>
                  <w:w w:val="92"/>
                </w:rPr>
                <w:t>Stock, Series D, dated May 26, 2011. Incorporated by reference to Exhibit 3.1 of M&amp;T Bank Corporation’s Form 8-K dated</w:t>
              </w:r>
            </w:hyperlink>
          </w:p>
        </w:tc>
        <w:tc>
          <w:tcPr>
            <w:tcW w:w="60" w:type="dxa"/>
            <w:vAlign w:val="bottom"/>
            <w:gridSpan w:val="2"/>
          </w:tcPr>
          <w:p>
            <w:pPr>
              <w:spacing w:after="0"/>
              <w:rPr>
                <w:sz w:val="18"/>
                <w:szCs w:val="18"/>
                <w:color w:val="auto"/>
              </w:rPr>
            </w:pPr>
          </w:p>
        </w:tc>
      </w:tr>
      <w:tr>
        <w:trPr>
          <w:trHeight w:val="217"/>
        </w:trPr>
        <w:tc>
          <w:tcPr>
            <w:tcW w:w="1400" w:type="dxa"/>
            <w:vAlign w:val="bottom"/>
          </w:tcPr>
          <w:p>
            <w:pPr>
              <w:spacing w:after="0"/>
              <w:rPr>
                <w:sz w:val="18"/>
                <w:szCs w:val="18"/>
                <w:color w:val="auto"/>
              </w:rPr>
            </w:pPr>
          </w:p>
        </w:tc>
        <w:tc>
          <w:tcPr>
            <w:tcW w:w="10040" w:type="dxa"/>
            <w:vAlign w:val="bottom"/>
            <w:gridSpan w:val="27"/>
          </w:tcPr>
          <w:p>
            <w:pPr>
              <w:spacing w:after="0" w:line="216" w:lineRule="exact"/>
              <w:rPr>
                <w:rFonts w:ascii="Arial" w:cs="Arial" w:eastAsia="Arial" w:hAnsi="Arial"/>
                <w:sz w:val="20"/>
                <w:szCs w:val="20"/>
                <w:color w:val="0000EE"/>
              </w:rPr>
            </w:pPr>
            <w:hyperlink r:id="rId263">
              <w:r>
                <w:rPr>
                  <w:rFonts w:ascii="Arial" w:cs="Arial" w:eastAsia="Arial" w:hAnsi="Arial"/>
                  <w:sz w:val="20"/>
                  <w:szCs w:val="20"/>
                  <w:color w:val="0000EE"/>
                </w:rPr>
                <w:t>May 26, 2011 (File No. 1-9861).</w:t>
              </w:r>
            </w:hyperlink>
          </w:p>
        </w:tc>
      </w:tr>
      <w:tr>
        <w:trPr>
          <w:trHeight w:val="20"/>
        </w:trPr>
        <w:tc>
          <w:tcPr>
            <w:tcW w:w="1400" w:type="dxa"/>
            <w:vAlign w:val="bottom"/>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7"/>
        </w:trPr>
        <w:tc>
          <w:tcPr>
            <w:tcW w:w="1400" w:type="dxa"/>
            <w:vAlign w:val="bottom"/>
          </w:tcPr>
          <w:p>
            <w:pPr>
              <w:ind w:left="140"/>
              <w:spacing w:after="0" w:line="216" w:lineRule="exact"/>
              <w:rPr>
                <w:sz w:val="20"/>
                <w:szCs w:val="20"/>
                <w:color w:val="auto"/>
              </w:rPr>
            </w:pPr>
            <w:r>
              <w:rPr>
                <w:rFonts w:ascii="Arial" w:cs="Arial" w:eastAsia="Arial" w:hAnsi="Arial"/>
                <w:sz w:val="20"/>
                <w:szCs w:val="20"/>
                <w:color w:val="auto"/>
              </w:rPr>
              <w:t>3.4</w:t>
            </w:r>
          </w:p>
        </w:tc>
        <w:tc>
          <w:tcPr>
            <w:tcW w:w="10040" w:type="dxa"/>
            <w:vAlign w:val="bottom"/>
            <w:gridSpan w:val="27"/>
          </w:tcPr>
          <w:p>
            <w:pPr>
              <w:spacing w:after="0" w:line="216" w:lineRule="exact"/>
              <w:rPr>
                <w:rFonts w:ascii="Arial" w:cs="Arial" w:eastAsia="Arial" w:hAnsi="Arial"/>
                <w:sz w:val="20"/>
                <w:szCs w:val="20"/>
                <w:color w:val="0000EE"/>
              </w:rPr>
            </w:pPr>
            <w:hyperlink r:id="rId264">
              <w:r>
                <w:rPr>
                  <w:rFonts w:ascii="Arial" w:cs="Arial" w:eastAsia="Arial" w:hAnsi="Arial"/>
                  <w:sz w:val="20"/>
                  <w:szCs w:val="20"/>
                  <w:color w:val="0000EE"/>
                </w:rPr>
                <w:t>Certificate of Amendment to Restated Certificate of Incorporation of M&amp;T Bank Corporation, dated April 19, 2013.</w:t>
              </w:r>
            </w:hyperlink>
          </w:p>
        </w:tc>
      </w:tr>
      <w:tr>
        <w:trPr>
          <w:trHeight w:val="217"/>
        </w:trPr>
        <w:tc>
          <w:tcPr>
            <w:tcW w:w="1400" w:type="dxa"/>
            <w:vAlign w:val="bottom"/>
          </w:tcPr>
          <w:p>
            <w:pPr>
              <w:spacing w:after="0"/>
              <w:rPr>
                <w:sz w:val="18"/>
                <w:szCs w:val="18"/>
                <w:color w:val="auto"/>
              </w:rPr>
            </w:pPr>
          </w:p>
        </w:tc>
        <w:tc>
          <w:tcPr>
            <w:tcW w:w="7820" w:type="dxa"/>
            <w:vAlign w:val="bottom"/>
            <w:tcBorders>
              <w:top w:val="single" w:sz="8" w:color="0000EE"/>
              <w:bottom w:val="single" w:sz="8" w:color="0000EE"/>
            </w:tcBorders>
            <w:gridSpan w:val="11"/>
          </w:tcPr>
          <w:p>
            <w:pPr>
              <w:spacing w:after="0" w:line="216" w:lineRule="exact"/>
              <w:rPr>
                <w:rFonts w:ascii="Arial" w:cs="Arial" w:eastAsia="Arial" w:hAnsi="Arial"/>
                <w:sz w:val="20"/>
                <w:szCs w:val="20"/>
                <w:color w:val="0000EE"/>
                <w:w w:val="92"/>
              </w:rPr>
            </w:pPr>
            <w:hyperlink r:id="rId264">
              <w:r>
                <w:rPr>
                  <w:rFonts w:ascii="Arial" w:cs="Arial" w:eastAsia="Arial" w:hAnsi="Arial"/>
                  <w:sz w:val="20"/>
                  <w:szCs w:val="20"/>
                  <w:color w:val="0000EE"/>
                  <w:w w:val="92"/>
                </w:rPr>
                <w:t>Incorporated by reference to Exhibit 3.1 to the Form 8-K dated April 22, 2013 (File No. 1-9861).</w:t>
              </w:r>
            </w:hyperlink>
          </w:p>
        </w:tc>
        <w:tc>
          <w:tcPr>
            <w:tcW w:w="1540" w:type="dxa"/>
            <w:vAlign w:val="bottom"/>
            <w:tcBorders>
              <w:top w:val="single" w:sz="8" w:color="0000EE"/>
            </w:tcBorders>
            <w:gridSpan w:val="4"/>
          </w:tcPr>
          <w:p>
            <w:pPr>
              <w:spacing w:after="0"/>
              <w:rPr>
                <w:sz w:val="18"/>
                <w:szCs w:val="18"/>
                <w:color w:val="auto"/>
              </w:rPr>
            </w:pPr>
          </w:p>
        </w:tc>
        <w:tc>
          <w:tcPr>
            <w:tcW w:w="680" w:type="dxa"/>
            <w:vAlign w:val="bottom"/>
            <w:gridSpan w:val="12"/>
          </w:tcPr>
          <w:p>
            <w:pPr>
              <w:spacing w:after="0"/>
              <w:rPr>
                <w:sz w:val="18"/>
                <w:szCs w:val="18"/>
                <w:color w:val="auto"/>
              </w:rPr>
            </w:pPr>
          </w:p>
        </w:tc>
      </w:tr>
      <w:tr>
        <w:trPr>
          <w:trHeight w:val="217"/>
        </w:trPr>
        <w:tc>
          <w:tcPr>
            <w:tcW w:w="1400" w:type="dxa"/>
            <w:vAlign w:val="bottom"/>
          </w:tcPr>
          <w:p>
            <w:pPr>
              <w:ind w:left="140"/>
              <w:spacing w:after="0" w:line="216" w:lineRule="exact"/>
              <w:rPr>
                <w:sz w:val="20"/>
                <w:szCs w:val="20"/>
                <w:color w:val="auto"/>
              </w:rPr>
            </w:pPr>
            <w:r>
              <w:rPr>
                <w:rFonts w:ascii="Arial" w:cs="Arial" w:eastAsia="Arial" w:hAnsi="Arial"/>
                <w:sz w:val="20"/>
                <w:szCs w:val="20"/>
                <w:color w:val="auto"/>
              </w:rPr>
              <w:t>3.5</w:t>
            </w:r>
          </w:p>
        </w:tc>
        <w:tc>
          <w:tcPr>
            <w:tcW w:w="9660" w:type="dxa"/>
            <w:vAlign w:val="bottom"/>
            <w:tcBorders>
              <w:bottom w:val="single" w:sz="8" w:color="0000EE"/>
            </w:tcBorders>
            <w:gridSpan w:val="18"/>
          </w:tcPr>
          <w:p>
            <w:pPr>
              <w:spacing w:after="0" w:line="216" w:lineRule="exact"/>
              <w:rPr>
                <w:rFonts w:ascii="Arial" w:cs="Arial" w:eastAsia="Arial" w:hAnsi="Arial"/>
                <w:sz w:val="20"/>
                <w:szCs w:val="20"/>
                <w:color w:val="0000EE"/>
                <w:w w:val="92"/>
              </w:rPr>
            </w:pPr>
            <w:hyperlink r:id="rId265">
              <w:r>
                <w:rPr>
                  <w:rFonts w:ascii="Arial" w:cs="Arial" w:eastAsia="Arial" w:hAnsi="Arial"/>
                  <w:sz w:val="20"/>
                  <w:szCs w:val="20"/>
                  <w:color w:val="0000EE"/>
                  <w:w w:val="92"/>
                </w:rPr>
                <w:t>Certificate of Amendment to Restated Certificate of Incorporation of M&amp;T Bank Corporation, dated February 11, 2014.</w:t>
              </w:r>
            </w:hyperlink>
          </w:p>
        </w:tc>
        <w:tc>
          <w:tcPr>
            <w:tcW w:w="380" w:type="dxa"/>
            <w:vAlign w:val="bottom"/>
            <w:gridSpan w:val="9"/>
          </w:tcPr>
          <w:p>
            <w:pPr>
              <w:spacing w:after="0"/>
              <w:rPr>
                <w:sz w:val="18"/>
                <w:szCs w:val="18"/>
                <w:color w:val="auto"/>
              </w:rPr>
            </w:pPr>
          </w:p>
        </w:tc>
      </w:tr>
      <w:tr>
        <w:trPr>
          <w:trHeight w:val="217"/>
        </w:trPr>
        <w:tc>
          <w:tcPr>
            <w:tcW w:w="1400" w:type="dxa"/>
            <w:vAlign w:val="bottom"/>
          </w:tcPr>
          <w:p>
            <w:pPr>
              <w:spacing w:after="0"/>
              <w:rPr>
                <w:sz w:val="18"/>
                <w:szCs w:val="18"/>
                <w:color w:val="auto"/>
              </w:rPr>
            </w:pPr>
          </w:p>
        </w:tc>
        <w:tc>
          <w:tcPr>
            <w:tcW w:w="10040" w:type="dxa"/>
            <w:vAlign w:val="bottom"/>
            <w:gridSpan w:val="27"/>
          </w:tcPr>
          <w:p>
            <w:pPr>
              <w:spacing w:after="0" w:line="216" w:lineRule="exact"/>
              <w:rPr>
                <w:rFonts w:ascii="Arial" w:cs="Arial" w:eastAsia="Arial" w:hAnsi="Arial"/>
                <w:sz w:val="20"/>
                <w:szCs w:val="20"/>
                <w:color w:val="0000EE"/>
              </w:rPr>
            </w:pPr>
            <w:hyperlink r:id="rId265">
              <w:r>
                <w:rPr>
                  <w:rFonts w:ascii="Arial" w:cs="Arial" w:eastAsia="Arial" w:hAnsi="Arial"/>
                  <w:sz w:val="20"/>
                  <w:szCs w:val="20"/>
                  <w:color w:val="0000EE"/>
                </w:rPr>
                <w:t>Incorporated by reference to Exhibit 3.1 to the Form 8-K dated February 11, 2014 (File No. 1-9861).</w:t>
              </w:r>
            </w:hyperlink>
          </w:p>
        </w:tc>
      </w:tr>
      <w:tr>
        <w:trPr>
          <w:trHeight w:val="20"/>
        </w:trPr>
        <w:tc>
          <w:tcPr>
            <w:tcW w:w="1400" w:type="dxa"/>
            <w:vAlign w:val="bottom"/>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1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7"/>
        </w:trPr>
        <w:tc>
          <w:tcPr>
            <w:tcW w:w="1400" w:type="dxa"/>
            <w:vAlign w:val="bottom"/>
          </w:tcPr>
          <w:p>
            <w:pPr>
              <w:ind w:left="140"/>
              <w:spacing w:after="0" w:line="216" w:lineRule="exact"/>
              <w:rPr>
                <w:sz w:val="20"/>
                <w:szCs w:val="20"/>
                <w:color w:val="auto"/>
              </w:rPr>
            </w:pPr>
            <w:r>
              <w:rPr>
                <w:rFonts w:ascii="Arial" w:cs="Arial" w:eastAsia="Arial" w:hAnsi="Arial"/>
                <w:sz w:val="20"/>
                <w:szCs w:val="20"/>
                <w:color w:val="auto"/>
              </w:rPr>
              <w:t>3.6</w:t>
            </w:r>
          </w:p>
        </w:tc>
        <w:tc>
          <w:tcPr>
            <w:tcW w:w="9940" w:type="dxa"/>
            <w:vAlign w:val="bottom"/>
            <w:tcBorders>
              <w:bottom w:val="single" w:sz="8" w:color="0000EE"/>
            </w:tcBorders>
            <w:gridSpan w:val="23"/>
          </w:tcPr>
          <w:p>
            <w:pPr>
              <w:spacing w:after="0" w:line="216" w:lineRule="exact"/>
              <w:rPr>
                <w:rFonts w:ascii="Arial" w:cs="Arial" w:eastAsia="Arial" w:hAnsi="Arial"/>
                <w:sz w:val="20"/>
                <w:szCs w:val="20"/>
                <w:color w:val="0000EE"/>
                <w:w w:val="93"/>
              </w:rPr>
            </w:pPr>
            <w:hyperlink r:id="rId266">
              <w:r>
                <w:rPr>
                  <w:rFonts w:ascii="Arial" w:cs="Arial" w:eastAsia="Arial" w:hAnsi="Arial"/>
                  <w:sz w:val="20"/>
                  <w:szCs w:val="20"/>
                  <w:color w:val="0000EE"/>
                  <w:w w:val="93"/>
                </w:rPr>
                <w:t>Certificate of Amendment to Certificate of Incorporation with respect to Perpetual Fixed-to-Floating Rate Non-Cumulative</w:t>
              </w:r>
            </w:hyperlink>
          </w:p>
        </w:tc>
        <w:tc>
          <w:tcPr>
            <w:tcW w:w="100" w:type="dxa"/>
            <w:vAlign w:val="bottom"/>
            <w:gridSpan w:val="4"/>
          </w:tcPr>
          <w:p>
            <w:pPr>
              <w:spacing w:after="0"/>
              <w:rPr>
                <w:sz w:val="18"/>
                <w:szCs w:val="18"/>
                <w:color w:val="auto"/>
              </w:rPr>
            </w:pPr>
          </w:p>
        </w:tc>
      </w:tr>
      <w:tr>
        <w:trPr>
          <w:trHeight w:val="217"/>
        </w:trPr>
        <w:tc>
          <w:tcPr>
            <w:tcW w:w="1400" w:type="dxa"/>
            <w:vAlign w:val="bottom"/>
          </w:tcPr>
          <w:p>
            <w:pPr>
              <w:spacing w:after="0"/>
              <w:rPr>
                <w:sz w:val="18"/>
                <w:szCs w:val="18"/>
                <w:color w:val="auto"/>
              </w:rPr>
            </w:pPr>
          </w:p>
        </w:tc>
        <w:tc>
          <w:tcPr>
            <w:tcW w:w="9680" w:type="dxa"/>
            <w:vAlign w:val="bottom"/>
            <w:tcBorders>
              <w:bottom w:val="single" w:sz="8" w:color="0000EE"/>
            </w:tcBorders>
            <w:gridSpan w:val="19"/>
          </w:tcPr>
          <w:p>
            <w:pPr>
              <w:spacing w:after="0" w:line="216" w:lineRule="exact"/>
              <w:rPr>
                <w:rFonts w:ascii="Arial" w:cs="Arial" w:eastAsia="Arial" w:hAnsi="Arial"/>
                <w:sz w:val="20"/>
                <w:szCs w:val="20"/>
                <w:color w:val="0000EE"/>
                <w:w w:val="91"/>
              </w:rPr>
            </w:pPr>
            <w:hyperlink r:id="rId266">
              <w:r>
                <w:rPr>
                  <w:rFonts w:ascii="Arial" w:cs="Arial" w:eastAsia="Arial" w:hAnsi="Arial"/>
                  <w:sz w:val="20"/>
                  <w:szCs w:val="20"/>
                  <w:color w:val="0000EE"/>
                  <w:w w:val="91"/>
                </w:rPr>
                <w:t>Preferred Stock, Series F, dated October 27, 2016. Incorporated by reference to Exhibit 3.1 of M&amp;T Bank Corporation’s</w:t>
              </w:r>
            </w:hyperlink>
          </w:p>
        </w:tc>
        <w:tc>
          <w:tcPr>
            <w:tcW w:w="360" w:type="dxa"/>
            <w:vAlign w:val="bottom"/>
            <w:gridSpan w:val="8"/>
          </w:tcPr>
          <w:p>
            <w:pPr>
              <w:spacing w:after="0"/>
              <w:rPr>
                <w:sz w:val="18"/>
                <w:szCs w:val="18"/>
                <w:color w:val="auto"/>
              </w:rPr>
            </w:pPr>
          </w:p>
        </w:tc>
      </w:tr>
      <w:tr>
        <w:trPr>
          <w:trHeight w:val="217"/>
        </w:trPr>
        <w:tc>
          <w:tcPr>
            <w:tcW w:w="1400" w:type="dxa"/>
            <w:vAlign w:val="bottom"/>
          </w:tcPr>
          <w:p>
            <w:pPr>
              <w:spacing w:after="0"/>
              <w:rPr>
                <w:sz w:val="18"/>
                <w:szCs w:val="18"/>
                <w:color w:val="auto"/>
              </w:rPr>
            </w:pPr>
          </w:p>
        </w:tc>
        <w:tc>
          <w:tcPr>
            <w:tcW w:w="10040" w:type="dxa"/>
            <w:vAlign w:val="bottom"/>
            <w:gridSpan w:val="27"/>
          </w:tcPr>
          <w:p>
            <w:pPr>
              <w:spacing w:after="0" w:line="216" w:lineRule="exact"/>
              <w:rPr>
                <w:rFonts w:ascii="Arial" w:cs="Arial" w:eastAsia="Arial" w:hAnsi="Arial"/>
                <w:sz w:val="20"/>
                <w:szCs w:val="20"/>
                <w:color w:val="0000EE"/>
              </w:rPr>
            </w:pPr>
            <w:hyperlink r:id="rId266">
              <w:r>
                <w:rPr>
                  <w:rFonts w:ascii="Arial" w:cs="Arial" w:eastAsia="Arial" w:hAnsi="Arial"/>
                  <w:sz w:val="20"/>
                  <w:szCs w:val="20"/>
                  <w:color w:val="0000EE"/>
                </w:rPr>
                <w:t>Form 8-K dated October 28, 2016 (File No. 1-9861).</w:t>
              </w:r>
            </w:hyperlink>
          </w:p>
        </w:tc>
      </w:tr>
      <w:tr>
        <w:trPr>
          <w:trHeight w:val="20"/>
        </w:trPr>
        <w:tc>
          <w:tcPr>
            <w:tcW w:w="1400" w:type="dxa"/>
            <w:vAlign w:val="bottom"/>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42"/>
        </w:trPr>
        <w:tc>
          <w:tcPr>
            <w:tcW w:w="1400" w:type="dxa"/>
            <w:vAlign w:val="bottom"/>
          </w:tcPr>
          <w:p>
            <w:pPr>
              <w:ind w:left="140"/>
              <w:spacing w:after="0"/>
              <w:rPr>
                <w:sz w:val="20"/>
                <w:szCs w:val="20"/>
                <w:color w:val="auto"/>
              </w:rPr>
            </w:pPr>
            <w:r>
              <w:rPr>
                <w:rFonts w:ascii="Arial" w:cs="Arial" w:eastAsia="Arial" w:hAnsi="Arial"/>
                <w:sz w:val="20"/>
                <w:szCs w:val="20"/>
                <w:color w:val="auto"/>
              </w:rPr>
              <w:t>4.1</w:t>
            </w:r>
          </w:p>
        </w:tc>
        <w:tc>
          <w:tcPr>
            <w:tcW w:w="10040" w:type="dxa"/>
            <w:vAlign w:val="bottom"/>
            <w:gridSpan w:val="27"/>
          </w:tcPr>
          <w:p>
            <w:pPr>
              <w:spacing w:after="0"/>
              <w:rPr>
                <w:sz w:val="20"/>
                <w:szCs w:val="20"/>
                <w:color w:val="auto"/>
              </w:rPr>
            </w:pPr>
            <w:r>
              <w:rPr>
                <w:rFonts w:ascii="Arial" w:cs="Arial" w:eastAsia="Arial" w:hAnsi="Arial"/>
                <w:sz w:val="20"/>
                <w:szCs w:val="20"/>
                <w:color w:val="auto"/>
                <w:w w:val="99"/>
              </w:rPr>
              <w:t>There are no instruments with respect to long-term debt of M&amp;T Bank Corporation and its subsidiaries that involve</w:t>
            </w:r>
          </w:p>
        </w:tc>
      </w:tr>
      <w:tr>
        <w:trPr>
          <w:trHeight w:val="237"/>
        </w:trPr>
        <w:tc>
          <w:tcPr>
            <w:tcW w:w="1400" w:type="dxa"/>
            <w:vAlign w:val="bottom"/>
          </w:tcPr>
          <w:p>
            <w:pPr>
              <w:spacing w:after="0"/>
              <w:rPr>
                <w:sz w:val="20"/>
                <w:szCs w:val="20"/>
                <w:color w:val="auto"/>
              </w:rPr>
            </w:pPr>
          </w:p>
        </w:tc>
        <w:tc>
          <w:tcPr>
            <w:tcW w:w="10040" w:type="dxa"/>
            <w:vAlign w:val="bottom"/>
            <w:gridSpan w:val="27"/>
          </w:tcPr>
          <w:p>
            <w:pPr>
              <w:spacing w:after="0"/>
              <w:rPr>
                <w:sz w:val="20"/>
                <w:szCs w:val="20"/>
                <w:color w:val="auto"/>
              </w:rPr>
            </w:pPr>
            <w:r>
              <w:rPr>
                <w:rFonts w:ascii="Arial" w:cs="Arial" w:eastAsia="Arial" w:hAnsi="Arial"/>
                <w:sz w:val="20"/>
                <w:szCs w:val="20"/>
                <w:color w:val="auto"/>
                <w:w w:val="92"/>
              </w:rPr>
              <w:t>securities authorized under the instrument in an amount exceeding 10 percent of the total assets of M&amp;T Bank Corporation</w:t>
            </w:r>
          </w:p>
        </w:tc>
      </w:tr>
      <w:tr>
        <w:trPr>
          <w:trHeight w:val="237"/>
        </w:trPr>
        <w:tc>
          <w:tcPr>
            <w:tcW w:w="1400" w:type="dxa"/>
            <w:vAlign w:val="bottom"/>
          </w:tcPr>
          <w:p>
            <w:pPr>
              <w:spacing w:after="0"/>
              <w:rPr>
                <w:sz w:val="20"/>
                <w:szCs w:val="20"/>
                <w:color w:val="auto"/>
              </w:rPr>
            </w:pPr>
          </w:p>
        </w:tc>
        <w:tc>
          <w:tcPr>
            <w:tcW w:w="10040" w:type="dxa"/>
            <w:vAlign w:val="bottom"/>
            <w:gridSpan w:val="27"/>
          </w:tcPr>
          <w:p>
            <w:pPr>
              <w:spacing w:after="0"/>
              <w:rPr>
                <w:sz w:val="20"/>
                <w:szCs w:val="20"/>
                <w:color w:val="auto"/>
              </w:rPr>
            </w:pPr>
            <w:r>
              <w:rPr>
                <w:rFonts w:ascii="Arial" w:cs="Arial" w:eastAsia="Arial" w:hAnsi="Arial"/>
                <w:sz w:val="20"/>
                <w:szCs w:val="20"/>
                <w:color w:val="auto"/>
                <w:w w:val="93"/>
              </w:rPr>
              <w:t>and its subsidiaries on a consolidated basis. M&amp;T Bank Corporation agrees to provide the SEC with a copy of instruments</w:t>
            </w:r>
          </w:p>
        </w:tc>
      </w:tr>
      <w:tr>
        <w:trPr>
          <w:trHeight w:val="237"/>
        </w:trPr>
        <w:tc>
          <w:tcPr>
            <w:tcW w:w="1400" w:type="dxa"/>
            <w:vAlign w:val="bottom"/>
          </w:tcPr>
          <w:p>
            <w:pPr>
              <w:spacing w:after="0"/>
              <w:rPr>
                <w:sz w:val="20"/>
                <w:szCs w:val="20"/>
                <w:color w:val="auto"/>
              </w:rPr>
            </w:pPr>
          </w:p>
        </w:tc>
        <w:tc>
          <w:tcPr>
            <w:tcW w:w="10040" w:type="dxa"/>
            <w:vAlign w:val="bottom"/>
            <w:gridSpan w:val="27"/>
          </w:tcPr>
          <w:p>
            <w:pPr>
              <w:spacing w:after="0"/>
              <w:rPr>
                <w:sz w:val="20"/>
                <w:szCs w:val="20"/>
                <w:color w:val="auto"/>
              </w:rPr>
            </w:pPr>
            <w:r>
              <w:rPr>
                <w:rFonts w:ascii="Arial" w:cs="Arial" w:eastAsia="Arial" w:hAnsi="Arial"/>
                <w:sz w:val="20"/>
                <w:szCs w:val="20"/>
                <w:color w:val="auto"/>
              </w:rPr>
              <w:t>defining the rights of holders of long-term debt of M&amp;T Bank Corporation and its subsidiaries on request.</w:t>
            </w:r>
          </w:p>
        </w:tc>
      </w:tr>
      <w:tr>
        <w:trPr>
          <w:trHeight w:val="211"/>
        </w:trPr>
        <w:tc>
          <w:tcPr>
            <w:tcW w:w="1400" w:type="dxa"/>
            <w:vAlign w:val="bottom"/>
          </w:tcPr>
          <w:p>
            <w:pPr>
              <w:ind w:left="140"/>
              <w:spacing w:after="0" w:line="210" w:lineRule="exact"/>
              <w:rPr>
                <w:sz w:val="20"/>
                <w:szCs w:val="20"/>
                <w:color w:val="auto"/>
              </w:rPr>
            </w:pPr>
            <w:r>
              <w:rPr>
                <w:rFonts w:ascii="Arial" w:cs="Arial" w:eastAsia="Arial" w:hAnsi="Arial"/>
                <w:sz w:val="20"/>
                <w:szCs w:val="20"/>
                <w:color w:val="auto"/>
              </w:rPr>
              <w:t>4.2</w:t>
            </w:r>
          </w:p>
        </w:tc>
        <w:tc>
          <w:tcPr>
            <w:tcW w:w="9340" w:type="dxa"/>
            <w:vAlign w:val="bottom"/>
            <w:tcBorders>
              <w:bottom w:val="single" w:sz="8" w:color="0000EE"/>
            </w:tcBorders>
            <w:gridSpan w:val="14"/>
          </w:tcPr>
          <w:p>
            <w:pPr>
              <w:spacing w:after="0" w:line="210" w:lineRule="exact"/>
              <w:rPr>
                <w:rFonts w:ascii="Arial" w:cs="Arial" w:eastAsia="Arial" w:hAnsi="Arial"/>
                <w:sz w:val="20"/>
                <w:szCs w:val="20"/>
                <w:color w:val="0000EE"/>
                <w:w w:val="91"/>
              </w:rPr>
            </w:pPr>
            <w:hyperlink r:id="rId267">
              <w:r>
                <w:rPr>
                  <w:rFonts w:ascii="Arial" w:cs="Arial" w:eastAsia="Arial" w:hAnsi="Arial"/>
                  <w:sz w:val="20"/>
                  <w:szCs w:val="20"/>
                  <w:color w:val="0000EE"/>
                  <w:w w:val="91"/>
                </w:rPr>
                <w:t>Warrant to purchase shares of M&amp;T Bank Corporation Common Stock dated as of March 26, 2010. Incorporated by</w:t>
              </w:r>
            </w:hyperlink>
          </w:p>
        </w:tc>
        <w:tc>
          <w:tcPr>
            <w:tcW w:w="700" w:type="dxa"/>
            <w:vAlign w:val="bottom"/>
            <w:gridSpan w:val="13"/>
          </w:tcPr>
          <w:p>
            <w:pPr>
              <w:spacing w:after="0"/>
              <w:rPr>
                <w:sz w:val="18"/>
                <w:szCs w:val="18"/>
                <w:color w:val="auto"/>
              </w:rPr>
            </w:pPr>
          </w:p>
        </w:tc>
      </w:tr>
      <w:tr>
        <w:trPr>
          <w:trHeight w:val="217"/>
        </w:trPr>
        <w:tc>
          <w:tcPr>
            <w:tcW w:w="1400" w:type="dxa"/>
            <w:vAlign w:val="bottom"/>
          </w:tcPr>
          <w:p>
            <w:pPr>
              <w:spacing w:after="0"/>
              <w:rPr>
                <w:sz w:val="18"/>
                <w:szCs w:val="18"/>
                <w:color w:val="auto"/>
              </w:rPr>
            </w:pPr>
          </w:p>
        </w:tc>
        <w:tc>
          <w:tcPr>
            <w:tcW w:w="10040" w:type="dxa"/>
            <w:vAlign w:val="bottom"/>
            <w:gridSpan w:val="27"/>
          </w:tcPr>
          <w:p>
            <w:pPr>
              <w:spacing w:after="0" w:line="216" w:lineRule="exact"/>
              <w:rPr>
                <w:rFonts w:ascii="Arial" w:cs="Arial" w:eastAsia="Arial" w:hAnsi="Arial"/>
                <w:sz w:val="20"/>
                <w:szCs w:val="20"/>
                <w:color w:val="0000EE"/>
              </w:rPr>
            </w:pPr>
            <w:hyperlink r:id="rId267">
              <w:r>
                <w:rPr>
                  <w:rFonts w:ascii="Arial" w:cs="Arial" w:eastAsia="Arial" w:hAnsi="Arial"/>
                  <w:sz w:val="20"/>
                  <w:szCs w:val="20"/>
                  <w:color w:val="0000EE"/>
                </w:rPr>
                <w:t>reference to Exhibit 4.2 to the Form 10-K for the year ended December 31, 2012 (File No. 1-9861).</w:t>
              </w:r>
            </w:hyperlink>
          </w:p>
        </w:tc>
      </w:tr>
      <w:tr>
        <w:trPr>
          <w:trHeight w:val="20"/>
        </w:trPr>
        <w:tc>
          <w:tcPr>
            <w:tcW w:w="1400" w:type="dxa"/>
            <w:vAlign w:val="bottom"/>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140" w:type="dxa"/>
            <w:vAlign w:val="bottom"/>
            <w:gridSpan w:val="3"/>
            <w:shd w:val="clear" w:color="auto" w:fill="0000EE"/>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7"/>
        </w:trPr>
        <w:tc>
          <w:tcPr>
            <w:tcW w:w="1400" w:type="dxa"/>
            <w:vAlign w:val="bottom"/>
          </w:tcPr>
          <w:p>
            <w:pPr>
              <w:ind w:left="140"/>
              <w:spacing w:after="0" w:line="216" w:lineRule="exact"/>
              <w:rPr>
                <w:sz w:val="20"/>
                <w:szCs w:val="20"/>
                <w:color w:val="auto"/>
              </w:rPr>
            </w:pPr>
            <w:r>
              <w:rPr>
                <w:rFonts w:ascii="Arial" w:cs="Arial" w:eastAsia="Arial" w:hAnsi="Arial"/>
                <w:sz w:val="20"/>
                <w:szCs w:val="20"/>
                <w:color w:val="auto"/>
              </w:rPr>
              <w:t>4.3</w:t>
            </w:r>
          </w:p>
        </w:tc>
        <w:tc>
          <w:tcPr>
            <w:tcW w:w="10040" w:type="dxa"/>
            <w:vAlign w:val="bottom"/>
            <w:gridSpan w:val="27"/>
          </w:tcPr>
          <w:p>
            <w:pPr>
              <w:spacing w:after="0" w:line="216" w:lineRule="exact"/>
              <w:rPr>
                <w:rFonts w:ascii="Arial" w:cs="Arial" w:eastAsia="Arial" w:hAnsi="Arial"/>
                <w:sz w:val="20"/>
                <w:szCs w:val="20"/>
                <w:color w:val="0000EE"/>
                <w:w w:val="91"/>
              </w:rPr>
            </w:pPr>
            <w:hyperlink r:id="rId268">
              <w:r>
                <w:rPr>
                  <w:rFonts w:ascii="Arial" w:cs="Arial" w:eastAsia="Arial" w:hAnsi="Arial"/>
                  <w:sz w:val="20"/>
                  <w:szCs w:val="20"/>
                  <w:color w:val="0000EE"/>
                  <w:w w:val="91"/>
                </w:rPr>
                <w:t>Warrant to purchase shares of M&amp;T Bank Corporation Common Stock effective May 16, 2011. Incorporated by reference to</w:t>
              </w:r>
            </w:hyperlink>
          </w:p>
        </w:tc>
      </w:tr>
      <w:tr>
        <w:trPr>
          <w:trHeight w:val="217"/>
        </w:trPr>
        <w:tc>
          <w:tcPr>
            <w:tcW w:w="1400" w:type="dxa"/>
            <w:vAlign w:val="bottom"/>
          </w:tcPr>
          <w:p>
            <w:pPr>
              <w:spacing w:after="0"/>
              <w:rPr>
                <w:sz w:val="18"/>
                <w:szCs w:val="18"/>
                <w:color w:val="auto"/>
              </w:rPr>
            </w:pPr>
          </w:p>
        </w:tc>
        <w:tc>
          <w:tcPr>
            <w:tcW w:w="10000" w:type="dxa"/>
            <w:vAlign w:val="bottom"/>
            <w:tcBorders>
              <w:top w:val="single" w:sz="8" w:color="0000EE"/>
            </w:tcBorders>
            <w:gridSpan w:val="26"/>
          </w:tcPr>
          <w:p>
            <w:pPr>
              <w:spacing w:after="0" w:line="216" w:lineRule="exact"/>
              <w:rPr>
                <w:rFonts w:ascii="Arial" w:cs="Arial" w:eastAsia="Arial" w:hAnsi="Arial"/>
                <w:sz w:val="20"/>
                <w:szCs w:val="20"/>
                <w:color w:val="0000EE"/>
              </w:rPr>
            </w:pPr>
            <w:hyperlink r:id="rId268">
              <w:r>
                <w:rPr>
                  <w:rFonts w:ascii="Arial" w:cs="Arial" w:eastAsia="Arial" w:hAnsi="Arial"/>
                  <w:sz w:val="20"/>
                  <w:szCs w:val="20"/>
                  <w:color w:val="0000EE"/>
                </w:rPr>
                <w:t>Exhibit 4.1 to the Form 8-K dated May 19, 2011 (File No. 1-9861).</w:t>
              </w:r>
            </w:hyperlink>
          </w:p>
        </w:tc>
        <w:tc>
          <w:tcPr>
            <w:tcW w:w="40" w:type="dxa"/>
            <w:vAlign w:val="bottom"/>
          </w:tcPr>
          <w:p>
            <w:pPr>
              <w:spacing w:after="0"/>
              <w:rPr>
                <w:sz w:val="18"/>
                <w:szCs w:val="18"/>
                <w:color w:val="auto"/>
              </w:rPr>
            </w:pPr>
          </w:p>
        </w:tc>
      </w:tr>
      <w:tr>
        <w:trPr>
          <w:trHeight w:val="20"/>
        </w:trPr>
        <w:tc>
          <w:tcPr>
            <w:tcW w:w="1400" w:type="dxa"/>
            <w:vAlign w:val="bottom"/>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40" w:type="dxa"/>
            <w:vAlign w:val="bottom"/>
            <w:gridSpan w:val="7"/>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217"/>
        </w:trPr>
        <w:tc>
          <w:tcPr>
            <w:tcW w:w="1400" w:type="dxa"/>
            <w:vAlign w:val="bottom"/>
          </w:tcPr>
          <w:p>
            <w:pPr>
              <w:ind w:left="140"/>
              <w:spacing w:after="0" w:line="216" w:lineRule="exact"/>
              <w:rPr>
                <w:sz w:val="20"/>
                <w:szCs w:val="20"/>
                <w:color w:val="auto"/>
              </w:rPr>
            </w:pPr>
            <w:r>
              <w:rPr>
                <w:rFonts w:ascii="Arial" w:cs="Arial" w:eastAsia="Arial" w:hAnsi="Arial"/>
                <w:sz w:val="20"/>
                <w:szCs w:val="20"/>
                <w:color w:val="auto"/>
              </w:rPr>
              <w:t>4.4</w:t>
            </w:r>
          </w:p>
        </w:tc>
        <w:tc>
          <w:tcPr>
            <w:tcW w:w="10040" w:type="dxa"/>
            <w:vAlign w:val="bottom"/>
            <w:gridSpan w:val="27"/>
          </w:tcPr>
          <w:p>
            <w:pPr>
              <w:spacing w:after="0" w:line="216" w:lineRule="exact"/>
              <w:rPr>
                <w:rFonts w:ascii="Arial" w:cs="Arial" w:eastAsia="Arial" w:hAnsi="Arial"/>
                <w:sz w:val="20"/>
                <w:szCs w:val="20"/>
                <w:color w:val="0000EE"/>
                <w:w w:val="95"/>
              </w:rPr>
            </w:pPr>
            <w:hyperlink r:id="rId269">
              <w:r>
                <w:rPr>
                  <w:rFonts w:ascii="Arial" w:cs="Arial" w:eastAsia="Arial" w:hAnsi="Arial"/>
                  <w:sz w:val="20"/>
                  <w:szCs w:val="20"/>
                  <w:color w:val="0000EE"/>
                  <w:w w:val="95"/>
                </w:rPr>
                <w:t>Warrant Agreement (including Form of Warrant), dated as of December 11, 2012, between M&amp;T Bank Corporation and</w:t>
              </w:r>
            </w:hyperlink>
          </w:p>
        </w:tc>
      </w:tr>
      <w:tr>
        <w:trPr>
          <w:trHeight w:val="20"/>
        </w:trPr>
        <w:tc>
          <w:tcPr>
            <w:tcW w:w="1400" w:type="dxa"/>
            <w:vAlign w:val="bottom"/>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40" w:type="dxa"/>
            <w:vAlign w:val="bottom"/>
            <w:gridSpan w:val="7"/>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217"/>
        </w:trPr>
        <w:tc>
          <w:tcPr>
            <w:tcW w:w="1400" w:type="dxa"/>
            <w:vAlign w:val="bottom"/>
          </w:tcPr>
          <w:p>
            <w:pPr>
              <w:spacing w:after="0"/>
              <w:rPr>
                <w:sz w:val="18"/>
                <w:szCs w:val="18"/>
                <w:color w:val="auto"/>
              </w:rPr>
            </w:pPr>
          </w:p>
        </w:tc>
        <w:tc>
          <w:tcPr>
            <w:tcW w:w="10040" w:type="dxa"/>
            <w:vAlign w:val="bottom"/>
            <w:gridSpan w:val="27"/>
          </w:tcPr>
          <w:p>
            <w:pPr>
              <w:spacing w:after="0" w:line="216" w:lineRule="exact"/>
              <w:rPr>
                <w:rFonts w:ascii="Arial" w:cs="Arial" w:eastAsia="Arial" w:hAnsi="Arial"/>
                <w:sz w:val="20"/>
                <w:szCs w:val="20"/>
                <w:color w:val="0000EE"/>
                <w:w w:val="93"/>
              </w:rPr>
            </w:pPr>
            <w:hyperlink r:id="rId269">
              <w:r>
                <w:rPr>
                  <w:rFonts w:ascii="Arial" w:cs="Arial" w:eastAsia="Arial" w:hAnsi="Arial"/>
                  <w:sz w:val="20"/>
                  <w:szCs w:val="20"/>
                  <w:color w:val="0000EE"/>
                  <w:w w:val="93"/>
                </w:rPr>
                <w:t>Registrar and Transfer Company. Incorporated by reference to Exhibit 4.1 to the Form 8-A 12B dated December 12, 2012</w:t>
              </w:r>
            </w:hyperlink>
          </w:p>
        </w:tc>
      </w:tr>
      <w:tr>
        <w:trPr>
          <w:trHeight w:val="217"/>
        </w:trPr>
        <w:tc>
          <w:tcPr>
            <w:tcW w:w="1400" w:type="dxa"/>
            <w:vAlign w:val="bottom"/>
          </w:tcPr>
          <w:p>
            <w:pPr>
              <w:spacing w:after="0"/>
              <w:rPr>
                <w:sz w:val="18"/>
                <w:szCs w:val="18"/>
                <w:color w:val="auto"/>
              </w:rPr>
            </w:pPr>
          </w:p>
        </w:tc>
        <w:tc>
          <w:tcPr>
            <w:tcW w:w="1460" w:type="dxa"/>
            <w:vAlign w:val="bottom"/>
            <w:tcBorders>
              <w:top w:val="single" w:sz="8" w:color="0000EE"/>
              <w:bottom w:val="single" w:sz="8" w:color="0000EE"/>
            </w:tcBorders>
          </w:tcPr>
          <w:p>
            <w:pPr>
              <w:spacing w:after="0" w:line="216" w:lineRule="exact"/>
              <w:rPr>
                <w:rFonts w:ascii="Arial" w:cs="Arial" w:eastAsia="Arial" w:hAnsi="Arial"/>
                <w:sz w:val="20"/>
                <w:szCs w:val="20"/>
                <w:color w:val="0000EE"/>
                <w:w w:val="92"/>
              </w:rPr>
            </w:pPr>
            <w:hyperlink r:id="rId269">
              <w:r>
                <w:rPr>
                  <w:rFonts w:ascii="Arial" w:cs="Arial" w:eastAsia="Arial" w:hAnsi="Arial"/>
                  <w:sz w:val="20"/>
                  <w:szCs w:val="20"/>
                  <w:color w:val="0000EE"/>
                  <w:w w:val="92"/>
                </w:rPr>
                <w:t>(File No. 1-9861).</w:t>
              </w:r>
            </w:hyperlink>
          </w:p>
        </w:tc>
        <w:tc>
          <w:tcPr>
            <w:tcW w:w="8340" w:type="dxa"/>
            <w:vAlign w:val="bottom"/>
            <w:tcBorders>
              <w:top w:val="single" w:sz="8" w:color="0000EE"/>
            </w:tcBorders>
            <w:gridSpan w:val="19"/>
          </w:tcPr>
          <w:p>
            <w:pPr>
              <w:spacing w:after="0"/>
              <w:rPr>
                <w:sz w:val="18"/>
                <w:szCs w:val="18"/>
                <w:color w:val="auto"/>
              </w:rPr>
            </w:pPr>
          </w:p>
        </w:tc>
        <w:tc>
          <w:tcPr>
            <w:tcW w:w="240" w:type="dxa"/>
            <w:vAlign w:val="bottom"/>
            <w:gridSpan w:val="7"/>
          </w:tcPr>
          <w:p>
            <w:pPr>
              <w:spacing w:after="0"/>
              <w:rPr>
                <w:sz w:val="18"/>
                <w:szCs w:val="18"/>
                <w:color w:val="auto"/>
              </w:rPr>
            </w:pPr>
          </w:p>
        </w:tc>
      </w:tr>
      <w:tr>
        <w:trPr>
          <w:trHeight w:val="217"/>
        </w:trPr>
        <w:tc>
          <w:tcPr>
            <w:tcW w:w="1400" w:type="dxa"/>
            <w:vAlign w:val="bottom"/>
          </w:tcPr>
          <w:p>
            <w:pPr>
              <w:ind w:left="140"/>
              <w:spacing w:after="0" w:line="216" w:lineRule="exact"/>
              <w:rPr>
                <w:sz w:val="20"/>
                <w:szCs w:val="20"/>
                <w:color w:val="auto"/>
              </w:rPr>
            </w:pPr>
            <w:r>
              <w:rPr>
                <w:rFonts w:ascii="Arial" w:cs="Arial" w:eastAsia="Arial" w:hAnsi="Arial"/>
                <w:sz w:val="20"/>
                <w:szCs w:val="20"/>
                <w:color w:val="auto"/>
              </w:rPr>
              <w:t>10.1</w:t>
            </w:r>
          </w:p>
        </w:tc>
        <w:tc>
          <w:tcPr>
            <w:tcW w:w="9900" w:type="dxa"/>
            <w:vAlign w:val="bottom"/>
            <w:tcBorders>
              <w:bottom w:val="single" w:sz="8" w:color="0000EE"/>
            </w:tcBorders>
            <w:gridSpan w:val="21"/>
          </w:tcPr>
          <w:p>
            <w:pPr>
              <w:spacing w:after="0" w:line="216" w:lineRule="exact"/>
              <w:rPr>
                <w:rFonts w:ascii="Arial" w:cs="Arial" w:eastAsia="Arial" w:hAnsi="Arial"/>
                <w:sz w:val="20"/>
                <w:szCs w:val="20"/>
                <w:color w:val="0000EE"/>
                <w:w w:val="93"/>
              </w:rPr>
            </w:pPr>
            <w:hyperlink r:id="rId270">
              <w:r>
                <w:rPr>
                  <w:rFonts w:ascii="Arial" w:cs="Arial" w:eastAsia="Arial" w:hAnsi="Arial"/>
                  <w:sz w:val="20"/>
                  <w:szCs w:val="20"/>
                  <w:color w:val="0000EE"/>
                  <w:w w:val="93"/>
                </w:rPr>
                <w:t>M&amp;T Bank Corporation Annual Executive Incentive Plan. Incorporated by reference to Exhibit No. 10.3 to the Form 10-Q</w:t>
              </w:r>
            </w:hyperlink>
          </w:p>
        </w:tc>
        <w:tc>
          <w:tcPr>
            <w:tcW w:w="140" w:type="dxa"/>
            <w:vAlign w:val="bottom"/>
            <w:gridSpan w:val="6"/>
          </w:tcPr>
          <w:p>
            <w:pPr>
              <w:spacing w:after="0"/>
              <w:rPr>
                <w:sz w:val="18"/>
                <w:szCs w:val="18"/>
                <w:color w:val="auto"/>
              </w:rPr>
            </w:pPr>
          </w:p>
        </w:tc>
      </w:tr>
      <w:tr>
        <w:trPr>
          <w:trHeight w:val="217"/>
        </w:trPr>
        <w:tc>
          <w:tcPr>
            <w:tcW w:w="1400" w:type="dxa"/>
            <w:vAlign w:val="bottom"/>
          </w:tcPr>
          <w:p>
            <w:pPr>
              <w:spacing w:after="0"/>
              <w:rPr>
                <w:sz w:val="18"/>
                <w:szCs w:val="18"/>
                <w:color w:val="auto"/>
              </w:rPr>
            </w:pPr>
          </w:p>
        </w:tc>
        <w:tc>
          <w:tcPr>
            <w:tcW w:w="10040" w:type="dxa"/>
            <w:vAlign w:val="bottom"/>
            <w:gridSpan w:val="27"/>
          </w:tcPr>
          <w:p>
            <w:pPr>
              <w:spacing w:after="0" w:line="216" w:lineRule="exact"/>
              <w:rPr>
                <w:rFonts w:ascii="Arial" w:cs="Arial" w:eastAsia="Arial" w:hAnsi="Arial"/>
                <w:sz w:val="20"/>
                <w:szCs w:val="20"/>
                <w:color w:val="0000EE"/>
              </w:rPr>
            </w:pPr>
            <w:hyperlink r:id="rId270">
              <w:r>
                <w:rPr>
                  <w:rFonts w:ascii="Arial" w:cs="Arial" w:eastAsia="Arial" w:hAnsi="Arial"/>
                  <w:sz w:val="20"/>
                  <w:szCs w:val="20"/>
                  <w:color w:val="0000EE"/>
                </w:rPr>
                <w:t>for the quarter ended June 30, 1998 (File No. 1-9861).*</w:t>
              </w:r>
            </w:hyperlink>
          </w:p>
        </w:tc>
      </w:tr>
      <w:tr>
        <w:trPr>
          <w:trHeight w:val="20"/>
        </w:trPr>
        <w:tc>
          <w:tcPr>
            <w:tcW w:w="1400" w:type="dxa"/>
            <w:vAlign w:val="bottom"/>
          </w:tcPr>
          <w:p>
            <w:pPr>
              <w:spacing w:after="0" w:line="20" w:lineRule="exact"/>
              <w:rPr>
                <w:sz w:val="1"/>
                <w:szCs w:val="1"/>
                <w:color w:val="auto"/>
              </w:rPr>
            </w:pPr>
          </w:p>
        </w:tc>
        <w:tc>
          <w:tcPr>
            <w:tcW w:w="3200" w:type="dxa"/>
            <w:vAlign w:val="bottom"/>
            <w:gridSpan w:val="3"/>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40" w:type="dxa"/>
            <w:vAlign w:val="bottom"/>
            <w:gridSpan w:val="7"/>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217"/>
        </w:trPr>
        <w:tc>
          <w:tcPr>
            <w:tcW w:w="1400" w:type="dxa"/>
            <w:vAlign w:val="bottom"/>
          </w:tcPr>
          <w:p>
            <w:pPr>
              <w:ind w:left="140"/>
              <w:spacing w:after="0" w:line="216" w:lineRule="exact"/>
              <w:rPr>
                <w:sz w:val="20"/>
                <w:szCs w:val="20"/>
                <w:color w:val="auto"/>
              </w:rPr>
            </w:pPr>
            <w:r>
              <w:rPr>
                <w:rFonts w:ascii="Arial" w:cs="Arial" w:eastAsia="Arial" w:hAnsi="Arial"/>
                <w:sz w:val="20"/>
                <w:szCs w:val="20"/>
                <w:color w:val="auto"/>
              </w:rPr>
              <w:t>10.2</w:t>
            </w:r>
          </w:p>
        </w:tc>
        <w:tc>
          <w:tcPr>
            <w:tcW w:w="10040" w:type="dxa"/>
            <w:vAlign w:val="bottom"/>
            <w:gridSpan w:val="27"/>
          </w:tcPr>
          <w:p>
            <w:pPr>
              <w:spacing w:after="0" w:line="216" w:lineRule="exact"/>
              <w:rPr>
                <w:rFonts w:ascii="Arial" w:cs="Arial" w:eastAsia="Arial" w:hAnsi="Arial"/>
                <w:sz w:val="20"/>
                <w:szCs w:val="20"/>
                <w:color w:val="0000EE"/>
                <w:w w:val="91"/>
              </w:rPr>
            </w:pPr>
            <w:hyperlink r:id="rId271">
              <w:r>
                <w:rPr>
                  <w:rFonts w:ascii="Arial" w:cs="Arial" w:eastAsia="Arial" w:hAnsi="Arial"/>
                  <w:sz w:val="20"/>
                  <w:szCs w:val="20"/>
                  <w:color w:val="0000EE"/>
                  <w:w w:val="91"/>
                </w:rPr>
                <w:t>Supplemental Deferred Compensation Agreement between Manufacturers and Traders Trust Company and Brian E. Hickey</w:t>
              </w:r>
            </w:hyperlink>
          </w:p>
        </w:tc>
      </w:tr>
      <w:tr>
        <w:trPr>
          <w:trHeight w:val="217"/>
        </w:trPr>
        <w:tc>
          <w:tcPr>
            <w:tcW w:w="1400" w:type="dxa"/>
            <w:vAlign w:val="bottom"/>
          </w:tcPr>
          <w:p>
            <w:pPr>
              <w:spacing w:after="0"/>
              <w:rPr>
                <w:sz w:val="18"/>
                <w:szCs w:val="18"/>
                <w:color w:val="auto"/>
              </w:rPr>
            </w:pPr>
          </w:p>
        </w:tc>
        <w:tc>
          <w:tcPr>
            <w:tcW w:w="9500" w:type="dxa"/>
            <w:vAlign w:val="bottom"/>
            <w:tcBorders>
              <w:top w:val="single" w:sz="8" w:color="0000EE"/>
              <w:bottom w:val="single" w:sz="8" w:color="0000EE"/>
            </w:tcBorders>
            <w:gridSpan w:val="16"/>
          </w:tcPr>
          <w:p>
            <w:pPr>
              <w:spacing w:after="0" w:line="216" w:lineRule="exact"/>
              <w:rPr>
                <w:rFonts w:ascii="Arial" w:cs="Arial" w:eastAsia="Arial" w:hAnsi="Arial"/>
                <w:sz w:val="20"/>
                <w:szCs w:val="20"/>
                <w:color w:val="0000EE"/>
                <w:w w:val="91"/>
              </w:rPr>
            </w:pPr>
            <w:hyperlink r:id="rId271">
              <w:r>
                <w:rPr>
                  <w:rFonts w:ascii="Arial" w:cs="Arial" w:eastAsia="Arial" w:hAnsi="Arial"/>
                  <w:sz w:val="20"/>
                  <w:szCs w:val="20"/>
                  <w:color w:val="0000EE"/>
                  <w:w w:val="91"/>
                </w:rPr>
                <w:t>dated as of July 21, 1994, as amended. Incorporated by reference to Exhibit 10.2 to the Form 10-K for the year ended</w:t>
              </w:r>
            </w:hyperlink>
          </w:p>
        </w:tc>
        <w:tc>
          <w:tcPr>
            <w:tcW w:w="460" w:type="dxa"/>
            <w:vAlign w:val="bottom"/>
            <w:tcBorders>
              <w:top w:val="single" w:sz="8" w:color="0000EE"/>
            </w:tcBorders>
            <w:gridSpan w:val="8"/>
          </w:tcPr>
          <w:p>
            <w:pPr>
              <w:spacing w:after="0"/>
              <w:rPr>
                <w:sz w:val="18"/>
                <w:szCs w:val="18"/>
                <w:color w:val="auto"/>
              </w:rPr>
            </w:pPr>
          </w:p>
        </w:tc>
        <w:tc>
          <w:tcPr>
            <w:tcW w:w="80" w:type="dxa"/>
            <w:vAlign w:val="bottom"/>
            <w:gridSpan w:val="3"/>
          </w:tcPr>
          <w:p>
            <w:pPr>
              <w:spacing w:after="0"/>
              <w:rPr>
                <w:sz w:val="18"/>
                <w:szCs w:val="18"/>
                <w:color w:val="auto"/>
              </w:rPr>
            </w:pPr>
          </w:p>
        </w:tc>
      </w:tr>
      <w:tr>
        <w:trPr>
          <w:trHeight w:val="217"/>
        </w:trPr>
        <w:tc>
          <w:tcPr>
            <w:tcW w:w="1400" w:type="dxa"/>
            <w:vAlign w:val="bottom"/>
          </w:tcPr>
          <w:p>
            <w:pPr>
              <w:spacing w:after="0"/>
              <w:rPr>
                <w:sz w:val="18"/>
                <w:szCs w:val="18"/>
                <w:color w:val="auto"/>
              </w:rPr>
            </w:pPr>
          </w:p>
        </w:tc>
        <w:tc>
          <w:tcPr>
            <w:tcW w:w="3200" w:type="dxa"/>
            <w:vAlign w:val="bottom"/>
            <w:tcBorders>
              <w:bottom w:val="single" w:sz="8" w:color="0000EE"/>
            </w:tcBorders>
            <w:gridSpan w:val="3"/>
          </w:tcPr>
          <w:p>
            <w:pPr>
              <w:spacing w:after="0" w:line="216" w:lineRule="exact"/>
              <w:rPr>
                <w:rFonts w:ascii="Arial" w:cs="Arial" w:eastAsia="Arial" w:hAnsi="Arial"/>
                <w:sz w:val="20"/>
                <w:szCs w:val="20"/>
                <w:color w:val="0000EE"/>
                <w:w w:val="92"/>
              </w:rPr>
            </w:pPr>
            <w:hyperlink r:id="rId271">
              <w:r>
                <w:rPr>
                  <w:rFonts w:ascii="Arial" w:cs="Arial" w:eastAsia="Arial" w:hAnsi="Arial"/>
                  <w:sz w:val="20"/>
                  <w:szCs w:val="20"/>
                  <w:color w:val="0000EE"/>
                  <w:w w:val="92"/>
                </w:rPr>
                <w:t>December 31, 2016 (File No. 1-9861).*</w:t>
              </w:r>
            </w:hyperlink>
          </w:p>
        </w:tc>
        <w:tc>
          <w:tcPr>
            <w:tcW w:w="6840" w:type="dxa"/>
            <w:vAlign w:val="bottom"/>
            <w:gridSpan w:val="24"/>
          </w:tcPr>
          <w:p>
            <w:pPr>
              <w:spacing w:after="0"/>
              <w:rPr>
                <w:sz w:val="18"/>
                <w:szCs w:val="18"/>
                <w:color w:val="auto"/>
              </w:rPr>
            </w:pPr>
          </w:p>
        </w:tc>
      </w:tr>
      <w:tr>
        <w:trPr>
          <w:trHeight w:val="217"/>
        </w:trPr>
        <w:tc>
          <w:tcPr>
            <w:tcW w:w="1400" w:type="dxa"/>
            <w:vAlign w:val="bottom"/>
          </w:tcPr>
          <w:p>
            <w:pPr>
              <w:ind w:left="140"/>
              <w:spacing w:after="0" w:line="216" w:lineRule="exact"/>
              <w:rPr>
                <w:sz w:val="20"/>
                <w:szCs w:val="20"/>
                <w:color w:val="auto"/>
              </w:rPr>
            </w:pPr>
            <w:r>
              <w:rPr>
                <w:rFonts w:ascii="Arial" w:cs="Arial" w:eastAsia="Arial" w:hAnsi="Arial"/>
                <w:sz w:val="20"/>
                <w:szCs w:val="20"/>
                <w:color w:val="auto"/>
              </w:rPr>
              <w:t>10.3</w:t>
            </w:r>
          </w:p>
        </w:tc>
        <w:tc>
          <w:tcPr>
            <w:tcW w:w="9920" w:type="dxa"/>
            <w:vAlign w:val="bottom"/>
            <w:tcBorders>
              <w:bottom w:val="single" w:sz="8" w:color="0000EE"/>
            </w:tcBorders>
            <w:gridSpan w:val="22"/>
          </w:tcPr>
          <w:p>
            <w:pPr>
              <w:spacing w:after="0" w:line="216" w:lineRule="exact"/>
              <w:rPr>
                <w:rFonts w:ascii="Arial" w:cs="Arial" w:eastAsia="Arial" w:hAnsi="Arial"/>
                <w:sz w:val="20"/>
                <w:szCs w:val="20"/>
                <w:color w:val="0000EE"/>
                <w:w w:val="91"/>
              </w:rPr>
            </w:pPr>
            <w:hyperlink r:id="rId272">
              <w:r>
                <w:rPr>
                  <w:rFonts w:ascii="Arial" w:cs="Arial" w:eastAsia="Arial" w:hAnsi="Arial"/>
                  <w:sz w:val="20"/>
                  <w:szCs w:val="20"/>
                  <w:color w:val="0000EE"/>
                  <w:w w:val="91"/>
                </w:rPr>
                <w:t>M&amp;T Bank Corporation Supplemental Pension Plan, as amended and restated. Incorporated by reference to Exhibit 10.1 to</w:t>
              </w:r>
            </w:hyperlink>
          </w:p>
        </w:tc>
        <w:tc>
          <w:tcPr>
            <w:tcW w:w="120" w:type="dxa"/>
            <w:vAlign w:val="bottom"/>
            <w:gridSpan w:val="5"/>
          </w:tcPr>
          <w:p>
            <w:pPr>
              <w:spacing w:after="0"/>
              <w:rPr>
                <w:sz w:val="18"/>
                <w:szCs w:val="18"/>
                <w:color w:val="auto"/>
              </w:rPr>
            </w:pPr>
          </w:p>
        </w:tc>
      </w:tr>
      <w:tr>
        <w:trPr>
          <w:trHeight w:val="217"/>
        </w:trPr>
        <w:tc>
          <w:tcPr>
            <w:tcW w:w="1400" w:type="dxa"/>
            <w:vAlign w:val="bottom"/>
          </w:tcPr>
          <w:p>
            <w:pPr>
              <w:spacing w:after="0"/>
              <w:rPr>
                <w:sz w:val="18"/>
                <w:szCs w:val="18"/>
                <w:color w:val="auto"/>
              </w:rPr>
            </w:pPr>
          </w:p>
        </w:tc>
        <w:tc>
          <w:tcPr>
            <w:tcW w:w="10040" w:type="dxa"/>
            <w:vAlign w:val="bottom"/>
            <w:gridSpan w:val="27"/>
          </w:tcPr>
          <w:p>
            <w:pPr>
              <w:spacing w:after="0" w:line="216" w:lineRule="exact"/>
              <w:rPr>
                <w:rFonts w:ascii="Arial" w:cs="Arial" w:eastAsia="Arial" w:hAnsi="Arial"/>
                <w:sz w:val="20"/>
                <w:szCs w:val="20"/>
                <w:color w:val="0000EE"/>
              </w:rPr>
            </w:pPr>
            <w:hyperlink r:id="rId272">
              <w:r>
                <w:rPr>
                  <w:rFonts w:ascii="Arial" w:cs="Arial" w:eastAsia="Arial" w:hAnsi="Arial"/>
                  <w:sz w:val="20"/>
                  <w:szCs w:val="20"/>
                  <w:color w:val="0000EE"/>
                </w:rPr>
                <w:t>the Form 10-Q for the quarter ended March 31, 2016 (File No. 1-9861).*</w:t>
              </w:r>
            </w:hyperlink>
          </w:p>
        </w:tc>
      </w:tr>
      <w:tr>
        <w:trPr>
          <w:trHeight w:val="20"/>
        </w:trPr>
        <w:tc>
          <w:tcPr>
            <w:tcW w:w="1400" w:type="dxa"/>
            <w:vAlign w:val="bottom"/>
          </w:tcPr>
          <w:p>
            <w:pPr>
              <w:spacing w:after="0" w:line="20" w:lineRule="exact"/>
              <w:rPr>
                <w:sz w:val="1"/>
                <w:szCs w:val="1"/>
                <w:color w:val="auto"/>
              </w:rPr>
            </w:pPr>
          </w:p>
        </w:tc>
        <w:tc>
          <w:tcPr>
            <w:tcW w:w="4820" w:type="dxa"/>
            <w:vAlign w:val="bottom"/>
            <w:gridSpan w:val="6"/>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20" w:type="dxa"/>
            <w:vAlign w:val="bottom"/>
            <w:gridSpan w:val="1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r>
      <w:tr>
        <w:trPr>
          <w:trHeight w:val="217"/>
        </w:trPr>
        <w:tc>
          <w:tcPr>
            <w:tcW w:w="1400" w:type="dxa"/>
            <w:vAlign w:val="bottom"/>
          </w:tcPr>
          <w:p>
            <w:pPr>
              <w:ind w:left="140"/>
              <w:spacing w:after="0" w:line="216" w:lineRule="exact"/>
              <w:rPr>
                <w:sz w:val="20"/>
                <w:szCs w:val="20"/>
                <w:color w:val="auto"/>
              </w:rPr>
            </w:pPr>
            <w:r>
              <w:rPr>
                <w:rFonts w:ascii="Arial" w:cs="Arial" w:eastAsia="Arial" w:hAnsi="Arial"/>
                <w:sz w:val="20"/>
                <w:szCs w:val="20"/>
                <w:color w:val="auto"/>
              </w:rPr>
              <w:t>10.4</w:t>
            </w:r>
          </w:p>
        </w:tc>
        <w:tc>
          <w:tcPr>
            <w:tcW w:w="9900" w:type="dxa"/>
            <w:vAlign w:val="bottom"/>
            <w:tcBorders>
              <w:bottom w:val="single" w:sz="8" w:color="0000EE"/>
            </w:tcBorders>
            <w:gridSpan w:val="21"/>
          </w:tcPr>
          <w:p>
            <w:pPr>
              <w:spacing w:after="0" w:line="216" w:lineRule="exact"/>
              <w:rPr>
                <w:rFonts w:ascii="Arial" w:cs="Arial" w:eastAsia="Arial" w:hAnsi="Arial"/>
                <w:sz w:val="20"/>
                <w:szCs w:val="20"/>
                <w:color w:val="0000EE"/>
                <w:w w:val="92"/>
              </w:rPr>
            </w:pPr>
            <w:hyperlink r:id="rId273">
              <w:r>
                <w:rPr>
                  <w:rFonts w:ascii="Arial" w:cs="Arial" w:eastAsia="Arial" w:hAnsi="Arial"/>
                  <w:sz w:val="20"/>
                  <w:szCs w:val="20"/>
                  <w:color w:val="0000EE"/>
                  <w:w w:val="92"/>
                </w:rPr>
                <w:t>M&amp;T Bank Corporation Supplemental Retirement Savings Plan. Incorporated by reference to Exhibit 10.2 to the Form 10-</w:t>
              </w:r>
            </w:hyperlink>
          </w:p>
        </w:tc>
        <w:tc>
          <w:tcPr>
            <w:tcW w:w="140" w:type="dxa"/>
            <w:vAlign w:val="bottom"/>
            <w:gridSpan w:val="6"/>
          </w:tcPr>
          <w:p>
            <w:pPr>
              <w:spacing w:after="0"/>
              <w:rPr>
                <w:sz w:val="18"/>
                <w:szCs w:val="18"/>
                <w:color w:val="auto"/>
              </w:rPr>
            </w:pPr>
          </w:p>
        </w:tc>
      </w:tr>
      <w:tr>
        <w:trPr>
          <w:trHeight w:val="217"/>
        </w:trPr>
        <w:tc>
          <w:tcPr>
            <w:tcW w:w="1400" w:type="dxa"/>
            <w:vAlign w:val="bottom"/>
          </w:tcPr>
          <w:p>
            <w:pPr>
              <w:spacing w:after="0"/>
              <w:rPr>
                <w:sz w:val="18"/>
                <w:szCs w:val="18"/>
                <w:color w:val="auto"/>
              </w:rPr>
            </w:pPr>
          </w:p>
        </w:tc>
        <w:tc>
          <w:tcPr>
            <w:tcW w:w="4820" w:type="dxa"/>
            <w:vAlign w:val="bottom"/>
            <w:tcBorders>
              <w:bottom w:val="single" w:sz="8" w:color="0000EE"/>
            </w:tcBorders>
            <w:gridSpan w:val="6"/>
          </w:tcPr>
          <w:p>
            <w:pPr>
              <w:spacing w:after="0" w:line="216" w:lineRule="exact"/>
              <w:rPr>
                <w:rFonts w:ascii="Arial" w:cs="Arial" w:eastAsia="Arial" w:hAnsi="Arial"/>
                <w:sz w:val="20"/>
                <w:szCs w:val="20"/>
                <w:color w:val="0000EE"/>
                <w:w w:val="92"/>
              </w:rPr>
            </w:pPr>
            <w:hyperlink r:id="rId273">
              <w:r>
                <w:rPr>
                  <w:rFonts w:ascii="Arial" w:cs="Arial" w:eastAsia="Arial" w:hAnsi="Arial"/>
                  <w:sz w:val="20"/>
                  <w:szCs w:val="20"/>
                  <w:color w:val="0000EE"/>
                  <w:w w:val="92"/>
                </w:rPr>
                <w:t>Q for the quarter ended March 31, 2016 (File No. 1-9861).*</w:t>
              </w:r>
            </w:hyperlink>
          </w:p>
        </w:tc>
        <w:tc>
          <w:tcPr>
            <w:tcW w:w="5220" w:type="dxa"/>
            <w:vAlign w:val="bottom"/>
            <w:gridSpan w:val="21"/>
          </w:tcPr>
          <w:p>
            <w:pPr>
              <w:spacing w:after="0"/>
              <w:rPr>
                <w:sz w:val="18"/>
                <w:szCs w:val="18"/>
                <w:color w:val="auto"/>
              </w:rPr>
            </w:pPr>
          </w:p>
        </w:tc>
      </w:tr>
      <w:tr>
        <w:trPr>
          <w:trHeight w:val="217"/>
        </w:trPr>
        <w:tc>
          <w:tcPr>
            <w:tcW w:w="1400" w:type="dxa"/>
            <w:vAlign w:val="bottom"/>
          </w:tcPr>
          <w:p>
            <w:pPr>
              <w:ind w:left="140"/>
              <w:spacing w:after="0" w:line="216" w:lineRule="exact"/>
              <w:rPr>
                <w:sz w:val="20"/>
                <w:szCs w:val="20"/>
                <w:color w:val="auto"/>
              </w:rPr>
            </w:pPr>
            <w:r>
              <w:rPr>
                <w:rFonts w:ascii="Arial" w:cs="Arial" w:eastAsia="Arial" w:hAnsi="Arial"/>
                <w:sz w:val="20"/>
                <w:szCs w:val="20"/>
                <w:color w:val="auto"/>
              </w:rPr>
              <w:t>10.5</w:t>
            </w:r>
          </w:p>
        </w:tc>
        <w:tc>
          <w:tcPr>
            <w:tcW w:w="10040" w:type="dxa"/>
            <w:vAlign w:val="bottom"/>
            <w:gridSpan w:val="27"/>
          </w:tcPr>
          <w:p>
            <w:pPr>
              <w:spacing w:after="0" w:line="216" w:lineRule="exact"/>
              <w:rPr>
                <w:rFonts w:ascii="Arial" w:cs="Arial" w:eastAsia="Arial" w:hAnsi="Arial"/>
                <w:sz w:val="20"/>
                <w:szCs w:val="20"/>
                <w:color w:val="0000EE"/>
                <w:w w:val="94"/>
              </w:rPr>
            </w:pPr>
            <w:hyperlink r:id="rId274">
              <w:r>
                <w:rPr>
                  <w:rFonts w:ascii="Arial" w:cs="Arial" w:eastAsia="Arial" w:hAnsi="Arial"/>
                  <w:sz w:val="20"/>
                  <w:szCs w:val="20"/>
                  <w:color w:val="0000EE"/>
                  <w:w w:val="94"/>
                </w:rPr>
                <w:t>M&amp;T Bank Corporation Deferred Bonus Plan, as amended and restated. Incorporated by reference to Exhibit 10.6 to the</w:t>
              </w:r>
            </w:hyperlink>
          </w:p>
        </w:tc>
      </w:tr>
      <w:tr>
        <w:trPr>
          <w:trHeight w:val="217"/>
        </w:trPr>
        <w:tc>
          <w:tcPr>
            <w:tcW w:w="1400" w:type="dxa"/>
            <w:vAlign w:val="bottom"/>
          </w:tcPr>
          <w:p>
            <w:pPr>
              <w:spacing w:after="0"/>
              <w:rPr>
                <w:sz w:val="18"/>
                <w:szCs w:val="18"/>
                <w:color w:val="auto"/>
              </w:rPr>
            </w:pPr>
          </w:p>
        </w:tc>
        <w:tc>
          <w:tcPr>
            <w:tcW w:w="9680" w:type="dxa"/>
            <w:vAlign w:val="bottom"/>
            <w:tcBorders>
              <w:top w:val="single" w:sz="8" w:color="0000EE"/>
            </w:tcBorders>
            <w:gridSpan w:val="19"/>
          </w:tcPr>
          <w:p>
            <w:pPr>
              <w:spacing w:after="0" w:line="216" w:lineRule="exact"/>
              <w:rPr>
                <w:rFonts w:ascii="Arial" w:cs="Arial" w:eastAsia="Arial" w:hAnsi="Arial"/>
                <w:sz w:val="20"/>
                <w:szCs w:val="20"/>
                <w:color w:val="0000EE"/>
              </w:rPr>
            </w:pPr>
            <w:hyperlink r:id="rId274">
              <w:r>
                <w:rPr>
                  <w:rFonts w:ascii="Arial" w:cs="Arial" w:eastAsia="Arial" w:hAnsi="Arial"/>
                  <w:sz w:val="20"/>
                  <w:szCs w:val="20"/>
                  <w:color w:val="0000EE"/>
                </w:rPr>
                <w:t>Form 10-K for the year ended December 31, 2016 (File No. 1-9861).*</w:t>
              </w:r>
            </w:hyperlink>
          </w:p>
        </w:tc>
        <w:tc>
          <w:tcPr>
            <w:tcW w:w="360" w:type="dxa"/>
            <w:vAlign w:val="bottom"/>
            <w:gridSpan w:val="8"/>
          </w:tcPr>
          <w:p>
            <w:pPr>
              <w:spacing w:after="0"/>
              <w:rPr>
                <w:sz w:val="18"/>
                <w:szCs w:val="18"/>
                <w:color w:val="auto"/>
              </w:rPr>
            </w:pPr>
          </w:p>
        </w:tc>
      </w:tr>
      <w:tr>
        <w:trPr>
          <w:trHeight w:val="439"/>
        </w:trPr>
        <w:tc>
          <w:tcPr>
            <w:tcW w:w="1400" w:type="dxa"/>
            <w:vAlign w:val="bottom"/>
          </w:tcPr>
          <w:p>
            <w:pPr>
              <w:spacing w:after="0"/>
              <w:rPr>
                <w:sz w:val="24"/>
                <w:szCs w:val="24"/>
                <w:color w:val="auto"/>
              </w:rPr>
            </w:pPr>
          </w:p>
        </w:tc>
        <w:tc>
          <w:tcPr>
            <w:tcW w:w="4460" w:type="dxa"/>
            <w:vAlign w:val="bottom"/>
            <w:tcBorders>
              <w:top w:val="single" w:sz="8" w:color="0000EE"/>
            </w:tcBorders>
            <w:gridSpan w:val="5"/>
          </w:tcPr>
          <w:p>
            <w:pPr>
              <w:ind w:left="4180"/>
              <w:spacing w:after="0"/>
              <w:rPr>
                <w:sz w:val="20"/>
                <w:szCs w:val="20"/>
                <w:color w:val="auto"/>
              </w:rPr>
            </w:pPr>
            <w:r>
              <w:rPr>
                <w:rFonts w:ascii="Arial" w:cs="Arial" w:eastAsia="Arial" w:hAnsi="Arial"/>
                <w:sz w:val="18"/>
                <w:szCs w:val="18"/>
                <w:color w:val="auto"/>
                <w:w w:val="86"/>
              </w:rPr>
              <w:t>192</w:t>
            </w:r>
          </w:p>
        </w:tc>
        <w:tc>
          <w:tcPr>
            <w:tcW w:w="36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2"/>
        </w:trPr>
        <w:tc>
          <w:tcPr>
            <w:tcW w:w="140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5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317" w:right="219" w:bottom="1440" w:gutter="0" w:footer="0" w:header="0"/>
        </w:sectPr>
      </w:pPr>
    </w:p>
    <w:bookmarkStart w:id="192" w:name="page193"/>
    <w:bookmarkEnd w:id="192"/>
    <w:tbl>
      <w:tblPr>
        <w:tblLayout w:type="fixed"/>
        <w:tblInd w:w="0" w:type="dxa"/>
        <w:tblCellMar>
          <w:top w:w="0" w:type="dxa"/>
          <w:left w:w="0" w:type="dxa"/>
          <w:bottom w:w="0" w:type="dxa"/>
          <w:right w:w="0" w:type="dxa"/>
        </w:tblCellMar>
      </w:tblPr>
      <w:tr>
        <w:trPr>
          <w:trHeight w:val="230"/>
        </w:trPr>
        <w:tc>
          <w:tcPr>
            <w:tcW w:w="1400" w:type="dxa"/>
            <w:vAlign w:val="bottom"/>
          </w:tcPr>
          <w:p>
            <w:pPr>
              <w:ind w:left="140"/>
              <w:spacing w:after="0"/>
              <w:rPr>
                <w:sz w:val="20"/>
                <w:szCs w:val="20"/>
                <w:color w:val="auto"/>
              </w:rPr>
            </w:pPr>
            <w:r>
              <w:rPr>
                <w:rFonts w:ascii="Arial" w:cs="Arial" w:eastAsia="Arial" w:hAnsi="Arial"/>
                <w:sz w:val="20"/>
                <w:szCs w:val="20"/>
                <w:color w:val="auto"/>
              </w:rPr>
              <w:t>10.6</w:t>
            </w:r>
          </w:p>
        </w:tc>
        <w:tc>
          <w:tcPr>
            <w:tcW w:w="9900" w:type="dxa"/>
            <w:vAlign w:val="bottom"/>
            <w:tcBorders>
              <w:bottom w:val="single" w:sz="8" w:color="0000EE"/>
            </w:tcBorders>
            <w:gridSpan w:val="27"/>
          </w:tcPr>
          <w:p>
            <w:pPr>
              <w:spacing w:after="0"/>
              <w:rPr>
                <w:rFonts w:ascii="Arial" w:cs="Arial" w:eastAsia="Arial" w:hAnsi="Arial"/>
                <w:sz w:val="20"/>
                <w:szCs w:val="20"/>
                <w:color w:val="0000EE"/>
                <w:w w:val="92"/>
              </w:rPr>
            </w:pPr>
            <w:hyperlink r:id="rId277">
              <w:r>
                <w:rPr>
                  <w:rFonts w:ascii="Arial" w:cs="Arial" w:eastAsia="Arial" w:hAnsi="Arial"/>
                  <w:sz w:val="20"/>
                  <w:szCs w:val="20"/>
                  <w:color w:val="0000EE"/>
                  <w:w w:val="92"/>
                </w:rPr>
                <w:t>M&amp;T Bank Corporation 2008 Directors’ Stock Plan, as amended. Incorporated by reference to Exhibit 4.1 to the Form S-8</w:t>
              </w:r>
            </w:hyperlink>
          </w:p>
        </w:tc>
        <w:tc>
          <w:tcPr>
            <w:tcW w:w="140" w:type="dxa"/>
            <w:vAlign w:val="bottom"/>
            <w:gridSpan w:val="5"/>
          </w:tcPr>
          <w:p>
            <w:pPr>
              <w:spacing w:after="0"/>
              <w:rPr>
                <w:sz w:val="19"/>
                <w:szCs w:val="19"/>
                <w:color w:val="auto"/>
              </w:rPr>
            </w:pPr>
          </w:p>
        </w:tc>
      </w:tr>
      <w:tr>
        <w:trPr>
          <w:trHeight w:val="217"/>
        </w:trPr>
        <w:tc>
          <w:tcPr>
            <w:tcW w:w="1400" w:type="dxa"/>
            <w:vAlign w:val="bottom"/>
          </w:tcPr>
          <w:p>
            <w:pPr>
              <w:spacing w:after="0"/>
              <w:rPr>
                <w:sz w:val="18"/>
                <w:szCs w:val="18"/>
                <w:color w:val="auto"/>
              </w:rPr>
            </w:pPr>
          </w:p>
        </w:tc>
        <w:tc>
          <w:tcPr>
            <w:tcW w:w="10040" w:type="dxa"/>
            <w:vAlign w:val="bottom"/>
            <w:gridSpan w:val="32"/>
          </w:tcPr>
          <w:p>
            <w:pPr>
              <w:spacing w:after="0" w:line="216" w:lineRule="exact"/>
              <w:rPr>
                <w:rFonts w:ascii="Arial" w:cs="Arial" w:eastAsia="Arial" w:hAnsi="Arial"/>
                <w:sz w:val="20"/>
                <w:szCs w:val="20"/>
                <w:color w:val="0000EE"/>
              </w:rPr>
            </w:pPr>
            <w:hyperlink r:id="rId277">
              <w:r>
                <w:rPr>
                  <w:rFonts w:ascii="Arial" w:cs="Arial" w:eastAsia="Arial" w:hAnsi="Arial"/>
                  <w:sz w:val="20"/>
                  <w:szCs w:val="20"/>
                  <w:color w:val="0000EE"/>
                </w:rPr>
                <w:t>dated October 19, 2012 (File No. 333-184504).*</w:t>
              </w:r>
            </w:hyperlink>
          </w:p>
        </w:tc>
      </w:tr>
      <w:tr>
        <w:trPr>
          <w:trHeight w:val="20"/>
        </w:trPr>
        <w:tc>
          <w:tcPr>
            <w:tcW w:w="140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7"/>
        </w:trPr>
        <w:tc>
          <w:tcPr>
            <w:tcW w:w="1400" w:type="dxa"/>
            <w:vAlign w:val="bottom"/>
          </w:tcPr>
          <w:p>
            <w:pPr>
              <w:ind w:left="140"/>
              <w:spacing w:after="0" w:line="216" w:lineRule="exact"/>
              <w:rPr>
                <w:sz w:val="20"/>
                <w:szCs w:val="20"/>
                <w:color w:val="auto"/>
              </w:rPr>
            </w:pPr>
            <w:r>
              <w:rPr>
                <w:rFonts w:ascii="Arial" w:cs="Arial" w:eastAsia="Arial" w:hAnsi="Arial"/>
                <w:sz w:val="20"/>
                <w:szCs w:val="20"/>
                <w:color w:val="auto"/>
              </w:rPr>
              <w:t>10.7</w:t>
            </w:r>
          </w:p>
        </w:tc>
        <w:tc>
          <w:tcPr>
            <w:tcW w:w="9800" w:type="dxa"/>
            <w:vAlign w:val="bottom"/>
            <w:tcBorders>
              <w:bottom w:val="single" w:sz="8" w:color="0000EE"/>
            </w:tcBorders>
            <w:gridSpan w:val="23"/>
          </w:tcPr>
          <w:p>
            <w:pPr>
              <w:spacing w:after="0" w:line="216" w:lineRule="exact"/>
              <w:rPr>
                <w:rFonts w:ascii="Arial" w:cs="Arial" w:eastAsia="Arial" w:hAnsi="Arial"/>
                <w:sz w:val="20"/>
                <w:szCs w:val="20"/>
                <w:color w:val="0000EE"/>
                <w:w w:val="92"/>
              </w:rPr>
            </w:pPr>
            <w:hyperlink r:id="rId278">
              <w:r>
                <w:rPr>
                  <w:rFonts w:ascii="Arial" w:cs="Arial" w:eastAsia="Arial" w:hAnsi="Arial"/>
                  <w:sz w:val="20"/>
                  <w:szCs w:val="20"/>
                  <w:color w:val="0000EE"/>
                  <w:w w:val="92"/>
                </w:rPr>
                <w:t>M&amp;T Bank Corporation Employee Stock Purchase Plan. Incorporated by reference to Exhibit 10.22 to the Form 10-K for</w:t>
              </w:r>
            </w:hyperlink>
          </w:p>
        </w:tc>
        <w:tc>
          <w:tcPr>
            <w:tcW w:w="240" w:type="dxa"/>
            <w:vAlign w:val="bottom"/>
            <w:gridSpan w:val="9"/>
          </w:tcPr>
          <w:p>
            <w:pPr>
              <w:spacing w:after="0"/>
              <w:rPr>
                <w:sz w:val="18"/>
                <w:szCs w:val="18"/>
                <w:color w:val="auto"/>
              </w:rPr>
            </w:pPr>
          </w:p>
        </w:tc>
      </w:tr>
      <w:tr>
        <w:trPr>
          <w:trHeight w:val="217"/>
        </w:trPr>
        <w:tc>
          <w:tcPr>
            <w:tcW w:w="1400" w:type="dxa"/>
            <w:vAlign w:val="bottom"/>
          </w:tcPr>
          <w:p>
            <w:pPr>
              <w:spacing w:after="0"/>
              <w:rPr>
                <w:sz w:val="18"/>
                <w:szCs w:val="18"/>
                <w:color w:val="auto"/>
              </w:rPr>
            </w:pPr>
          </w:p>
        </w:tc>
        <w:tc>
          <w:tcPr>
            <w:tcW w:w="10040" w:type="dxa"/>
            <w:vAlign w:val="bottom"/>
            <w:gridSpan w:val="32"/>
          </w:tcPr>
          <w:p>
            <w:pPr>
              <w:spacing w:after="0" w:line="216" w:lineRule="exact"/>
              <w:rPr>
                <w:rFonts w:ascii="Arial" w:cs="Arial" w:eastAsia="Arial" w:hAnsi="Arial"/>
                <w:sz w:val="20"/>
                <w:szCs w:val="20"/>
                <w:color w:val="0000EE"/>
              </w:rPr>
            </w:pPr>
            <w:hyperlink r:id="rId278">
              <w:r>
                <w:rPr>
                  <w:rFonts w:ascii="Arial" w:cs="Arial" w:eastAsia="Arial" w:hAnsi="Arial"/>
                  <w:sz w:val="20"/>
                  <w:szCs w:val="20"/>
                  <w:color w:val="0000EE"/>
                </w:rPr>
                <w:t>the year ended December 31, 2012 (File No. 1-9861)</w:t>
              </w:r>
              <w:r>
                <w:rPr>
                  <w:rFonts w:ascii="Arial" w:cs="Arial" w:eastAsia="Arial" w:hAnsi="Arial"/>
                  <w:sz w:val="20"/>
                  <w:szCs w:val="20"/>
                  <w:color w:val="000000"/>
                </w:rPr>
                <w:t>.*</w:t>
              </w:r>
            </w:hyperlink>
          </w:p>
        </w:tc>
      </w:tr>
      <w:tr>
        <w:trPr>
          <w:trHeight w:val="20"/>
        </w:trPr>
        <w:tc>
          <w:tcPr>
            <w:tcW w:w="140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7"/>
        </w:trPr>
        <w:tc>
          <w:tcPr>
            <w:tcW w:w="1400" w:type="dxa"/>
            <w:vAlign w:val="bottom"/>
          </w:tcPr>
          <w:p>
            <w:pPr>
              <w:ind w:left="140"/>
              <w:spacing w:after="0" w:line="216" w:lineRule="exact"/>
              <w:rPr>
                <w:sz w:val="20"/>
                <w:szCs w:val="20"/>
                <w:color w:val="auto"/>
              </w:rPr>
            </w:pPr>
            <w:r>
              <w:rPr>
                <w:rFonts w:ascii="Arial" w:cs="Arial" w:eastAsia="Arial" w:hAnsi="Arial"/>
                <w:sz w:val="20"/>
                <w:szCs w:val="20"/>
                <w:color w:val="auto"/>
              </w:rPr>
              <w:t>10.8</w:t>
            </w:r>
          </w:p>
        </w:tc>
        <w:tc>
          <w:tcPr>
            <w:tcW w:w="9580" w:type="dxa"/>
            <w:vAlign w:val="bottom"/>
            <w:tcBorders>
              <w:bottom w:val="single" w:sz="8" w:color="0000EE"/>
            </w:tcBorders>
            <w:gridSpan w:val="19"/>
          </w:tcPr>
          <w:p>
            <w:pPr>
              <w:spacing w:after="0" w:line="216" w:lineRule="exact"/>
              <w:rPr>
                <w:rFonts w:ascii="Arial" w:cs="Arial" w:eastAsia="Arial" w:hAnsi="Arial"/>
                <w:sz w:val="20"/>
                <w:szCs w:val="20"/>
                <w:color w:val="0000EE"/>
                <w:w w:val="92"/>
              </w:rPr>
            </w:pPr>
            <w:hyperlink r:id="rId279">
              <w:r>
                <w:rPr>
                  <w:rFonts w:ascii="Arial" w:cs="Arial" w:eastAsia="Arial" w:hAnsi="Arial"/>
                  <w:sz w:val="20"/>
                  <w:szCs w:val="20"/>
                  <w:color w:val="0000EE"/>
                  <w:w w:val="92"/>
                </w:rPr>
                <w:t>M&amp;T Bank Corporation 2005 Incentive Compensation Plan. Incorporated by reference to Appendix A to the definitive</w:t>
              </w:r>
            </w:hyperlink>
          </w:p>
        </w:tc>
        <w:tc>
          <w:tcPr>
            <w:tcW w:w="460" w:type="dxa"/>
            <w:vAlign w:val="bottom"/>
            <w:gridSpan w:val="13"/>
          </w:tcPr>
          <w:p>
            <w:pPr>
              <w:spacing w:after="0"/>
              <w:rPr>
                <w:sz w:val="18"/>
                <w:szCs w:val="18"/>
                <w:color w:val="auto"/>
              </w:rPr>
            </w:pPr>
          </w:p>
        </w:tc>
      </w:tr>
      <w:tr>
        <w:trPr>
          <w:trHeight w:val="217"/>
        </w:trPr>
        <w:tc>
          <w:tcPr>
            <w:tcW w:w="1400" w:type="dxa"/>
            <w:vAlign w:val="bottom"/>
          </w:tcPr>
          <w:p>
            <w:pPr>
              <w:spacing w:after="0"/>
              <w:rPr>
                <w:sz w:val="18"/>
                <w:szCs w:val="18"/>
                <w:color w:val="auto"/>
              </w:rPr>
            </w:pPr>
          </w:p>
        </w:tc>
        <w:tc>
          <w:tcPr>
            <w:tcW w:w="10040" w:type="dxa"/>
            <w:vAlign w:val="bottom"/>
            <w:gridSpan w:val="32"/>
          </w:tcPr>
          <w:p>
            <w:pPr>
              <w:spacing w:after="0" w:line="216" w:lineRule="exact"/>
              <w:rPr>
                <w:rFonts w:ascii="Arial" w:cs="Arial" w:eastAsia="Arial" w:hAnsi="Arial"/>
                <w:sz w:val="20"/>
                <w:szCs w:val="20"/>
                <w:color w:val="0000EE"/>
              </w:rPr>
            </w:pPr>
            <w:hyperlink r:id="rId279">
              <w:r>
                <w:rPr>
                  <w:rFonts w:ascii="Arial" w:cs="Arial" w:eastAsia="Arial" w:hAnsi="Arial"/>
                  <w:sz w:val="20"/>
                  <w:szCs w:val="20"/>
                  <w:color w:val="0000EE"/>
                </w:rPr>
                <w:t>Proxy Statement of M&amp;T Bank Corporation dated March 4, 2005 (File No. 1-9861).*</w:t>
              </w:r>
            </w:hyperlink>
          </w:p>
        </w:tc>
      </w:tr>
      <w:tr>
        <w:trPr>
          <w:trHeight w:val="20"/>
        </w:trPr>
        <w:tc>
          <w:tcPr>
            <w:tcW w:w="140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7"/>
        </w:trPr>
        <w:tc>
          <w:tcPr>
            <w:tcW w:w="1400" w:type="dxa"/>
            <w:vAlign w:val="bottom"/>
          </w:tcPr>
          <w:p>
            <w:pPr>
              <w:ind w:left="140"/>
              <w:spacing w:after="0" w:line="216" w:lineRule="exact"/>
              <w:rPr>
                <w:sz w:val="20"/>
                <w:szCs w:val="20"/>
                <w:color w:val="auto"/>
              </w:rPr>
            </w:pPr>
            <w:r>
              <w:rPr>
                <w:rFonts w:ascii="Arial" w:cs="Arial" w:eastAsia="Arial" w:hAnsi="Arial"/>
                <w:sz w:val="20"/>
                <w:szCs w:val="20"/>
                <w:color w:val="auto"/>
              </w:rPr>
              <w:t>10.9</w:t>
            </w:r>
          </w:p>
        </w:tc>
        <w:tc>
          <w:tcPr>
            <w:tcW w:w="9880" w:type="dxa"/>
            <w:vAlign w:val="bottom"/>
            <w:tcBorders>
              <w:bottom w:val="single" w:sz="8" w:color="0000EE"/>
            </w:tcBorders>
            <w:gridSpan w:val="26"/>
          </w:tcPr>
          <w:p>
            <w:pPr>
              <w:spacing w:after="0" w:line="216" w:lineRule="exact"/>
              <w:rPr>
                <w:rFonts w:ascii="Arial" w:cs="Arial" w:eastAsia="Arial" w:hAnsi="Arial"/>
                <w:sz w:val="20"/>
                <w:szCs w:val="20"/>
                <w:color w:val="0000EE"/>
                <w:w w:val="92"/>
              </w:rPr>
            </w:pPr>
            <w:hyperlink r:id="rId280">
              <w:r>
                <w:rPr>
                  <w:rFonts w:ascii="Arial" w:cs="Arial" w:eastAsia="Arial" w:hAnsi="Arial"/>
                  <w:sz w:val="20"/>
                  <w:szCs w:val="20"/>
                  <w:color w:val="0000EE"/>
                  <w:w w:val="92"/>
                </w:rPr>
                <w:t>M&amp;T Bank Corporation 2009 Equity Incentive Compensation Plan. Incorporated by reference to Appendix A to the Proxy</w:t>
              </w:r>
            </w:hyperlink>
          </w:p>
        </w:tc>
        <w:tc>
          <w:tcPr>
            <w:tcW w:w="160" w:type="dxa"/>
            <w:vAlign w:val="bottom"/>
            <w:gridSpan w:val="6"/>
          </w:tcPr>
          <w:p>
            <w:pPr>
              <w:spacing w:after="0"/>
              <w:rPr>
                <w:sz w:val="18"/>
                <w:szCs w:val="18"/>
                <w:color w:val="auto"/>
              </w:rPr>
            </w:pPr>
          </w:p>
        </w:tc>
      </w:tr>
      <w:tr>
        <w:trPr>
          <w:trHeight w:val="217"/>
        </w:trPr>
        <w:tc>
          <w:tcPr>
            <w:tcW w:w="1400" w:type="dxa"/>
            <w:vAlign w:val="bottom"/>
          </w:tcPr>
          <w:p>
            <w:pPr>
              <w:spacing w:after="0"/>
              <w:rPr>
                <w:sz w:val="18"/>
                <w:szCs w:val="18"/>
                <w:color w:val="auto"/>
              </w:rPr>
            </w:pPr>
          </w:p>
        </w:tc>
        <w:tc>
          <w:tcPr>
            <w:tcW w:w="6360" w:type="dxa"/>
            <w:vAlign w:val="bottom"/>
            <w:tcBorders>
              <w:bottom w:val="single" w:sz="8" w:color="0000EE"/>
            </w:tcBorders>
            <w:gridSpan w:val="9"/>
          </w:tcPr>
          <w:p>
            <w:pPr>
              <w:spacing w:after="0" w:line="216" w:lineRule="exact"/>
              <w:rPr>
                <w:rFonts w:ascii="Arial" w:cs="Arial" w:eastAsia="Arial" w:hAnsi="Arial"/>
                <w:sz w:val="20"/>
                <w:szCs w:val="20"/>
                <w:color w:val="0000EE"/>
                <w:w w:val="93"/>
              </w:rPr>
            </w:pPr>
            <w:hyperlink r:id="rId280">
              <w:r>
                <w:rPr>
                  <w:rFonts w:ascii="Arial" w:cs="Arial" w:eastAsia="Arial" w:hAnsi="Arial"/>
                  <w:sz w:val="20"/>
                  <w:szCs w:val="20"/>
                  <w:color w:val="0000EE"/>
                  <w:w w:val="93"/>
                </w:rPr>
                <w:t>Statement of M&amp;T Bank Corporation dated March 5, 2015 (File No. 1-9861).*</w:t>
              </w:r>
            </w:hyperlink>
          </w:p>
        </w:tc>
        <w:tc>
          <w:tcPr>
            <w:tcW w:w="3680" w:type="dxa"/>
            <w:vAlign w:val="bottom"/>
            <w:gridSpan w:val="23"/>
          </w:tcPr>
          <w:p>
            <w:pPr>
              <w:spacing w:after="0"/>
              <w:rPr>
                <w:sz w:val="18"/>
                <w:szCs w:val="18"/>
                <w:color w:val="auto"/>
              </w:rPr>
            </w:pPr>
          </w:p>
        </w:tc>
      </w:tr>
      <w:tr>
        <w:trPr>
          <w:trHeight w:val="217"/>
        </w:trPr>
        <w:tc>
          <w:tcPr>
            <w:tcW w:w="1400" w:type="dxa"/>
            <w:vAlign w:val="bottom"/>
          </w:tcPr>
          <w:p>
            <w:pPr>
              <w:ind w:left="140"/>
              <w:spacing w:after="0" w:line="216" w:lineRule="exact"/>
              <w:rPr>
                <w:sz w:val="20"/>
                <w:szCs w:val="20"/>
                <w:color w:val="auto"/>
              </w:rPr>
            </w:pPr>
            <w:r>
              <w:rPr>
                <w:rFonts w:ascii="Arial" w:cs="Arial" w:eastAsia="Arial" w:hAnsi="Arial"/>
                <w:sz w:val="20"/>
                <w:szCs w:val="20"/>
                <w:color w:val="auto"/>
              </w:rPr>
              <w:t>10.10</w:t>
            </w:r>
          </w:p>
        </w:tc>
        <w:tc>
          <w:tcPr>
            <w:tcW w:w="9600" w:type="dxa"/>
            <w:vAlign w:val="bottom"/>
            <w:tcBorders>
              <w:bottom w:val="single" w:sz="8" w:color="0000EE"/>
            </w:tcBorders>
            <w:gridSpan w:val="20"/>
          </w:tcPr>
          <w:p>
            <w:pPr>
              <w:spacing w:after="0" w:line="216" w:lineRule="exact"/>
              <w:rPr>
                <w:rFonts w:ascii="Arial" w:cs="Arial" w:eastAsia="Arial" w:hAnsi="Arial"/>
                <w:sz w:val="20"/>
                <w:szCs w:val="20"/>
                <w:color w:val="0000EE"/>
                <w:w w:val="92"/>
              </w:rPr>
            </w:pPr>
            <w:hyperlink r:id="rId281">
              <w:r>
                <w:rPr>
                  <w:rFonts w:ascii="Arial" w:cs="Arial" w:eastAsia="Arial" w:hAnsi="Arial"/>
                  <w:sz w:val="20"/>
                  <w:szCs w:val="20"/>
                  <w:color w:val="0000EE"/>
                  <w:w w:val="92"/>
                </w:rPr>
                <w:t>M&amp;T Bank Corporation Form of Restricted Stock Award Agreement. Incorporated by reference to Exhibit 10.25 to the</w:t>
              </w:r>
            </w:hyperlink>
          </w:p>
        </w:tc>
        <w:tc>
          <w:tcPr>
            <w:tcW w:w="440" w:type="dxa"/>
            <w:vAlign w:val="bottom"/>
            <w:gridSpan w:val="12"/>
          </w:tcPr>
          <w:p>
            <w:pPr>
              <w:spacing w:after="0"/>
              <w:rPr>
                <w:sz w:val="18"/>
                <w:szCs w:val="18"/>
                <w:color w:val="auto"/>
              </w:rPr>
            </w:pPr>
          </w:p>
        </w:tc>
      </w:tr>
      <w:tr>
        <w:trPr>
          <w:trHeight w:val="217"/>
        </w:trPr>
        <w:tc>
          <w:tcPr>
            <w:tcW w:w="1400" w:type="dxa"/>
            <w:vAlign w:val="bottom"/>
          </w:tcPr>
          <w:p>
            <w:pPr>
              <w:spacing w:after="0"/>
              <w:rPr>
                <w:sz w:val="18"/>
                <w:szCs w:val="18"/>
                <w:color w:val="auto"/>
              </w:rPr>
            </w:pPr>
          </w:p>
        </w:tc>
        <w:tc>
          <w:tcPr>
            <w:tcW w:w="5660" w:type="dxa"/>
            <w:vAlign w:val="bottom"/>
            <w:tcBorders>
              <w:bottom w:val="single" w:sz="8" w:color="0000EE"/>
            </w:tcBorders>
            <w:gridSpan w:val="8"/>
          </w:tcPr>
          <w:p>
            <w:pPr>
              <w:spacing w:after="0" w:line="216" w:lineRule="exact"/>
              <w:rPr>
                <w:rFonts w:ascii="Arial" w:cs="Arial" w:eastAsia="Arial" w:hAnsi="Arial"/>
                <w:sz w:val="20"/>
                <w:szCs w:val="20"/>
                <w:color w:val="0000EE"/>
                <w:w w:val="92"/>
              </w:rPr>
            </w:pPr>
            <w:hyperlink r:id="rId281">
              <w:r>
                <w:rPr>
                  <w:rFonts w:ascii="Arial" w:cs="Arial" w:eastAsia="Arial" w:hAnsi="Arial"/>
                  <w:sz w:val="20"/>
                  <w:szCs w:val="20"/>
                  <w:color w:val="0000EE"/>
                  <w:w w:val="92"/>
                </w:rPr>
                <w:t>Form 10-K for the year ended December 31, 2013 (File No. 1-9861).*</w:t>
              </w:r>
            </w:hyperlink>
          </w:p>
        </w:tc>
        <w:tc>
          <w:tcPr>
            <w:tcW w:w="4380" w:type="dxa"/>
            <w:vAlign w:val="bottom"/>
            <w:gridSpan w:val="24"/>
          </w:tcPr>
          <w:p>
            <w:pPr>
              <w:spacing w:after="0"/>
              <w:rPr>
                <w:sz w:val="18"/>
                <w:szCs w:val="18"/>
                <w:color w:val="auto"/>
              </w:rPr>
            </w:pPr>
          </w:p>
        </w:tc>
      </w:tr>
      <w:tr>
        <w:trPr>
          <w:trHeight w:val="217"/>
        </w:trPr>
        <w:tc>
          <w:tcPr>
            <w:tcW w:w="1400" w:type="dxa"/>
            <w:vAlign w:val="bottom"/>
          </w:tcPr>
          <w:p>
            <w:pPr>
              <w:ind w:left="140"/>
              <w:spacing w:after="0" w:line="216" w:lineRule="exact"/>
              <w:rPr>
                <w:sz w:val="20"/>
                <w:szCs w:val="20"/>
                <w:color w:val="auto"/>
              </w:rPr>
            </w:pPr>
            <w:r>
              <w:rPr>
                <w:rFonts w:ascii="Arial" w:cs="Arial" w:eastAsia="Arial" w:hAnsi="Arial"/>
                <w:sz w:val="20"/>
                <w:szCs w:val="20"/>
                <w:color w:val="auto"/>
              </w:rPr>
              <w:t>10.11</w:t>
            </w:r>
          </w:p>
        </w:tc>
        <w:tc>
          <w:tcPr>
            <w:tcW w:w="10040" w:type="dxa"/>
            <w:vAlign w:val="bottom"/>
            <w:gridSpan w:val="32"/>
          </w:tcPr>
          <w:p>
            <w:pPr>
              <w:spacing w:after="0" w:line="216" w:lineRule="exact"/>
              <w:rPr>
                <w:rFonts w:ascii="Arial" w:cs="Arial" w:eastAsia="Arial" w:hAnsi="Arial"/>
                <w:sz w:val="20"/>
                <w:szCs w:val="20"/>
                <w:color w:val="0000EE"/>
                <w:w w:val="93"/>
              </w:rPr>
            </w:pPr>
            <w:hyperlink r:id="rId282">
              <w:r>
                <w:rPr>
                  <w:rFonts w:ascii="Arial" w:cs="Arial" w:eastAsia="Arial" w:hAnsi="Arial"/>
                  <w:sz w:val="20"/>
                  <w:szCs w:val="20"/>
                  <w:color w:val="0000EE"/>
                  <w:w w:val="93"/>
                </w:rPr>
                <w:t>M&amp;T Bank Corporation Form of Restricted Stock Unit Award Agreement. Incorporated by reference to Exhibit 10.26 to the</w:t>
              </w:r>
            </w:hyperlink>
          </w:p>
        </w:tc>
      </w:tr>
      <w:tr>
        <w:trPr>
          <w:trHeight w:val="217"/>
        </w:trPr>
        <w:tc>
          <w:tcPr>
            <w:tcW w:w="1400" w:type="dxa"/>
            <w:vAlign w:val="bottom"/>
          </w:tcPr>
          <w:p>
            <w:pPr>
              <w:spacing w:after="0"/>
              <w:rPr>
                <w:sz w:val="18"/>
                <w:szCs w:val="18"/>
                <w:color w:val="auto"/>
              </w:rPr>
            </w:pPr>
          </w:p>
        </w:tc>
        <w:tc>
          <w:tcPr>
            <w:tcW w:w="5660" w:type="dxa"/>
            <w:vAlign w:val="bottom"/>
            <w:tcBorders>
              <w:top w:val="single" w:sz="8" w:color="0000EE"/>
              <w:bottom w:val="single" w:sz="8" w:color="0000EE"/>
            </w:tcBorders>
            <w:gridSpan w:val="8"/>
          </w:tcPr>
          <w:p>
            <w:pPr>
              <w:spacing w:after="0" w:line="216" w:lineRule="exact"/>
              <w:rPr>
                <w:rFonts w:ascii="Arial" w:cs="Arial" w:eastAsia="Arial" w:hAnsi="Arial"/>
                <w:sz w:val="20"/>
                <w:szCs w:val="20"/>
                <w:color w:val="0000EE"/>
                <w:w w:val="92"/>
              </w:rPr>
            </w:pPr>
            <w:hyperlink r:id="rId282">
              <w:r>
                <w:rPr>
                  <w:rFonts w:ascii="Arial" w:cs="Arial" w:eastAsia="Arial" w:hAnsi="Arial"/>
                  <w:sz w:val="20"/>
                  <w:szCs w:val="20"/>
                  <w:color w:val="0000EE"/>
                  <w:w w:val="92"/>
                </w:rPr>
                <w:t>Form 10-K for the year ended December 31, 2013 (File No. 1-9861).*</w:t>
              </w:r>
            </w:hyperlink>
          </w:p>
        </w:tc>
        <w:tc>
          <w:tcPr>
            <w:tcW w:w="4340" w:type="dxa"/>
            <w:vAlign w:val="bottom"/>
            <w:tcBorders>
              <w:top w:val="single" w:sz="8" w:color="0000EE"/>
            </w:tcBorders>
            <w:gridSpan w:val="23"/>
          </w:tcPr>
          <w:p>
            <w:pPr>
              <w:spacing w:after="0"/>
              <w:rPr>
                <w:sz w:val="18"/>
                <w:szCs w:val="18"/>
                <w:color w:val="auto"/>
              </w:rPr>
            </w:pPr>
          </w:p>
        </w:tc>
        <w:tc>
          <w:tcPr>
            <w:tcW w:w="40" w:type="dxa"/>
            <w:vAlign w:val="bottom"/>
          </w:tcPr>
          <w:p>
            <w:pPr>
              <w:spacing w:after="0"/>
              <w:rPr>
                <w:sz w:val="18"/>
                <w:szCs w:val="18"/>
                <w:color w:val="auto"/>
              </w:rPr>
            </w:pPr>
          </w:p>
        </w:tc>
      </w:tr>
      <w:tr>
        <w:trPr>
          <w:trHeight w:val="217"/>
        </w:trPr>
        <w:tc>
          <w:tcPr>
            <w:tcW w:w="1400" w:type="dxa"/>
            <w:vAlign w:val="bottom"/>
          </w:tcPr>
          <w:p>
            <w:pPr>
              <w:ind w:left="140"/>
              <w:spacing w:after="0" w:line="216" w:lineRule="exact"/>
              <w:rPr>
                <w:sz w:val="20"/>
                <w:szCs w:val="20"/>
                <w:color w:val="auto"/>
              </w:rPr>
            </w:pPr>
            <w:r>
              <w:rPr>
                <w:rFonts w:ascii="Arial" w:cs="Arial" w:eastAsia="Arial" w:hAnsi="Arial"/>
                <w:sz w:val="20"/>
                <w:szCs w:val="20"/>
                <w:color w:val="auto"/>
              </w:rPr>
              <w:t>10.12</w:t>
            </w:r>
          </w:p>
        </w:tc>
        <w:tc>
          <w:tcPr>
            <w:tcW w:w="9840" w:type="dxa"/>
            <w:vAlign w:val="bottom"/>
            <w:tcBorders>
              <w:bottom w:val="single" w:sz="8" w:color="0000EE"/>
            </w:tcBorders>
            <w:gridSpan w:val="25"/>
          </w:tcPr>
          <w:p>
            <w:pPr>
              <w:spacing w:after="0" w:line="216" w:lineRule="exact"/>
              <w:rPr>
                <w:rFonts w:ascii="Arial" w:cs="Arial" w:eastAsia="Arial" w:hAnsi="Arial"/>
                <w:sz w:val="20"/>
                <w:szCs w:val="20"/>
                <w:color w:val="0000EE"/>
                <w:w w:val="92"/>
              </w:rPr>
            </w:pPr>
            <w:hyperlink r:id="rId283">
              <w:r>
                <w:rPr>
                  <w:rFonts w:ascii="Arial" w:cs="Arial" w:eastAsia="Arial" w:hAnsi="Arial"/>
                  <w:sz w:val="20"/>
                  <w:szCs w:val="20"/>
                  <w:color w:val="0000EE"/>
                  <w:w w:val="92"/>
                </w:rPr>
                <w:t>M&amp;T Bank Corporation Form of Performance-Vested Restricted Stock Unit Award Agreement. Incorporated by reference</w:t>
              </w:r>
            </w:hyperlink>
          </w:p>
        </w:tc>
        <w:tc>
          <w:tcPr>
            <w:tcW w:w="200" w:type="dxa"/>
            <w:vAlign w:val="bottom"/>
            <w:gridSpan w:val="7"/>
          </w:tcPr>
          <w:p>
            <w:pPr>
              <w:spacing w:after="0"/>
              <w:rPr>
                <w:sz w:val="18"/>
                <w:szCs w:val="18"/>
                <w:color w:val="auto"/>
              </w:rPr>
            </w:pPr>
          </w:p>
        </w:tc>
      </w:tr>
      <w:tr>
        <w:trPr>
          <w:trHeight w:val="217"/>
        </w:trPr>
        <w:tc>
          <w:tcPr>
            <w:tcW w:w="1400" w:type="dxa"/>
            <w:vAlign w:val="bottom"/>
          </w:tcPr>
          <w:p>
            <w:pPr>
              <w:spacing w:after="0"/>
              <w:rPr>
                <w:sz w:val="18"/>
                <w:szCs w:val="18"/>
                <w:color w:val="auto"/>
              </w:rPr>
            </w:pPr>
          </w:p>
        </w:tc>
        <w:tc>
          <w:tcPr>
            <w:tcW w:w="7520" w:type="dxa"/>
            <w:vAlign w:val="bottom"/>
            <w:tcBorders>
              <w:bottom w:val="single" w:sz="8" w:color="0000EE"/>
            </w:tcBorders>
            <w:gridSpan w:val="12"/>
          </w:tcPr>
          <w:p>
            <w:pPr>
              <w:spacing w:after="0" w:line="216" w:lineRule="exact"/>
              <w:rPr>
                <w:rFonts w:ascii="Arial" w:cs="Arial" w:eastAsia="Arial" w:hAnsi="Arial"/>
                <w:sz w:val="20"/>
                <w:szCs w:val="20"/>
                <w:color w:val="0000EE"/>
                <w:w w:val="92"/>
              </w:rPr>
            </w:pPr>
            <w:hyperlink r:id="rId283">
              <w:r>
                <w:rPr>
                  <w:rFonts w:ascii="Arial" w:cs="Arial" w:eastAsia="Arial" w:hAnsi="Arial"/>
                  <w:sz w:val="20"/>
                  <w:szCs w:val="20"/>
                  <w:color w:val="0000EE"/>
                  <w:w w:val="92"/>
                </w:rPr>
                <w:t>to Exhibit 10.27 to the Form 10-K for the year ended December 31, 2013 (File No. 1-9861).*</w:t>
              </w:r>
            </w:hyperlink>
          </w:p>
        </w:tc>
        <w:tc>
          <w:tcPr>
            <w:tcW w:w="2520" w:type="dxa"/>
            <w:vAlign w:val="bottom"/>
            <w:gridSpan w:val="20"/>
          </w:tcPr>
          <w:p>
            <w:pPr>
              <w:spacing w:after="0"/>
              <w:rPr>
                <w:sz w:val="18"/>
                <w:szCs w:val="18"/>
                <w:color w:val="auto"/>
              </w:rPr>
            </w:pPr>
          </w:p>
        </w:tc>
      </w:tr>
      <w:tr>
        <w:trPr>
          <w:trHeight w:val="217"/>
        </w:trPr>
        <w:tc>
          <w:tcPr>
            <w:tcW w:w="1400" w:type="dxa"/>
            <w:vAlign w:val="bottom"/>
          </w:tcPr>
          <w:p>
            <w:pPr>
              <w:ind w:left="140"/>
              <w:spacing w:after="0" w:line="216" w:lineRule="exact"/>
              <w:rPr>
                <w:sz w:val="20"/>
                <w:szCs w:val="20"/>
                <w:color w:val="auto"/>
              </w:rPr>
            </w:pPr>
            <w:r>
              <w:rPr>
                <w:rFonts w:ascii="Arial" w:cs="Arial" w:eastAsia="Arial" w:hAnsi="Arial"/>
                <w:sz w:val="20"/>
                <w:szCs w:val="20"/>
                <w:color w:val="auto"/>
              </w:rPr>
              <w:t>10.13</w:t>
            </w:r>
          </w:p>
        </w:tc>
        <w:tc>
          <w:tcPr>
            <w:tcW w:w="10040" w:type="dxa"/>
            <w:vAlign w:val="bottom"/>
            <w:gridSpan w:val="32"/>
          </w:tcPr>
          <w:p>
            <w:pPr>
              <w:spacing w:after="0" w:line="216" w:lineRule="exact"/>
              <w:rPr>
                <w:rFonts w:ascii="Arial" w:cs="Arial" w:eastAsia="Arial" w:hAnsi="Arial"/>
                <w:sz w:val="20"/>
                <w:szCs w:val="20"/>
                <w:color w:val="0000EE"/>
                <w:w w:val="98"/>
              </w:rPr>
            </w:pPr>
            <w:hyperlink r:id="rId284">
              <w:r>
                <w:rPr>
                  <w:rFonts w:ascii="Arial" w:cs="Arial" w:eastAsia="Arial" w:hAnsi="Arial"/>
                  <w:sz w:val="20"/>
                  <w:szCs w:val="20"/>
                  <w:color w:val="0000EE"/>
                  <w:w w:val="98"/>
                </w:rPr>
                <w:t>M&amp;T Bank Corporation Form of Performance-Vested Restricted Stock Unit Award Agreement (for named executive</w:t>
              </w:r>
            </w:hyperlink>
          </w:p>
        </w:tc>
      </w:tr>
      <w:tr>
        <w:trPr>
          <w:trHeight w:val="217"/>
        </w:trPr>
        <w:tc>
          <w:tcPr>
            <w:tcW w:w="1400" w:type="dxa"/>
            <w:vAlign w:val="bottom"/>
          </w:tcPr>
          <w:p>
            <w:pPr>
              <w:spacing w:after="0"/>
              <w:rPr>
                <w:sz w:val="18"/>
                <w:szCs w:val="18"/>
                <w:color w:val="auto"/>
              </w:rPr>
            </w:pPr>
          </w:p>
        </w:tc>
        <w:tc>
          <w:tcPr>
            <w:tcW w:w="9360" w:type="dxa"/>
            <w:vAlign w:val="bottom"/>
            <w:tcBorders>
              <w:top w:val="single" w:sz="8" w:color="0000EE"/>
              <w:bottom w:val="single" w:sz="8" w:color="0000EE"/>
            </w:tcBorders>
            <w:gridSpan w:val="15"/>
          </w:tcPr>
          <w:p>
            <w:pPr>
              <w:spacing w:after="0" w:line="216" w:lineRule="exact"/>
              <w:rPr>
                <w:rFonts w:ascii="Arial" w:cs="Arial" w:eastAsia="Arial" w:hAnsi="Arial"/>
                <w:sz w:val="20"/>
                <w:szCs w:val="20"/>
                <w:color w:val="0000EE"/>
                <w:w w:val="92"/>
              </w:rPr>
            </w:pPr>
            <w:hyperlink r:id="rId284">
              <w:r>
                <w:rPr>
                  <w:rFonts w:ascii="Arial" w:cs="Arial" w:eastAsia="Arial" w:hAnsi="Arial"/>
                  <w:sz w:val="20"/>
                  <w:szCs w:val="20"/>
                  <w:color w:val="0000EE"/>
                  <w:w w:val="92"/>
                </w:rPr>
                <w:t>officers (“NEOs”) subject to Section 162 (m) of the Internal Revenue Code of 1986, as amended from time to time).</w:t>
              </w:r>
            </w:hyperlink>
          </w:p>
        </w:tc>
        <w:tc>
          <w:tcPr>
            <w:tcW w:w="40" w:type="dxa"/>
            <w:vAlign w:val="bottom"/>
            <w:tcBorders>
              <w:top w:val="single" w:sz="8" w:color="0000EE"/>
            </w:tcBorders>
          </w:tcPr>
          <w:p>
            <w:pPr>
              <w:spacing w:after="0"/>
              <w:rPr>
                <w:sz w:val="18"/>
                <w:szCs w:val="18"/>
                <w:color w:val="auto"/>
              </w:rPr>
            </w:pPr>
          </w:p>
        </w:tc>
        <w:tc>
          <w:tcPr>
            <w:tcW w:w="640" w:type="dxa"/>
            <w:vAlign w:val="bottom"/>
            <w:gridSpan w:val="16"/>
          </w:tcPr>
          <w:p>
            <w:pPr>
              <w:spacing w:after="0"/>
              <w:rPr>
                <w:sz w:val="18"/>
                <w:szCs w:val="18"/>
                <w:color w:val="auto"/>
              </w:rPr>
            </w:pPr>
          </w:p>
        </w:tc>
      </w:tr>
      <w:tr>
        <w:trPr>
          <w:trHeight w:val="217"/>
        </w:trPr>
        <w:tc>
          <w:tcPr>
            <w:tcW w:w="1400" w:type="dxa"/>
            <w:vAlign w:val="bottom"/>
          </w:tcPr>
          <w:p>
            <w:pPr>
              <w:spacing w:after="0"/>
              <w:rPr>
                <w:sz w:val="18"/>
                <w:szCs w:val="18"/>
                <w:color w:val="auto"/>
              </w:rPr>
            </w:pPr>
          </w:p>
        </w:tc>
        <w:tc>
          <w:tcPr>
            <w:tcW w:w="9460" w:type="dxa"/>
            <w:vAlign w:val="bottom"/>
            <w:tcBorders>
              <w:bottom w:val="single" w:sz="8" w:color="0000EE"/>
            </w:tcBorders>
            <w:gridSpan w:val="17"/>
          </w:tcPr>
          <w:p>
            <w:pPr>
              <w:spacing w:after="0" w:line="216" w:lineRule="exact"/>
              <w:rPr>
                <w:rFonts w:ascii="Arial" w:cs="Arial" w:eastAsia="Arial" w:hAnsi="Arial"/>
                <w:sz w:val="20"/>
                <w:szCs w:val="20"/>
                <w:color w:val="0000EE"/>
                <w:w w:val="92"/>
              </w:rPr>
            </w:pPr>
            <w:hyperlink r:id="rId284">
              <w:r>
                <w:rPr>
                  <w:rFonts w:ascii="Arial" w:cs="Arial" w:eastAsia="Arial" w:hAnsi="Arial"/>
                  <w:sz w:val="20"/>
                  <w:szCs w:val="20"/>
                  <w:color w:val="0000EE"/>
                  <w:w w:val="92"/>
                </w:rPr>
                <w:t>Incorporated by reference to Exhibit 10.1 to the Form 10-Q for the quarter ended March 31, 2014 (File No. 1-9861).*</w:t>
              </w:r>
            </w:hyperlink>
          </w:p>
        </w:tc>
        <w:tc>
          <w:tcPr>
            <w:tcW w:w="580" w:type="dxa"/>
            <w:vAlign w:val="bottom"/>
            <w:gridSpan w:val="15"/>
          </w:tcPr>
          <w:p>
            <w:pPr>
              <w:spacing w:after="0"/>
              <w:rPr>
                <w:sz w:val="18"/>
                <w:szCs w:val="18"/>
                <w:color w:val="auto"/>
              </w:rPr>
            </w:pPr>
          </w:p>
        </w:tc>
      </w:tr>
      <w:tr>
        <w:trPr>
          <w:trHeight w:val="217"/>
        </w:trPr>
        <w:tc>
          <w:tcPr>
            <w:tcW w:w="1400" w:type="dxa"/>
            <w:vAlign w:val="bottom"/>
          </w:tcPr>
          <w:p>
            <w:pPr>
              <w:ind w:left="140"/>
              <w:spacing w:after="0" w:line="216" w:lineRule="exact"/>
              <w:rPr>
                <w:sz w:val="20"/>
                <w:szCs w:val="20"/>
                <w:color w:val="auto"/>
              </w:rPr>
            </w:pPr>
            <w:r>
              <w:rPr>
                <w:rFonts w:ascii="Arial" w:cs="Arial" w:eastAsia="Arial" w:hAnsi="Arial"/>
                <w:sz w:val="20"/>
                <w:szCs w:val="20"/>
                <w:color w:val="auto"/>
              </w:rPr>
              <w:t>10.14</w:t>
            </w:r>
          </w:p>
        </w:tc>
        <w:tc>
          <w:tcPr>
            <w:tcW w:w="9780" w:type="dxa"/>
            <w:vAlign w:val="bottom"/>
            <w:tcBorders>
              <w:bottom w:val="single" w:sz="8" w:color="0000EE"/>
            </w:tcBorders>
            <w:gridSpan w:val="22"/>
          </w:tcPr>
          <w:p>
            <w:pPr>
              <w:spacing w:after="0" w:line="216" w:lineRule="exact"/>
              <w:rPr>
                <w:rFonts w:ascii="Arial" w:cs="Arial" w:eastAsia="Arial" w:hAnsi="Arial"/>
                <w:sz w:val="20"/>
                <w:szCs w:val="20"/>
                <w:color w:val="0000EE"/>
                <w:w w:val="91"/>
              </w:rPr>
            </w:pPr>
            <w:hyperlink r:id="rId285">
              <w:r>
                <w:rPr>
                  <w:rFonts w:ascii="Arial" w:cs="Arial" w:eastAsia="Arial" w:hAnsi="Arial"/>
                  <w:sz w:val="20"/>
                  <w:szCs w:val="20"/>
                  <w:color w:val="0000EE"/>
                  <w:w w:val="91"/>
                </w:rPr>
                <w:t>Hudson City Bancorp, Inc. Amended and Restated 2011 Stock Incentive Plan. Incorporated by reference to Exhibit 4.6 to</w:t>
              </w:r>
            </w:hyperlink>
          </w:p>
        </w:tc>
        <w:tc>
          <w:tcPr>
            <w:tcW w:w="260" w:type="dxa"/>
            <w:vAlign w:val="bottom"/>
            <w:gridSpan w:val="10"/>
          </w:tcPr>
          <w:p>
            <w:pPr>
              <w:spacing w:after="0"/>
              <w:rPr>
                <w:sz w:val="18"/>
                <w:szCs w:val="18"/>
                <w:color w:val="auto"/>
              </w:rPr>
            </w:pPr>
          </w:p>
        </w:tc>
      </w:tr>
      <w:tr>
        <w:trPr>
          <w:trHeight w:val="217"/>
        </w:trPr>
        <w:tc>
          <w:tcPr>
            <w:tcW w:w="1400" w:type="dxa"/>
            <w:vAlign w:val="bottom"/>
          </w:tcPr>
          <w:p>
            <w:pPr>
              <w:spacing w:after="0"/>
              <w:rPr>
                <w:sz w:val="18"/>
                <w:szCs w:val="18"/>
                <w:color w:val="auto"/>
              </w:rPr>
            </w:pPr>
          </w:p>
        </w:tc>
        <w:tc>
          <w:tcPr>
            <w:tcW w:w="10040" w:type="dxa"/>
            <w:vAlign w:val="bottom"/>
            <w:gridSpan w:val="32"/>
          </w:tcPr>
          <w:p>
            <w:pPr>
              <w:spacing w:after="0" w:line="216" w:lineRule="exact"/>
              <w:rPr>
                <w:rFonts w:ascii="Arial" w:cs="Arial" w:eastAsia="Arial" w:hAnsi="Arial"/>
                <w:sz w:val="20"/>
                <w:szCs w:val="20"/>
                <w:color w:val="0000EE"/>
              </w:rPr>
            </w:pPr>
            <w:hyperlink r:id="rId285">
              <w:r>
                <w:rPr>
                  <w:rFonts w:ascii="Arial" w:cs="Arial" w:eastAsia="Arial" w:hAnsi="Arial"/>
                  <w:sz w:val="20"/>
                  <w:szCs w:val="20"/>
                  <w:color w:val="0000EE"/>
                </w:rPr>
                <w:t>the Form S-8 dated November 2, 2015 (File No. 333-184411).*</w:t>
              </w:r>
            </w:hyperlink>
          </w:p>
        </w:tc>
      </w:tr>
      <w:tr>
        <w:trPr>
          <w:trHeight w:val="20"/>
        </w:trPr>
        <w:tc>
          <w:tcPr>
            <w:tcW w:w="140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2400" w:type="dxa"/>
            <w:vAlign w:val="bottom"/>
            <w:gridSpan w:val="4"/>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17"/>
        </w:trPr>
        <w:tc>
          <w:tcPr>
            <w:tcW w:w="1400" w:type="dxa"/>
            <w:vAlign w:val="bottom"/>
          </w:tcPr>
          <w:p>
            <w:pPr>
              <w:ind w:left="140"/>
              <w:spacing w:after="0" w:line="216" w:lineRule="exact"/>
              <w:rPr>
                <w:sz w:val="20"/>
                <w:szCs w:val="20"/>
                <w:color w:val="auto"/>
              </w:rPr>
            </w:pPr>
            <w:r>
              <w:rPr>
                <w:rFonts w:ascii="Arial" w:cs="Arial" w:eastAsia="Arial" w:hAnsi="Arial"/>
                <w:sz w:val="20"/>
                <w:szCs w:val="20"/>
                <w:color w:val="auto"/>
              </w:rPr>
              <w:t>10.15</w:t>
            </w:r>
          </w:p>
        </w:tc>
        <w:tc>
          <w:tcPr>
            <w:tcW w:w="10040" w:type="dxa"/>
            <w:vAlign w:val="bottom"/>
            <w:gridSpan w:val="32"/>
          </w:tcPr>
          <w:p>
            <w:pPr>
              <w:spacing w:after="0" w:line="216" w:lineRule="exact"/>
              <w:rPr>
                <w:rFonts w:ascii="Arial" w:cs="Arial" w:eastAsia="Arial" w:hAnsi="Arial"/>
                <w:sz w:val="20"/>
                <w:szCs w:val="20"/>
                <w:color w:val="0000EE"/>
                <w:w w:val="97"/>
              </w:rPr>
            </w:pPr>
            <w:hyperlink r:id="rId286">
              <w:r>
                <w:rPr>
                  <w:rFonts w:ascii="Arial" w:cs="Arial" w:eastAsia="Arial" w:hAnsi="Arial"/>
                  <w:sz w:val="20"/>
                  <w:szCs w:val="20"/>
                  <w:color w:val="0000EE"/>
                  <w:w w:val="97"/>
                </w:rPr>
                <w:t>Hudson City Bancorp, Inc. 2006 Stock Incentive Plan. Incorporated by reference to Exhibit 4.7 to the Form S-8 dated</w:t>
              </w:r>
            </w:hyperlink>
          </w:p>
        </w:tc>
      </w:tr>
      <w:tr>
        <w:trPr>
          <w:trHeight w:val="217"/>
        </w:trPr>
        <w:tc>
          <w:tcPr>
            <w:tcW w:w="1400" w:type="dxa"/>
            <w:vAlign w:val="bottom"/>
          </w:tcPr>
          <w:p>
            <w:pPr>
              <w:spacing w:after="0"/>
              <w:rPr>
                <w:sz w:val="18"/>
                <w:szCs w:val="18"/>
                <w:color w:val="auto"/>
              </w:rPr>
            </w:pPr>
          </w:p>
        </w:tc>
        <w:tc>
          <w:tcPr>
            <w:tcW w:w="9460" w:type="dxa"/>
            <w:vAlign w:val="bottom"/>
            <w:tcBorders>
              <w:top w:val="single" w:sz="8" w:color="0000EE"/>
            </w:tcBorders>
            <w:gridSpan w:val="17"/>
          </w:tcPr>
          <w:p>
            <w:pPr>
              <w:spacing w:after="0" w:line="216" w:lineRule="exact"/>
              <w:rPr>
                <w:rFonts w:ascii="Arial" w:cs="Arial" w:eastAsia="Arial" w:hAnsi="Arial"/>
                <w:sz w:val="20"/>
                <w:szCs w:val="20"/>
                <w:color w:val="0000EE"/>
              </w:rPr>
            </w:pPr>
            <w:hyperlink r:id="rId286">
              <w:r>
                <w:rPr>
                  <w:rFonts w:ascii="Arial" w:cs="Arial" w:eastAsia="Arial" w:hAnsi="Arial"/>
                  <w:sz w:val="20"/>
                  <w:szCs w:val="20"/>
                  <w:color w:val="0000EE"/>
                </w:rPr>
                <w:t>November 2, 2015 (File No. 333-184411).*</w:t>
              </w:r>
            </w:hyperlink>
          </w:p>
        </w:tc>
        <w:tc>
          <w:tcPr>
            <w:tcW w:w="580" w:type="dxa"/>
            <w:vAlign w:val="bottom"/>
            <w:gridSpan w:val="15"/>
          </w:tcPr>
          <w:p>
            <w:pPr>
              <w:spacing w:after="0"/>
              <w:rPr>
                <w:sz w:val="18"/>
                <w:szCs w:val="18"/>
                <w:color w:val="auto"/>
              </w:rPr>
            </w:pPr>
          </w:p>
        </w:tc>
      </w:tr>
      <w:tr>
        <w:trPr>
          <w:trHeight w:val="20"/>
        </w:trPr>
        <w:tc>
          <w:tcPr>
            <w:tcW w:w="140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340" w:type="dxa"/>
            <w:vAlign w:val="bottom"/>
            <w:gridSpan w:val="6"/>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17"/>
        </w:trPr>
        <w:tc>
          <w:tcPr>
            <w:tcW w:w="1400" w:type="dxa"/>
            <w:vAlign w:val="bottom"/>
          </w:tcPr>
          <w:p>
            <w:pPr>
              <w:ind w:left="140"/>
              <w:spacing w:after="0" w:line="216" w:lineRule="exact"/>
              <w:rPr>
                <w:sz w:val="20"/>
                <w:szCs w:val="20"/>
                <w:color w:val="auto"/>
              </w:rPr>
            </w:pPr>
            <w:r>
              <w:rPr>
                <w:rFonts w:ascii="Arial" w:cs="Arial" w:eastAsia="Arial" w:hAnsi="Arial"/>
                <w:sz w:val="20"/>
                <w:szCs w:val="20"/>
                <w:color w:val="auto"/>
              </w:rPr>
              <w:t>11.1</w:t>
            </w:r>
          </w:p>
        </w:tc>
        <w:tc>
          <w:tcPr>
            <w:tcW w:w="9560" w:type="dxa"/>
            <w:vAlign w:val="bottom"/>
            <w:tcBorders>
              <w:bottom w:val="single" w:sz="8" w:color="0000EE"/>
            </w:tcBorders>
            <w:gridSpan w:val="18"/>
          </w:tcPr>
          <w:p>
            <w:pPr>
              <w:spacing w:after="0" w:line="216" w:lineRule="exact"/>
              <w:rPr>
                <w:rFonts w:ascii="Arial" w:cs="Arial" w:eastAsia="Arial" w:hAnsi="Arial"/>
                <w:sz w:val="20"/>
                <w:szCs w:val="20"/>
                <w:color w:val="0000EE"/>
                <w:w w:val="90"/>
              </w:rPr>
            </w:pPr>
            <w:hyperlink w:anchor="page119">
              <w:r>
                <w:rPr>
                  <w:rFonts w:ascii="Arial" w:cs="Arial" w:eastAsia="Arial" w:hAnsi="Arial"/>
                  <w:sz w:val="20"/>
                  <w:szCs w:val="20"/>
                  <w:color w:val="0000EE"/>
                  <w:w w:val="90"/>
                </w:rPr>
                <w:t>Statement re: Computation of Earnings Per Common Share. Incorporated by reference to note 14 of Notes to Financial</w:t>
              </w:r>
            </w:hyperlink>
          </w:p>
        </w:tc>
        <w:tc>
          <w:tcPr>
            <w:tcW w:w="480" w:type="dxa"/>
            <w:vAlign w:val="bottom"/>
            <w:gridSpan w:val="14"/>
          </w:tcPr>
          <w:p>
            <w:pPr>
              <w:spacing w:after="0"/>
              <w:rPr>
                <w:sz w:val="18"/>
                <w:szCs w:val="18"/>
                <w:color w:val="auto"/>
              </w:rPr>
            </w:pPr>
          </w:p>
        </w:tc>
      </w:tr>
      <w:tr>
        <w:trPr>
          <w:trHeight w:val="217"/>
        </w:trPr>
        <w:tc>
          <w:tcPr>
            <w:tcW w:w="1400" w:type="dxa"/>
            <w:vAlign w:val="bottom"/>
          </w:tcPr>
          <w:p>
            <w:pPr>
              <w:spacing w:after="0"/>
              <w:rPr>
                <w:sz w:val="18"/>
                <w:szCs w:val="18"/>
                <w:color w:val="auto"/>
              </w:rPr>
            </w:pPr>
          </w:p>
        </w:tc>
        <w:tc>
          <w:tcPr>
            <w:tcW w:w="7500" w:type="dxa"/>
            <w:vAlign w:val="bottom"/>
            <w:tcBorders>
              <w:bottom w:val="single" w:sz="8" w:color="0000EE"/>
            </w:tcBorders>
            <w:gridSpan w:val="11"/>
          </w:tcPr>
          <w:p>
            <w:pPr>
              <w:spacing w:after="0" w:line="216" w:lineRule="exact"/>
              <w:rPr>
                <w:rFonts w:ascii="Arial" w:cs="Arial" w:eastAsia="Arial" w:hAnsi="Arial"/>
                <w:sz w:val="20"/>
                <w:szCs w:val="20"/>
                <w:color w:val="0000EE"/>
                <w:w w:val="91"/>
              </w:rPr>
            </w:pPr>
            <w:hyperlink w:anchor="page119">
              <w:r>
                <w:rPr>
                  <w:rFonts w:ascii="Arial" w:cs="Arial" w:eastAsia="Arial" w:hAnsi="Arial"/>
                  <w:sz w:val="20"/>
                  <w:szCs w:val="20"/>
                  <w:color w:val="0000EE"/>
                  <w:w w:val="91"/>
                </w:rPr>
                <w:t>Statements filed herewith in Part II, Item 8, “Financial Statements and Supplementary Data.”</w:t>
              </w:r>
            </w:hyperlink>
          </w:p>
        </w:tc>
        <w:tc>
          <w:tcPr>
            <w:tcW w:w="2540" w:type="dxa"/>
            <w:vAlign w:val="bottom"/>
            <w:gridSpan w:val="21"/>
          </w:tcPr>
          <w:p>
            <w:pPr>
              <w:spacing w:after="0"/>
              <w:rPr>
                <w:sz w:val="18"/>
                <w:szCs w:val="18"/>
                <w:color w:val="auto"/>
              </w:rPr>
            </w:pPr>
          </w:p>
        </w:tc>
      </w:tr>
      <w:tr>
        <w:trPr>
          <w:trHeight w:val="217"/>
        </w:trPr>
        <w:tc>
          <w:tcPr>
            <w:tcW w:w="1400" w:type="dxa"/>
            <w:vAlign w:val="bottom"/>
          </w:tcPr>
          <w:p>
            <w:pPr>
              <w:ind w:left="140"/>
              <w:spacing w:after="0" w:line="216" w:lineRule="exact"/>
              <w:rPr>
                <w:sz w:val="20"/>
                <w:szCs w:val="20"/>
                <w:color w:val="auto"/>
              </w:rPr>
            </w:pPr>
            <w:r>
              <w:rPr>
                <w:rFonts w:ascii="Arial" w:cs="Arial" w:eastAsia="Arial" w:hAnsi="Arial"/>
                <w:sz w:val="20"/>
                <w:szCs w:val="20"/>
                <w:color w:val="auto"/>
              </w:rPr>
              <w:t>12.1</w:t>
            </w:r>
          </w:p>
        </w:tc>
        <w:tc>
          <w:tcPr>
            <w:tcW w:w="4160" w:type="dxa"/>
            <w:vAlign w:val="bottom"/>
            <w:tcBorders>
              <w:bottom w:val="single" w:sz="8" w:color="0000EE"/>
            </w:tcBorders>
            <w:gridSpan w:val="5"/>
          </w:tcPr>
          <w:p>
            <w:pPr>
              <w:spacing w:after="0" w:line="216" w:lineRule="exact"/>
              <w:rPr>
                <w:rFonts w:ascii="Arial" w:cs="Arial" w:eastAsia="Arial" w:hAnsi="Arial"/>
                <w:sz w:val="20"/>
                <w:szCs w:val="20"/>
                <w:color w:val="0000EE"/>
                <w:w w:val="91"/>
              </w:rPr>
            </w:pPr>
            <w:hyperlink w:anchor="page197">
              <w:r>
                <w:rPr>
                  <w:rFonts w:ascii="Arial" w:cs="Arial" w:eastAsia="Arial" w:hAnsi="Arial"/>
                  <w:sz w:val="20"/>
                  <w:szCs w:val="20"/>
                  <w:color w:val="0000EE"/>
                  <w:w w:val="91"/>
                </w:rPr>
                <w:t>Ratio of Earnings to Fixed Charges. Filed herewith.</w:t>
              </w:r>
            </w:hyperlink>
          </w:p>
        </w:tc>
        <w:tc>
          <w:tcPr>
            <w:tcW w:w="5880" w:type="dxa"/>
            <w:vAlign w:val="bottom"/>
            <w:gridSpan w:val="27"/>
          </w:tcPr>
          <w:p>
            <w:pPr>
              <w:spacing w:after="0"/>
              <w:rPr>
                <w:sz w:val="18"/>
                <w:szCs w:val="18"/>
                <w:color w:val="auto"/>
              </w:rPr>
            </w:pPr>
          </w:p>
        </w:tc>
      </w:tr>
      <w:tr>
        <w:trPr>
          <w:trHeight w:val="217"/>
        </w:trPr>
        <w:tc>
          <w:tcPr>
            <w:tcW w:w="1400" w:type="dxa"/>
            <w:vAlign w:val="bottom"/>
          </w:tcPr>
          <w:p>
            <w:pPr>
              <w:ind w:left="140"/>
              <w:spacing w:after="0" w:line="216" w:lineRule="exact"/>
              <w:rPr>
                <w:sz w:val="20"/>
                <w:szCs w:val="20"/>
                <w:color w:val="auto"/>
              </w:rPr>
            </w:pPr>
            <w:r>
              <w:rPr>
                <w:rFonts w:ascii="Arial" w:cs="Arial" w:eastAsia="Arial" w:hAnsi="Arial"/>
                <w:sz w:val="20"/>
                <w:szCs w:val="20"/>
                <w:color w:val="auto"/>
              </w:rPr>
              <w:t>21.1</w:t>
            </w:r>
          </w:p>
        </w:tc>
        <w:tc>
          <w:tcPr>
            <w:tcW w:w="9680" w:type="dxa"/>
            <w:vAlign w:val="bottom"/>
            <w:tcBorders>
              <w:bottom w:val="single" w:sz="8" w:color="0000EE"/>
            </w:tcBorders>
            <w:gridSpan w:val="21"/>
          </w:tcPr>
          <w:p>
            <w:pPr>
              <w:spacing w:after="0" w:line="216" w:lineRule="exact"/>
              <w:rPr>
                <w:rFonts w:ascii="Arial" w:cs="Arial" w:eastAsia="Arial" w:hAnsi="Arial"/>
                <w:sz w:val="20"/>
                <w:szCs w:val="20"/>
                <w:color w:val="0000EE"/>
                <w:w w:val="91"/>
              </w:rPr>
            </w:pPr>
            <w:hyperlink w:anchor="page4">
              <w:r>
                <w:rPr>
                  <w:rFonts w:ascii="Arial" w:cs="Arial" w:eastAsia="Arial" w:hAnsi="Arial"/>
                  <w:sz w:val="20"/>
                  <w:szCs w:val="20"/>
                  <w:color w:val="0000EE"/>
                  <w:w w:val="91"/>
                </w:rPr>
                <w:t>Subsidiaries of the Registrant. Incorporated by reference to the caption “Subsidiaries” contained in Part I, Item 1 hereof.</w:t>
              </w:r>
            </w:hyperlink>
          </w:p>
        </w:tc>
        <w:tc>
          <w:tcPr>
            <w:tcW w:w="360" w:type="dxa"/>
            <w:vAlign w:val="bottom"/>
            <w:gridSpan w:val="11"/>
          </w:tcPr>
          <w:p>
            <w:pPr>
              <w:spacing w:after="0"/>
              <w:rPr>
                <w:sz w:val="18"/>
                <w:szCs w:val="18"/>
                <w:color w:val="auto"/>
              </w:rPr>
            </w:pPr>
          </w:p>
        </w:tc>
      </w:tr>
      <w:tr>
        <w:trPr>
          <w:trHeight w:val="217"/>
        </w:trPr>
        <w:tc>
          <w:tcPr>
            <w:tcW w:w="1400" w:type="dxa"/>
            <w:vAlign w:val="bottom"/>
          </w:tcPr>
          <w:p>
            <w:pPr>
              <w:ind w:left="140"/>
              <w:spacing w:after="0" w:line="216" w:lineRule="exact"/>
              <w:rPr>
                <w:sz w:val="20"/>
                <w:szCs w:val="20"/>
                <w:color w:val="auto"/>
              </w:rPr>
            </w:pPr>
            <w:r>
              <w:rPr>
                <w:rFonts w:ascii="Arial" w:cs="Arial" w:eastAsia="Arial" w:hAnsi="Arial"/>
                <w:sz w:val="20"/>
                <w:szCs w:val="20"/>
                <w:color w:val="auto"/>
              </w:rPr>
              <w:t>23.1</w:t>
            </w:r>
          </w:p>
        </w:tc>
        <w:tc>
          <w:tcPr>
            <w:tcW w:w="10040" w:type="dxa"/>
            <w:vAlign w:val="bottom"/>
            <w:gridSpan w:val="32"/>
          </w:tcPr>
          <w:p>
            <w:pPr>
              <w:spacing w:after="0" w:line="216" w:lineRule="exact"/>
              <w:rPr>
                <w:rFonts w:ascii="Arial" w:cs="Arial" w:eastAsia="Arial" w:hAnsi="Arial"/>
                <w:sz w:val="20"/>
                <w:szCs w:val="20"/>
                <w:color w:val="0000EE"/>
                <w:w w:val="91"/>
              </w:rPr>
            </w:pPr>
            <w:hyperlink w:anchor="page198">
              <w:r>
                <w:rPr>
                  <w:rFonts w:ascii="Arial" w:cs="Arial" w:eastAsia="Arial" w:hAnsi="Arial"/>
                  <w:sz w:val="20"/>
                  <w:szCs w:val="20"/>
                  <w:color w:val="0000EE"/>
                  <w:w w:val="91"/>
                </w:rPr>
                <w:t>Consent of PricewaterhouseCoopers LLP re: Registration Statements on Form S-8 (Nos. 33-32044, 333-43175, 333-16077,</w:t>
              </w:r>
            </w:hyperlink>
          </w:p>
        </w:tc>
      </w:tr>
      <w:tr>
        <w:trPr>
          <w:trHeight w:val="217"/>
        </w:trPr>
        <w:tc>
          <w:tcPr>
            <w:tcW w:w="1400" w:type="dxa"/>
            <w:vAlign w:val="bottom"/>
          </w:tcPr>
          <w:p>
            <w:pPr>
              <w:spacing w:after="0"/>
              <w:rPr>
                <w:sz w:val="18"/>
                <w:szCs w:val="18"/>
                <w:color w:val="auto"/>
              </w:rPr>
            </w:pPr>
          </w:p>
        </w:tc>
        <w:tc>
          <w:tcPr>
            <w:tcW w:w="9820" w:type="dxa"/>
            <w:vAlign w:val="bottom"/>
            <w:tcBorders>
              <w:top w:val="single" w:sz="8" w:color="0000EE"/>
              <w:bottom w:val="single" w:sz="8" w:color="0000EE"/>
            </w:tcBorders>
            <w:gridSpan w:val="24"/>
          </w:tcPr>
          <w:p>
            <w:pPr>
              <w:spacing w:after="0" w:line="216" w:lineRule="exact"/>
              <w:rPr>
                <w:rFonts w:ascii="Arial" w:cs="Arial" w:eastAsia="Arial" w:hAnsi="Arial"/>
                <w:sz w:val="20"/>
                <w:szCs w:val="20"/>
                <w:color w:val="0000EE"/>
                <w:w w:val="90"/>
              </w:rPr>
            </w:pPr>
            <w:hyperlink w:anchor="page198">
              <w:r>
                <w:rPr>
                  <w:rFonts w:ascii="Arial" w:cs="Arial" w:eastAsia="Arial" w:hAnsi="Arial"/>
                  <w:sz w:val="20"/>
                  <w:szCs w:val="20"/>
                  <w:color w:val="0000EE"/>
                  <w:w w:val="90"/>
                </w:rPr>
                <w:t>333-40640, 333-84384, 333-127406, 333-150122, 333-164015, 333-163992, 333-160769, 333-159795, 333-170740, 333-</w:t>
              </w:r>
            </w:hyperlink>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7"/>
        </w:trPr>
        <w:tc>
          <w:tcPr>
            <w:tcW w:w="1400" w:type="dxa"/>
            <w:vAlign w:val="bottom"/>
          </w:tcPr>
          <w:p>
            <w:pPr>
              <w:spacing w:after="0"/>
              <w:rPr>
                <w:sz w:val="18"/>
                <w:szCs w:val="18"/>
                <w:color w:val="auto"/>
              </w:rPr>
            </w:pPr>
          </w:p>
        </w:tc>
        <w:tc>
          <w:tcPr>
            <w:tcW w:w="9600" w:type="dxa"/>
            <w:vAlign w:val="bottom"/>
            <w:tcBorders>
              <w:bottom w:val="single" w:sz="8" w:color="0000EE"/>
            </w:tcBorders>
            <w:gridSpan w:val="20"/>
          </w:tcPr>
          <w:p>
            <w:pPr>
              <w:spacing w:after="0" w:line="216" w:lineRule="exact"/>
              <w:rPr>
                <w:rFonts w:ascii="Arial" w:cs="Arial" w:eastAsia="Arial" w:hAnsi="Arial"/>
                <w:sz w:val="20"/>
                <w:szCs w:val="20"/>
                <w:color w:val="0000EE"/>
                <w:w w:val="90"/>
              </w:rPr>
            </w:pPr>
            <w:hyperlink w:anchor="page198">
              <w:r>
                <w:rPr>
                  <w:rFonts w:ascii="Arial" w:cs="Arial" w:eastAsia="Arial" w:hAnsi="Arial"/>
                  <w:sz w:val="20"/>
                  <w:szCs w:val="20"/>
                  <w:color w:val="0000EE"/>
                  <w:w w:val="90"/>
                </w:rPr>
                <w:t>189099, 333-184504, 333-189097 and 333-184411) and Form S-3 (Nos. 333-182348 and 333-207030). Filed herewith.</w:t>
              </w:r>
            </w:hyperlink>
          </w:p>
        </w:tc>
        <w:tc>
          <w:tcPr>
            <w:tcW w:w="440" w:type="dxa"/>
            <w:vAlign w:val="bottom"/>
            <w:gridSpan w:val="12"/>
          </w:tcPr>
          <w:p>
            <w:pPr>
              <w:spacing w:after="0"/>
              <w:rPr>
                <w:sz w:val="18"/>
                <w:szCs w:val="18"/>
                <w:color w:val="auto"/>
              </w:rPr>
            </w:pPr>
          </w:p>
        </w:tc>
      </w:tr>
      <w:tr>
        <w:trPr>
          <w:trHeight w:val="217"/>
        </w:trPr>
        <w:tc>
          <w:tcPr>
            <w:tcW w:w="1400" w:type="dxa"/>
            <w:vAlign w:val="bottom"/>
          </w:tcPr>
          <w:p>
            <w:pPr>
              <w:ind w:left="140"/>
              <w:spacing w:after="0" w:line="216" w:lineRule="exact"/>
              <w:rPr>
                <w:sz w:val="20"/>
                <w:szCs w:val="20"/>
                <w:color w:val="auto"/>
              </w:rPr>
            </w:pPr>
            <w:r>
              <w:rPr>
                <w:rFonts w:ascii="Arial" w:cs="Arial" w:eastAsia="Arial" w:hAnsi="Arial"/>
                <w:sz w:val="20"/>
                <w:szCs w:val="20"/>
                <w:color w:val="auto"/>
              </w:rPr>
              <w:t>31.1</w:t>
            </w:r>
          </w:p>
        </w:tc>
        <w:tc>
          <w:tcPr>
            <w:tcW w:w="10040" w:type="dxa"/>
            <w:vAlign w:val="bottom"/>
            <w:gridSpan w:val="32"/>
          </w:tcPr>
          <w:p>
            <w:pPr>
              <w:spacing w:after="0" w:line="216" w:lineRule="exact"/>
              <w:rPr>
                <w:rFonts w:ascii="Arial" w:cs="Arial" w:eastAsia="Arial" w:hAnsi="Arial"/>
                <w:sz w:val="20"/>
                <w:szCs w:val="20"/>
                <w:color w:val="0000EE"/>
              </w:rPr>
            </w:pPr>
            <w:hyperlink w:anchor="page199">
              <w:r>
                <w:rPr>
                  <w:rFonts w:ascii="Arial" w:cs="Arial" w:eastAsia="Arial" w:hAnsi="Arial"/>
                  <w:sz w:val="20"/>
                  <w:szCs w:val="20"/>
                  <w:color w:val="0000EE"/>
                </w:rPr>
                <w:t>Certification of Chief Executive Officer under Section 302 of the Sarbanes-Oxley Act of 2002. Filed herewith.</w:t>
              </w:r>
            </w:hyperlink>
          </w:p>
        </w:tc>
      </w:tr>
      <w:tr>
        <w:trPr>
          <w:trHeight w:val="217"/>
        </w:trPr>
        <w:tc>
          <w:tcPr>
            <w:tcW w:w="1400" w:type="dxa"/>
            <w:vAlign w:val="bottom"/>
          </w:tcPr>
          <w:p>
            <w:pPr>
              <w:ind w:left="140"/>
              <w:spacing w:after="0" w:line="216" w:lineRule="exact"/>
              <w:rPr>
                <w:sz w:val="20"/>
                <w:szCs w:val="20"/>
                <w:color w:val="auto"/>
              </w:rPr>
            </w:pPr>
            <w:r>
              <w:rPr>
                <w:rFonts w:ascii="Arial" w:cs="Arial" w:eastAsia="Arial" w:hAnsi="Arial"/>
                <w:sz w:val="20"/>
                <w:szCs w:val="20"/>
                <w:color w:val="auto"/>
              </w:rPr>
              <w:t>31.2</w:t>
            </w:r>
          </w:p>
        </w:tc>
        <w:tc>
          <w:tcPr>
            <w:tcW w:w="8860" w:type="dxa"/>
            <w:vAlign w:val="bottom"/>
            <w:tcBorders>
              <w:top w:val="single" w:sz="8" w:color="0000EE"/>
              <w:bottom w:val="single" w:sz="8" w:color="0000EE"/>
            </w:tcBorders>
            <w:gridSpan w:val="13"/>
          </w:tcPr>
          <w:p>
            <w:pPr>
              <w:spacing w:after="0" w:line="216" w:lineRule="exact"/>
              <w:rPr>
                <w:rFonts w:ascii="Arial" w:cs="Arial" w:eastAsia="Arial" w:hAnsi="Arial"/>
                <w:sz w:val="20"/>
                <w:szCs w:val="20"/>
                <w:color w:val="0000EE"/>
                <w:w w:val="93"/>
              </w:rPr>
            </w:pPr>
            <w:hyperlink w:anchor="page200">
              <w:r>
                <w:rPr>
                  <w:rFonts w:ascii="Arial" w:cs="Arial" w:eastAsia="Arial" w:hAnsi="Arial"/>
                  <w:sz w:val="20"/>
                  <w:szCs w:val="20"/>
                  <w:color w:val="0000EE"/>
                  <w:w w:val="93"/>
                </w:rPr>
                <w:t>Certification of Chief Financial Officer under Section 302 of the Sarbanes-Oxley Act of 2002. Filed herewith.</w:t>
              </w:r>
            </w:hyperlink>
          </w:p>
        </w:tc>
        <w:tc>
          <w:tcPr>
            <w:tcW w:w="40" w:type="dxa"/>
            <w:vAlign w:val="bottom"/>
            <w:tcBorders>
              <w:top w:val="single" w:sz="8" w:color="0000EE"/>
            </w:tcBorders>
          </w:tcPr>
          <w:p>
            <w:pPr>
              <w:spacing w:after="0"/>
              <w:rPr>
                <w:sz w:val="18"/>
                <w:szCs w:val="18"/>
                <w:color w:val="auto"/>
              </w:rPr>
            </w:pPr>
          </w:p>
        </w:tc>
        <w:tc>
          <w:tcPr>
            <w:tcW w:w="1140" w:type="dxa"/>
            <w:vAlign w:val="bottom"/>
            <w:gridSpan w:val="18"/>
          </w:tcPr>
          <w:p>
            <w:pPr>
              <w:spacing w:after="0"/>
              <w:rPr>
                <w:sz w:val="18"/>
                <w:szCs w:val="18"/>
                <w:color w:val="auto"/>
              </w:rPr>
            </w:pPr>
          </w:p>
        </w:tc>
      </w:tr>
      <w:tr>
        <w:trPr>
          <w:trHeight w:val="217"/>
        </w:trPr>
        <w:tc>
          <w:tcPr>
            <w:tcW w:w="1400" w:type="dxa"/>
            <w:vAlign w:val="bottom"/>
          </w:tcPr>
          <w:p>
            <w:pPr>
              <w:ind w:left="140"/>
              <w:spacing w:after="0" w:line="216" w:lineRule="exact"/>
              <w:rPr>
                <w:sz w:val="20"/>
                <w:szCs w:val="20"/>
                <w:color w:val="auto"/>
              </w:rPr>
            </w:pPr>
            <w:r>
              <w:rPr>
                <w:rFonts w:ascii="Arial" w:cs="Arial" w:eastAsia="Arial" w:hAnsi="Arial"/>
                <w:sz w:val="20"/>
                <w:szCs w:val="20"/>
                <w:color w:val="auto"/>
              </w:rPr>
              <w:t>32.1</w:t>
            </w:r>
          </w:p>
        </w:tc>
        <w:tc>
          <w:tcPr>
            <w:tcW w:w="10040" w:type="dxa"/>
            <w:vAlign w:val="bottom"/>
            <w:gridSpan w:val="32"/>
          </w:tcPr>
          <w:p>
            <w:pPr>
              <w:spacing w:after="0" w:line="216" w:lineRule="exact"/>
              <w:rPr>
                <w:rFonts w:ascii="Arial" w:cs="Arial" w:eastAsia="Arial" w:hAnsi="Arial"/>
                <w:sz w:val="20"/>
                <w:szCs w:val="20"/>
                <w:color w:val="0000EE"/>
                <w:w w:val="92"/>
              </w:rPr>
            </w:pPr>
            <w:hyperlink w:anchor="page201">
              <w:r>
                <w:rPr>
                  <w:rFonts w:ascii="Arial" w:cs="Arial" w:eastAsia="Arial" w:hAnsi="Arial"/>
                  <w:sz w:val="20"/>
                  <w:szCs w:val="20"/>
                  <w:color w:val="0000EE"/>
                  <w:w w:val="92"/>
                </w:rPr>
                <w:t>Certification of Chief Executive Officer under 18 U.S.C. §1350 pursuant to Section 906 of the Sarbanes-Oxley Act of 2002.</w:t>
              </w:r>
            </w:hyperlink>
          </w:p>
        </w:tc>
      </w:tr>
      <w:tr>
        <w:trPr>
          <w:trHeight w:val="217"/>
        </w:trPr>
        <w:tc>
          <w:tcPr>
            <w:tcW w:w="1400" w:type="dxa"/>
            <w:vAlign w:val="bottom"/>
          </w:tcPr>
          <w:p>
            <w:pPr>
              <w:spacing w:after="0"/>
              <w:rPr>
                <w:sz w:val="18"/>
                <w:szCs w:val="18"/>
                <w:color w:val="auto"/>
              </w:rPr>
            </w:pPr>
          </w:p>
        </w:tc>
        <w:tc>
          <w:tcPr>
            <w:tcW w:w="1240" w:type="dxa"/>
            <w:vAlign w:val="bottom"/>
            <w:tcBorders>
              <w:top w:val="single" w:sz="8" w:color="0000EE"/>
              <w:bottom w:val="single" w:sz="8" w:color="0000EE"/>
            </w:tcBorders>
            <w:gridSpan w:val="2"/>
          </w:tcPr>
          <w:p>
            <w:pPr>
              <w:spacing w:after="0" w:line="216" w:lineRule="exact"/>
              <w:rPr>
                <w:rFonts w:ascii="Arial" w:cs="Arial" w:eastAsia="Arial" w:hAnsi="Arial"/>
                <w:sz w:val="20"/>
                <w:szCs w:val="20"/>
                <w:color w:val="0000EE"/>
                <w:w w:val="93"/>
              </w:rPr>
            </w:pPr>
            <w:hyperlink w:anchor="page201">
              <w:r>
                <w:rPr>
                  <w:rFonts w:ascii="Arial" w:cs="Arial" w:eastAsia="Arial" w:hAnsi="Arial"/>
                  <w:sz w:val="20"/>
                  <w:szCs w:val="20"/>
                  <w:color w:val="0000EE"/>
                  <w:w w:val="93"/>
                </w:rPr>
                <w:t>Filed herewith.</w:t>
              </w:r>
            </w:hyperlink>
          </w:p>
        </w:tc>
        <w:tc>
          <w:tcPr>
            <w:tcW w:w="8740" w:type="dxa"/>
            <w:vAlign w:val="bottom"/>
            <w:tcBorders>
              <w:top w:val="single" w:sz="8" w:color="0000EE"/>
            </w:tcBorders>
            <w:gridSpan w:val="28"/>
          </w:tcPr>
          <w:p>
            <w:pPr>
              <w:spacing w:after="0"/>
              <w:rPr>
                <w:sz w:val="18"/>
                <w:szCs w:val="18"/>
                <w:color w:val="auto"/>
              </w:rPr>
            </w:pPr>
          </w:p>
        </w:tc>
        <w:tc>
          <w:tcPr>
            <w:tcW w:w="60" w:type="dxa"/>
            <w:vAlign w:val="bottom"/>
            <w:gridSpan w:val="2"/>
          </w:tcPr>
          <w:p>
            <w:pPr>
              <w:spacing w:after="0"/>
              <w:rPr>
                <w:sz w:val="18"/>
                <w:szCs w:val="18"/>
                <w:color w:val="auto"/>
              </w:rPr>
            </w:pPr>
          </w:p>
        </w:tc>
      </w:tr>
      <w:tr>
        <w:trPr>
          <w:trHeight w:val="217"/>
        </w:trPr>
        <w:tc>
          <w:tcPr>
            <w:tcW w:w="1400" w:type="dxa"/>
            <w:vAlign w:val="bottom"/>
          </w:tcPr>
          <w:p>
            <w:pPr>
              <w:ind w:left="140"/>
              <w:spacing w:after="0" w:line="216" w:lineRule="exact"/>
              <w:rPr>
                <w:sz w:val="20"/>
                <w:szCs w:val="20"/>
                <w:color w:val="auto"/>
              </w:rPr>
            </w:pPr>
            <w:r>
              <w:rPr>
                <w:rFonts w:ascii="Arial" w:cs="Arial" w:eastAsia="Arial" w:hAnsi="Arial"/>
                <w:sz w:val="20"/>
                <w:szCs w:val="20"/>
                <w:color w:val="auto"/>
              </w:rPr>
              <w:t>32.2</w:t>
            </w:r>
          </w:p>
        </w:tc>
        <w:tc>
          <w:tcPr>
            <w:tcW w:w="9940" w:type="dxa"/>
            <w:vAlign w:val="bottom"/>
            <w:tcBorders>
              <w:bottom w:val="single" w:sz="8" w:color="0000EE"/>
            </w:tcBorders>
            <w:gridSpan w:val="28"/>
          </w:tcPr>
          <w:p>
            <w:pPr>
              <w:spacing w:after="0" w:line="216" w:lineRule="exact"/>
              <w:rPr>
                <w:rFonts w:ascii="Arial" w:cs="Arial" w:eastAsia="Arial" w:hAnsi="Arial"/>
                <w:sz w:val="20"/>
                <w:szCs w:val="20"/>
                <w:color w:val="0000EE"/>
                <w:w w:val="92"/>
              </w:rPr>
            </w:pPr>
            <w:hyperlink w:anchor="page202">
              <w:r>
                <w:rPr>
                  <w:rFonts w:ascii="Arial" w:cs="Arial" w:eastAsia="Arial" w:hAnsi="Arial"/>
                  <w:sz w:val="20"/>
                  <w:szCs w:val="20"/>
                  <w:color w:val="0000EE"/>
                  <w:w w:val="92"/>
                </w:rPr>
                <w:t>Certification of Chief Financial Officer under 18 U.S.C. §1350 pursuant to Section 906 of the Sarbanes-Oxley Act of 2002.</w:t>
              </w:r>
            </w:hyperlink>
          </w:p>
        </w:tc>
        <w:tc>
          <w:tcPr>
            <w:tcW w:w="100" w:type="dxa"/>
            <w:vAlign w:val="bottom"/>
            <w:gridSpan w:val="4"/>
          </w:tcPr>
          <w:p>
            <w:pPr>
              <w:spacing w:after="0"/>
              <w:rPr>
                <w:sz w:val="18"/>
                <w:szCs w:val="18"/>
                <w:color w:val="auto"/>
              </w:rPr>
            </w:pPr>
          </w:p>
        </w:tc>
      </w:tr>
      <w:tr>
        <w:trPr>
          <w:trHeight w:val="217"/>
        </w:trPr>
        <w:tc>
          <w:tcPr>
            <w:tcW w:w="1400" w:type="dxa"/>
            <w:vAlign w:val="bottom"/>
          </w:tcPr>
          <w:p>
            <w:pPr>
              <w:spacing w:after="0"/>
              <w:rPr>
                <w:sz w:val="18"/>
                <w:szCs w:val="18"/>
                <w:color w:val="auto"/>
              </w:rPr>
            </w:pPr>
          </w:p>
        </w:tc>
        <w:tc>
          <w:tcPr>
            <w:tcW w:w="1220" w:type="dxa"/>
            <w:vAlign w:val="bottom"/>
            <w:tcBorders>
              <w:bottom w:val="single" w:sz="8" w:color="0000EE"/>
            </w:tcBorders>
          </w:tcPr>
          <w:p>
            <w:pPr>
              <w:spacing w:after="0" w:line="216" w:lineRule="exact"/>
              <w:rPr>
                <w:rFonts w:ascii="Arial" w:cs="Arial" w:eastAsia="Arial" w:hAnsi="Arial"/>
                <w:sz w:val="20"/>
                <w:szCs w:val="20"/>
                <w:color w:val="0000EE"/>
                <w:w w:val="92"/>
              </w:rPr>
            </w:pPr>
            <w:hyperlink w:anchor="page202">
              <w:r>
                <w:rPr>
                  <w:rFonts w:ascii="Arial" w:cs="Arial" w:eastAsia="Arial" w:hAnsi="Arial"/>
                  <w:sz w:val="20"/>
                  <w:szCs w:val="20"/>
                  <w:color w:val="0000EE"/>
                  <w:w w:val="92"/>
                </w:rPr>
                <w:t>Filed herewith.</w:t>
              </w:r>
            </w:hyperlink>
          </w:p>
        </w:tc>
        <w:tc>
          <w:tcPr>
            <w:tcW w:w="8820" w:type="dxa"/>
            <w:vAlign w:val="bottom"/>
            <w:gridSpan w:val="31"/>
          </w:tcPr>
          <w:p>
            <w:pPr>
              <w:spacing w:after="0"/>
              <w:rPr>
                <w:sz w:val="18"/>
                <w:szCs w:val="18"/>
                <w:color w:val="auto"/>
              </w:rPr>
            </w:pPr>
          </w:p>
        </w:tc>
      </w:tr>
      <w:tr>
        <w:trPr>
          <w:trHeight w:val="439"/>
        </w:trPr>
        <w:tc>
          <w:tcPr>
            <w:tcW w:w="1400" w:type="dxa"/>
            <w:vAlign w:val="bottom"/>
          </w:tcPr>
          <w:p>
            <w:pPr>
              <w:spacing w:after="0"/>
              <w:rPr>
                <w:sz w:val="24"/>
                <w:szCs w:val="24"/>
                <w:color w:val="auto"/>
              </w:rPr>
            </w:pPr>
          </w:p>
        </w:tc>
        <w:tc>
          <w:tcPr>
            <w:tcW w:w="5100" w:type="dxa"/>
            <w:vAlign w:val="bottom"/>
            <w:gridSpan w:val="7"/>
          </w:tcPr>
          <w:p>
            <w:pPr>
              <w:ind w:left="4180"/>
              <w:spacing w:after="0"/>
              <w:rPr>
                <w:sz w:val="20"/>
                <w:szCs w:val="20"/>
                <w:color w:val="auto"/>
              </w:rPr>
            </w:pPr>
            <w:r>
              <w:rPr>
                <w:rFonts w:ascii="Arial" w:cs="Arial" w:eastAsia="Arial" w:hAnsi="Arial"/>
                <w:sz w:val="18"/>
                <w:szCs w:val="18"/>
                <w:color w:val="auto"/>
              </w:rPr>
              <w:t>193</w:t>
            </w: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2"/>
        </w:trPr>
        <w:tc>
          <w:tcPr>
            <w:tcW w:w="140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26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317" w:right="219" w:bottom="1440" w:gutter="0" w:footer="0" w:header="0"/>
        </w:sectPr>
      </w:pPr>
    </w:p>
    <w:bookmarkStart w:id="193" w:name="page194"/>
    <w:bookmarkEnd w:id="193"/>
    <w:tbl>
      <w:tblPr>
        <w:tblLayout w:type="fixed"/>
        <w:tblInd w:w="140" w:type="dxa"/>
        <w:tblCellMar>
          <w:top w:w="0" w:type="dxa"/>
          <w:left w:w="0" w:type="dxa"/>
          <w:bottom w:w="0" w:type="dxa"/>
          <w:right w:w="0" w:type="dxa"/>
        </w:tblCellMar>
      </w:tblPr>
      <w:tr>
        <w:trPr>
          <w:trHeight w:val="237"/>
        </w:trPr>
        <w:tc>
          <w:tcPr>
            <w:tcW w:w="1000" w:type="dxa"/>
            <w:vAlign w:val="bottom"/>
          </w:tcPr>
          <w:p>
            <w:pPr>
              <w:spacing w:after="0"/>
              <w:rPr>
                <w:sz w:val="20"/>
                <w:szCs w:val="20"/>
                <w:color w:val="auto"/>
              </w:rPr>
            </w:pPr>
            <w:r>
              <w:rPr>
                <w:rFonts w:ascii="Arial" w:cs="Arial" w:eastAsia="Arial" w:hAnsi="Arial"/>
                <w:sz w:val="20"/>
                <w:szCs w:val="20"/>
                <w:color w:val="auto"/>
              </w:rPr>
              <w:t>101.INS</w:t>
            </w:r>
          </w:p>
        </w:tc>
        <w:tc>
          <w:tcPr>
            <w:tcW w:w="5700" w:type="dxa"/>
            <w:vAlign w:val="bottom"/>
          </w:tcPr>
          <w:p>
            <w:pPr>
              <w:ind w:left="260"/>
              <w:spacing w:after="0"/>
              <w:rPr>
                <w:sz w:val="20"/>
                <w:szCs w:val="20"/>
                <w:color w:val="auto"/>
              </w:rPr>
            </w:pPr>
            <w:r>
              <w:rPr>
                <w:rFonts w:ascii="Arial" w:cs="Arial" w:eastAsia="Arial" w:hAnsi="Arial"/>
                <w:sz w:val="20"/>
                <w:szCs w:val="20"/>
                <w:color w:val="auto"/>
              </w:rPr>
              <w:t>XBRL Instance Document. Filed herewith.</w:t>
            </w:r>
          </w:p>
        </w:tc>
      </w:tr>
      <w:tr>
        <w:trPr>
          <w:trHeight w:val="237"/>
        </w:trPr>
        <w:tc>
          <w:tcPr>
            <w:tcW w:w="1000" w:type="dxa"/>
            <w:vAlign w:val="bottom"/>
          </w:tcPr>
          <w:p>
            <w:pPr>
              <w:spacing w:after="0"/>
              <w:rPr>
                <w:sz w:val="20"/>
                <w:szCs w:val="20"/>
                <w:color w:val="auto"/>
              </w:rPr>
            </w:pPr>
            <w:r>
              <w:rPr>
                <w:rFonts w:ascii="Arial" w:cs="Arial" w:eastAsia="Arial" w:hAnsi="Arial"/>
                <w:sz w:val="20"/>
                <w:szCs w:val="20"/>
                <w:color w:val="auto"/>
              </w:rPr>
              <w:t>101.SCH</w:t>
            </w:r>
          </w:p>
        </w:tc>
        <w:tc>
          <w:tcPr>
            <w:tcW w:w="5700" w:type="dxa"/>
            <w:vAlign w:val="bottom"/>
          </w:tcPr>
          <w:p>
            <w:pPr>
              <w:ind w:left="260"/>
              <w:spacing w:after="0"/>
              <w:rPr>
                <w:sz w:val="20"/>
                <w:szCs w:val="20"/>
                <w:color w:val="auto"/>
              </w:rPr>
            </w:pPr>
            <w:r>
              <w:rPr>
                <w:rFonts w:ascii="Arial" w:cs="Arial" w:eastAsia="Arial" w:hAnsi="Arial"/>
                <w:sz w:val="20"/>
                <w:szCs w:val="20"/>
                <w:color w:val="auto"/>
              </w:rPr>
              <w:t>XBRL Taxonomy Extension Schema. Filed herewith.</w:t>
            </w:r>
          </w:p>
        </w:tc>
      </w:tr>
      <w:tr>
        <w:trPr>
          <w:trHeight w:val="237"/>
        </w:trPr>
        <w:tc>
          <w:tcPr>
            <w:tcW w:w="1000" w:type="dxa"/>
            <w:vAlign w:val="bottom"/>
          </w:tcPr>
          <w:p>
            <w:pPr>
              <w:spacing w:after="0"/>
              <w:rPr>
                <w:sz w:val="20"/>
                <w:szCs w:val="20"/>
                <w:color w:val="auto"/>
              </w:rPr>
            </w:pPr>
            <w:r>
              <w:rPr>
                <w:rFonts w:ascii="Arial" w:cs="Arial" w:eastAsia="Arial" w:hAnsi="Arial"/>
                <w:sz w:val="20"/>
                <w:szCs w:val="20"/>
                <w:color w:val="auto"/>
              </w:rPr>
              <w:t>101.CAL</w:t>
            </w:r>
          </w:p>
        </w:tc>
        <w:tc>
          <w:tcPr>
            <w:tcW w:w="5700" w:type="dxa"/>
            <w:vAlign w:val="bottom"/>
          </w:tcPr>
          <w:p>
            <w:pPr>
              <w:ind w:left="260"/>
              <w:spacing w:after="0"/>
              <w:rPr>
                <w:sz w:val="20"/>
                <w:szCs w:val="20"/>
                <w:color w:val="auto"/>
              </w:rPr>
            </w:pPr>
            <w:r>
              <w:rPr>
                <w:rFonts w:ascii="Arial" w:cs="Arial" w:eastAsia="Arial" w:hAnsi="Arial"/>
                <w:sz w:val="20"/>
                <w:szCs w:val="20"/>
                <w:color w:val="auto"/>
                <w:w w:val="94"/>
              </w:rPr>
              <w:t>XBRL Taxonomy Extension Calculation Linkbase. Filed herewith.</w:t>
            </w:r>
          </w:p>
        </w:tc>
      </w:tr>
      <w:tr>
        <w:trPr>
          <w:trHeight w:val="237"/>
        </w:trPr>
        <w:tc>
          <w:tcPr>
            <w:tcW w:w="1000" w:type="dxa"/>
            <w:vAlign w:val="bottom"/>
          </w:tcPr>
          <w:p>
            <w:pPr>
              <w:spacing w:after="0"/>
              <w:rPr>
                <w:sz w:val="20"/>
                <w:szCs w:val="20"/>
                <w:color w:val="auto"/>
              </w:rPr>
            </w:pPr>
            <w:r>
              <w:rPr>
                <w:rFonts w:ascii="Arial" w:cs="Arial" w:eastAsia="Arial" w:hAnsi="Arial"/>
                <w:sz w:val="20"/>
                <w:szCs w:val="20"/>
                <w:color w:val="auto"/>
              </w:rPr>
              <w:t>101.LAB</w:t>
            </w:r>
          </w:p>
        </w:tc>
        <w:tc>
          <w:tcPr>
            <w:tcW w:w="5700" w:type="dxa"/>
            <w:vAlign w:val="bottom"/>
          </w:tcPr>
          <w:p>
            <w:pPr>
              <w:ind w:left="260"/>
              <w:spacing w:after="0"/>
              <w:rPr>
                <w:sz w:val="20"/>
                <w:szCs w:val="20"/>
                <w:color w:val="auto"/>
              </w:rPr>
            </w:pPr>
            <w:r>
              <w:rPr>
                <w:rFonts w:ascii="Arial" w:cs="Arial" w:eastAsia="Arial" w:hAnsi="Arial"/>
                <w:sz w:val="20"/>
                <w:szCs w:val="20"/>
                <w:color w:val="auto"/>
              </w:rPr>
              <w:t>XBRL Taxonomy Extension Label Linkbase. Filed herewith.</w:t>
            </w:r>
          </w:p>
        </w:tc>
      </w:tr>
      <w:tr>
        <w:trPr>
          <w:trHeight w:val="237"/>
        </w:trPr>
        <w:tc>
          <w:tcPr>
            <w:tcW w:w="1000" w:type="dxa"/>
            <w:vAlign w:val="bottom"/>
          </w:tcPr>
          <w:p>
            <w:pPr>
              <w:spacing w:after="0"/>
              <w:rPr>
                <w:sz w:val="20"/>
                <w:szCs w:val="20"/>
                <w:color w:val="auto"/>
              </w:rPr>
            </w:pPr>
            <w:r>
              <w:rPr>
                <w:rFonts w:ascii="Arial" w:cs="Arial" w:eastAsia="Arial" w:hAnsi="Arial"/>
                <w:sz w:val="20"/>
                <w:szCs w:val="20"/>
                <w:color w:val="auto"/>
              </w:rPr>
              <w:t>101.PRE</w:t>
            </w:r>
          </w:p>
        </w:tc>
        <w:tc>
          <w:tcPr>
            <w:tcW w:w="5700" w:type="dxa"/>
            <w:vAlign w:val="bottom"/>
          </w:tcPr>
          <w:p>
            <w:pPr>
              <w:ind w:left="260"/>
              <w:spacing w:after="0"/>
              <w:rPr>
                <w:sz w:val="20"/>
                <w:szCs w:val="20"/>
                <w:color w:val="auto"/>
              </w:rPr>
            </w:pPr>
            <w:r>
              <w:rPr>
                <w:rFonts w:ascii="Arial" w:cs="Arial" w:eastAsia="Arial" w:hAnsi="Arial"/>
                <w:sz w:val="20"/>
                <w:szCs w:val="20"/>
                <w:color w:val="auto"/>
                <w:w w:val="91"/>
              </w:rPr>
              <w:t>XBRL Taxonomy Extension Presentation Linkbase. Filed herewith.</w:t>
            </w:r>
          </w:p>
        </w:tc>
      </w:tr>
      <w:tr>
        <w:trPr>
          <w:trHeight w:val="257"/>
        </w:trPr>
        <w:tc>
          <w:tcPr>
            <w:tcW w:w="1000" w:type="dxa"/>
            <w:vAlign w:val="bottom"/>
          </w:tcPr>
          <w:p>
            <w:pPr>
              <w:spacing w:after="0"/>
              <w:rPr>
                <w:sz w:val="20"/>
                <w:szCs w:val="20"/>
                <w:color w:val="auto"/>
              </w:rPr>
            </w:pPr>
            <w:r>
              <w:rPr>
                <w:rFonts w:ascii="Arial" w:cs="Arial" w:eastAsia="Arial" w:hAnsi="Arial"/>
                <w:sz w:val="20"/>
                <w:szCs w:val="20"/>
                <w:color w:val="auto"/>
              </w:rPr>
              <w:t>101.DEF</w:t>
            </w:r>
          </w:p>
        </w:tc>
        <w:tc>
          <w:tcPr>
            <w:tcW w:w="5700" w:type="dxa"/>
            <w:vAlign w:val="bottom"/>
          </w:tcPr>
          <w:p>
            <w:pPr>
              <w:ind w:left="260"/>
              <w:spacing w:after="0"/>
              <w:rPr>
                <w:sz w:val="20"/>
                <w:szCs w:val="20"/>
                <w:color w:val="auto"/>
              </w:rPr>
            </w:pPr>
            <w:r>
              <w:rPr>
                <w:rFonts w:ascii="Arial" w:cs="Arial" w:eastAsia="Arial" w:hAnsi="Arial"/>
                <w:sz w:val="20"/>
                <w:szCs w:val="20"/>
                <w:color w:val="auto"/>
              </w:rPr>
              <w:t>XBRL Taxonomy Definition Linkbase. Filed herewith.</w:t>
            </w:r>
          </w:p>
        </w:tc>
      </w:tr>
    </w:tbl>
    <w:p>
      <w:pPr>
        <w:spacing w:after="0" w:line="373" w:lineRule="exact"/>
        <w:rPr>
          <w:sz w:val="20"/>
          <w:szCs w:val="20"/>
          <w:color w:val="auto"/>
        </w:rPr>
      </w:pPr>
    </w:p>
    <w:p>
      <w:pPr>
        <w:ind w:left="1340" w:hanging="737"/>
        <w:spacing w:after="0"/>
        <w:tabs>
          <w:tab w:leader="none" w:pos="1340" w:val="left"/>
        </w:tabs>
        <w:numPr>
          <w:ilvl w:val="0"/>
          <w:numId w:val="63"/>
        </w:numPr>
        <w:rPr>
          <w:rFonts w:ascii="Arial" w:cs="Arial" w:eastAsia="Arial" w:hAnsi="Arial"/>
          <w:sz w:val="20"/>
          <w:szCs w:val="20"/>
          <w:color w:val="auto"/>
        </w:rPr>
      </w:pPr>
      <w:r>
        <w:rPr>
          <w:rFonts w:ascii="Arial" w:cs="Arial" w:eastAsia="Arial" w:hAnsi="Arial"/>
          <w:sz w:val="20"/>
          <w:szCs w:val="20"/>
          <w:i w:val="1"/>
          <w:iCs w:val="1"/>
          <w:color w:val="auto"/>
        </w:rPr>
        <w:t>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-145415</wp:posOffset>
            </wp:positionV>
            <wp:extent cx="136017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9">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223" w:lineRule="exact"/>
        <w:rPr>
          <w:sz w:val="20"/>
          <w:szCs w:val="20"/>
          <w:color w:val="auto"/>
        </w:rPr>
      </w:pPr>
    </w:p>
    <w:p>
      <w:pPr>
        <w:ind w:left="600"/>
        <w:spacing w:after="0"/>
        <w:rPr>
          <w:sz w:val="20"/>
          <w:szCs w:val="20"/>
          <w:color w:val="auto"/>
        </w:rPr>
      </w:pPr>
      <w:r>
        <w:rPr>
          <w:rFonts w:ascii="Arial" w:cs="Arial" w:eastAsia="Arial" w:hAnsi="Arial"/>
          <w:sz w:val="20"/>
          <w:szCs w:val="20"/>
          <w:color w:val="auto"/>
        </w:rPr>
        <w:t>(c) Additional financial statement schedules. None.</w:t>
      </w:r>
    </w:p>
    <w:p>
      <w:pPr>
        <w:spacing w:after="0" w:line="318" w:lineRule="exact"/>
        <w:rPr>
          <w:sz w:val="20"/>
          <w:szCs w:val="20"/>
          <w:color w:val="auto"/>
        </w:rPr>
      </w:pPr>
    </w:p>
    <w:p>
      <w:pPr>
        <w:spacing w:after="0"/>
        <w:tabs>
          <w:tab w:leader="none" w:pos="1160" w:val="left"/>
        </w:tabs>
        <w:rPr>
          <w:sz w:val="20"/>
          <w:szCs w:val="20"/>
          <w:color w:val="auto"/>
        </w:rPr>
      </w:pPr>
      <w:r>
        <w:rPr>
          <w:rFonts w:ascii="Arial" w:cs="Arial" w:eastAsia="Arial" w:hAnsi="Arial"/>
          <w:sz w:val="20"/>
          <w:szCs w:val="20"/>
          <w:b w:val="1"/>
          <w:bCs w:val="1"/>
          <w:color w:val="auto"/>
        </w:rPr>
        <w:t>Item 16.</w:t>
      </w:r>
      <w:r>
        <w:rPr>
          <w:sz w:val="20"/>
          <w:szCs w:val="20"/>
          <w:color w:val="auto"/>
        </w:rPr>
        <w:tab/>
      </w:r>
      <w:r>
        <w:rPr>
          <w:rFonts w:ascii="Arial" w:cs="Arial" w:eastAsia="Arial" w:hAnsi="Arial"/>
          <w:sz w:val="18"/>
          <w:szCs w:val="18"/>
          <w:b w:val="1"/>
          <w:bCs w:val="1"/>
          <w:i w:val="1"/>
          <w:iCs w:val="1"/>
          <w:color w:val="auto"/>
        </w:rPr>
        <w:t>Form 10-K Summary.</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1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0">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0219"/>
          </w:cols>
          <w:pgMar w:left="240" w:top="336" w:right="1440" w:bottom="1440" w:gutter="0" w:footer="0" w:header="0"/>
        </w:sectPr>
      </w:pPr>
    </w:p>
    <w:bookmarkStart w:id="194" w:name="page195"/>
    <w:bookmarkEnd w:id="194"/>
    <w:p>
      <w:pPr>
        <w:jc w:val="center"/>
        <w:spacing w:after="0"/>
        <w:rPr>
          <w:sz w:val="20"/>
          <w:szCs w:val="20"/>
          <w:color w:val="auto"/>
        </w:rPr>
      </w:pPr>
      <w:r>
        <w:rPr>
          <w:rFonts w:ascii="Arial" w:cs="Arial" w:eastAsia="Arial" w:hAnsi="Arial"/>
          <w:sz w:val="20"/>
          <w:szCs w:val="20"/>
          <w:b w:val="1"/>
          <w:bCs w:val="1"/>
          <w:color w:val="auto"/>
        </w:rPr>
        <w:t>Signatures</w:t>
      </w:r>
    </w:p>
    <w:p>
      <w:pPr>
        <w:spacing w:after="0" w:line="221" w:lineRule="exact"/>
        <w:rPr>
          <w:sz w:val="20"/>
          <w:szCs w:val="20"/>
          <w:color w:val="auto"/>
        </w:rPr>
      </w:pPr>
    </w:p>
    <w:p>
      <w:pPr>
        <w:ind w:right="180"/>
        <w:spacing w:after="0" w:line="275" w:lineRule="auto"/>
        <w:rPr>
          <w:sz w:val="20"/>
          <w:szCs w:val="20"/>
          <w:color w:val="auto"/>
        </w:rPr>
      </w:pPr>
      <w:r>
        <w:rPr>
          <w:rFonts w:ascii="Arial" w:cs="Arial" w:eastAsia="Arial" w:hAnsi="Arial"/>
          <w:sz w:val="20"/>
          <w:szCs w:val="20"/>
          <w:color w:val="auto"/>
        </w:rPr>
        <w:t>Pursuant to the requirements of Section 13 or 15(d) of the Securities Exchange Act of 1934, the Registrant has duly caused this report to be signed on its behalf by the undersigned, thereunto duly authorized, on the 22</w:t>
      </w:r>
      <w:r>
        <w:rPr>
          <w:rFonts w:ascii="Arial" w:cs="Arial" w:eastAsia="Arial" w:hAnsi="Arial"/>
          <w:sz w:val="17"/>
          <w:szCs w:val="17"/>
          <w:color w:val="auto"/>
        </w:rPr>
        <w:t>nd</w:t>
      </w:r>
      <w:r>
        <w:rPr>
          <w:rFonts w:ascii="Arial" w:cs="Arial" w:eastAsia="Arial" w:hAnsi="Arial"/>
          <w:sz w:val="20"/>
          <w:szCs w:val="20"/>
          <w:color w:val="auto"/>
        </w:rPr>
        <w:t xml:space="preserve"> day of February, 2018.</w:t>
      </w:r>
    </w:p>
    <w:p>
      <w:pPr>
        <w:spacing w:after="0" w:line="156" w:lineRule="exact"/>
        <w:rPr>
          <w:sz w:val="20"/>
          <w:szCs w:val="20"/>
          <w:color w:val="auto"/>
        </w:rPr>
      </w:pPr>
    </w:p>
    <w:p>
      <w:pPr>
        <w:ind w:left="6280"/>
        <w:spacing w:after="0"/>
        <w:rPr>
          <w:sz w:val="20"/>
          <w:szCs w:val="20"/>
          <w:color w:val="auto"/>
        </w:rPr>
      </w:pPr>
      <w:r>
        <w:rPr>
          <w:rFonts w:ascii="Arial" w:cs="Arial" w:eastAsia="Arial" w:hAnsi="Arial"/>
          <w:sz w:val="20"/>
          <w:szCs w:val="20"/>
          <w:color w:val="auto"/>
        </w:rPr>
        <w:t>M&amp;T BANK CORPORATION</w:t>
      </w:r>
    </w:p>
    <w:p>
      <w:pPr>
        <w:spacing w:after="0" w:line="217" w:lineRule="exact"/>
        <w:rPr>
          <w:sz w:val="20"/>
          <w:szCs w:val="20"/>
          <w:color w:val="auto"/>
        </w:rPr>
      </w:pPr>
    </w:p>
    <w:tbl>
      <w:tblPr>
        <w:tblLayout w:type="fixed"/>
        <w:tblInd w:w="6280" w:type="dxa"/>
        <w:tblCellMar>
          <w:top w:w="0" w:type="dxa"/>
          <w:left w:w="0" w:type="dxa"/>
          <w:bottom w:w="0" w:type="dxa"/>
          <w:right w:w="0" w:type="dxa"/>
        </w:tblCellMar>
      </w:tblPr>
      <w:tr>
        <w:trPr>
          <w:trHeight w:val="250"/>
        </w:trPr>
        <w:tc>
          <w:tcPr>
            <w:tcW w:w="500" w:type="dxa"/>
            <w:vAlign w:val="bottom"/>
          </w:tcPr>
          <w:p>
            <w:pPr>
              <w:spacing w:after="0"/>
              <w:rPr>
                <w:sz w:val="20"/>
                <w:szCs w:val="20"/>
                <w:color w:val="auto"/>
              </w:rPr>
            </w:pPr>
            <w:r>
              <w:rPr>
                <w:rFonts w:ascii="Arial" w:cs="Arial" w:eastAsia="Arial" w:hAnsi="Arial"/>
                <w:sz w:val="20"/>
                <w:szCs w:val="20"/>
                <w:color w:val="auto"/>
              </w:rPr>
              <w:t>By:</w:t>
            </w:r>
          </w:p>
        </w:tc>
        <w:tc>
          <w:tcPr>
            <w:tcW w:w="46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86"/>
              </w:rPr>
              <w:t>/</w:t>
            </w:r>
            <w:r>
              <w:rPr>
                <w:rFonts w:ascii="Arial" w:cs="Arial" w:eastAsia="Arial" w:hAnsi="Arial"/>
                <w:sz w:val="13"/>
                <w:szCs w:val="13"/>
                <w:color w:val="auto"/>
                <w:w w:val="86"/>
              </w:rPr>
              <w:t>S</w:t>
            </w:r>
            <w:r>
              <w:rPr>
                <w:rFonts w:ascii="Arial" w:cs="Arial" w:eastAsia="Arial" w:hAnsi="Arial"/>
                <w:sz w:val="20"/>
                <w:szCs w:val="20"/>
                <w:color w:val="auto"/>
                <w:w w:val="86"/>
              </w:rPr>
              <w:t>/ René F. Jones</w:t>
            </w:r>
          </w:p>
        </w:tc>
      </w:tr>
      <w:tr>
        <w:trPr>
          <w:trHeight w:val="216"/>
        </w:trPr>
        <w:tc>
          <w:tcPr>
            <w:tcW w:w="500" w:type="dxa"/>
            <w:vAlign w:val="bottom"/>
          </w:tcPr>
          <w:p>
            <w:pPr>
              <w:spacing w:after="0"/>
              <w:rPr>
                <w:sz w:val="18"/>
                <w:szCs w:val="18"/>
                <w:color w:val="auto"/>
              </w:rPr>
            </w:pPr>
          </w:p>
        </w:tc>
        <w:tc>
          <w:tcPr>
            <w:tcW w:w="4640" w:type="dxa"/>
            <w:vAlign w:val="bottom"/>
          </w:tcPr>
          <w:p>
            <w:pPr>
              <w:jc w:val="center"/>
              <w:spacing w:after="0" w:line="216" w:lineRule="exact"/>
              <w:rPr>
                <w:sz w:val="20"/>
                <w:szCs w:val="20"/>
                <w:color w:val="auto"/>
              </w:rPr>
            </w:pPr>
            <w:r>
              <w:rPr>
                <w:rFonts w:ascii="Arial" w:cs="Arial" w:eastAsia="Arial" w:hAnsi="Arial"/>
                <w:sz w:val="20"/>
                <w:szCs w:val="20"/>
                <w:color w:val="auto"/>
                <w:w w:val="86"/>
              </w:rPr>
              <w:t>René F. Jones</w:t>
            </w:r>
          </w:p>
        </w:tc>
      </w:tr>
      <w:tr>
        <w:trPr>
          <w:trHeight w:val="237"/>
        </w:trPr>
        <w:tc>
          <w:tcPr>
            <w:tcW w:w="500" w:type="dxa"/>
            <w:vAlign w:val="bottom"/>
          </w:tcPr>
          <w:p>
            <w:pPr>
              <w:spacing w:after="0"/>
              <w:rPr>
                <w:sz w:val="20"/>
                <w:szCs w:val="20"/>
                <w:color w:val="auto"/>
              </w:rPr>
            </w:pPr>
          </w:p>
        </w:tc>
        <w:tc>
          <w:tcPr>
            <w:tcW w:w="4640" w:type="dxa"/>
            <w:vAlign w:val="bottom"/>
          </w:tcPr>
          <w:p>
            <w:pPr>
              <w:jc w:val="center"/>
              <w:spacing w:after="0"/>
              <w:rPr>
                <w:sz w:val="20"/>
                <w:szCs w:val="20"/>
                <w:color w:val="auto"/>
              </w:rPr>
            </w:pPr>
            <w:r>
              <w:rPr>
                <w:rFonts w:ascii="Arial" w:cs="Arial" w:eastAsia="Arial" w:hAnsi="Arial"/>
                <w:sz w:val="20"/>
                <w:szCs w:val="20"/>
                <w:i w:val="1"/>
                <w:iCs w:val="1"/>
                <w:color w:val="auto"/>
                <w:w w:val="92"/>
              </w:rPr>
              <w:t>Chairman of the Board and</w:t>
            </w:r>
          </w:p>
        </w:tc>
      </w:tr>
      <w:tr>
        <w:trPr>
          <w:trHeight w:val="257"/>
        </w:trPr>
        <w:tc>
          <w:tcPr>
            <w:tcW w:w="500" w:type="dxa"/>
            <w:vAlign w:val="bottom"/>
          </w:tcPr>
          <w:p>
            <w:pPr>
              <w:spacing w:after="0"/>
              <w:rPr>
                <w:sz w:val="22"/>
                <w:szCs w:val="22"/>
                <w:color w:val="auto"/>
              </w:rPr>
            </w:pPr>
          </w:p>
        </w:tc>
        <w:tc>
          <w:tcPr>
            <w:tcW w:w="4640" w:type="dxa"/>
            <w:vAlign w:val="bottom"/>
          </w:tcPr>
          <w:p>
            <w:pPr>
              <w:jc w:val="center"/>
              <w:spacing w:after="0"/>
              <w:rPr>
                <w:sz w:val="20"/>
                <w:szCs w:val="20"/>
                <w:color w:val="auto"/>
              </w:rPr>
            </w:pPr>
            <w:r>
              <w:rPr>
                <w:rFonts w:ascii="Arial" w:cs="Arial" w:eastAsia="Arial" w:hAnsi="Arial"/>
                <w:sz w:val="20"/>
                <w:szCs w:val="20"/>
                <w:i w:val="1"/>
                <w:iCs w:val="1"/>
                <w:color w:val="auto"/>
                <w:w w:val="92"/>
              </w:rPr>
              <w:t>Chief Executive Officer</w:t>
            </w:r>
          </w:p>
        </w:tc>
      </w:tr>
    </w:tbl>
    <w:p>
      <w:pPr>
        <w:spacing w:after="0" w:line="229" w:lineRule="exact"/>
        <w:rPr>
          <w:sz w:val="20"/>
          <w:szCs w:val="20"/>
          <w:color w:val="auto"/>
        </w:rPr>
      </w:pPr>
    </w:p>
    <w:p>
      <w:pPr>
        <w:ind w:right="200" w:firstLine="598"/>
        <w:spacing w:after="0" w:line="275" w:lineRule="auto"/>
        <w:rPr>
          <w:sz w:val="20"/>
          <w:szCs w:val="20"/>
          <w:color w:val="auto"/>
        </w:rPr>
      </w:pPr>
      <w:r>
        <w:rPr>
          <w:rFonts w:ascii="Arial" w:cs="Arial" w:eastAsia="Arial" w:hAnsi="Arial"/>
          <w:sz w:val="20"/>
          <w:szCs w:val="20"/>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420"/>
          </w:cols>
          <w:pgMar w:left="240" w:top="332" w:right="239" w:bottom="1440" w:gutter="0" w:footer="0" w:header="0"/>
        </w:sectPr>
      </w:pPr>
    </w:p>
    <w:p>
      <w:pPr>
        <w:spacing w:after="0" w:line="157" w:lineRule="exact"/>
        <w:rPr>
          <w:sz w:val="20"/>
          <w:szCs w:val="20"/>
          <w:color w:val="auto"/>
        </w:rPr>
      </w:pPr>
    </w:p>
    <w:p>
      <w:pPr>
        <w:ind w:left="2360"/>
        <w:spacing w:after="0"/>
        <w:rPr>
          <w:sz w:val="20"/>
          <w:szCs w:val="20"/>
          <w:color w:val="auto"/>
        </w:rPr>
      </w:pPr>
      <w:r>
        <w:rPr>
          <w:rFonts w:ascii="Arial" w:cs="Arial" w:eastAsia="Arial" w:hAnsi="Arial"/>
          <w:sz w:val="13"/>
          <w:szCs w:val="13"/>
          <w:b w:val="1"/>
          <w:bCs w:val="1"/>
          <w:u w:val="single" w:color="auto"/>
          <w:color w:val="auto"/>
        </w:rPr>
        <w:t>Signature</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color w:val="auto"/>
        </w:rPr>
        <w:t>Principal Executive Officer:</w:t>
      </w:r>
    </w:p>
    <w:p>
      <w:pPr>
        <w:spacing w:after="0" w:line="361"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w:t>
      </w:r>
      <w:r>
        <w:rPr>
          <w:rFonts w:ascii="Arial" w:cs="Arial" w:eastAsia="Arial" w:hAnsi="Arial"/>
          <w:sz w:val="13"/>
          <w:szCs w:val="13"/>
          <w:color w:val="auto"/>
        </w:rPr>
        <w:t>S</w:t>
      </w:r>
      <w:r>
        <w:rPr>
          <w:rFonts w:ascii="Arial" w:cs="Arial" w:eastAsia="Arial" w:hAnsi="Arial"/>
          <w:sz w:val="20"/>
          <w:szCs w:val="20"/>
          <w:color w:val="auto"/>
        </w:rPr>
        <w:t>/ René F.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332867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1">
                      <a:extLst>
                        <a:ext uri="{28A0092B-C50C-407E-A947-70E740481C1C}"/>
                      </a:extLst>
                    </a:blip>
                    <a:srcRect/>
                    <a:stretch>
                      <a:fillRect/>
                    </a:stretch>
                  </pic:blipFill>
                  <pic:spPr bwMode="auto">
                    <a:xfrm>
                      <a:off x="0" y="0"/>
                      <a:ext cx="3328670" cy="8255"/>
                    </a:xfrm>
                    <a:prstGeom prst="rect">
                      <a:avLst/>
                    </a:prstGeom>
                    <a:noFill/>
                  </pic:spPr>
                </pic:pic>
              </a:graphicData>
            </a:graphic>
          </wp:anchor>
        </w:drawing>
      </w:r>
    </w:p>
    <w:p>
      <w:pPr>
        <w:spacing w:after="0" w:line="52" w:lineRule="exact"/>
        <w:rPr>
          <w:sz w:val="20"/>
          <w:szCs w:val="20"/>
          <w:color w:val="auto"/>
        </w:rPr>
      </w:pPr>
    </w:p>
    <w:p>
      <w:pPr>
        <w:ind w:left="2080"/>
        <w:spacing w:after="0"/>
        <w:rPr>
          <w:sz w:val="20"/>
          <w:szCs w:val="20"/>
          <w:color w:val="auto"/>
        </w:rPr>
      </w:pPr>
      <w:r>
        <w:rPr>
          <w:rFonts w:ascii="Arial" w:cs="Arial" w:eastAsia="Arial" w:hAnsi="Arial"/>
          <w:sz w:val="20"/>
          <w:szCs w:val="20"/>
          <w:color w:val="auto"/>
        </w:rPr>
        <w:t>René F. Jones</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Principal Financial Officer:</w:t>
      </w:r>
    </w:p>
    <w:p>
      <w:pPr>
        <w:spacing w:after="0" w:line="343" w:lineRule="exact"/>
        <w:rPr>
          <w:sz w:val="20"/>
          <w:szCs w:val="20"/>
          <w:color w:val="auto"/>
        </w:rPr>
      </w:pPr>
    </w:p>
    <w:p>
      <w:pPr>
        <w:ind w:left="1920"/>
        <w:spacing w:after="0"/>
        <w:rPr>
          <w:sz w:val="20"/>
          <w:szCs w:val="20"/>
          <w:color w:val="auto"/>
        </w:rPr>
      </w:pPr>
      <w:r>
        <w:rPr>
          <w:rFonts w:ascii="Arial" w:cs="Arial" w:eastAsia="Arial" w:hAnsi="Arial"/>
          <w:sz w:val="20"/>
          <w:szCs w:val="20"/>
          <w:color w:val="auto"/>
        </w:rPr>
        <w:t>/</w:t>
      </w:r>
      <w:r>
        <w:rPr>
          <w:rFonts w:ascii="Arial" w:cs="Arial" w:eastAsia="Arial" w:hAnsi="Arial"/>
          <w:sz w:val="13"/>
          <w:szCs w:val="13"/>
          <w:color w:val="auto"/>
        </w:rPr>
        <w:t>S</w:t>
      </w:r>
      <w:r>
        <w:rPr>
          <w:rFonts w:ascii="Arial" w:cs="Arial" w:eastAsia="Arial" w:hAnsi="Arial"/>
          <w:sz w:val="20"/>
          <w:szCs w:val="20"/>
          <w:color w:val="auto"/>
        </w:rPr>
        <w:t>/ Darren J.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332867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2">
                      <a:extLst>
                        <a:ext uri="{28A0092B-C50C-407E-A947-70E740481C1C}"/>
                      </a:extLst>
                    </a:blip>
                    <a:srcRect/>
                    <a:stretch>
                      <a:fillRect/>
                    </a:stretch>
                  </pic:blipFill>
                  <pic:spPr bwMode="auto">
                    <a:xfrm>
                      <a:off x="0" y="0"/>
                      <a:ext cx="3328670" cy="8255"/>
                    </a:xfrm>
                    <a:prstGeom prst="rect">
                      <a:avLst/>
                    </a:prstGeom>
                    <a:noFill/>
                  </pic:spPr>
                </pic:pic>
              </a:graphicData>
            </a:graphic>
          </wp:anchor>
        </w:drawing>
      </w:r>
    </w:p>
    <w:p>
      <w:pPr>
        <w:spacing w:after="0" w:line="52"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Darren J. King</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Principal Accounting Officer:</w:t>
      </w:r>
    </w:p>
    <w:p>
      <w:pPr>
        <w:spacing w:after="0" w:line="343" w:lineRule="exact"/>
        <w:rPr>
          <w:sz w:val="20"/>
          <w:szCs w:val="20"/>
          <w:color w:val="auto"/>
        </w:rPr>
      </w:pPr>
    </w:p>
    <w:p>
      <w:pPr>
        <w:ind w:left="1660"/>
        <w:spacing w:after="0"/>
        <w:rPr>
          <w:sz w:val="20"/>
          <w:szCs w:val="20"/>
          <w:color w:val="auto"/>
        </w:rPr>
      </w:pPr>
      <w:r>
        <w:rPr>
          <w:rFonts w:ascii="Arial" w:cs="Arial" w:eastAsia="Arial" w:hAnsi="Arial"/>
          <w:sz w:val="20"/>
          <w:szCs w:val="20"/>
          <w:color w:val="auto"/>
        </w:rPr>
        <w:t>/</w:t>
      </w:r>
      <w:r>
        <w:rPr>
          <w:rFonts w:ascii="Arial" w:cs="Arial" w:eastAsia="Arial" w:hAnsi="Arial"/>
          <w:sz w:val="13"/>
          <w:szCs w:val="13"/>
          <w:color w:val="auto"/>
        </w:rPr>
        <w:t>S</w:t>
      </w:r>
      <w:r>
        <w:rPr>
          <w:rFonts w:ascii="Arial" w:cs="Arial" w:eastAsia="Arial" w:hAnsi="Arial"/>
          <w:sz w:val="20"/>
          <w:szCs w:val="20"/>
          <w:color w:val="auto"/>
        </w:rPr>
        <w:t>/ Michael R. Spychala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332867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3">
                      <a:extLst>
                        <a:ext uri="{28A0092B-C50C-407E-A947-70E740481C1C}"/>
                      </a:extLst>
                    </a:blip>
                    <a:srcRect/>
                    <a:stretch>
                      <a:fillRect/>
                    </a:stretch>
                  </pic:blipFill>
                  <pic:spPr bwMode="auto">
                    <a:xfrm>
                      <a:off x="0" y="0"/>
                      <a:ext cx="3328670" cy="8255"/>
                    </a:xfrm>
                    <a:prstGeom prst="rect">
                      <a:avLst/>
                    </a:prstGeom>
                    <a:noFill/>
                  </pic:spPr>
                </pic:pic>
              </a:graphicData>
            </a:graphic>
          </wp:anchor>
        </w:drawing>
      </w:r>
    </w:p>
    <w:p>
      <w:pPr>
        <w:spacing w:after="0" w:line="52" w:lineRule="exact"/>
        <w:rPr>
          <w:sz w:val="20"/>
          <w:szCs w:val="20"/>
          <w:color w:val="auto"/>
        </w:rPr>
      </w:pPr>
    </w:p>
    <w:p>
      <w:pPr>
        <w:ind w:left="1780"/>
        <w:spacing w:after="0"/>
        <w:rPr>
          <w:sz w:val="20"/>
          <w:szCs w:val="20"/>
          <w:color w:val="auto"/>
        </w:rPr>
      </w:pPr>
      <w:r>
        <w:rPr>
          <w:rFonts w:ascii="Arial" w:cs="Arial" w:eastAsia="Arial" w:hAnsi="Arial"/>
          <w:sz w:val="20"/>
          <w:szCs w:val="20"/>
          <w:color w:val="auto"/>
        </w:rPr>
        <w:t>Michael R. Spychala</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A majority of the board of directors:</w:t>
      </w:r>
    </w:p>
    <w:p>
      <w:pPr>
        <w:spacing w:after="0" w:line="200" w:lineRule="exact"/>
        <w:rPr>
          <w:sz w:val="20"/>
          <w:szCs w:val="20"/>
          <w:color w:val="auto"/>
        </w:rPr>
      </w:pPr>
    </w:p>
    <w:p>
      <w:pPr>
        <w:spacing w:after="0" w:line="380" w:lineRule="exact"/>
        <w:rPr>
          <w:sz w:val="20"/>
          <w:szCs w:val="20"/>
          <w:color w:val="auto"/>
        </w:rPr>
      </w:pPr>
    </w:p>
    <w:p>
      <w:pPr>
        <w:jc w:val="center"/>
        <w:ind w:right="140"/>
        <w:spacing w:after="0"/>
        <w:rPr>
          <w:sz w:val="20"/>
          <w:szCs w:val="20"/>
          <w:color w:val="auto"/>
        </w:rPr>
      </w:pPr>
      <w:r>
        <w:rPr>
          <w:rFonts w:ascii="Arial" w:cs="Arial" w:eastAsia="Arial" w:hAnsi="Arial"/>
          <w:sz w:val="20"/>
          <w:szCs w:val="20"/>
          <w:color w:val="auto"/>
        </w:rPr>
        <w:t>/</w:t>
      </w:r>
      <w:r>
        <w:rPr>
          <w:rFonts w:ascii="Arial" w:cs="Arial" w:eastAsia="Arial" w:hAnsi="Arial"/>
          <w:sz w:val="13"/>
          <w:szCs w:val="13"/>
          <w:color w:val="auto"/>
        </w:rPr>
        <w:t>S</w:t>
      </w:r>
      <w:r>
        <w:rPr>
          <w:rFonts w:ascii="Arial" w:cs="Arial" w:eastAsia="Arial" w:hAnsi="Arial"/>
          <w:sz w:val="20"/>
          <w:szCs w:val="20"/>
          <w:color w:val="auto"/>
        </w:rPr>
        <w:t>/ Brent D. Baird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332867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4">
                      <a:extLst>
                        <a:ext uri="{28A0092B-C50C-407E-A947-70E740481C1C}"/>
                      </a:extLst>
                    </a:blip>
                    <a:srcRect/>
                    <a:stretch>
                      <a:fillRect/>
                    </a:stretch>
                  </pic:blipFill>
                  <pic:spPr bwMode="auto">
                    <a:xfrm>
                      <a:off x="0" y="0"/>
                      <a:ext cx="3328670" cy="8255"/>
                    </a:xfrm>
                    <a:prstGeom prst="rect">
                      <a:avLst/>
                    </a:prstGeom>
                    <a:noFill/>
                  </pic:spPr>
                </pic:pic>
              </a:graphicData>
            </a:graphic>
          </wp:anchor>
        </w:drawing>
      </w:r>
    </w:p>
    <w:p>
      <w:pPr>
        <w:spacing w:after="0" w:line="52" w:lineRule="exact"/>
        <w:rPr>
          <w:sz w:val="20"/>
          <w:szCs w:val="20"/>
          <w:color w:val="auto"/>
        </w:rPr>
      </w:pPr>
    </w:p>
    <w:p>
      <w:pPr>
        <w:jc w:val="center"/>
        <w:ind w:right="140"/>
        <w:spacing w:after="0"/>
        <w:rPr>
          <w:sz w:val="20"/>
          <w:szCs w:val="20"/>
          <w:color w:val="auto"/>
        </w:rPr>
      </w:pPr>
      <w:r>
        <w:rPr>
          <w:rFonts w:ascii="Arial" w:cs="Arial" w:eastAsia="Arial" w:hAnsi="Arial"/>
          <w:sz w:val="20"/>
          <w:szCs w:val="20"/>
          <w:color w:val="auto"/>
        </w:rPr>
        <w:t>Brent D. Baird</w:t>
      </w:r>
    </w:p>
    <w:p>
      <w:pPr>
        <w:spacing w:after="0" w:line="243" w:lineRule="exact"/>
        <w:rPr>
          <w:sz w:val="20"/>
          <w:szCs w:val="20"/>
          <w:color w:val="auto"/>
        </w:rPr>
      </w:pPr>
    </w:p>
    <w:p>
      <w:pPr>
        <w:jc w:val="center"/>
        <w:ind w:right="140"/>
        <w:spacing w:after="0"/>
        <w:rPr>
          <w:sz w:val="20"/>
          <w:szCs w:val="20"/>
          <w:color w:val="auto"/>
        </w:rPr>
      </w:pPr>
      <w:r>
        <w:rPr>
          <w:rFonts w:ascii="Arial" w:cs="Arial" w:eastAsia="Arial" w:hAnsi="Arial"/>
          <w:sz w:val="20"/>
          <w:szCs w:val="20"/>
          <w:color w:val="auto"/>
        </w:rPr>
        <w:t>/</w:t>
      </w:r>
      <w:r>
        <w:rPr>
          <w:rFonts w:ascii="Arial" w:cs="Arial" w:eastAsia="Arial" w:hAnsi="Arial"/>
          <w:sz w:val="13"/>
          <w:szCs w:val="13"/>
          <w:color w:val="auto"/>
        </w:rPr>
        <w:t>S</w:t>
      </w:r>
      <w:r>
        <w:rPr>
          <w:rFonts w:ascii="Arial" w:cs="Arial" w:eastAsia="Arial" w:hAnsi="Arial"/>
          <w:sz w:val="20"/>
          <w:szCs w:val="20"/>
          <w:color w:val="auto"/>
        </w:rPr>
        <w:t>/ C. Angela Bontempo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332867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5">
                      <a:extLst>
                        <a:ext uri="{28A0092B-C50C-407E-A947-70E740481C1C}"/>
                      </a:extLst>
                    </a:blip>
                    <a:srcRect/>
                    <a:stretch>
                      <a:fillRect/>
                    </a:stretch>
                  </pic:blipFill>
                  <pic:spPr bwMode="auto">
                    <a:xfrm>
                      <a:off x="0" y="0"/>
                      <a:ext cx="3328670" cy="8255"/>
                    </a:xfrm>
                    <a:prstGeom prst="rect">
                      <a:avLst/>
                    </a:prstGeom>
                    <a:noFill/>
                  </pic:spPr>
                </pic:pic>
              </a:graphicData>
            </a:graphic>
          </wp:anchor>
        </w:drawing>
      </w:r>
    </w:p>
    <w:p>
      <w:pPr>
        <w:spacing w:after="0" w:line="52" w:lineRule="exact"/>
        <w:rPr>
          <w:sz w:val="20"/>
          <w:szCs w:val="20"/>
          <w:color w:val="auto"/>
        </w:rPr>
      </w:pPr>
    </w:p>
    <w:p>
      <w:pPr>
        <w:jc w:val="center"/>
        <w:ind w:right="140"/>
        <w:spacing w:after="0"/>
        <w:rPr>
          <w:sz w:val="20"/>
          <w:szCs w:val="20"/>
          <w:color w:val="auto"/>
        </w:rPr>
      </w:pPr>
      <w:r>
        <w:rPr>
          <w:rFonts w:ascii="Arial" w:cs="Arial" w:eastAsia="Arial" w:hAnsi="Arial"/>
          <w:sz w:val="20"/>
          <w:szCs w:val="20"/>
          <w:color w:val="auto"/>
        </w:rPr>
        <w:t>C. Angela Bontempo</w:t>
      </w:r>
    </w:p>
    <w:p>
      <w:pPr>
        <w:spacing w:after="0" w:line="361" w:lineRule="exact"/>
        <w:rPr>
          <w:sz w:val="20"/>
          <w:szCs w:val="20"/>
          <w:color w:val="auto"/>
        </w:rPr>
      </w:pPr>
    </w:p>
    <w:p>
      <w:pPr>
        <w:jc w:val="center"/>
        <w:ind w:right="140"/>
        <w:spacing w:after="0"/>
        <w:rPr>
          <w:sz w:val="20"/>
          <w:szCs w:val="20"/>
          <w:color w:val="auto"/>
        </w:rPr>
      </w:pPr>
      <w:r>
        <w:rPr>
          <w:rFonts w:ascii="Arial" w:cs="Arial" w:eastAsia="Arial" w:hAnsi="Arial"/>
          <w:sz w:val="20"/>
          <w:szCs w:val="20"/>
          <w:color w:val="auto"/>
        </w:rPr>
        <w:t>/S/ Robert T. Brady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332867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6">
                      <a:extLst>
                        <a:ext uri="{28A0092B-C50C-407E-A947-70E740481C1C}"/>
                      </a:extLst>
                    </a:blip>
                    <a:srcRect/>
                    <a:stretch>
                      <a:fillRect/>
                    </a:stretch>
                  </pic:blipFill>
                  <pic:spPr bwMode="auto">
                    <a:xfrm>
                      <a:off x="0" y="0"/>
                      <a:ext cx="3328670" cy="8255"/>
                    </a:xfrm>
                    <a:prstGeom prst="rect">
                      <a:avLst/>
                    </a:prstGeom>
                    <a:noFill/>
                  </pic:spPr>
                </pic:pic>
              </a:graphicData>
            </a:graphic>
          </wp:anchor>
        </w:drawing>
      </w:r>
    </w:p>
    <w:p>
      <w:pPr>
        <w:spacing w:after="0" w:line="52" w:lineRule="exact"/>
        <w:rPr>
          <w:sz w:val="20"/>
          <w:szCs w:val="20"/>
          <w:color w:val="auto"/>
        </w:rPr>
      </w:pPr>
    </w:p>
    <w:p>
      <w:pPr>
        <w:jc w:val="center"/>
        <w:ind w:right="140"/>
        <w:spacing w:after="0"/>
        <w:rPr>
          <w:sz w:val="20"/>
          <w:szCs w:val="20"/>
          <w:color w:val="auto"/>
        </w:rPr>
      </w:pPr>
      <w:r>
        <w:rPr>
          <w:rFonts w:ascii="Arial" w:cs="Arial" w:eastAsia="Arial" w:hAnsi="Arial"/>
          <w:sz w:val="20"/>
          <w:szCs w:val="20"/>
          <w:color w:val="auto"/>
        </w:rPr>
        <w:t>Robert T. Brady</w:t>
      </w:r>
    </w:p>
    <w:p>
      <w:pPr>
        <w:spacing w:after="0" w:line="361"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 T. Jefferson Cunningham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35560</wp:posOffset>
            </wp:positionV>
            <wp:extent cx="332867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7">
                      <a:extLst>
                        <a:ext uri="{28A0092B-C50C-407E-A947-70E740481C1C}"/>
                      </a:extLst>
                    </a:blip>
                    <a:srcRect/>
                    <a:stretch>
                      <a:fillRect/>
                    </a:stretch>
                  </pic:blipFill>
                  <pic:spPr bwMode="auto">
                    <a:xfrm>
                      <a:off x="0" y="0"/>
                      <a:ext cx="3328670" cy="8255"/>
                    </a:xfrm>
                    <a:prstGeom prst="rect">
                      <a:avLst/>
                    </a:prstGeom>
                    <a:noFill/>
                  </pic:spPr>
                </pic:pic>
              </a:graphicData>
            </a:graphic>
          </wp:anchor>
        </w:drawing>
      </w:r>
    </w:p>
    <w:p>
      <w:pPr>
        <w:spacing w:after="0" w:line="75" w:lineRule="exact"/>
        <w:rPr>
          <w:sz w:val="20"/>
          <w:szCs w:val="20"/>
          <w:color w:val="auto"/>
        </w:rPr>
      </w:pPr>
    </w:p>
    <w:p>
      <w:pPr>
        <w:jc w:val="center"/>
        <w:ind w:right="140"/>
        <w:spacing w:after="0"/>
        <w:rPr>
          <w:sz w:val="20"/>
          <w:szCs w:val="20"/>
          <w:color w:val="auto"/>
        </w:rPr>
      </w:pPr>
      <w:r>
        <w:rPr>
          <w:rFonts w:ascii="Arial" w:cs="Arial" w:eastAsia="Arial" w:hAnsi="Arial"/>
          <w:sz w:val="20"/>
          <w:szCs w:val="20"/>
          <w:color w:val="auto"/>
        </w:rPr>
        <w:t>T. Jefferson Cunningham III</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ind w:left="1020"/>
        <w:spacing w:after="0"/>
        <w:tabs>
          <w:tab w:leader="none" w:pos="4100" w:val="left"/>
        </w:tabs>
        <w:rPr>
          <w:sz w:val="20"/>
          <w:szCs w:val="20"/>
          <w:color w:val="auto"/>
        </w:rPr>
      </w:pPr>
      <w:r>
        <w:rPr>
          <w:rFonts w:ascii="Arial" w:cs="Arial" w:eastAsia="Arial" w:hAnsi="Arial"/>
          <w:sz w:val="13"/>
          <w:szCs w:val="13"/>
          <w:b w:val="1"/>
          <w:bCs w:val="1"/>
          <w:u w:val="single" w:color="auto"/>
          <w:color w:val="auto"/>
        </w:rPr>
        <w:t>Title</w:t>
      </w:r>
      <w:r>
        <w:rPr>
          <w:sz w:val="20"/>
          <w:szCs w:val="20"/>
          <w:color w:val="auto"/>
        </w:rPr>
        <w:tab/>
      </w:r>
      <w:r>
        <w:rPr>
          <w:rFonts w:ascii="Arial" w:cs="Arial" w:eastAsia="Arial" w:hAnsi="Arial"/>
          <w:sz w:val="13"/>
          <w:szCs w:val="13"/>
          <w:b w:val="1"/>
          <w:bCs w:val="1"/>
          <w:u w:val="single" w:color="auto"/>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880" w:type="dxa"/>
            <w:vAlign w:val="bottom"/>
          </w:tcPr>
          <w:p>
            <w:pPr>
              <w:jc w:val="center"/>
              <w:ind w:right="479"/>
              <w:spacing w:after="0"/>
              <w:rPr>
                <w:sz w:val="20"/>
                <w:szCs w:val="20"/>
                <w:color w:val="auto"/>
              </w:rPr>
            </w:pPr>
            <w:r>
              <w:rPr>
                <w:rFonts w:ascii="Arial" w:cs="Arial" w:eastAsia="Arial" w:hAnsi="Arial"/>
                <w:sz w:val="20"/>
                <w:szCs w:val="20"/>
                <w:color w:val="auto"/>
                <w:w w:val="92"/>
              </w:rPr>
              <w:t>Chairman of the Board</w:t>
            </w:r>
          </w:p>
        </w:tc>
        <w:tc>
          <w:tcPr>
            <w:tcW w:w="2100" w:type="dxa"/>
            <w:vAlign w:val="bottom"/>
          </w:tcPr>
          <w:p>
            <w:pPr>
              <w:ind w:left="620"/>
              <w:spacing w:after="0"/>
              <w:rPr>
                <w:sz w:val="20"/>
                <w:szCs w:val="20"/>
                <w:color w:val="auto"/>
              </w:rPr>
            </w:pPr>
            <w:r>
              <w:rPr>
                <w:rFonts w:ascii="Arial" w:cs="Arial" w:eastAsia="Arial" w:hAnsi="Arial"/>
                <w:sz w:val="20"/>
                <w:szCs w:val="20"/>
                <w:color w:val="auto"/>
                <w:w w:val="89"/>
              </w:rPr>
              <w:t>February 22, 2018</w:t>
            </w:r>
          </w:p>
        </w:tc>
      </w:tr>
      <w:tr>
        <w:trPr>
          <w:trHeight w:val="257"/>
        </w:trPr>
        <w:tc>
          <w:tcPr>
            <w:tcW w:w="2880" w:type="dxa"/>
            <w:vAlign w:val="bottom"/>
          </w:tcPr>
          <w:p>
            <w:pPr>
              <w:jc w:val="center"/>
              <w:ind w:right="499"/>
              <w:spacing w:after="0"/>
              <w:rPr>
                <w:sz w:val="20"/>
                <w:szCs w:val="20"/>
                <w:color w:val="auto"/>
              </w:rPr>
            </w:pPr>
            <w:r>
              <w:rPr>
                <w:rFonts w:ascii="Arial" w:cs="Arial" w:eastAsia="Arial" w:hAnsi="Arial"/>
                <w:sz w:val="20"/>
                <w:szCs w:val="20"/>
                <w:color w:val="auto"/>
                <w:w w:val="94"/>
              </w:rPr>
              <w:t>and Chief Executive Officer</w:t>
            </w:r>
          </w:p>
        </w:tc>
        <w:tc>
          <w:tcPr>
            <w:tcW w:w="2100" w:type="dxa"/>
            <w:vAlign w:val="bottom"/>
          </w:tcPr>
          <w:p>
            <w:pPr>
              <w:spacing w:after="0"/>
              <w:rPr>
                <w:sz w:val="22"/>
                <w:szCs w:val="22"/>
                <w:color w:val="auto"/>
              </w:rPr>
            </w:pPr>
          </w:p>
        </w:tc>
      </w:tr>
      <w:tr>
        <w:trPr>
          <w:trHeight w:val="872"/>
        </w:trPr>
        <w:tc>
          <w:tcPr>
            <w:tcW w:w="2880" w:type="dxa"/>
            <w:vAlign w:val="bottom"/>
          </w:tcPr>
          <w:p>
            <w:pPr>
              <w:jc w:val="center"/>
              <w:ind w:right="479"/>
              <w:spacing w:after="0"/>
              <w:rPr>
                <w:sz w:val="20"/>
                <w:szCs w:val="20"/>
                <w:color w:val="auto"/>
              </w:rPr>
            </w:pPr>
            <w:r>
              <w:rPr>
                <w:rFonts w:ascii="Arial" w:cs="Arial" w:eastAsia="Arial" w:hAnsi="Arial"/>
                <w:sz w:val="20"/>
                <w:szCs w:val="20"/>
                <w:color w:val="auto"/>
                <w:w w:val="91"/>
              </w:rPr>
              <w:t>Executive Vice President</w:t>
            </w:r>
          </w:p>
        </w:tc>
        <w:tc>
          <w:tcPr>
            <w:tcW w:w="2100" w:type="dxa"/>
            <w:vAlign w:val="bottom"/>
          </w:tcPr>
          <w:p>
            <w:pPr>
              <w:ind w:left="620"/>
              <w:spacing w:after="0"/>
              <w:rPr>
                <w:sz w:val="20"/>
                <w:szCs w:val="20"/>
                <w:color w:val="auto"/>
              </w:rPr>
            </w:pPr>
            <w:r>
              <w:rPr>
                <w:rFonts w:ascii="Arial" w:cs="Arial" w:eastAsia="Arial" w:hAnsi="Arial"/>
                <w:sz w:val="20"/>
                <w:szCs w:val="20"/>
                <w:color w:val="auto"/>
                <w:w w:val="89"/>
              </w:rPr>
              <w:t>February 22, 2018</w:t>
            </w:r>
          </w:p>
        </w:tc>
      </w:tr>
      <w:tr>
        <w:trPr>
          <w:trHeight w:val="257"/>
        </w:trPr>
        <w:tc>
          <w:tcPr>
            <w:tcW w:w="2880" w:type="dxa"/>
            <w:vAlign w:val="bottom"/>
          </w:tcPr>
          <w:p>
            <w:pPr>
              <w:jc w:val="center"/>
              <w:ind w:right="479"/>
              <w:spacing w:after="0"/>
              <w:rPr>
                <w:sz w:val="20"/>
                <w:szCs w:val="20"/>
                <w:color w:val="auto"/>
              </w:rPr>
            </w:pPr>
            <w:r>
              <w:rPr>
                <w:rFonts w:ascii="Arial" w:cs="Arial" w:eastAsia="Arial" w:hAnsi="Arial"/>
                <w:sz w:val="20"/>
                <w:szCs w:val="20"/>
                <w:color w:val="auto"/>
                <w:w w:val="94"/>
              </w:rPr>
              <w:t>and Chief Financial Officer</w:t>
            </w:r>
          </w:p>
        </w:tc>
        <w:tc>
          <w:tcPr>
            <w:tcW w:w="2100" w:type="dxa"/>
            <w:vAlign w:val="bottom"/>
          </w:tcPr>
          <w:p>
            <w:pPr>
              <w:spacing w:after="0"/>
              <w:rPr>
                <w:sz w:val="22"/>
                <w:szCs w:val="22"/>
                <w:color w:val="auto"/>
              </w:rPr>
            </w:pPr>
          </w:p>
        </w:tc>
      </w:tr>
      <w:tr>
        <w:trPr>
          <w:trHeight w:val="872"/>
        </w:trPr>
        <w:tc>
          <w:tcPr>
            <w:tcW w:w="2880" w:type="dxa"/>
            <w:vAlign w:val="bottom"/>
          </w:tcPr>
          <w:p>
            <w:pPr>
              <w:jc w:val="center"/>
              <w:ind w:right="499"/>
              <w:spacing w:after="0"/>
              <w:rPr>
                <w:sz w:val="20"/>
                <w:szCs w:val="20"/>
                <w:color w:val="auto"/>
              </w:rPr>
            </w:pPr>
            <w:r>
              <w:rPr>
                <w:rFonts w:ascii="Arial" w:cs="Arial" w:eastAsia="Arial" w:hAnsi="Arial"/>
                <w:sz w:val="20"/>
                <w:szCs w:val="20"/>
                <w:color w:val="auto"/>
                <w:w w:val="89"/>
              </w:rPr>
              <w:t>Senior Vice President and</w:t>
            </w:r>
          </w:p>
        </w:tc>
        <w:tc>
          <w:tcPr>
            <w:tcW w:w="2100" w:type="dxa"/>
            <w:vAlign w:val="bottom"/>
          </w:tcPr>
          <w:p>
            <w:pPr>
              <w:ind w:left="620"/>
              <w:spacing w:after="0"/>
              <w:rPr>
                <w:sz w:val="20"/>
                <w:szCs w:val="20"/>
                <w:color w:val="auto"/>
              </w:rPr>
            </w:pPr>
            <w:r>
              <w:rPr>
                <w:rFonts w:ascii="Arial" w:cs="Arial" w:eastAsia="Arial" w:hAnsi="Arial"/>
                <w:sz w:val="20"/>
                <w:szCs w:val="20"/>
                <w:color w:val="auto"/>
                <w:w w:val="89"/>
              </w:rPr>
              <w:t>February 22, 2018</w:t>
            </w:r>
          </w:p>
        </w:tc>
      </w:tr>
      <w:tr>
        <w:trPr>
          <w:trHeight w:val="257"/>
        </w:trPr>
        <w:tc>
          <w:tcPr>
            <w:tcW w:w="2880" w:type="dxa"/>
            <w:vAlign w:val="bottom"/>
          </w:tcPr>
          <w:p>
            <w:pPr>
              <w:jc w:val="center"/>
              <w:ind w:right="479"/>
              <w:spacing w:after="0"/>
              <w:rPr>
                <w:sz w:val="20"/>
                <w:szCs w:val="20"/>
                <w:color w:val="auto"/>
              </w:rPr>
            </w:pPr>
            <w:r>
              <w:rPr>
                <w:rFonts w:ascii="Arial" w:cs="Arial" w:eastAsia="Arial" w:hAnsi="Arial"/>
                <w:sz w:val="20"/>
                <w:szCs w:val="20"/>
                <w:color w:val="auto"/>
                <w:w w:val="94"/>
              </w:rPr>
              <w:t>Controller</w:t>
            </w:r>
          </w:p>
        </w:tc>
        <w:tc>
          <w:tcPr>
            <w:tcW w:w="2100" w:type="dxa"/>
            <w:vAlign w:val="bottom"/>
          </w:tcPr>
          <w:p>
            <w:pPr>
              <w:spacing w:after="0"/>
              <w:rPr>
                <w:sz w:val="22"/>
                <w:szCs w:val="22"/>
                <w:color w:val="auto"/>
              </w:rPr>
            </w:pPr>
          </w:p>
        </w:tc>
      </w:tr>
      <w:tr>
        <w:trPr>
          <w:trHeight w:val="1130"/>
        </w:trPr>
        <w:tc>
          <w:tcPr>
            <w:tcW w:w="2880" w:type="dxa"/>
            <w:vAlign w:val="bottom"/>
          </w:tcPr>
          <w:p>
            <w:pPr>
              <w:spacing w:after="0"/>
              <w:rPr>
                <w:sz w:val="24"/>
                <w:szCs w:val="24"/>
                <w:color w:val="auto"/>
              </w:rPr>
            </w:pPr>
          </w:p>
        </w:tc>
        <w:tc>
          <w:tcPr>
            <w:tcW w:w="2100" w:type="dxa"/>
            <w:vAlign w:val="bottom"/>
          </w:tcPr>
          <w:p>
            <w:pPr>
              <w:ind w:left="620"/>
              <w:spacing w:after="0"/>
              <w:rPr>
                <w:sz w:val="20"/>
                <w:szCs w:val="20"/>
                <w:color w:val="auto"/>
              </w:rPr>
            </w:pPr>
            <w:r>
              <w:rPr>
                <w:rFonts w:ascii="Arial" w:cs="Arial" w:eastAsia="Arial" w:hAnsi="Arial"/>
                <w:sz w:val="20"/>
                <w:szCs w:val="20"/>
                <w:color w:val="auto"/>
                <w:w w:val="89"/>
              </w:rPr>
              <w:t>February 22, 2018</w:t>
            </w:r>
          </w:p>
        </w:tc>
      </w:tr>
      <w:tr>
        <w:trPr>
          <w:trHeight w:val="775"/>
        </w:trPr>
        <w:tc>
          <w:tcPr>
            <w:tcW w:w="2880" w:type="dxa"/>
            <w:vAlign w:val="bottom"/>
          </w:tcPr>
          <w:p>
            <w:pPr>
              <w:spacing w:after="0"/>
              <w:rPr>
                <w:sz w:val="24"/>
                <w:szCs w:val="24"/>
                <w:color w:val="auto"/>
              </w:rPr>
            </w:pPr>
          </w:p>
        </w:tc>
        <w:tc>
          <w:tcPr>
            <w:tcW w:w="2100" w:type="dxa"/>
            <w:vAlign w:val="bottom"/>
          </w:tcPr>
          <w:p>
            <w:pPr>
              <w:ind w:left="620"/>
              <w:spacing w:after="0"/>
              <w:rPr>
                <w:sz w:val="20"/>
                <w:szCs w:val="20"/>
                <w:color w:val="auto"/>
              </w:rPr>
            </w:pPr>
            <w:r>
              <w:rPr>
                <w:rFonts w:ascii="Arial" w:cs="Arial" w:eastAsia="Arial" w:hAnsi="Arial"/>
                <w:sz w:val="20"/>
                <w:szCs w:val="20"/>
                <w:color w:val="auto"/>
                <w:w w:val="89"/>
              </w:rPr>
              <w:t>February 22, 2018</w:t>
            </w:r>
          </w:p>
        </w:tc>
      </w:tr>
      <w:tr>
        <w:trPr>
          <w:trHeight w:val="893"/>
        </w:trPr>
        <w:tc>
          <w:tcPr>
            <w:tcW w:w="2880" w:type="dxa"/>
            <w:vAlign w:val="bottom"/>
          </w:tcPr>
          <w:p>
            <w:pPr>
              <w:spacing w:after="0"/>
              <w:rPr>
                <w:sz w:val="24"/>
                <w:szCs w:val="24"/>
                <w:color w:val="auto"/>
              </w:rPr>
            </w:pPr>
          </w:p>
        </w:tc>
        <w:tc>
          <w:tcPr>
            <w:tcW w:w="2100" w:type="dxa"/>
            <w:vAlign w:val="bottom"/>
          </w:tcPr>
          <w:p>
            <w:pPr>
              <w:ind w:left="620"/>
              <w:spacing w:after="0"/>
              <w:rPr>
                <w:sz w:val="20"/>
                <w:szCs w:val="20"/>
                <w:color w:val="auto"/>
              </w:rPr>
            </w:pPr>
            <w:r>
              <w:rPr>
                <w:rFonts w:ascii="Arial" w:cs="Arial" w:eastAsia="Arial" w:hAnsi="Arial"/>
                <w:sz w:val="20"/>
                <w:szCs w:val="20"/>
                <w:color w:val="auto"/>
                <w:w w:val="89"/>
              </w:rPr>
              <w:t>February 22, 2018</w:t>
            </w:r>
          </w:p>
        </w:tc>
      </w:tr>
      <w:tr>
        <w:trPr>
          <w:trHeight w:val="893"/>
        </w:trPr>
        <w:tc>
          <w:tcPr>
            <w:tcW w:w="2880" w:type="dxa"/>
            <w:vAlign w:val="bottom"/>
          </w:tcPr>
          <w:p>
            <w:pPr>
              <w:spacing w:after="0"/>
              <w:rPr>
                <w:sz w:val="24"/>
                <w:szCs w:val="24"/>
                <w:color w:val="auto"/>
              </w:rPr>
            </w:pPr>
          </w:p>
        </w:tc>
        <w:tc>
          <w:tcPr>
            <w:tcW w:w="2100" w:type="dxa"/>
            <w:vAlign w:val="bottom"/>
          </w:tcPr>
          <w:p>
            <w:pPr>
              <w:ind w:left="620"/>
              <w:spacing w:after="0"/>
              <w:rPr>
                <w:sz w:val="20"/>
                <w:szCs w:val="20"/>
                <w:color w:val="auto"/>
              </w:rPr>
            </w:pPr>
            <w:r>
              <w:rPr>
                <w:rFonts w:ascii="Arial" w:cs="Arial" w:eastAsia="Arial" w:hAnsi="Arial"/>
                <w:sz w:val="20"/>
                <w:szCs w:val="20"/>
                <w:color w:val="auto"/>
                <w:w w:val="89"/>
              </w:rPr>
              <w:t>February 22, 2018</w:t>
            </w:r>
          </w:p>
        </w:tc>
      </w:tr>
    </w:tbl>
    <w:p>
      <w:pPr>
        <w:spacing w:after="0" w:line="474" w:lineRule="exact"/>
        <w:rPr>
          <w:sz w:val="20"/>
          <w:szCs w:val="20"/>
          <w:color w:val="auto"/>
        </w:rPr>
      </w:pPr>
    </w:p>
    <w:p>
      <w:pPr>
        <w:sectPr>
          <w:pgSz w:w="11900" w:h="16838" w:orient="portrait"/>
          <w:cols w:equalWidth="0" w:num="2">
            <w:col w:w="5380" w:space="720"/>
            <w:col w:w="5320"/>
          </w:cols>
          <w:pgMar w:left="240" w:top="332"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85725</wp:posOffset>
            </wp:positionV>
            <wp:extent cx="7292340" cy="4191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8">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type w:val="continuous"/>
        </w:sectPr>
      </w:pPr>
    </w:p>
    <w:bookmarkStart w:id="195" w:name="page196"/>
    <w:bookmarkEnd w:id="195"/>
    <w:tbl>
      <w:tblPr>
        <w:tblLayout w:type="fixed"/>
        <w:tblInd w:w="0" w:type="dxa"/>
        <w:tblCellMar>
          <w:top w:w="0" w:type="dxa"/>
          <w:left w:w="0" w:type="dxa"/>
          <w:bottom w:w="0" w:type="dxa"/>
          <w:right w:w="0" w:type="dxa"/>
        </w:tblCellMar>
      </w:tblPr>
      <w:tr>
        <w:trPr>
          <w:trHeight w:val="260"/>
        </w:trPr>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3"/>
              </w:rPr>
              <w:t>/S/ Gary N. Geisel</w:t>
            </w:r>
          </w:p>
        </w:tc>
        <w:tc>
          <w:tcPr>
            <w:tcW w:w="5840" w:type="dxa"/>
            <w:vAlign w:val="bottom"/>
          </w:tcPr>
          <w:p>
            <w:pPr>
              <w:ind w:left="4360"/>
              <w:spacing w:after="0"/>
              <w:rPr>
                <w:sz w:val="20"/>
                <w:szCs w:val="20"/>
                <w:color w:val="auto"/>
              </w:rPr>
            </w:pPr>
            <w:r>
              <w:rPr>
                <w:rFonts w:ascii="Arial" w:cs="Arial" w:eastAsia="Arial" w:hAnsi="Arial"/>
                <w:sz w:val="20"/>
                <w:szCs w:val="20"/>
                <w:color w:val="auto"/>
                <w:w w:val="89"/>
              </w:rPr>
              <w:t>February 22, 2018</w:t>
            </w:r>
          </w:p>
        </w:tc>
      </w:tr>
      <w:tr>
        <w:trPr>
          <w:trHeight w:val="279"/>
        </w:trPr>
        <w:tc>
          <w:tcPr>
            <w:tcW w:w="5240" w:type="dxa"/>
            <w:vAlign w:val="bottom"/>
          </w:tcPr>
          <w:p>
            <w:pPr>
              <w:jc w:val="center"/>
              <w:spacing w:after="0"/>
              <w:rPr>
                <w:sz w:val="20"/>
                <w:szCs w:val="20"/>
                <w:color w:val="auto"/>
              </w:rPr>
            </w:pPr>
            <w:r>
              <w:rPr>
                <w:rFonts w:ascii="Arial" w:cs="Arial" w:eastAsia="Arial" w:hAnsi="Arial"/>
                <w:sz w:val="20"/>
                <w:szCs w:val="20"/>
                <w:color w:val="auto"/>
                <w:w w:val="92"/>
              </w:rPr>
              <w:t>Gary N. Geisel</w:t>
            </w:r>
          </w:p>
        </w:tc>
        <w:tc>
          <w:tcPr>
            <w:tcW w:w="5840" w:type="dxa"/>
            <w:vAlign w:val="bottom"/>
          </w:tcPr>
          <w:p>
            <w:pPr>
              <w:spacing w:after="0"/>
              <w:rPr>
                <w:sz w:val="24"/>
                <w:szCs w:val="24"/>
                <w:color w:val="auto"/>
              </w:rPr>
            </w:pPr>
          </w:p>
        </w:tc>
      </w:tr>
      <w:tr>
        <w:trPr>
          <w:trHeight w:val="594"/>
        </w:trPr>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2"/>
              </w:rPr>
              <w:t>/</w:t>
            </w:r>
            <w:r>
              <w:rPr>
                <w:rFonts w:ascii="Arial" w:cs="Arial" w:eastAsia="Arial" w:hAnsi="Arial"/>
                <w:sz w:val="13"/>
                <w:szCs w:val="13"/>
                <w:color w:val="auto"/>
                <w:w w:val="92"/>
              </w:rPr>
              <w:t>S</w:t>
            </w:r>
            <w:r>
              <w:rPr>
                <w:rFonts w:ascii="Arial" w:cs="Arial" w:eastAsia="Arial" w:hAnsi="Arial"/>
                <w:sz w:val="20"/>
                <w:szCs w:val="20"/>
                <w:color w:val="auto"/>
                <w:w w:val="92"/>
              </w:rPr>
              <w:t>/ Richard S. Gold</w:t>
            </w:r>
          </w:p>
        </w:tc>
        <w:tc>
          <w:tcPr>
            <w:tcW w:w="5840" w:type="dxa"/>
            <w:vAlign w:val="bottom"/>
          </w:tcPr>
          <w:p>
            <w:pPr>
              <w:ind w:left="4360"/>
              <w:spacing w:after="0"/>
              <w:rPr>
                <w:sz w:val="20"/>
                <w:szCs w:val="20"/>
                <w:color w:val="auto"/>
              </w:rPr>
            </w:pPr>
            <w:r>
              <w:rPr>
                <w:rFonts w:ascii="Arial" w:cs="Arial" w:eastAsia="Arial" w:hAnsi="Arial"/>
                <w:sz w:val="20"/>
                <w:szCs w:val="20"/>
                <w:color w:val="auto"/>
                <w:w w:val="89"/>
              </w:rPr>
              <w:t>February 22, 2018</w:t>
            </w:r>
          </w:p>
        </w:tc>
      </w:tr>
      <w:tr>
        <w:trPr>
          <w:trHeight w:val="279"/>
        </w:trPr>
        <w:tc>
          <w:tcPr>
            <w:tcW w:w="5240" w:type="dxa"/>
            <w:vAlign w:val="bottom"/>
          </w:tcPr>
          <w:p>
            <w:pPr>
              <w:jc w:val="center"/>
              <w:spacing w:after="0"/>
              <w:rPr>
                <w:sz w:val="20"/>
                <w:szCs w:val="20"/>
                <w:color w:val="auto"/>
              </w:rPr>
            </w:pPr>
            <w:r>
              <w:rPr>
                <w:rFonts w:ascii="Arial" w:cs="Arial" w:eastAsia="Arial" w:hAnsi="Arial"/>
                <w:sz w:val="20"/>
                <w:szCs w:val="20"/>
                <w:color w:val="auto"/>
                <w:w w:val="92"/>
              </w:rPr>
              <w:t>Richard S. Gold</w:t>
            </w:r>
          </w:p>
        </w:tc>
        <w:tc>
          <w:tcPr>
            <w:tcW w:w="5840" w:type="dxa"/>
            <w:vAlign w:val="bottom"/>
          </w:tcPr>
          <w:p>
            <w:pPr>
              <w:spacing w:after="0"/>
              <w:rPr>
                <w:sz w:val="24"/>
                <w:szCs w:val="24"/>
                <w:color w:val="auto"/>
              </w:rPr>
            </w:pPr>
          </w:p>
        </w:tc>
      </w:tr>
      <w:tr>
        <w:trPr>
          <w:trHeight w:val="476"/>
        </w:trPr>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3"/>
              </w:rPr>
              <w:t>/</w:t>
            </w:r>
            <w:r>
              <w:rPr>
                <w:rFonts w:ascii="Arial" w:cs="Arial" w:eastAsia="Arial" w:hAnsi="Arial"/>
                <w:sz w:val="13"/>
                <w:szCs w:val="13"/>
                <w:color w:val="auto"/>
                <w:w w:val="93"/>
              </w:rPr>
              <w:t>S</w:t>
            </w:r>
            <w:r>
              <w:rPr>
                <w:rFonts w:ascii="Arial" w:cs="Arial" w:eastAsia="Arial" w:hAnsi="Arial"/>
                <w:sz w:val="20"/>
                <w:szCs w:val="20"/>
                <w:color w:val="auto"/>
                <w:w w:val="93"/>
              </w:rPr>
              <w:t>/ Richard A. Grossi</w:t>
            </w:r>
          </w:p>
        </w:tc>
        <w:tc>
          <w:tcPr>
            <w:tcW w:w="5840" w:type="dxa"/>
            <w:vAlign w:val="bottom"/>
          </w:tcPr>
          <w:p>
            <w:pPr>
              <w:ind w:left="4360"/>
              <w:spacing w:after="0"/>
              <w:rPr>
                <w:sz w:val="20"/>
                <w:szCs w:val="20"/>
                <w:color w:val="auto"/>
              </w:rPr>
            </w:pPr>
            <w:r>
              <w:rPr>
                <w:rFonts w:ascii="Arial" w:cs="Arial" w:eastAsia="Arial" w:hAnsi="Arial"/>
                <w:sz w:val="20"/>
                <w:szCs w:val="20"/>
                <w:color w:val="auto"/>
                <w:w w:val="89"/>
              </w:rPr>
              <w:t>February 22, 2018</w:t>
            </w:r>
          </w:p>
        </w:tc>
      </w:tr>
      <w:tr>
        <w:trPr>
          <w:trHeight w:val="279"/>
        </w:trPr>
        <w:tc>
          <w:tcPr>
            <w:tcW w:w="5240" w:type="dxa"/>
            <w:vAlign w:val="bottom"/>
          </w:tcPr>
          <w:p>
            <w:pPr>
              <w:jc w:val="center"/>
              <w:spacing w:after="0"/>
              <w:rPr>
                <w:sz w:val="20"/>
                <w:szCs w:val="20"/>
                <w:color w:val="auto"/>
              </w:rPr>
            </w:pPr>
            <w:r>
              <w:rPr>
                <w:rFonts w:ascii="Arial" w:cs="Arial" w:eastAsia="Arial" w:hAnsi="Arial"/>
                <w:sz w:val="20"/>
                <w:szCs w:val="20"/>
                <w:color w:val="auto"/>
                <w:w w:val="93"/>
              </w:rPr>
              <w:t>Richard A. Grossi</w:t>
            </w:r>
          </w:p>
        </w:tc>
        <w:tc>
          <w:tcPr>
            <w:tcW w:w="5840" w:type="dxa"/>
            <w:vAlign w:val="bottom"/>
          </w:tcPr>
          <w:p>
            <w:pPr>
              <w:spacing w:after="0"/>
              <w:rPr>
                <w:sz w:val="24"/>
                <w:szCs w:val="24"/>
                <w:color w:val="auto"/>
              </w:rPr>
            </w:pPr>
          </w:p>
        </w:tc>
      </w:tr>
      <w:tr>
        <w:trPr>
          <w:trHeight w:val="489"/>
        </w:trPr>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1"/>
              </w:rPr>
              <w:t>/</w:t>
            </w:r>
            <w:r>
              <w:rPr>
                <w:rFonts w:ascii="Arial" w:cs="Arial" w:eastAsia="Arial" w:hAnsi="Arial"/>
                <w:sz w:val="13"/>
                <w:szCs w:val="13"/>
                <w:color w:val="auto"/>
                <w:w w:val="91"/>
              </w:rPr>
              <w:t>S</w:t>
            </w:r>
            <w:r>
              <w:rPr>
                <w:rFonts w:ascii="Arial" w:cs="Arial" w:eastAsia="Arial" w:hAnsi="Arial"/>
                <w:sz w:val="20"/>
                <w:szCs w:val="20"/>
                <w:color w:val="auto"/>
                <w:w w:val="91"/>
              </w:rPr>
              <w:t>/ John D. Hawke, Jr.</w:t>
            </w:r>
          </w:p>
        </w:tc>
        <w:tc>
          <w:tcPr>
            <w:tcW w:w="5840" w:type="dxa"/>
            <w:vAlign w:val="bottom"/>
          </w:tcPr>
          <w:p>
            <w:pPr>
              <w:ind w:left="4360"/>
              <w:spacing w:after="0"/>
              <w:rPr>
                <w:sz w:val="20"/>
                <w:szCs w:val="20"/>
                <w:color w:val="auto"/>
              </w:rPr>
            </w:pPr>
            <w:r>
              <w:rPr>
                <w:rFonts w:ascii="Arial" w:cs="Arial" w:eastAsia="Arial" w:hAnsi="Arial"/>
                <w:sz w:val="20"/>
                <w:szCs w:val="20"/>
                <w:color w:val="auto"/>
                <w:w w:val="89"/>
              </w:rPr>
              <w:t>February 22, 2018</w:t>
            </w:r>
          </w:p>
        </w:tc>
      </w:tr>
      <w:tr>
        <w:trPr>
          <w:trHeight w:val="279"/>
        </w:trPr>
        <w:tc>
          <w:tcPr>
            <w:tcW w:w="5240" w:type="dxa"/>
            <w:vAlign w:val="bottom"/>
          </w:tcPr>
          <w:p>
            <w:pPr>
              <w:jc w:val="center"/>
              <w:spacing w:after="0"/>
              <w:rPr>
                <w:sz w:val="20"/>
                <w:szCs w:val="20"/>
                <w:color w:val="auto"/>
              </w:rPr>
            </w:pPr>
            <w:r>
              <w:rPr>
                <w:rFonts w:ascii="Arial" w:cs="Arial" w:eastAsia="Arial" w:hAnsi="Arial"/>
                <w:sz w:val="20"/>
                <w:szCs w:val="20"/>
                <w:color w:val="auto"/>
                <w:w w:val="91"/>
              </w:rPr>
              <w:t>John D. Hawke, Jr.</w:t>
            </w:r>
          </w:p>
        </w:tc>
        <w:tc>
          <w:tcPr>
            <w:tcW w:w="5840" w:type="dxa"/>
            <w:vAlign w:val="bottom"/>
          </w:tcPr>
          <w:p>
            <w:pPr>
              <w:spacing w:after="0"/>
              <w:rPr>
                <w:sz w:val="24"/>
                <w:szCs w:val="24"/>
                <w:color w:val="auto"/>
              </w:rPr>
            </w:pPr>
          </w:p>
        </w:tc>
      </w:tr>
      <w:tr>
        <w:trPr>
          <w:trHeight w:val="476"/>
        </w:trPr>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86"/>
              </w:rPr>
              <w:t>/</w:t>
            </w:r>
            <w:r>
              <w:rPr>
                <w:rFonts w:ascii="Arial" w:cs="Arial" w:eastAsia="Arial" w:hAnsi="Arial"/>
                <w:sz w:val="13"/>
                <w:szCs w:val="13"/>
                <w:color w:val="auto"/>
                <w:w w:val="86"/>
              </w:rPr>
              <w:t>S</w:t>
            </w:r>
            <w:r>
              <w:rPr>
                <w:rFonts w:ascii="Arial" w:cs="Arial" w:eastAsia="Arial" w:hAnsi="Arial"/>
                <w:sz w:val="20"/>
                <w:szCs w:val="20"/>
                <w:color w:val="auto"/>
                <w:w w:val="86"/>
              </w:rPr>
              <w:t>/ René F. Jones</w:t>
            </w:r>
          </w:p>
        </w:tc>
        <w:tc>
          <w:tcPr>
            <w:tcW w:w="5840" w:type="dxa"/>
            <w:vAlign w:val="bottom"/>
          </w:tcPr>
          <w:p>
            <w:pPr>
              <w:ind w:left="4360"/>
              <w:spacing w:after="0"/>
              <w:rPr>
                <w:sz w:val="20"/>
                <w:szCs w:val="20"/>
                <w:color w:val="auto"/>
              </w:rPr>
            </w:pPr>
            <w:r>
              <w:rPr>
                <w:rFonts w:ascii="Arial" w:cs="Arial" w:eastAsia="Arial" w:hAnsi="Arial"/>
                <w:sz w:val="20"/>
                <w:szCs w:val="20"/>
                <w:color w:val="auto"/>
                <w:w w:val="89"/>
              </w:rPr>
              <w:t>February 22, 2018</w:t>
            </w:r>
          </w:p>
        </w:tc>
      </w:tr>
      <w:tr>
        <w:trPr>
          <w:trHeight w:val="279"/>
        </w:trPr>
        <w:tc>
          <w:tcPr>
            <w:tcW w:w="5240" w:type="dxa"/>
            <w:vAlign w:val="bottom"/>
          </w:tcPr>
          <w:p>
            <w:pPr>
              <w:jc w:val="center"/>
              <w:spacing w:after="0"/>
              <w:rPr>
                <w:sz w:val="20"/>
                <w:szCs w:val="20"/>
                <w:color w:val="auto"/>
              </w:rPr>
            </w:pPr>
            <w:r>
              <w:rPr>
                <w:rFonts w:ascii="Arial" w:cs="Arial" w:eastAsia="Arial" w:hAnsi="Arial"/>
                <w:sz w:val="20"/>
                <w:szCs w:val="20"/>
                <w:color w:val="auto"/>
                <w:w w:val="84"/>
              </w:rPr>
              <w:t>René F. Jones</w:t>
            </w:r>
          </w:p>
        </w:tc>
        <w:tc>
          <w:tcPr>
            <w:tcW w:w="5840" w:type="dxa"/>
            <w:vAlign w:val="bottom"/>
          </w:tcPr>
          <w:p>
            <w:pPr>
              <w:spacing w:after="0"/>
              <w:rPr>
                <w:sz w:val="24"/>
                <w:szCs w:val="24"/>
                <w:color w:val="auto"/>
              </w:rPr>
            </w:pPr>
          </w:p>
        </w:tc>
      </w:tr>
      <w:tr>
        <w:trPr>
          <w:trHeight w:val="476"/>
        </w:trPr>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1"/>
              </w:rPr>
              <w:t>/</w:t>
            </w:r>
            <w:r>
              <w:rPr>
                <w:rFonts w:ascii="Arial" w:cs="Arial" w:eastAsia="Arial" w:hAnsi="Arial"/>
                <w:sz w:val="13"/>
                <w:szCs w:val="13"/>
                <w:color w:val="auto"/>
                <w:w w:val="91"/>
              </w:rPr>
              <w:t>S</w:t>
            </w:r>
            <w:r>
              <w:rPr>
                <w:rFonts w:ascii="Arial" w:cs="Arial" w:eastAsia="Arial" w:hAnsi="Arial"/>
                <w:sz w:val="20"/>
                <w:szCs w:val="20"/>
                <w:color w:val="auto"/>
                <w:w w:val="91"/>
              </w:rPr>
              <w:t>/ Richard H. Ledgett, Jr.</w:t>
            </w:r>
          </w:p>
        </w:tc>
        <w:tc>
          <w:tcPr>
            <w:tcW w:w="5840" w:type="dxa"/>
            <w:vAlign w:val="bottom"/>
          </w:tcPr>
          <w:p>
            <w:pPr>
              <w:ind w:left="4360"/>
              <w:spacing w:after="0"/>
              <w:rPr>
                <w:sz w:val="20"/>
                <w:szCs w:val="20"/>
                <w:color w:val="auto"/>
              </w:rPr>
            </w:pPr>
            <w:r>
              <w:rPr>
                <w:rFonts w:ascii="Arial" w:cs="Arial" w:eastAsia="Arial" w:hAnsi="Arial"/>
                <w:sz w:val="20"/>
                <w:szCs w:val="20"/>
                <w:color w:val="auto"/>
                <w:w w:val="89"/>
              </w:rPr>
              <w:t>February 22, 2018</w:t>
            </w:r>
          </w:p>
        </w:tc>
      </w:tr>
      <w:tr>
        <w:trPr>
          <w:trHeight w:val="279"/>
        </w:trPr>
        <w:tc>
          <w:tcPr>
            <w:tcW w:w="5240" w:type="dxa"/>
            <w:vAlign w:val="bottom"/>
          </w:tcPr>
          <w:p>
            <w:pPr>
              <w:jc w:val="center"/>
              <w:spacing w:after="0"/>
              <w:rPr>
                <w:sz w:val="20"/>
                <w:szCs w:val="20"/>
                <w:color w:val="auto"/>
              </w:rPr>
            </w:pPr>
            <w:r>
              <w:rPr>
                <w:rFonts w:ascii="Arial" w:cs="Arial" w:eastAsia="Arial" w:hAnsi="Arial"/>
                <w:sz w:val="20"/>
                <w:szCs w:val="20"/>
                <w:color w:val="auto"/>
                <w:w w:val="91"/>
              </w:rPr>
              <w:t>Richard H. Ledgett, Jr.</w:t>
            </w:r>
          </w:p>
        </w:tc>
        <w:tc>
          <w:tcPr>
            <w:tcW w:w="5840" w:type="dxa"/>
            <w:vAlign w:val="bottom"/>
          </w:tcPr>
          <w:p>
            <w:pPr>
              <w:spacing w:after="0"/>
              <w:rPr>
                <w:sz w:val="24"/>
                <w:szCs w:val="24"/>
                <w:color w:val="auto"/>
              </w:rPr>
            </w:pPr>
          </w:p>
        </w:tc>
      </w:tr>
      <w:tr>
        <w:trPr>
          <w:trHeight w:val="476"/>
        </w:trPr>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4"/>
              </w:rPr>
              <w:t>/</w:t>
            </w:r>
            <w:r>
              <w:rPr>
                <w:rFonts w:ascii="Arial" w:cs="Arial" w:eastAsia="Arial" w:hAnsi="Arial"/>
                <w:sz w:val="13"/>
                <w:szCs w:val="13"/>
                <w:color w:val="auto"/>
                <w:w w:val="94"/>
              </w:rPr>
              <w:t>S</w:t>
            </w:r>
            <w:r>
              <w:rPr>
                <w:rFonts w:ascii="Arial" w:cs="Arial" w:eastAsia="Arial" w:hAnsi="Arial"/>
                <w:sz w:val="20"/>
                <w:szCs w:val="20"/>
                <w:color w:val="auto"/>
                <w:w w:val="94"/>
              </w:rPr>
              <w:t>/ Newton P. S. Merrill</w:t>
            </w:r>
          </w:p>
        </w:tc>
        <w:tc>
          <w:tcPr>
            <w:tcW w:w="5840" w:type="dxa"/>
            <w:vAlign w:val="bottom"/>
          </w:tcPr>
          <w:p>
            <w:pPr>
              <w:ind w:left="4360"/>
              <w:spacing w:after="0"/>
              <w:rPr>
                <w:sz w:val="20"/>
                <w:szCs w:val="20"/>
                <w:color w:val="auto"/>
              </w:rPr>
            </w:pPr>
            <w:r>
              <w:rPr>
                <w:rFonts w:ascii="Arial" w:cs="Arial" w:eastAsia="Arial" w:hAnsi="Arial"/>
                <w:sz w:val="20"/>
                <w:szCs w:val="20"/>
                <w:color w:val="auto"/>
                <w:w w:val="89"/>
              </w:rPr>
              <w:t>February 22, 2018</w:t>
            </w:r>
          </w:p>
        </w:tc>
      </w:tr>
      <w:tr>
        <w:trPr>
          <w:trHeight w:val="279"/>
        </w:trPr>
        <w:tc>
          <w:tcPr>
            <w:tcW w:w="5240" w:type="dxa"/>
            <w:vAlign w:val="bottom"/>
          </w:tcPr>
          <w:p>
            <w:pPr>
              <w:jc w:val="center"/>
              <w:spacing w:after="0"/>
              <w:rPr>
                <w:sz w:val="20"/>
                <w:szCs w:val="20"/>
                <w:color w:val="auto"/>
              </w:rPr>
            </w:pPr>
            <w:r>
              <w:rPr>
                <w:rFonts w:ascii="Arial" w:cs="Arial" w:eastAsia="Arial" w:hAnsi="Arial"/>
                <w:sz w:val="20"/>
                <w:szCs w:val="20"/>
                <w:color w:val="auto"/>
                <w:w w:val="93"/>
              </w:rPr>
              <w:t>Newton P. S. Merrill</w:t>
            </w:r>
          </w:p>
        </w:tc>
        <w:tc>
          <w:tcPr>
            <w:tcW w:w="5840" w:type="dxa"/>
            <w:vAlign w:val="bottom"/>
          </w:tcPr>
          <w:p>
            <w:pPr>
              <w:spacing w:after="0"/>
              <w:rPr>
                <w:sz w:val="24"/>
                <w:szCs w:val="24"/>
                <w:color w:val="auto"/>
              </w:rPr>
            </w:pPr>
          </w:p>
        </w:tc>
      </w:tr>
      <w:tr>
        <w:trPr>
          <w:trHeight w:val="594"/>
        </w:trPr>
        <w:tc>
          <w:tcPr>
            <w:tcW w:w="5240" w:type="dxa"/>
            <w:vAlign w:val="bottom"/>
            <w:tcBorders>
              <w:bottom w:val="single" w:sz="8" w:color="auto"/>
            </w:tcBorders>
          </w:tcPr>
          <w:p>
            <w:pPr>
              <w:ind w:left="1860"/>
              <w:spacing w:after="0"/>
              <w:rPr>
                <w:sz w:val="20"/>
                <w:szCs w:val="20"/>
                <w:color w:val="auto"/>
              </w:rPr>
            </w:pPr>
            <w:r>
              <w:rPr>
                <w:rFonts w:ascii="Arial" w:cs="Arial" w:eastAsia="Arial" w:hAnsi="Arial"/>
                <w:sz w:val="20"/>
                <w:szCs w:val="20"/>
                <w:color w:val="auto"/>
              </w:rPr>
              <w:t>/</w:t>
            </w:r>
            <w:r>
              <w:rPr>
                <w:rFonts w:ascii="Arial" w:cs="Arial" w:eastAsia="Arial" w:hAnsi="Arial"/>
                <w:sz w:val="13"/>
                <w:szCs w:val="13"/>
                <w:color w:val="auto"/>
              </w:rPr>
              <w:t>S</w:t>
            </w:r>
            <w:r>
              <w:rPr>
                <w:rFonts w:ascii="Arial" w:cs="Arial" w:eastAsia="Arial" w:hAnsi="Arial"/>
                <w:sz w:val="20"/>
                <w:szCs w:val="20"/>
                <w:color w:val="auto"/>
              </w:rPr>
              <w:t>/ Melinda R. Rich</w:t>
            </w:r>
          </w:p>
        </w:tc>
        <w:tc>
          <w:tcPr>
            <w:tcW w:w="5840" w:type="dxa"/>
            <w:vAlign w:val="bottom"/>
          </w:tcPr>
          <w:p>
            <w:pPr>
              <w:ind w:left="4360"/>
              <w:spacing w:after="0"/>
              <w:rPr>
                <w:sz w:val="20"/>
                <w:szCs w:val="20"/>
                <w:color w:val="auto"/>
              </w:rPr>
            </w:pPr>
            <w:r>
              <w:rPr>
                <w:rFonts w:ascii="Arial" w:cs="Arial" w:eastAsia="Arial" w:hAnsi="Arial"/>
                <w:sz w:val="20"/>
                <w:szCs w:val="20"/>
                <w:color w:val="auto"/>
                <w:w w:val="89"/>
              </w:rPr>
              <w:t>February 22, 2018</w:t>
            </w:r>
          </w:p>
        </w:tc>
      </w:tr>
      <w:tr>
        <w:trPr>
          <w:trHeight w:val="279"/>
        </w:trPr>
        <w:tc>
          <w:tcPr>
            <w:tcW w:w="5240" w:type="dxa"/>
            <w:vAlign w:val="bottom"/>
          </w:tcPr>
          <w:p>
            <w:pPr>
              <w:jc w:val="center"/>
              <w:spacing w:after="0"/>
              <w:rPr>
                <w:sz w:val="20"/>
                <w:szCs w:val="20"/>
                <w:color w:val="auto"/>
              </w:rPr>
            </w:pPr>
            <w:r>
              <w:rPr>
                <w:rFonts w:ascii="Arial" w:cs="Arial" w:eastAsia="Arial" w:hAnsi="Arial"/>
                <w:sz w:val="20"/>
                <w:szCs w:val="20"/>
                <w:color w:val="auto"/>
                <w:w w:val="94"/>
              </w:rPr>
              <w:t>Melinda R. Rich</w:t>
            </w:r>
          </w:p>
        </w:tc>
        <w:tc>
          <w:tcPr>
            <w:tcW w:w="5840" w:type="dxa"/>
            <w:vAlign w:val="bottom"/>
          </w:tcPr>
          <w:p>
            <w:pPr>
              <w:spacing w:after="0"/>
              <w:rPr>
                <w:sz w:val="24"/>
                <w:szCs w:val="24"/>
                <w:color w:val="auto"/>
              </w:rPr>
            </w:pPr>
          </w:p>
        </w:tc>
      </w:tr>
      <w:tr>
        <w:trPr>
          <w:trHeight w:val="594"/>
        </w:trPr>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0"/>
              </w:rPr>
              <w:t>/</w:t>
            </w:r>
            <w:r>
              <w:rPr>
                <w:rFonts w:ascii="Arial" w:cs="Arial" w:eastAsia="Arial" w:hAnsi="Arial"/>
                <w:sz w:val="13"/>
                <w:szCs w:val="13"/>
                <w:color w:val="auto"/>
                <w:w w:val="90"/>
              </w:rPr>
              <w:t>S</w:t>
            </w:r>
            <w:r>
              <w:rPr>
                <w:rFonts w:ascii="Arial" w:cs="Arial" w:eastAsia="Arial" w:hAnsi="Arial"/>
                <w:sz w:val="20"/>
                <w:szCs w:val="20"/>
                <w:color w:val="auto"/>
                <w:w w:val="90"/>
              </w:rPr>
              <w:t>/ Robert E. Sadler, Jr.</w:t>
            </w:r>
          </w:p>
        </w:tc>
        <w:tc>
          <w:tcPr>
            <w:tcW w:w="5840" w:type="dxa"/>
            <w:vAlign w:val="bottom"/>
          </w:tcPr>
          <w:p>
            <w:pPr>
              <w:ind w:left="4360"/>
              <w:spacing w:after="0"/>
              <w:rPr>
                <w:sz w:val="20"/>
                <w:szCs w:val="20"/>
                <w:color w:val="auto"/>
              </w:rPr>
            </w:pPr>
            <w:r>
              <w:rPr>
                <w:rFonts w:ascii="Arial" w:cs="Arial" w:eastAsia="Arial" w:hAnsi="Arial"/>
                <w:sz w:val="20"/>
                <w:szCs w:val="20"/>
                <w:color w:val="auto"/>
                <w:w w:val="89"/>
              </w:rPr>
              <w:t>February 22, 2018</w:t>
            </w:r>
          </w:p>
        </w:tc>
      </w:tr>
      <w:tr>
        <w:trPr>
          <w:trHeight w:val="279"/>
        </w:trPr>
        <w:tc>
          <w:tcPr>
            <w:tcW w:w="5240" w:type="dxa"/>
            <w:vAlign w:val="bottom"/>
          </w:tcPr>
          <w:p>
            <w:pPr>
              <w:jc w:val="center"/>
              <w:spacing w:after="0"/>
              <w:rPr>
                <w:sz w:val="20"/>
                <w:szCs w:val="20"/>
                <w:color w:val="auto"/>
              </w:rPr>
            </w:pPr>
            <w:r>
              <w:rPr>
                <w:rFonts w:ascii="Arial" w:cs="Arial" w:eastAsia="Arial" w:hAnsi="Arial"/>
                <w:sz w:val="20"/>
                <w:szCs w:val="20"/>
                <w:color w:val="auto"/>
                <w:w w:val="89"/>
              </w:rPr>
              <w:t>Robert E. Sadler, Jr.</w:t>
            </w:r>
          </w:p>
        </w:tc>
        <w:tc>
          <w:tcPr>
            <w:tcW w:w="5840" w:type="dxa"/>
            <w:vAlign w:val="bottom"/>
          </w:tcPr>
          <w:p>
            <w:pPr>
              <w:spacing w:after="0"/>
              <w:rPr>
                <w:sz w:val="24"/>
                <w:szCs w:val="24"/>
                <w:color w:val="auto"/>
              </w:rPr>
            </w:pPr>
          </w:p>
        </w:tc>
      </w:tr>
      <w:tr>
        <w:trPr>
          <w:trHeight w:val="594"/>
        </w:trPr>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0"/>
              </w:rPr>
              <w:t>/</w:t>
            </w:r>
            <w:r>
              <w:rPr>
                <w:rFonts w:ascii="Arial" w:cs="Arial" w:eastAsia="Arial" w:hAnsi="Arial"/>
                <w:sz w:val="13"/>
                <w:szCs w:val="13"/>
                <w:color w:val="auto"/>
                <w:w w:val="90"/>
              </w:rPr>
              <w:t>S</w:t>
            </w:r>
            <w:r>
              <w:rPr>
                <w:rFonts w:ascii="Arial" w:cs="Arial" w:eastAsia="Arial" w:hAnsi="Arial"/>
                <w:sz w:val="20"/>
                <w:szCs w:val="20"/>
                <w:color w:val="auto"/>
                <w:w w:val="90"/>
              </w:rPr>
              <w:t>/ Denis J. Salamone</w:t>
            </w:r>
          </w:p>
        </w:tc>
        <w:tc>
          <w:tcPr>
            <w:tcW w:w="5840" w:type="dxa"/>
            <w:vAlign w:val="bottom"/>
          </w:tcPr>
          <w:p>
            <w:pPr>
              <w:ind w:left="4360"/>
              <w:spacing w:after="0"/>
              <w:rPr>
                <w:sz w:val="20"/>
                <w:szCs w:val="20"/>
                <w:color w:val="auto"/>
              </w:rPr>
            </w:pPr>
            <w:r>
              <w:rPr>
                <w:rFonts w:ascii="Arial" w:cs="Arial" w:eastAsia="Arial" w:hAnsi="Arial"/>
                <w:sz w:val="20"/>
                <w:szCs w:val="20"/>
                <w:color w:val="auto"/>
                <w:w w:val="89"/>
              </w:rPr>
              <w:t>February 22, 2018</w:t>
            </w:r>
          </w:p>
        </w:tc>
      </w:tr>
      <w:tr>
        <w:trPr>
          <w:trHeight w:val="279"/>
        </w:trPr>
        <w:tc>
          <w:tcPr>
            <w:tcW w:w="5240" w:type="dxa"/>
            <w:vAlign w:val="bottom"/>
          </w:tcPr>
          <w:p>
            <w:pPr>
              <w:jc w:val="center"/>
              <w:spacing w:after="0"/>
              <w:rPr>
                <w:sz w:val="20"/>
                <w:szCs w:val="20"/>
                <w:color w:val="auto"/>
              </w:rPr>
            </w:pPr>
            <w:r>
              <w:rPr>
                <w:rFonts w:ascii="Arial" w:cs="Arial" w:eastAsia="Arial" w:hAnsi="Arial"/>
                <w:sz w:val="20"/>
                <w:szCs w:val="20"/>
                <w:color w:val="auto"/>
                <w:w w:val="89"/>
              </w:rPr>
              <w:t>Denis J. Salamone</w:t>
            </w:r>
          </w:p>
        </w:tc>
        <w:tc>
          <w:tcPr>
            <w:tcW w:w="5840" w:type="dxa"/>
            <w:vAlign w:val="bottom"/>
          </w:tcPr>
          <w:p>
            <w:pPr>
              <w:spacing w:after="0"/>
              <w:rPr>
                <w:sz w:val="24"/>
                <w:szCs w:val="24"/>
                <w:color w:val="auto"/>
              </w:rPr>
            </w:pPr>
          </w:p>
        </w:tc>
      </w:tr>
      <w:tr>
        <w:trPr>
          <w:trHeight w:val="607"/>
        </w:trPr>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0"/>
              </w:rPr>
              <w:t>/</w:t>
            </w:r>
            <w:r>
              <w:rPr>
                <w:rFonts w:ascii="Arial" w:cs="Arial" w:eastAsia="Arial" w:hAnsi="Arial"/>
                <w:sz w:val="13"/>
                <w:szCs w:val="13"/>
                <w:color w:val="auto"/>
                <w:w w:val="90"/>
              </w:rPr>
              <w:t>S</w:t>
            </w:r>
            <w:r>
              <w:rPr>
                <w:rFonts w:ascii="Arial" w:cs="Arial" w:eastAsia="Arial" w:hAnsi="Arial"/>
                <w:sz w:val="20"/>
                <w:szCs w:val="20"/>
                <w:color w:val="auto"/>
                <w:w w:val="90"/>
              </w:rPr>
              <w:t>/ John R. Scannell</w:t>
            </w:r>
          </w:p>
        </w:tc>
        <w:tc>
          <w:tcPr>
            <w:tcW w:w="5840" w:type="dxa"/>
            <w:vAlign w:val="bottom"/>
          </w:tcPr>
          <w:p>
            <w:pPr>
              <w:ind w:left="4360"/>
              <w:spacing w:after="0"/>
              <w:rPr>
                <w:sz w:val="20"/>
                <w:szCs w:val="20"/>
                <w:color w:val="auto"/>
              </w:rPr>
            </w:pPr>
            <w:r>
              <w:rPr>
                <w:rFonts w:ascii="Arial" w:cs="Arial" w:eastAsia="Arial" w:hAnsi="Arial"/>
                <w:sz w:val="20"/>
                <w:szCs w:val="20"/>
                <w:color w:val="auto"/>
                <w:w w:val="89"/>
              </w:rPr>
              <w:t>February 22, 2018</w:t>
            </w:r>
          </w:p>
        </w:tc>
      </w:tr>
      <w:tr>
        <w:trPr>
          <w:trHeight w:val="279"/>
        </w:trPr>
        <w:tc>
          <w:tcPr>
            <w:tcW w:w="5240" w:type="dxa"/>
            <w:vAlign w:val="bottom"/>
          </w:tcPr>
          <w:p>
            <w:pPr>
              <w:jc w:val="center"/>
              <w:spacing w:after="0"/>
              <w:rPr>
                <w:sz w:val="20"/>
                <w:szCs w:val="20"/>
                <w:color w:val="auto"/>
              </w:rPr>
            </w:pPr>
            <w:r>
              <w:rPr>
                <w:rFonts w:ascii="Arial" w:cs="Arial" w:eastAsia="Arial" w:hAnsi="Arial"/>
                <w:sz w:val="20"/>
                <w:szCs w:val="20"/>
                <w:color w:val="auto"/>
                <w:w w:val="89"/>
              </w:rPr>
              <w:t>John R. Scannell</w:t>
            </w:r>
          </w:p>
        </w:tc>
        <w:tc>
          <w:tcPr>
            <w:tcW w:w="5840" w:type="dxa"/>
            <w:vAlign w:val="bottom"/>
          </w:tcPr>
          <w:p>
            <w:pPr>
              <w:spacing w:after="0"/>
              <w:rPr>
                <w:sz w:val="24"/>
                <w:szCs w:val="24"/>
                <w:color w:val="auto"/>
              </w:rPr>
            </w:pPr>
          </w:p>
        </w:tc>
      </w:tr>
      <w:tr>
        <w:trPr>
          <w:trHeight w:val="489"/>
        </w:trPr>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1"/>
              </w:rPr>
              <w:t>/</w:t>
            </w:r>
            <w:r>
              <w:rPr>
                <w:rFonts w:ascii="Arial" w:cs="Arial" w:eastAsia="Arial" w:hAnsi="Arial"/>
                <w:sz w:val="13"/>
                <w:szCs w:val="13"/>
                <w:color w:val="auto"/>
                <w:w w:val="91"/>
              </w:rPr>
              <w:t>S</w:t>
            </w:r>
            <w:r>
              <w:rPr>
                <w:rFonts w:ascii="Arial" w:cs="Arial" w:eastAsia="Arial" w:hAnsi="Arial"/>
                <w:sz w:val="20"/>
                <w:szCs w:val="20"/>
                <w:color w:val="auto"/>
                <w:w w:val="91"/>
              </w:rPr>
              <w:t>/ David S. Scharfstein</w:t>
            </w:r>
          </w:p>
        </w:tc>
        <w:tc>
          <w:tcPr>
            <w:tcW w:w="5840" w:type="dxa"/>
            <w:vAlign w:val="bottom"/>
          </w:tcPr>
          <w:p>
            <w:pPr>
              <w:ind w:left="4360"/>
              <w:spacing w:after="0"/>
              <w:rPr>
                <w:sz w:val="20"/>
                <w:szCs w:val="20"/>
                <w:color w:val="auto"/>
              </w:rPr>
            </w:pPr>
            <w:r>
              <w:rPr>
                <w:rFonts w:ascii="Arial" w:cs="Arial" w:eastAsia="Arial" w:hAnsi="Arial"/>
                <w:sz w:val="20"/>
                <w:szCs w:val="20"/>
                <w:color w:val="auto"/>
                <w:w w:val="89"/>
              </w:rPr>
              <w:t>February 22, 2018</w:t>
            </w:r>
          </w:p>
        </w:tc>
      </w:tr>
      <w:tr>
        <w:trPr>
          <w:trHeight w:val="279"/>
        </w:trPr>
        <w:tc>
          <w:tcPr>
            <w:tcW w:w="5240" w:type="dxa"/>
            <w:vAlign w:val="bottom"/>
          </w:tcPr>
          <w:p>
            <w:pPr>
              <w:jc w:val="center"/>
              <w:spacing w:after="0"/>
              <w:rPr>
                <w:sz w:val="20"/>
                <w:szCs w:val="20"/>
                <w:color w:val="auto"/>
              </w:rPr>
            </w:pPr>
            <w:r>
              <w:rPr>
                <w:rFonts w:ascii="Arial" w:cs="Arial" w:eastAsia="Arial" w:hAnsi="Arial"/>
                <w:sz w:val="20"/>
                <w:szCs w:val="20"/>
                <w:color w:val="auto"/>
                <w:w w:val="91"/>
              </w:rPr>
              <w:t>David S. Scharfstein</w:t>
            </w:r>
          </w:p>
        </w:tc>
        <w:tc>
          <w:tcPr>
            <w:tcW w:w="5840" w:type="dxa"/>
            <w:vAlign w:val="bottom"/>
          </w:tcPr>
          <w:p>
            <w:pPr>
              <w:spacing w:after="0"/>
              <w:rPr>
                <w:sz w:val="24"/>
                <w:szCs w:val="24"/>
                <w:color w:val="auto"/>
              </w:rPr>
            </w:pPr>
          </w:p>
        </w:tc>
      </w:tr>
      <w:tr>
        <w:trPr>
          <w:trHeight w:val="489"/>
        </w:trPr>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2"/>
              </w:rPr>
              <w:t>/</w:t>
            </w:r>
            <w:r>
              <w:rPr>
                <w:rFonts w:ascii="Arial" w:cs="Arial" w:eastAsia="Arial" w:hAnsi="Arial"/>
                <w:sz w:val="13"/>
                <w:szCs w:val="13"/>
                <w:color w:val="auto"/>
                <w:w w:val="92"/>
              </w:rPr>
              <w:t>S</w:t>
            </w:r>
            <w:r>
              <w:rPr>
                <w:rFonts w:ascii="Arial" w:cs="Arial" w:eastAsia="Arial" w:hAnsi="Arial"/>
                <w:sz w:val="20"/>
                <w:szCs w:val="20"/>
                <w:color w:val="auto"/>
                <w:w w:val="92"/>
              </w:rPr>
              <w:t>/ Herbert L. Washington</w:t>
            </w:r>
          </w:p>
        </w:tc>
        <w:tc>
          <w:tcPr>
            <w:tcW w:w="5840" w:type="dxa"/>
            <w:vAlign w:val="bottom"/>
          </w:tcPr>
          <w:p>
            <w:pPr>
              <w:ind w:left="4360"/>
              <w:spacing w:after="0"/>
              <w:rPr>
                <w:sz w:val="20"/>
                <w:szCs w:val="20"/>
                <w:color w:val="auto"/>
              </w:rPr>
            </w:pPr>
            <w:r>
              <w:rPr>
                <w:rFonts w:ascii="Arial" w:cs="Arial" w:eastAsia="Arial" w:hAnsi="Arial"/>
                <w:sz w:val="20"/>
                <w:szCs w:val="20"/>
                <w:color w:val="auto"/>
                <w:w w:val="89"/>
              </w:rPr>
              <w:t>February 22, 2018</w:t>
            </w:r>
          </w:p>
        </w:tc>
      </w:tr>
      <w:tr>
        <w:trPr>
          <w:trHeight w:val="279"/>
        </w:trPr>
        <w:tc>
          <w:tcPr>
            <w:tcW w:w="5240" w:type="dxa"/>
            <w:vAlign w:val="bottom"/>
          </w:tcPr>
          <w:p>
            <w:pPr>
              <w:jc w:val="center"/>
              <w:spacing w:after="0"/>
              <w:rPr>
                <w:sz w:val="20"/>
                <w:szCs w:val="20"/>
                <w:color w:val="auto"/>
              </w:rPr>
            </w:pPr>
            <w:r>
              <w:rPr>
                <w:rFonts w:ascii="Arial" w:cs="Arial" w:eastAsia="Arial" w:hAnsi="Arial"/>
                <w:sz w:val="20"/>
                <w:szCs w:val="20"/>
                <w:color w:val="auto"/>
                <w:w w:val="91"/>
              </w:rPr>
              <w:t>Herbert L. Washington</w:t>
            </w:r>
          </w:p>
        </w:tc>
        <w:tc>
          <w:tcPr>
            <w:tcW w:w="58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080"/>
          </w:cols>
          <w:pgMar w:left="240" w:top="336" w:right="579" w:bottom="1440" w:gutter="0" w:footer="0" w:header="0"/>
        </w:sectPr>
      </w:pPr>
    </w:p>
    <w:bookmarkStart w:id="196" w:name="page197"/>
    <w:bookmarkEnd w:id="196"/>
    <w:p>
      <w:pPr>
        <w:jc w:val="right"/>
        <w:spacing w:after="0"/>
        <w:rPr>
          <w:sz w:val="20"/>
          <w:szCs w:val="20"/>
          <w:color w:val="auto"/>
        </w:rPr>
      </w:pPr>
      <w:r>
        <w:rPr>
          <w:rFonts w:ascii="Arial" w:cs="Arial" w:eastAsia="Arial" w:hAnsi="Arial"/>
          <w:sz w:val="20"/>
          <w:szCs w:val="20"/>
          <w:b w:val="1"/>
          <w:bCs w:val="1"/>
          <w:color w:val="auto"/>
        </w:rPr>
        <w:t>EXHIBIT 12.1</w:t>
      </w:r>
    </w:p>
    <w:p>
      <w:pPr>
        <w:spacing w:after="0" w:line="322" w:lineRule="exact"/>
        <w:rPr>
          <w:sz w:val="20"/>
          <w:szCs w:val="20"/>
          <w:color w:val="auto"/>
        </w:rPr>
      </w:pPr>
    </w:p>
    <w:p>
      <w:pPr>
        <w:ind w:right="5620"/>
        <w:spacing w:after="0" w:line="306" w:lineRule="auto"/>
        <w:rPr>
          <w:sz w:val="20"/>
          <w:szCs w:val="20"/>
          <w:color w:val="auto"/>
        </w:rPr>
      </w:pPr>
      <w:r>
        <w:rPr>
          <w:rFonts w:ascii="Arial" w:cs="Arial" w:eastAsia="Arial" w:hAnsi="Arial"/>
          <w:sz w:val="19"/>
          <w:szCs w:val="19"/>
          <w:b w:val="1"/>
          <w:bCs w:val="1"/>
          <w:color w:val="auto"/>
        </w:rPr>
        <w:t>M&amp;T BANK CORPORATION AND SUBSIDIARIES Computations of Consolidated Ratios of Earnings to Fixed Charges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8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5"/>
          </w:tcPr>
          <w:p>
            <w:pPr>
              <w:jc w:val="center"/>
              <w:ind w:left="675"/>
              <w:spacing w:after="0"/>
              <w:rPr>
                <w:sz w:val="20"/>
                <w:szCs w:val="20"/>
                <w:color w:val="auto"/>
              </w:rPr>
            </w:pPr>
            <w:r>
              <w:rPr>
                <w:rFonts w:ascii="Arial" w:cs="Arial" w:eastAsia="Arial" w:hAnsi="Arial"/>
                <w:sz w:val="14"/>
                <w:szCs w:val="14"/>
                <w:b w:val="1"/>
                <w:bCs w:val="1"/>
                <w:color w:val="auto"/>
                <w:w w:val="91"/>
              </w:rPr>
              <w:t>Year Ended December 31</w:t>
            </w:r>
          </w:p>
        </w:tc>
        <w:tc>
          <w:tcPr>
            <w:tcW w:w="7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48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94"/>
              <w:spacing w:after="0" w:line="151"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95"/>
              <w:spacing w:after="0" w:line="151" w:lineRule="exact"/>
              <w:rPr>
                <w:sz w:val="20"/>
                <w:szCs w:val="20"/>
                <w:color w:val="auto"/>
              </w:rPr>
            </w:pPr>
            <w:r>
              <w:rPr>
                <w:rFonts w:ascii="Arial" w:cs="Arial" w:eastAsia="Arial" w:hAnsi="Arial"/>
                <w:sz w:val="14"/>
                <w:szCs w:val="14"/>
                <w:b w:val="1"/>
                <w:bCs w:val="1"/>
                <w:color w:val="auto"/>
              </w:rPr>
              <w:t>2016</w:t>
            </w:r>
          </w:p>
        </w:tc>
        <w:tc>
          <w:tcPr>
            <w:tcW w:w="1100" w:type="dxa"/>
            <w:vAlign w:val="bottom"/>
            <w:tcBorders>
              <w:bottom w:val="single" w:sz="8" w:color="auto"/>
            </w:tcBorders>
            <w:gridSpan w:val="2"/>
          </w:tcPr>
          <w:p>
            <w:pPr>
              <w:jc w:val="center"/>
              <w:ind w:left="175"/>
              <w:spacing w:after="0" w:line="151" w:lineRule="exact"/>
              <w:rPr>
                <w:sz w:val="20"/>
                <w:szCs w:val="20"/>
                <w:color w:val="auto"/>
              </w:rPr>
            </w:pPr>
            <w:r>
              <w:rPr>
                <w:rFonts w:ascii="Arial" w:cs="Arial" w:eastAsia="Arial" w:hAnsi="Arial"/>
                <w:sz w:val="14"/>
                <w:szCs w:val="14"/>
                <w:b w:val="1"/>
                <w:bCs w:val="1"/>
                <w:color w:val="auto"/>
                <w:w w:val="89"/>
              </w:rPr>
              <w:t>2015</w:t>
            </w:r>
          </w:p>
        </w:tc>
        <w:tc>
          <w:tcPr>
            <w:tcW w:w="2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94"/>
              <w:spacing w:after="0" w:line="151" w:lineRule="exact"/>
              <w:rPr>
                <w:sz w:val="20"/>
                <w:szCs w:val="20"/>
                <w:color w:val="auto"/>
              </w:rPr>
            </w:pPr>
            <w:r>
              <w:rPr>
                <w:rFonts w:ascii="Arial" w:cs="Arial" w:eastAsia="Arial" w:hAnsi="Arial"/>
                <w:sz w:val="14"/>
                <w:szCs w:val="14"/>
                <w:b w:val="1"/>
                <w:bCs w:val="1"/>
                <w:color w:val="auto"/>
              </w:rPr>
              <w:t>2014</w:t>
            </w: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14"/>
              <w:spacing w:after="0" w:line="151"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48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0"/>
              </w:rPr>
              <w:t>(Dollars in thousands)</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Excluding interest on deposits</w:t>
            </w: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Pr>
          <w:p>
            <w:pPr>
              <w:spacing w:after="0"/>
              <w:rPr>
                <w:sz w:val="20"/>
                <w:szCs w:val="20"/>
                <w:color w:val="auto"/>
              </w:rPr>
            </w:pPr>
            <w:r>
              <w:rPr>
                <w:rFonts w:ascii="Arial" w:cs="Arial" w:eastAsia="Arial" w:hAnsi="Arial"/>
                <w:sz w:val="18"/>
                <w:szCs w:val="18"/>
                <w:color w:val="auto"/>
              </w:rPr>
              <w:t>Fixed charges:</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Interest expense (excluding interest on deposits)</w:t>
            </w: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190,883</w:t>
            </w: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234,642</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254,443</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217,348</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200,413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Borders>
              <w:bottom w:val="single" w:sz="8" w:color="CFF0FC"/>
            </w:tcBorders>
          </w:tcPr>
          <w:p>
            <w:pPr>
              <w:ind w:left="180"/>
              <w:spacing w:after="0"/>
              <w:rPr>
                <w:sz w:val="20"/>
                <w:szCs w:val="20"/>
                <w:color w:val="auto"/>
              </w:rPr>
            </w:pPr>
            <w:r>
              <w:rPr>
                <w:rFonts w:ascii="Arial" w:cs="Arial" w:eastAsia="Arial" w:hAnsi="Arial"/>
                <w:sz w:val="18"/>
                <w:szCs w:val="18"/>
                <w:color w:val="auto"/>
              </w:rPr>
              <w:t>Interest factor within rent expense (a)</w:t>
            </w:r>
          </w:p>
        </w:tc>
        <w:tc>
          <w:tcPr>
            <w:tcW w:w="12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40,917</w:t>
            </w:r>
          </w:p>
        </w:tc>
        <w:tc>
          <w:tcPr>
            <w:tcW w:w="26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40,727</w:t>
            </w:r>
          </w:p>
        </w:tc>
        <w:tc>
          <w:tcPr>
            <w:tcW w:w="26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36,385</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36,815</w:t>
            </w:r>
          </w:p>
        </w:tc>
        <w:tc>
          <w:tcPr>
            <w:tcW w:w="26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36,490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8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fixed charges</w:t>
            </w: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231,800</w:t>
            </w: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275,369</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290,828</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254,163</w:t>
            </w: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236,903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Earnings:</w:t>
            </w:r>
          </w:p>
        </w:tc>
        <w:tc>
          <w:tcPr>
            <w:tcW w:w="12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820" w:type="dxa"/>
            <w:vAlign w:val="bottom"/>
            <w:vMerge w:val="continue"/>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8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Income before income taxes</w:t>
            </w: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2,323,862</w:t>
            </w: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2,058,398</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1,674,692</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1,642,245</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1,765,568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Borders>
              <w:bottom w:val="single" w:sz="8" w:color="CFF0FC"/>
            </w:tcBorders>
          </w:tcPr>
          <w:p>
            <w:pPr>
              <w:ind w:left="180"/>
              <w:spacing w:after="0"/>
              <w:rPr>
                <w:sz w:val="20"/>
                <w:szCs w:val="20"/>
                <w:color w:val="auto"/>
              </w:rPr>
            </w:pPr>
            <w:r>
              <w:rPr>
                <w:rFonts w:ascii="Arial" w:cs="Arial" w:eastAsia="Arial" w:hAnsi="Arial"/>
                <w:sz w:val="18"/>
                <w:szCs w:val="18"/>
                <w:color w:val="auto"/>
              </w:rPr>
              <w:t>Fixed charges</w:t>
            </w:r>
          </w:p>
        </w:tc>
        <w:tc>
          <w:tcPr>
            <w:tcW w:w="12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231,800</w:t>
            </w:r>
          </w:p>
        </w:tc>
        <w:tc>
          <w:tcPr>
            <w:tcW w:w="26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275,369</w:t>
            </w:r>
          </w:p>
        </w:tc>
        <w:tc>
          <w:tcPr>
            <w:tcW w:w="26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290,828</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254,163</w:t>
            </w:r>
          </w:p>
        </w:tc>
        <w:tc>
          <w:tcPr>
            <w:tcW w:w="26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236,903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820" w:type="dxa"/>
            <w:vAlign w:val="bottom"/>
            <w:shd w:val="clear" w:color="auto" w:fill="CFF0FC"/>
          </w:tcPr>
          <w:p>
            <w:pPr>
              <w:ind w:left="440"/>
              <w:spacing w:after="0"/>
              <w:rPr>
                <w:sz w:val="20"/>
                <w:szCs w:val="20"/>
                <w:color w:val="auto"/>
              </w:rPr>
            </w:pPr>
            <w:r>
              <w:rPr>
                <w:rFonts w:ascii="Arial" w:cs="Arial" w:eastAsia="Arial" w:hAnsi="Arial"/>
                <w:sz w:val="18"/>
                <w:szCs w:val="18"/>
                <w:color w:val="auto"/>
              </w:rPr>
              <w:t>Total earnings</w:t>
            </w: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2,555,662</w:t>
            </w: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2,333,767</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1,965,520</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1,896,408</w:t>
            </w: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2,002,471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Ratio of earnings to fixed charges, excluding interest</w:t>
            </w:r>
          </w:p>
        </w:tc>
        <w:tc>
          <w:tcPr>
            <w:tcW w:w="12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820" w:type="dxa"/>
            <w:vAlign w:val="bottom"/>
            <w:vMerge w:val="continue"/>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4820" w:type="dxa"/>
            <w:vAlign w:val="bottom"/>
          </w:tcPr>
          <w:p>
            <w:pPr>
              <w:ind w:left="140"/>
              <w:spacing w:after="0"/>
              <w:rPr>
                <w:sz w:val="20"/>
                <w:szCs w:val="20"/>
                <w:color w:val="auto"/>
              </w:rPr>
            </w:pPr>
            <w:r>
              <w:rPr>
                <w:rFonts w:ascii="Arial" w:cs="Arial" w:eastAsia="Arial" w:hAnsi="Arial"/>
                <w:sz w:val="18"/>
                <w:szCs w:val="18"/>
                <w:color w:val="auto"/>
              </w:rPr>
              <w:t>on deposits</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x</w:t>
            </w:r>
          </w:p>
        </w:tc>
        <w:tc>
          <w:tcPr>
            <w:tcW w:w="720" w:type="dxa"/>
            <w:vAlign w:val="bottom"/>
          </w:tcPr>
          <w:p>
            <w:pPr>
              <w:jc w:val="right"/>
              <w:spacing w:after="0"/>
              <w:rPr>
                <w:sz w:val="20"/>
                <w:szCs w:val="20"/>
                <w:color w:val="auto"/>
              </w:rPr>
            </w:pPr>
            <w:r>
              <w:rPr>
                <w:rFonts w:ascii="Arial" w:cs="Arial" w:eastAsia="Arial" w:hAnsi="Arial"/>
                <w:sz w:val="18"/>
                <w:szCs w:val="18"/>
                <w:color w:val="auto"/>
              </w:rPr>
              <w:t>11.03</w:t>
            </w: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8.48</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6.76</w:t>
            </w: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7.46</w:t>
            </w: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8.45</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4820" w:type="dxa"/>
            <w:vAlign w:val="bottom"/>
            <w:tcBorders>
              <w:top w:val="single" w:sz="8" w:color="CFF0FC"/>
            </w:tcBorders>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Including interest on deposits</w:t>
            </w:r>
          </w:p>
        </w:tc>
        <w:tc>
          <w:tcPr>
            <w:tcW w:w="12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820" w:type="dxa"/>
            <w:vAlign w:val="bottom"/>
          </w:tcPr>
          <w:p>
            <w:pPr>
              <w:spacing w:after="0"/>
              <w:rPr>
                <w:sz w:val="20"/>
                <w:szCs w:val="20"/>
                <w:color w:val="auto"/>
              </w:rPr>
            </w:pPr>
            <w:r>
              <w:rPr>
                <w:rFonts w:ascii="Arial" w:cs="Arial" w:eastAsia="Arial" w:hAnsi="Arial"/>
                <w:sz w:val="18"/>
                <w:szCs w:val="18"/>
                <w:color w:val="auto"/>
              </w:rPr>
              <w:t>Fixed charges:</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Interest expense</w:t>
            </w: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386,751</w:t>
            </w: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425,984</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328,257</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280,431</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284,105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Borders>
              <w:bottom w:val="single" w:sz="8" w:color="CFF0FC"/>
            </w:tcBorders>
          </w:tcPr>
          <w:p>
            <w:pPr>
              <w:ind w:left="220"/>
              <w:spacing w:after="0"/>
              <w:rPr>
                <w:sz w:val="20"/>
                <w:szCs w:val="20"/>
                <w:color w:val="auto"/>
              </w:rPr>
            </w:pPr>
            <w:r>
              <w:rPr>
                <w:rFonts w:ascii="Arial" w:cs="Arial" w:eastAsia="Arial" w:hAnsi="Arial"/>
                <w:sz w:val="18"/>
                <w:szCs w:val="18"/>
                <w:color w:val="auto"/>
              </w:rPr>
              <w:t>Interest factor within rent expense (a)</w:t>
            </w:r>
          </w:p>
        </w:tc>
        <w:tc>
          <w:tcPr>
            <w:tcW w:w="12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40,917</w:t>
            </w:r>
          </w:p>
        </w:tc>
        <w:tc>
          <w:tcPr>
            <w:tcW w:w="26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40,727</w:t>
            </w:r>
          </w:p>
        </w:tc>
        <w:tc>
          <w:tcPr>
            <w:tcW w:w="26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36,385</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36,815</w:t>
            </w:r>
          </w:p>
        </w:tc>
        <w:tc>
          <w:tcPr>
            <w:tcW w:w="26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36,490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8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fixed charges</w:t>
            </w: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427,668</w:t>
            </w: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466,711</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364,642</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317,246</w:t>
            </w: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320,595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Earnings:</w:t>
            </w:r>
          </w:p>
        </w:tc>
        <w:tc>
          <w:tcPr>
            <w:tcW w:w="12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820" w:type="dxa"/>
            <w:vAlign w:val="bottom"/>
            <w:vMerge w:val="continue"/>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8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Income before income taxes</w:t>
            </w: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2,323,862</w:t>
            </w: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2,058,398</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1,674,692</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1,642,245</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1,765,568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Borders>
              <w:bottom w:val="single" w:sz="8" w:color="CFF0FC"/>
            </w:tcBorders>
          </w:tcPr>
          <w:p>
            <w:pPr>
              <w:ind w:left="220"/>
              <w:spacing w:after="0"/>
              <w:rPr>
                <w:sz w:val="20"/>
                <w:szCs w:val="20"/>
                <w:color w:val="auto"/>
              </w:rPr>
            </w:pPr>
            <w:r>
              <w:rPr>
                <w:rFonts w:ascii="Arial" w:cs="Arial" w:eastAsia="Arial" w:hAnsi="Arial"/>
                <w:sz w:val="18"/>
                <w:szCs w:val="18"/>
                <w:color w:val="auto"/>
              </w:rPr>
              <w:t>Fixed charges</w:t>
            </w:r>
          </w:p>
        </w:tc>
        <w:tc>
          <w:tcPr>
            <w:tcW w:w="12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427,668</w:t>
            </w:r>
          </w:p>
        </w:tc>
        <w:tc>
          <w:tcPr>
            <w:tcW w:w="26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466,711</w:t>
            </w:r>
          </w:p>
        </w:tc>
        <w:tc>
          <w:tcPr>
            <w:tcW w:w="26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364,642</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317,246</w:t>
            </w:r>
          </w:p>
        </w:tc>
        <w:tc>
          <w:tcPr>
            <w:tcW w:w="26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320,595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820" w:type="dxa"/>
            <w:vAlign w:val="bottom"/>
            <w:shd w:val="clear" w:color="auto" w:fill="CFF0FC"/>
          </w:tcPr>
          <w:p>
            <w:pPr>
              <w:ind w:left="440"/>
              <w:spacing w:after="0"/>
              <w:rPr>
                <w:sz w:val="20"/>
                <w:szCs w:val="20"/>
                <w:color w:val="auto"/>
              </w:rPr>
            </w:pPr>
            <w:r>
              <w:rPr>
                <w:rFonts w:ascii="Arial" w:cs="Arial" w:eastAsia="Arial" w:hAnsi="Arial"/>
                <w:sz w:val="18"/>
                <w:szCs w:val="18"/>
                <w:color w:val="auto"/>
              </w:rPr>
              <w:t>Total earnings</w:t>
            </w: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2,751,530</w:t>
            </w: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2,525,109</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2,039,334</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1,959,491</w:t>
            </w: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2,086,163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Ratio of earnings to fixed charges, including interest</w:t>
            </w:r>
          </w:p>
        </w:tc>
        <w:tc>
          <w:tcPr>
            <w:tcW w:w="12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820" w:type="dxa"/>
            <w:vAlign w:val="bottom"/>
            <w:vMerge w:val="continue"/>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820" w:type="dxa"/>
            <w:vAlign w:val="bottom"/>
          </w:tcPr>
          <w:p>
            <w:pPr>
              <w:ind w:left="140"/>
              <w:spacing w:after="0"/>
              <w:rPr>
                <w:sz w:val="20"/>
                <w:szCs w:val="20"/>
                <w:color w:val="auto"/>
              </w:rPr>
            </w:pPr>
            <w:r>
              <w:rPr>
                <w:rFonts w:ascii="Arial" w:cs="Arial" w:eastAsia="Arial" w:hAnsi="Arial"/>
                <w:sz w:val="18"/>
                <w:szCs w:val="18"/>
                <w:color w:val="auto"/>
              </w:rPr>
              <w:t>on deposits</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x</w:t>
            </w:r>
          </w:p>
        </w:tc>
        <w:tc>
          <w:tcPr>
            <w:tcW w:w="720" w:type="dxa"/>
            <w:vAlign w:val="bottom"/>
          </w:tcPr>
          <w:p>
            <w:pPr>
              <w:jc w:val="right"/>
              <w:spacing w:after="0"/>
              <w:rPr>
                <w:sz w:val="20"/>
                <w:szCs w:val="20"/>
                <w:color w:val="auto"/>
              </w:rPr>
            </w:pPr>
            <w:r>
              <w:rPr>
                <w:rFonts w:ascii="Arial" w:cs="Arial" w:eastAsia="Arial" w:hAnsi="Arial"/>
                <w:sz w:val="18"/>
                <w:szCs w:val="18"/>
                <w:color w:val="auto"/>
              </w:rPr>
              <w:t>6.43</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5.41</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5.59</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6.18</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136017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9">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125" w:lineRule="exact"/>
        <w:rPr>
          <w:sz w:val="20"/>
          <w:szCs w:val="20"/>
          <w:color w:val="auto"/>
        </w:rPr>
      </w:pPr>
    </w:p>
    <w:p>
      <w:pPr>
        <w:ind w:left="540" w:hanging="535"/>
        <w:spacing w:after="0"/>
        <w:tabs>
          <w:tab w:leader="none" w:pos="540" w:val="left"/>
        </w:tabs>
        <w:numPr>
          <w:ilvl w:val="0"/>
          <w:numId w:val="64"/>
        </w:numPr>
        <w:rPr>
          <w:rFonts w:ascii="Arial" w:cs="Arial" w:eastAsia="Arial" w:hAnsi="Arial"/>
          <w:sz w:val="18"/>
          <w:szCs w:val="18"/>
          <w:i w:val="1"/>
          <w:iCs w:val="1"/>
          <w:color w:val="auto"/>
        </w:rPr>
      </w:pPr>
      <w:r>
        <w:rPr>
          <w:rFonts w:ascii="Arial" w:cs="Arial" w:eastAsia="Arial" w:hAnsi="Arial"/>
          <w:sz w:val="18"/>
          <w:szCs w:val="18"/>
          <w:i w:val="1"/>
          <w:iCs w:val="1"/>
          <w:color w:val="auto"/>
        </w:rPr>
        <w:t>The portion of rents shown as representative of the interest factor is one-third of total net operating lease expenses.</w:t>
      </w:r>
    </w:p>
    <w:p>
      <w:pPr>
        <w:sectPr>
          <w:pgSz w:w="11900" w:h="16838" w:orient="portrait"/>
          <w:cols w:equalWidth="0" w:num="1">
            <w:col w:w="11420"/>
          </w:cols>
          <w:pgMar w:left="240" w:top="122" w:right="239" w:bottom="1440" w:gutter="0" w:footer="0" w:header="0"/>
        </w:sectPr>
      </w:pPr>
    </w:p>
    <w:bookmarkStart w:id="197" w:name="page198"/>
    <w:bookmarkEnd w:id="197"/>
    <w:p>
      <w:pPr>
        <w:jc w:val="right"/>
        <w:spacing w:after="0"/>
        <w:rPr>
          <w:sz w:val="20"/>
          <w:szCs w:val="20"/>
          <w:color w:val="auto"/>
        </w:rPr>
      </w:pPr>
      <w:r>
        <w:rPr>
          <w:rFonts w:ascii="Arial" w:cs="Arial" w:eastAsia="Arial" w:hAnsi="Arial"/>
          <w:sz w:val="20"/>
          <w:szCs w:val="20"/>
          <w:b w:val="1"/>
          <w:bCs w:val="1"/>
          <w:color w:val="auto"/>
        </w:rPr>
        <w:t>EXHIBIT 23.1</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We hereby consent to the incorporation by reference in the Registration Statements on Form S-8 (Nos. 33-32044, 333-43175, 333-16077, 333-40640, 333-84384, 333-127406, 333-150122, 333-164015, 333-163992, 333-160769, 333-159795, 333-170740, 333-189099, 333-184504, 333-189097 and 333-184411) and Form S-3 (Nos. 333-182348 and 333-207030) of M&amp;T Bank Corporation of our report dated February 22, 2018, relating to the financial statements and the effectiveness of internal control over financial reporting, which appears in this Form 10-K.</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Buffalo, New York</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February 22, 2018</w:t>
      </w:r>
    </w:p>
    <w:p>
      <w:pPr>
        <w:sectPr>
          <w:pgSz w:w="11900" w:h="16838" w:orient="portrait"/>
          <w:cols w:equalWidth="0" w:num="1">
            <w:col w:w="11420"/>
          </w:cols>
          <w:pgMar w:left="240" w:top="122" w:right="239" w:bottom="1440" w:gutter="0" w:footer="0" w:header="0"/>
        </w:sectPr>
      </w:pPr>
    </w:p>
    <w:bookmarkStart w:id="198" w:name="page199"/>
    <w:bookmarkEnd w:id="198"/>
    <w:p>
      <w:pPr>
        <w:jc w:val="right"/>
        <w:spacing w:after="0"/>
        <w:rPr>
          <w:sz w:val="20"/>
          <w:szCs w:val="20"/>
          <w:color w:val="auto"/>
        </w:rPr>
      </w:pPr>
      <w:r>
        <w:rPr>
          <w:rFonts w:ascii="Arial" w:cs="Arial" w:eastAsia="Arial" w:hAnsi="Arial"/>
          <w:sz w:val="20"/>
          <w:szCs w:val="20"/>
          <w:b w:val="1"/>
          <w:bCs w:val="1"/>
          <w:color w:val="auto"/>
        </w:rPr>
        <w:t>EXHIBIT 31.1</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I, René F. Jones certify that:</w:t>
      </w:r>
    </w:p>
    <w:p>
      <w:pPr>
        <w:spacing w:after="0" w:line="213" w:lineRule="exact"/>
        <w:rPr>
          <w:sz w:val="20"/>
          <w:szCs w:val="20"/>
          <w:color w:val="auto"/>
        </w:rPr>
      </w:pPr>
    </w:p>
    <w:p>
      <w:pPr>
        <w:ind w:left="460" w:hanging="455"/>
        <w:spacing w:after="0"/>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M&amp;T Bank Corporation;</w:t>
      </w:r>
    </w:p>
    <w:p>
      <w:pPr>
        <w:spacing w:after="0" w:line="213" w:lineRule="exact"/>
        <w:rPr>
          <w:rFonts w:ascii="Arial" w:cs="Arial" w:eastAsia="Arial" w:hAnsi="Arial"/>
          <w:sz w:val="18"/>
          <w:szCs w:val="18"/>
          <w:color w:val="auto"/>
        </w:rPr>
      </w:pPr>
    </w:p>
    <w:p>
      <w:pPr>
        <w:ind w:left="460" w:hanging="455"/>
        <w:spacing w:after="0" w:line="323" w:lineRule="auto"/>
        <w:tabs>
          <w:tab w:leader="none" w:pos="4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Arial" w:cs="Arial" w:eastAsia="Arial" w:hAnsi="Arial"/>
          <w:sz w:val="16"/>
          <w:szCs w:val="16"/>
          <w:color w:val="auto"/>
        </w:rPr>
      </w:pPr>
    </w:p>
    <w:p>
      <w:pPr>
        <w:ind w:left="460" w:hanging="455"/>
        <w:spacing w:after="0" w:line="261" w:lineRule="auto"/>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0" w:lineRule="exact"/>
        <w:rPr>
          <w:rFonts w:ascii="Arial" w:cs="Arial" w:eastAsia="Arial" w:hAnsi="Arial"/>
          <w:sz w:val="18"/>
          <w:szCs w:val="18"/>
          <w:color w:val="auto"/>
        </w:rPr>
      </w:pPr>
    </w:p>
    <w:p>
      <w:pPr>
        <w:jc w:val="both"/>
        <w:ind w:left="460" w:hanging="455"/>
        <w:spacing w:after="0" w:line="252" w:lineRule="auto"/>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sz w:val="20"/>
          <w:szCs w:val="20"/>
          <w:color w:val="auto"/>
        </w:rPr>
      </w:pPr>
    </w:p>
    <w:p>
      <w:pPr>
        <w:jc w:val="both"/>
        <w:ind w:left="460" w:hanging="455"/>
        <w:spacing w:after="0" w:line="252" w:lineRule="auto"/>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8" w:lineRule="exact"/>
        <w:rPr>
          <w:rFonts w:ascii="Arial" w:cs="Arial" w:eastAsia="Arial" w:hAnsi="Arial"/>
          <w:sz w:val="18"/>
          <w:szCs w:val="18"/>
          <w:color w:val="auto"/>
        </w:rPr>
      </w:pPr>
    </w:p>
    <w:p>
      <w:pPr>
        <w:jc w:val="both"/>
        <w:ind w:left="460" w:hanging="455"/>
        <w:spacing w:after="0" w:line="252" w:lineRule="auto"/>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8"/>
          <w:szCs w:val="18"/>
          <w:color w:val="auto"/>
        </w:rPr>
      </w:pPr>
    </w:p>
    <w:p>
      <w:pPr>
        <w:ind w:left="460" w:hanging="455"/>
        <w:spacing w:after="0" w:line="261" w:lineRule="auto"/>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0" w:lineRule="exact"/>
        <w:rPr>
          <w:rFonts w:ascii="Arial" w:cs="Arial" w:eastAsia="Arial" w:hAnsi="Arial"/>
          <w:sz w:val="18"/>
          <w:szCs w:val="18"/>
          <w:color w:val="auto"/>
        </w:rPr>
      </w:pPr>
    </w:p>
    <w:p>
      <w:pPr>
        <w:jc w:val="both"/>
        <w:ind w:left="460" w:hanging="455"/>
        <w:spacing w:after="0" w:line="252" w:lineRule="auto"/>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9" w:lineRule="exact"/>
        <w:rPr>
          <w:sz w:val="20"/>
          <w:szCs w:val="20"/>
          <w:color w:val="auto"/>
        </w:rPr>
      </w:pPr>
    </w:p>
    <w:p>
      <w:pPr>
        <w:ind w:left="460" w:hanging="455"/>
        <w:spacing w:after="0" w:line="323" w:lineRule="auto"/>
        <w:tabs>
          <w:tab w:leader="none" w:pos="4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sz w:val="20"/>
          <w:szCs w:val="20"/>
          <w:color w:val="auto"/>
        </w:rPr>
      </w:pPr>
    </w:p>
    <w:p>
      <w:pPr>
        <w:ind w:left="460" w:hanging="455"/>
        <w:spacing w:after="0" w:line="261"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which are reasonably likely to adversely affect the registrant’s ability to record, process, summarize and report financial information; and</w:t>
      </w:r>
    </w:p>
    <w:p>
      <w:pPr>
        <w:spacing w:after="0" w:line="180" w:lineRule="exact"/>
        <w:rPr>
          <w:rFonts w:ascii="Arial" w:cs="Arial" w:eastAsia="Arial" w:hAnsi="Arial"/>
          <w:sz w:val="18"/>
          <w:szCs w:val="18"/>
          <w:color w:val="auto"/>
        </w:rPr>
      </w:pPr>
    </w:p>
    <w:p>
      <w:pPr>
        <w:ind w:left="460" w:hanging="455"/>
        <w:spacing w:after="0" w:line="261"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tbl>
      <w:tblPr>
        <w:tblLayout w:type="fixed"/>
        <w:tblInd w:w="2600" w:type="dxa"/>
        <w:tblCellMar>
          <w:top w:w="0" w:type="dxa"/>
          <w:left w:w="0" w:type="dxa"/>
          <w:bottom w:w="0" w:type="dxa"/>
          <w:right w:w="0" w:type="dxa"/>
        </w:tblCellMar>
      </w:tblPr>
      <w:tr>
        <w:trPr>
          <w:trHeight w:val="222"/>
        </w:trPr>
        <w:tc>
          <w:tcPr>
            <w:tcW w:w="220" w:type="dxa"/>
            <w:vAlign w:val="bottom"/>
          </w:tcPr>
          <w:p>
            <w:pPr>
              <w:spacing w:after="0"/>
              <w:rPr>
                <w:sz w:val="20"/>
                <w:szCs w:val="20"/>
                <w:color w:val="auto"/>
              </w:rPr>
            </w:pPr>
            <w:r>
              <w:rPr>
                <w:rFonts w:ascii="Arial" w:cs="Arial" w:eastAsia="Arial" w:hAnsi="Arial"/>
                <w:sz w:val="18"/>
                <w:szCs w:val="18"/>
                <w:color w:val="auto"/>
                <w:w w:val="94"/>
              </w:rPr>
              <w:t>By</w:t>
            </w: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s/ René F. Jones</w:t>
            </w:r>
          </w:p>
        </w:tc>
      </w:tr>
      <w:tr>
        <w:trPr>
          <w:trHeight w:val="191"/>
        </w:trPr>
        <w:tc>
          <w:tcPr>
            <w:tcW w:w="220" w:type="dxa"/>
            <w:vAlign w:val="bottom"/>
          </w:tcPr>
          <w:p>
            <w:pPr>
              <w:spacing w:after="0"/>
              <w:rPr>
                <w:sz w:val="16"/>
                <w:szCs w:val="16"/>
                <w:color w:val="auto"/>
              </w:rPr>
            </w:pPr>
          </w:p>
        </w:tc>
        <w:tc>
          <w:tcPr>
            <w:tcW w:w="1940" w:type="dxa"/>
            <w:vAlign w:val="bottom"/>
          </w:tcPr>
          <w:p>
            <w:pPr>
              <w:jc w:val="center"/>
              <w:spacing w:after="0" w:line="191" w:lineRule="exact"/>
              <w:rPr>
                <w:sz w:val="20"/>
                <w:szCs w:val="20"/>
                <w:color w:val="auto"/>
              </w:rPr>
            </w:pPr>
            <w:r>
              <w:rPr>
                <w:rFonts w:ascii="Arial" w:cs="Arial" w:eastAsia="Arial" w:hAnsi="Arial"/>
                <w:sz w:val="18"/>
                <w:szCs w:val="18"/>
                <w:color w:val="auto"/>
                <w:w w:val="81"/>
              </w:rPr>
              <w:t>René F. Jones</w:t>
            </w:r>
          </w:p>
        </w:tc>
      </w:tr>
      <w:tr>
        <w:trPr>
          <w:trHeight w:val="210"/>
        </w:trPr>
        <w:tc>
          <w:tcPr>
            <w:tcW w:w="22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i w:val="1"/>
                <w:iCs w:val="1"/>
                <w:color w:val="auto"/>
                <w:w w:val="89"/>
              </w:rPr>
              <w:t>Chairman of the Board</w:t>
            </w:r>
          </w:p>
        </w:tc>
      </w:tr>
      <w:tr>
        <w:trPr>
          <w:trHeight w:val="210"/>
        </w:trPr>
        <w:tc>
          <w:tcPr>
            <w:tcW w:w="22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i w:val="1"/>
                <w:iCs w:val="1"/>
                <w:color w:val="auto"/>
                <w:w w:val="87"/>
              </w:rPr>
              <w:t>and Chief Executive</w:t>
            </w:r>
          </w:p>
        </w:tc>
      </w:tr>
      <w:tr>
        <w:trPr>
          <w:trHeight w:val="222"/>
        </w:trPr>
        <w:tc>
          <w:tcPr>
            <w:tcW w:w="220" w:type="dxa"/>
            <w:vAlign w:val="bottom"/>
          </w:tcPr>
          <w:p>
            <w:pPr>
              <w:spacing w:after="0"/>
              <w:rPr>
                <w:sz w:val="19"/>
                <w:szCs w:val="19"/>
                <w:color w:val="auto"/>
              </w:rPr>
            </w:pPr>
          </w:p>
        </w:tc>
        <w:tc>
          <w:tcPr>
            <w:tcW w:w="1940" w:type="dxa"/>
            <w:vAlign w:val="bottom"/>
          </w:tcPr>
          <w:p>
            <w:pPr>
              <w:jc w:val="center"/>
              <w:spacing w:after="0"/>
              <w:rPr>
                <w:sz w:val="20"/>
                <w:szCs w:val="20"/>
                <w:color w:val="auto"/>
              </w:rPr>
            </w:pPr>
            <w:r>
              <w:rPr>
                <w:rFonts w:ascii="Arial" w:cs="Arial" w:eastAsia="Arial" w:hAnsi="Arial"/>
                <w:sz w:val="18"/>
                <w:szCs w:val="18"/>
                <w:i w:val="1"/>
                <w:iCs w:val="1"/>
                <w:color w:val="auto"/>
                <w:w w:val="94"/>
              </w:rPr>
              <w:t>Officer</w:t>
            </w: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22, 2018</w:t>
      </w:r>
    </w:p>
    <w:p>
      <w:pPr>
        <w:sectPr>
          <w:pgSz w:w="11900" w:h="16838" w:orient="portrait"/>
          <w:cols w:equalWidth="0" w:num="1">
            <w:col w:w="11420"/>
          </w:cols>
          <w:pgMar w:left="240" w:top="122" w:right="239" w:bottom="1440" w:gutter="0" w:footer="0" w:header="0"/>
        </w:sectPr>
      </w:pPr>
    </w:p>
    <w:bookmarkStart w:id="199" w:name="page200"/>
    <w:bookmarkEnd w:id="199"/>
    <w:p>
      <w:pPr>
        <w:jc w:val="right"/>
        <w:spacing w:after="0"/>
        <w:rPr>
          <w:sz w:val="20"/>
          <w:szCs w:val="20"/>
          <w:color w:val="auto"/>
        </w:rPr>
      </w:pPr>
      <w:r>
        <w:rPr>
          <w:rFonts w:ascii="Arial" w:cs="Arial" w:eastAsia="Arial" w:hAnsi="Arial"/>
          <w:sz w:val="20"/>
          <w:szCs w:val="20"/>
          <w:b w:val="1"/>
          <w:bCs w:val="1"/>
          <w:color w:val="auto"/>
        </w:rPr>
        <w:t>EXHIBIT 31.2</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Darren J. King, certify that:</w:t>
      </w:r>
    </w:p>
    <w:p>
      <w:pPr>
        <w:spacing w:after="0" w:line="213" w:lineRule="exact"/>
        <w:rPr>
          <w:sz w:val="20"/>
          <w:szCs w:val="20"/>
          <w:color w:val="auto"/>
        </w:rPr>
      </w:pPr>
    </w:p>
    <w:p>
      <w:pPr>
        <w:ind w:left="460" w:hanging="455"/>
        <w:spacing w:after="0"/>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M&amp;T Bank Corporation;</w:t>
      </w:r>
    </w:p>
    <w:p>
      <w:pPr>
        <w:spacing w:after="0" w:line="213" w:lineRule="exact"/>
        <w:rPr>
          <w:rFonts w:ascii="Arial" w:cs="Arial" w:eastAsia="Arial" w:hAnsi="Arial"/>
          <w:sz w:val="18"/>
          <w:szCs w:val="18"/>
          <w:color w:val="auto"/>
        </w:rPr>
      </w:pPr>
    </w:p>
    <w:p>
      <w:pPr>
        <w:ind w:left="460" w:hanging="455"/>
        <w:spacing w:after="0" w:line="323" w:lineRule="auto"/>
        <w:tabs>
          <w:tab w:leader="none" w:pos="4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Arial" w:cs="Arial" w:eastAsia="Arial" w:hAnsi="Arial"/>
          <w:sz w:val="16"/>
          <w:szCs w:val="16"/>
          <w:color w:val="auto"/>
        </w:rPr>
      </w:pPr>
    </w:p>
    <w:p>
      <w:pPr>
        <w:ind w:left="460" w:hanging="455"/>
        <w:spacing w:after="0" w:line="261" w:lineRule="auto"/>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0" w:lineRule="exact"/>
        <w:rPr>
          <w:rFonts w:ascii="Arial" w:cs="Arial" w:eastAsia="Arial" w:hAnsi="Arial"/>
          <w:sz w:val="18"/>
          <w:szCs w:val="18"/>
          <w:color w:val="auto"/>
        </w:rPr>
      </w:pPr>
    </w:p>
    <w:p>
      <w:pPr>
        <w:jc w:val="both"/>
        <w:ind w:left="460" w:hanging="455"/>
        <w:spacing w:after="0" w:line="252" w:lineRule="auto"/>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sz w:val="20"/>
          <w:szCs w:val="20"/>
          <w:color w:val="auto"/>
        </w:rPr>
      </w:pPr>
    </w:p>
    <w:p>
      <w:pPr>
        <w:jc w:val="both"/>
        <w:ind w:left="460" w:hanging="455"/>
        <w:spacing w:after="0" w:line="252" w:lineRule="auto"/>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8" w:lineRule="exact"/>
        <w:rPr>
          <w:rFonts w:ascii="Arial" w:cs="Arial" w:eastAsia="Arial" w:hAnsi="Arial"/>
          <w:sz w:val="18"/>
          <w:szCs w:val="18"/>
          <w:color w:val="auto"/>
        </w:rPr>
      </w:pPr>
    </w:p>
    <w:p>
      <w:pPr>
        <w:jc w:val="both"/>
        <w:ind w:left="460" w:hanging="455"/>
        <w:spacing w:after="0" w:line="252" w:lineRule="auto"/>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8"/>
          <w:szCs w:val="18"/>
          <w:color w:val="auto"/>
        </w:rPr>
      </w:pPr>
    </w:p>
    <w:p>
      <w:pPr>
        <w:ind w:left="460" w:hanging="455"/>
        <w:spacing w:after="0" w:line="261" w:lineRule="auto"/>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0" w:lineRule="exact"/>
        <w:rPr>
          <w:rFonts w:ascii="Arial" w:cs="Arial" w:eastAsia="Arial" w:hAnsi="Arial"/>
          <w:sz w:val="18"/>
          <w:szCs w:val="18"/>
          <w:color w:val="auto"/>
        </w:rPr>
      </w:pPr>
    </w:p>
    <w:p>
      <w:pPr>
        <w:jc w:val="both"/>
        <w:ind w:left="460" w:hanging="455"/>
        <w:spacing w:after="0" w:line="252" w:lineRule="auto"/>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9" w:lineRule="exact"/>
        <w:rPr>
          <w:sz w:val="20"/>
          <w:szCs w:val="20"/>
          <w:color w:val="auto"/>
        </w:rPr>
      </w:pPr>
    </w:p>
    <w:p>
      <w:pPr>
        <w:ind w:left="460" w:hanging="455"/>
        <w:spacing w:after="0" w:line="323" w:lineRule="auto"/>
        <w:tabs>
          <w:tab w:leader="none" w:pos="4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sz w:val="20"/>
          <w:szCs w:val="20"/>
          <w:color w:val="auto"/>
        </w:rPr>
      </w:pPr>
    </w:p>
    <w:p>
      <w:pPr>
        <w:ind w:left="460" w:hanging="455"/>
        <w:spacing w:after="0" w:line="261" w:lineRule="auto"/>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which are reasonably likely to adversely affect the registrant’s ability to record, process, summarize and report financial information; and</w:t>
      </w:r>
    </w:p>
    <w:p>
      <w:pPr>
        <w:spacing w:after="0" w:line="180" w:lineRule="exact"/>
        <w:rPr>
          <w:rFonts w:ascii="Arial" w:cs="Arial" w:eastAsia="Arial" w:hAnsi="Arial"/>
          <w:sz w:val="18"/>
          <w:szCs w:val="18"/>
          <w:color w:val="auto"/>
        </w:rPr>
      </w:pPr>
    </w:p>
    <w:p>
      <w:pPr>
        <w:ind w:left="460" w:hanging="455"/>
        <w:spacing w:after="0" w:line="261" w:lineRule="auto"/>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91" w:lineRule="exact"/>
        <w:rPr>
          <w:sz w:val="20"/>
          <w:szCs w:val="20"/>
          <w:color w:val="auto"/>
        </w:rPr>
      </w:pPr>
    </w:p>
    <w:tbl>
      <w:tblPr>
        <w:tblLayout w:type="fixed"/>
        <w:tblInd w:w="2540" w:type="dxa"/>
        <w:tblCellMar>
          <w:top w:w="0" w:type="dxa"/>
          <w:left w:w="0" w:type="dxa"/>
          <w:bottom w:w="0" w:type="dxa"/>
          <w:right w:w="0" w:type="dxa"/>
        </w:tblCellMar>
      </w:tblPr>
      <w:tr>
        <w:trPr>
          <w:trHeight w:val="222"/>
        </w:trPr>
        <w:tc>
          <w:tcPr>
            <w:tcW w:w="300" w:type="dxa"/>
            <w:vAlign w:val="bottom"/>
          </w:tcPr>
          <w:p>
            <w:pPr>
              <w:spacing w:after="0"/>
              <w:rPr>
                <w:sz w:val="20"/>
                <w:szCs w:val="20"/>
                <w:color w:val="auto"/>
              </w:rPr>
            </w:pPr>
            <w:r>
              <w:rPr>
                <w:rFonts w:ascii="Arial" w:cs="Arial" w:eastAsia="Arial" w:hAnsi="Arial"/>
                <w:sz w:val="18"/>
                <w:szCs w:val="18"/>
                <w:color w:val="auto"/>
              </w:rPr>
              <w:t>By:</w:t>
            </w: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Darren J. King</w:t>
            </w:r>
          </w:p>
        </w:tc>
      </w:tr>
      <w:tr>
        <w:trPr>
          <w:trHeight w:val="191"/>
        </w:trPr>
        <w:tc>
          <w:tcPr>
            <w:tcW w:w="300" w:type="dxa"/>
            <w:vAlign w:val="bottom"/>
          </w:tcPr>
          <w:p>
            <w:pPr>
              <w:spacing w:after="0"/>
              <w:rPr>
                <w:sz w:val="16"/>
                <w:szCs w:val="16"/>
                <w:color w:val="auto"/>
              </w:rPr>
            </w:pPr>
          </w:p>
        </w:tc>
        <w:tc>
          <w:tcPr>
            <w:tcW w:w="1940" w:type="dxa"/>
            <w:vAlign w:val="bottom"/>
          </w:tcPr>
          <w:p>
            <w:pPr>
              <w:jc w:val="center"/>
              <w:spacing w:after="0" w:line="191" w:lineRule="exact"/>
              <w:rPr>
                <w:sz w:val="20"/>
                <w:szCs w:val="20"/>
                <w:color w:val="auto"/>
              </w:rPr>
            </w:pPr>
            <w:r>
              <w:rPr>
                <w:rFonts w:ascii="Arial" w:cs="Arial" w:eastAsia="Arial" w:hAnsi="Arial"/>
                <w:sz w:val="18"/>
                <w:szCs w:val="18"/>
                <w:color w:val="auto"/>
                <w:w w:val="90"/>
              </w:rPr>
              <w:t>Darren J. King</w:t>
            </w:r>
          </w:p>
        </w:tc>
      </w:tr>
      <w:tr>
        <w:trPr>
          <w:trHeight w:val="210"/>
        </w:trPr>
        <w:tc>
          <w:tcPr>
            <w:tcW w:w="30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i w:val="1"/>
                <w:iCs w:val="1"/>
                <w:color w:val="auto"/>
                <w:w w:val="86"/>
              </w:rPr>
              <w:t>Executive Vice President</w:t>
            </w:r>
          </w:p>
        </w:tc>
      </w:tr>
      <w:tr>
        <w:trPr>
          <w:trHeight w:val="210"/>
        </w:trPr>
        <w:tc>
          <w:tcPr>
            <w:tcW w:w="30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i w:val="1"/>
                <w:iCs w:val="1"/>
                <w:color w:val="auto"/>
                <w:w w:val="90"/>
              </w:rPr>
              <w:t>and Chief Financial</w:t>
            </w:r>
          </w:p>
        </w:tc>
      </w:tr>
      <w:tr>
        <w:trPr>
          <w:trHeight w:val="222"/>
        </w:trPr>
        <w:tc>
          <w:tcPr>
            <w:tcW w:w="300" w:type="dxa"/>
            <w:vAlign w:val="bottom"/>
          </w:tcPr>
          <w:p>
            <w:pPr>
              <w:spacing w:after="0"/>
              <w:rPr>
                <w:sz w:val="19"/>
                <w:szCs w:val="19"/>
                <w:color w:val="auto"/>
              </w:rPr>
            </w:pPr>
          </w:p>
        </w:tc>
        <w:tc>
          <w:tcPr>
            <w:tcW w:w="1940" w:type="dxa"/>
            <w:vAlign w:val="bottom"/>
          </w:tcPr>
          <w:p>
            <w:pPr>
              <w:jc w:val="center"/>
              <w:spacing w:after="0"/>
              <w:rPr>
                <w:sz w:val="20"/>
                <w:szCs w:val="20"/>
                <w:color w:val="auto"/>
              </w:rPr>
            </w:pPr>
            <w:r>
              <w:rPr>
                <w:rFonts w:ascii="Arial" w:cs="Arial" w:eastAsia="Arial" w:hAnsi="Arial"/>
                <w:sz w:val="18"/>
                <w:szCs w:val="18"/>
                <w:i w:val="1"/>
                <w:iCs w:val="1"/>
                <w:color w:val="auto"/>
                <w:w w:val="94"/>
              </w:rPr>
              <w:t>Officer</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22, 2018</w:t>
      </w:r>
    </w:p>
    <w:p>
      <w:pPr>
        <w:sectPr>
          <w:pgSz w:w="11900" w:h="16838" w:orient="portrait"/>
          <w:cols w:equalWidth="0" w:num="1">
            <w:col w:w="11420"/>
          </w:cols>
          <w:pgMar w:left="240" w:top="122" w:right="239" w:bottom="1440" w:gutter="0" w:footer="0" w:header="0"/>
        </w:sectPr>
      </w:pPr>
    </w:p>
    <w:bookmarkStart w:id="200" w:name="page201"/>
    <w:bookmarkEnd w:id="200"/>
    <w:p>
      <w:pPr>
        <w:jc w:val="right"/>
        <w:spacing w:after="0"/>
        <w:rPr>
          <w:sz w:val="20"/>
          <w:szCs w:val="20"/>
          <w:color w:val="auto"/>
        </w:rPr>
      </w:pPr>
      <w:r>
        <w:rPr>
          <w:rFonts w:ascii="Arial" w:cs="Arial" w:eastAsia="Arial" w:hAnsi="Arial"/>
          <w:sz w:val="20"/>
          <w:szCs w:val="20"/>
          <w:b w:val="1"/>
          <w:bCs w:val="1"/>
          <w:color w:val="auto"/>
        </w:rPr>
        <w:t>EXHIBIT 32.1</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OF CHIEF EXECUTIVE OFFICER UNDER 18 U.S.C. §1350</w:t>
      </w:r>
    </w:p>
    <w:p>
      <w:pPr>
        <w:spacing w:after="0" w:line="21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I, René F. Jones, Chairman of the Board and Chief Executive Officer of M&amp;T Bank Corporation, certify, pursuant to Section 906 of the Sarbanes-Oxley Act of 2002, 18 U.S.C. Section 1350, that:</w:t>
      </w:r>
    </w:p>
    <w:p>
      <w:pPr>
        <w:spacing w:after="0" w:line="180" w:lineRule="exact"/>
        <w:rPr>
          <w:sz w:val="20"/>
          <w:szCs w:val="20"/>
          <w:color w:val="auto"/>
        </w:rPr>
      </w:pPr>
    </w:p>
    <w:p>
      <w:pPr>
        <w:ind w:firstLine="354"/>
        <w:spacing w:after="0" w:line="261" w:lineRule="auto"/>
        <w:tabs>
          <w:tab w:leader="none" w:pos="615"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Annual Report on Form 10-K of M&amp;T Bank Corporation for the annual period ended December 31, 2017 (the “Report”) fully complies with the requirements of Section 13(a) or 15(d) of the Securities Exchange Act of 1934 (15 U.S.C. 78m or 78o(d)); and</w:t>
      </w:r>
    </w:p>
    <w:p>
      <w:pPr>
        <w:spacing w:after="0" w:line="180" w:lineRule="exact"/>
        <w:rPr>
          <w:rFonts w:ascii="Arial" w:cs="Arial" w:eastAsia="Arial" w:hAnsi="Arial"/>
          <w:sz w:val="18"/>
          <w:szCs w:val="18"/>
          <w:color w:val="auto"/>
        </w:rPr>
      </w:pPr>
    </w:p>
    <w:p>
      <w:pPr>
        <w:ind w:firstLine="354"/>
        <w:spacing w:after="0" w:line="261" w:lineRule="auto"/>
        <w:tabs>
          <w:tab w:leader="none" w:pos="637"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M&amp;T Bank Corporation.</w:t>
      </w:r>
    </w:p>
    <w:p>
      <w:pPr>
        <w:spacing w:after="0" w:line="180" w:lineRule="exact"/>
        <w:rPr>
          <w:sz w:val="20"/>
          <w:szCs w:val="20"/>
          <w:color w:val="auto"/>
        </w:rPr>
      </w:pPr>
    </w:p>
    <w:p>
      <w:pPr>
        <w:jc w:val="both"/>
        <w:ind w:firstLine="349"/>
        <w:spacing w:after="0" w:line="261" w:lineRule="auto"/>
        <w:rPr>
          <w:sz w:val="20"/>
          <w:szCs w:val="20"/>
          <w:color w:val="auto"/>
        </w:rPr>
      </w:pPr>
      <w:r>
        <w:rPr>
          <w:rFonts w:ascii="Arial" w:cs="Arial" w:eastAsia="Arial" w:hAnsi="Arial"/>
          <w:sz w:val="18"/>
          <w:szCs w:val="18"/>
          <w:color w:val="auto"/>
        </w:rPr>
        <w:t>The foregoing certification is being furnished solely pursuant to 18 U.S.C. §1350 and is not being filed as part of the Report or as a separate disclosure document.</w:t>
      </w:r>
    </w:p>
    <w:p>
      <w:pPr>
        <w:spacing w:after="0" w:line="391" w:lineRule="exact"/>
        <w:rPr>
          <w:sz w:val="20"/>
          <w:szCs w:val="20"/>
          <w:color w:val="auto"/>
        </w:rPr>
      </w:pPr>
    </w:p>
    <w:p>
      <w:pPr>
        <w:jc w:val="center"/>
        <w:ind w:right="6800"/>
        <w:spacing w:after="0"/>
        <w:rPr>
          <w:sz w:val="20"/>
          <w:szCs w:val="20"/>
          <w:color w:val="auto"/>
        </w:rPr>
      </w:pPr>
      <w:r>
        <w:rPr>
          <w:rFonts w:ascii="Arial" w:cs="Arial" w:eastAsia="Arial" w:hAnsi="Arial"/>
          <w:sz w:val="18"/>
          <w:szCs w:val="18"/>
          <w:color w:val="auto"/>
        </w:rPr>
        <w:t>/s/ René F.</w:t>
      </w:r>
    </w:p>
    <w:p>
      <w:pPr>
        <w:spacing w:after="0" w:line="15" w:lineRule="exact"/>
        <w:rPr>
          <w:sz w:val="20"/>
          <w:szCs w:val="20"/>
          <w:color w:val="auto"/>
        </w:rPr>
      </w:pPr>
    </w:p>
    <w:p>
      <w:pPr>
        <w:jc w:val="center"/>
        <w:ind w:right="6800"/>
        <w:spacing w:after="0"/>
        <w:rPr>
          <w:sz w:val="20"/>
          <w:szCs w:val="20"/>
          <w:color w:val="auto"/>
        </w:rPr>
      </w:pPr>
      <w:r>
        <w:rPr>
          <w:rFonts w:ascii="Arial" w:cs="Arial" w:eastAsia="Arial" w:hAnsi="Arial"/>
          <w:sz w:val="18"/>
          <w:szCs w:val="18"/>
          <w:color w:val="auto"/>
        </w:rPr>
        <w:t>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1087755</wp:posOffset>
            </wp:positionH>
            <wp:positionV relativeFrom="paragraph">
              <wp:posOffset>2540</wp:posOffset>
            </wp:positionV>
            <wp:extent cx="76771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0">
                      <a:extLst>
                        <a:ext uri="{28A0092B-C50C-407E-A947-70E740481C1C}"/>
                      </a:extLst>
                    </a:blip>
                    <a:srcRect/>
                    <a:stretch>
                      <a:fillRect/>
                    </a:stretch>
                  </pic:blipFill>
                  <pic:spPr bwMode="auto">
                    <a:xfrm>
                      <a:off x="0" y="0"/>
                      <a:ext cx="767715" cy="8255"/>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René F. Jones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February 22, 2018</w:t>
      </w:r>
    </w:p>
    <w:p>
      <w:pPr>
        <w:spacing w:after="0" w:line="213" w:lineRule="exact"/>
        <w:rPr>
          <w:sz w:val="20"/>
          <w:szCs w:val="20"/>
          <w:color w:val="auto"/>
        </w:rPr>
      </w:pPr>
    </w:p>
    <w:p>
      <w:pPr>
        <w:jc w:val="both"/>
        <w:ind w:firstLine="349"/>
        <w:spacing w:after="0" w:line="299"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M&amp;T Bank Corporation and will be retained by M&amp;T Bank Corporation and furnished to the Securities and Exchange Commission or its staff upon request.</w:t>
      </w:r>
    </w:p>
    <w:p>
      <w:pPr>
        <w:sectPr>
          <w:pgSz w:w="11900" w:h="16838" w:orient="portrait"/>
          <w:cols w:equalWidth="0" w:num="1">
            <w:col w:w="11420"/>
          </w:cols>
          <w:pgMar w:left="240" w:top="122" w:right="239" w:bottom="1440" w:gutter="0" w:footer="0" w:header="0"/>
        </w:sectPr>
      </w:pPr>
    </w:p>
    <w:bookmarkStart w:id="201" w:name="page202"/>
    <w:bookmarkEnd w:id="201"/>
    <w:p>
      <w:pPr>
        <w:jc w:val="right"/>
        <w:spacing w:after="0"/>
        <w:rPr>
          <w:sz w:val="20"/>
          <w:szCs w:val="20"/>
          <w:color w:val="auto"/>
        </w:rPr>
      </w:pPr>
      <w:r>
        <w:rPr>
          <w:rFonts w:ascii="Arial" w:cs="Arial" w:eastAsia="Arial" w:hAnsi="Arial"/>
          <w:sz w:val="20"/>
          <w:szCs w:val="20"/>
          <w:b w:val="1"/>
          <w:bCs w:val="1"/>
          <w:color w:val="auto"/>
        </w:rPr>
        <w:t>EXHIBIT 32.2</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OF CHIEF FINANCIAL OFFICER UNDER 18 U.S.C. §1350</w:t>
      </w:r>
    </w:p>
    <w:p>
      <w:pPr>
        <w:spacing w:after="0" w:line="21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I, Darren J. King, Executive Vice President and Chief Financial Officer of M&amp;T Bank Corporation, certify, pursuant to Section 906 of the Sarbanes-Oxley Act of 2002, 18 U.S.C. Section 1350, that:</w:t>
      </w:r>
    </w:p>
    <w:p>
      <w:pPr>
        <w:spacing w:after="0" w:line="180" w:lineRule="exact"/>
        <w:rPr>
          <w:sz w:val="20"/>
          <w:szCs w:val="20"/>
          <w:color w:val="auto"/>
        </w:rPr>
      </w:pPr>
    </w:p>
    <w:p>
      <w:pPr>
        <w:ind w:firstLine="354"/>
        <w:spacing w:after="0" w:line="261" w:lineRule="auto"/>
        <w:tabs>
          <w:tab w:leader="none" w:pos="615"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Annual Report on Form 10-K of M&amp;T Bank Corporation for the annual period ended December 31, 2017 (the “Report”) fully complies with the requirements of Section 13(a) or 15(d) of the Securities Exchange Act of 1934 (15 U.S.C. 78m or 78o(d)); and</w:t>
      </w:r>
    </w:p>
    <w:p>
      <w:pPr>
        <w:spacing w:after="0" w:line="180" w:lineRule="exact"/>
        <w:rPr>
          <w:rFonts w:ascii="Arial" w:cs="Arial" w:eastAsia="Arial" w:hAnsi="Arial"/>
          <w:sz w:val="18"/>
          <w:szCs w:val="18"/>
          <w:color w:val="auto"/>
        </w:rPr>
      </w:pPr>
    </w:p>
    <w:p>
      <w:pPr>
        <w:ind w:firstLine="354"/>
        <w:spacing w:after="0" w:line="261" w:lineRule="auto"/>
        <w:tabs>
          <w:tab w:leader="none" w:pos="637"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M&amp;T Bank Corporation.</w:t>
      </w:r>
    </w:p>
    <w:p>
      <w:pPr>
        <w:spacing w:after="0" w:line="180" w:lineRule="exact"/>
        <w:rPr>
          <w:sz w:val="20"/>
          <w:szCs w:val="20"/>
          <w:color w:val="auto"/>
        </w:rPr>
      </w:pPr>
    </w:p>
    <w:p>
      <w:pPr>
        <w:jc w:val="both"/>
        <w:ind w:firstLine="349"/>
        <w:spacing w:after="0" w:line="261" w:lineRule="auto"/>
        <w:rPr>
          <w:sz w:val="20"/>
          <w:szCs w:val="20"/>
          <w:color w:val="auto"/>
        </w:rPr>
      </w:pPr>
      <w:r>
        <w:rPr>
          <w:rFonts w:ascii="Arial" w:cs="Arial" w:eastAsia="Arial" w:hAnsi="Arial"/>
          <w:sz w:val="18"/>
          <w:szCs w:val="18"/>
          <w:color w:val="auto"/>
        </w:rPr>
        <w:t>The foregoing certification is being furnished solely pursuant to 18 U.S.C. §1350 and is not being filed as part of the Report or as a separate disclosure document.</w:t>
      </w:r>
    </w:p>
    <w:p>
      <w:pPr>
        <w:spacing w:after="0" w:line="391" w:lineRule="exact"/>
        <w:rPr>
          <w:sz w:val="20"/>
          <w:szCs w:val="20"/>
          <w:color w:val="auto"/>
        </w:rPr>
      </w:pPr>
    </w:p>
    <w:p>
      <w:pPr>
        <w:jc w:val="center"/>
        <w:ind w:right="6500"/>
        <w:spacing w:after="0"/>
        <w:rPr>
          <w:sz w:val="20"/>
          <w:szCs w:val="20"/>
          <w:color w:val="auto"/>
        </w:rPr>
      </w:pPr>
      <w:r>
        <w:rPr>
          <w:rFonts w:ascii="Arial" w:cs="Arial" w:eastAsia="Arial" w:hAnsi="Arial"/>
          <w:sz w:val="18"/>
          <w:szCs w:val="18"/>
          <w:color w:val="auto"/>
        </w:rPr>
        <w:t>/s/ Darren J.</w:t>
      </w:r>
    </w:p>
    <w:p>
      <w:pPr>
        <w:spacing w:after="0" w:line="15" w:lineRule="exact"/>
        <w:rPr>
          <w:sz w:val="20"/>
          <w:szCs w:val="20"/>
          <w:color w:val="auto"/>
        </w:rPr>
      </w:pPr>
    </w:p>
    <w:p>
      <w:pPr>
        <w:jc w:val="center"/>
        <w:ind w:right="6500"/>
        <w:spacing w:after="0"/>
        <w:rPr>
          <w:sz w:val="20"/>
          <w:szCs w:val="20"/>
          <w:color w:val="auto"/>
        </w:rPr>
      </w:pPr>
      <w:r>
        <w:rPr>
          <w:rFonts w:ascii="Arial" w:cs="Arial" w:eastAsia="Arial" w:hAnsi="Arial"/>
          <w:sz w:val="18"/>
          <w:szCs w:val="18"/>
          <w:color w:val="auto"/>
        </w:rPr>
        <w:t>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1154430</wp:posOffset>
            </wp:positionH>
            <wp:positionV relativeFrom="paragraph">
              <wp:posOffset>2540</wp:posOffset>
            </wp:positionV>
            <wp:extent cx="8178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01">
                      <a:extLst>
                        <a:ext uri="{28A0092B-C50C-407E-A947-70E740481C1C}"/>
                      </a:extLst>
                    </a:blip>
                    <a:srcRect/>
                    <a:stretch>
                      <a:fillRect/>
                    </a:stretch>
                  </pic:blipFill>
                  <pic:spPr bwMode="auto">
                    <a:xfrm>
                      <a:off x="0" y="0"/>
                      <a:ext cx="817880" cy="8255"/>
                    </a:xfrm>
                    <a:prstGeom prst="rect">
                      <a:avLst/>
                    </a:prstGeom>
                    <a:noFill/>
                  </pic:spPr>
                </pic:pic>
              </a:graphicData>
            </a:graphic>
          </wp:anchor>
        </w:drawing>
      </w:r>
    </w:p>
    <w:p>
      <w:pPr>
        <w:ind w:left="1940"/>
        <w:spacing w:after="0"/>
        <w:rPr>
          <w:sz w:val="20"/>
          <w:szCs w:val="20"/>
          <w:color w:val="auto"/>
        </w:rPr>
      </w:pPr>
      <w:r>
        <w:rPr>
          <w:rFonts w:ascii="Arial" w:cs="Arial" w:eastAsia="Arial" w:hAnsi="Arial"/>
          <w:sz w:val="18"/>
          <w:szCs w:val="18"/>
          <w:color w:val="auto"/>
        </w:rPr>
        <w:t>Darren J. King</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February 22, 2018</w:t>
      </w:r>
    </w:p>
    <w:p>
      <w:pPr>
        <w:spacing w:after="0" w:line="213" w:lineRule="exact"/>
        <w:rPr>
          <w:sz w:val="20"/>
          <w:szCs w:val="20"/>
          <w:color w:val="auto"/>
        </w:rPr>
      </w:pPr>
    </w:p>
    <w:p>
      <w:pPr>
        <w:jc w:val="both"/>
        <w:ind w:firstLine="349"/>
        <w:spacing w:after="0" w:line="299"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M&amp;T Bank Corporation and will be retained by M&amp;T Bank Corporation and furnished to the Securities and Exchange Commission or its staff upon request.</w:t>
      </w:r>
    </w:p>
    <w:sectPr>
      <w:pgSz w:w="11900" w:h="16838" w:orient="portrait"/>
      <w:cols w:equalWidth="0" w:num="1">
        <w:col w:w="11420"/>
      </w:cols>
      <w:pgMar w:left="240" w:top="12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24C67E"/>
    <w:multiLevelType w:val="hybridMultilevel"/>
    <w:lvl w:ilvl="0">
      <w:lvlJc w:val="left"/>
      <w:lvlText w:val="☒"/>
      <w:numFmt w:val="bullet"/>
      <w:start w:val="1"/>
    </w:lvl>
  </w:abstractNum>
  <w:abstractNum w:abstractNumId="1">
    <w:nsid w:val="5C482A97"/>
    <w:multiLevelType w:val="hybridMultilevel"/>
    <w:lvl w:ilvl="0">
      <w:lvlJc w:val="left"/>
      <w:lvlText w:val="☐"/>
      <w:numFmt w:val="bullet"/>
      <w:start w:val="1"/>
    </w:lvl>
  </w:abstractNum>
  <w:abstractNum w:abstractNumId="2">
    <w:nsid w:val="2463B9EA"/>
    <w:multiLevelType w:val="hybridMultilevel"/>
    <w:lvl w:ilvl="0">
      <w:lvlJc w:val="left"/>
      <w:lvlText w:val="%1."/>
      <w:numFmt w:val="upperLetter"/>
      <w:start w:val="9"/>
    </w:lvl>
  </w:abstractNum>
  <w:abstractNum w:abstractNumId="3">
    <w:nsid w:val="5E884ADC"/>
    <w:multiLevelType w:val="hybridMultilevel"/>
    <w:lvl w:ilvl="0">
      <w:lvlJc w:val="left"/>
      <w:lvlText w:val="%1."/>
      <w:numFmt w:val="upperLetter"/>
      <w:start w:val="35"/>
    </w:lvl>
  </w:abstractNum>
  <w:abstractNum w:abstractNumId="4">
    <w:nsid w:val="51EAD36B"/>
    <w:multiLevelType w:val="hybridMultilevel"/>
    <w:lvl w:ilvl="0">
      <w:lvlJc w:val="left"/>
      <w:lvlText w:val="%1."/>
      <w:numFmt w:val="upperLetter"/>
      <w:start w:val="61"/>
    </w:lvl>
  </w:abstractNum>
  <w:abstractNum w:abstractNumId="5">
    <w:nsid w:val="2D517796"/>
    <w:multiLevelType w:val="hybridMultilevel"/>
    <w:lvl w:ilvl="0">
      <w:lvlJc w:val="left"/>
      <w:lvlText w:val="%1."/>
      <w:numFmt w:val="upperLetter"/>
      <w:start w:val="22"/>
    </w:lvl>
  </w:abstractNum>
  <w:abstractNum w:abstractNumId="6">
    <w:nsid w:val="580BD78F"/>
    <w:multiLevelType w:val="hybridMultilevel"/>
    <w:lvl w:ilvl="0">
      <w:lvlJc w:val="left"/>
      <w:lvlText w:val="•"/>
      <w:numFmt w:val="bullet"/>
      <w:start w:val="1"/>
    </w:lvl>
  </w:abstractNum>
  <w:abstractNum w:abstractNumId="7">
    <w:nsid w:val="153EA438"/>
    <w:multiLevelType w:val="hybridMultilevel"/>
    <w:lvl w:ilvl="0">
      <w:lvlJc w:val="left"/>
      <w:lvlText w:val="(%1)"/>
      <w:numFmt w:val="lowerRoman"/>
      <w:start w:val="2"/>
    </w:lvl>
  </w:abstractNum>
  <w:abstractNum w:abstractNumId="8">
    <w:nsid w:val="3855585C"/>
    <w:multiLevelType w:val="hybridMultilevel"/>
    <w:lvl w:ilvl="0">
      <w:lvlJc w:val="left"/>
      <w:lvlText w:val="•"/>
      <w:numFmt w:val="bullet"/>
      <w:start w:val="1"/>
    </w:lvl>
  </w:abstractNum>
  <w:abstractNum w:abstractNumId="9">
    <w:nsid w:val="70A64E2A"/>
    <w:multiLevelType w:val="hybridMultilevel"/>
    <w:lvl w:ilvl="0">
      <w:lvlJc w:val="left"/>
      <w:lvlText w:val="•"/>
      <w:numFmt w:val="bullet"/>
      <w:start w:val="1"/>
    </w:lvl>
  </w:abstractNum>
  <w:abstractNum w:abstractNumId="10">
    <w:nsid w:val="6A2342EC"/>
    <w:multiLevelType w:val="hybridMultilevel"/>
    <w:lvl w:ilvl="0">
      <w:lvlJc w:val="left"/>
      <w:lvlText w:val="(%1)"/>
      <w:numFmt w:val="lowerRoman"/>
      <w:start w:val="2"/>
    </w:lvl>
  </w:abstractNum>
  <w:abstractNum w:abstractNumId="11">
    <w:nsid w:val="2A487CB0"/>
    <w:multiLevelType w:val="hybridMultilevel"/>
    <w:lvl w:ilvl="0">
      <w:lvlJc w:val="left"/>
      <w:lvlText w:val="(%1)"/>
      <w:numFmt w:val="lowerLetter"/>
      <w:start w:val="1"/>
    </w:lvl>
  </w:abstractNum>
  <w:abstractNum w:abstractNumId="12">
    <w:nsid w:val="1D4ED43B"/>
    <w:multiLevelType w:val="hybridMultilevel"/>
    <w:lvl w:ilvl="0">
      <w:lvlJc w:val="left"/>
      <w:lvlText w:val="•"/>
      <w:numFmt w:val="bullet"/>
      <w:start w:val="1"/>
    </w:lvl>
  </w:abstractNum>
  <w:abstractNum w:abstractNumId="13">
    <w:nsid w:val="725A06FB"/>
    <w:multiLevelType w:val="hybridMultilevel"/>
    <w:lvl w:ilvl="0">
      <w:lvlJc w:val="left"/>
      <w:lvlText w:val="•"/>
      <w:numFmt w:val="bullet"/>
      <w:start w:val="1"/>
    </w:lvl>
  </w:abstractNum>
  <w:abstractNum w:abstractNumId="14">
    <w:nsid w:val="2CD89A32"/>
    <w:multiLevelType w:val="hybridMultilevel"/>
    <w:lvl w:ilvl="0">
      <w:lvlJc w:val="left"/>
      <w:lvlText w:val="•"/>
      <w:numFmt w:val="bullet"/>
      <w:start w:val="1"/>
    </w:lvl>
  </w:abstractNum>
  <w:abstractNum w:abstractNumId="15">
    <w:nsid w:val="57E4CCAF"/>
    <w:multiLevelType w:val="hybridMultilevel"/>
    <w:lvl w:ilvl="0">
      <w:lvlJc w:val="left"/>
      <w:lvlText w:val="•"/>
      <w:numFmt w:val="bullet"/>
      <w:start w:val="1"/>
    </w:lvl>
  </w:abstractNum>
  <w:abstractNum w:abstractNumId="16">
    <w:nsid w:val="7A6D8D3C"/>
    <w:multiLevelType w:val="hybridMultilevel"/>
    <w:lvl w:ilvl="0">
      <w:lvlJc w:val="left"/>
      <w:lvlText w:val="•"/>
      <w:numFmt w:val="bullet"/>
      <w:start w:val="1"/>
    </w:lvl>
  </w:abstractNum>
  <w:abstractNum w:abstractNumId="17">
    <w:nsid w:val="4B588F54"/>
    <w:multiLevelType w:val="hybridMultilevel"/>
    <w:lvl w:ilvl="0">
      <w:lvlJc w:val="left"/>
      <w:lvlText w:val="(%1)"/>
      <w:numFmt w:val="decimal"/>
      <w:start w:val="1"/>
    </w:lvl>
  </w:abstractNum>
  <w:abstractNum w:abstractNumId="18">
    <w:nsid w:val="542289EC"/>
    <w:multiLevelType w:val="hybridMultilevel"/>
    <w:lvl w:ilvl="0">
      <w:lvlJc w:val="left"/>
      <w:lvlText w:val="(%1)"/>
      <w:numFmt w:val="decimal"/>
      <w:start w:val="1"/>
    </w:lvl>
    <w:lvl w:ilvl="1">
      <w:lvlJc w:val="left"/>
      <w:lvlText w:val="(%2)"/>
      <w:numFmt w:val="decimal"/>
      <w:start w:val="3"/>
    </w:lvl>
  </w:abstractNum>
  <w:abstractNum w:abstractNumId="19">
    <w:nsid w:val="6DE91B18"/>
    <w:multiLevelType w:val="hybridMultilevel"/>
    <w:lvl w:ilvl="0">
      <w:lvlJc w:val="left"/>
      <w:lvlText w:val="•"/>
      <w:numFmt w:val="bullet"/>
      <w:start w:val="1"/>
    </w:lvl>
  </w:abstractNum>
  <w:abstractNum w:abstractNumId="20">
    <w:nsid w:val="38437FDB"/>
    <w:multiLevelType w:val="hybridMultilevel"/>
    <w:lvl w:ilvl="0">
      <w:lvlJc w:val="left"/>
      <w:lvlText w:val="•"/>
      <w:numFmt w:val="bullet"/>
      <w:start w:val="1"/>
    </w:lvl>
  </w:abstractNum>
  <w:abstractNum w:abstractNumId="21">
    <w:nsid w:val="7644A45C"/>
    <w:multiLevelType w:val="hybridMultilevel"/>
    <w:lvl w:ilvl="0">
      <w:lvlJc w:val="left"/>
      <w:lvlText w:val="(%1)"/>
      <w:numFmt w:val="lowerLetter"/>
      <w:start w:val="1"/>
    </w:lvl>
  </w:abstractNum>
  <w:abstractNum w:abstractNumId="22">
    <w:nsid w:val="32FFF902"/>
    <w:multiLevelType w:val="hybridMultilevel"/>
    <w:lvl w:ilvl="0">
      <w:lvlJc w:val="left"/>
      <w:lvlText w:val="(%1)"/>
      <w:numFmt w:val="lowerLetter"/>
      <w:start w:val="1"/>
    </w:lvl>
  </w:abstractNum>
  <w:abstractNum w:abstractNumId="23">
    <w:nsid w:val="684A481A"/>
    <w:multiLevelType w:val="hybridMultilevel"/>
    <w:lvl w:ilvl="0">
      <w:lvlJc w:val="left"/>
      <w:lvlText w:val="(%1)"/>
      <w:numFmt w:val="lowerLetter"/>
      <w:start w:val="1"/>
    </w:lvl>
  </w:abstractNum>
  <w:abstractNum w:abstractNumId="24">
    <w:nsid w:val="579478FE"/>
    <w:multiLevelType w:val="hybridMultilevel"/>
    <w:lvl w:ilvl="0">
      <w:lvlJc w:val="left"/>
      <w:lvlText w:val="(%1)"/>
      <w:numFmt w:val="lowerLetter"/>
      <w:start w:val="1"/>
    </w:lvl>
  </w:abstractNum>
  <w:abstractNum w:abstractNumId="25">
    <w:nsid w:val="749ABB43"/>
    <w:multiLevelType w:val="hybridMultilevel"/>
    <w:lvl w:ilvl="0">
      <w:lvlJc w:val="left"/>
      <w:lvlText w:val="(%1)"/>
      <w:numFmt w:val="lowerLetter"/>
      <w:start w:val="1"/>
    </w:lvl>
  </w:abstractNum>
  <w:abstractNum w:abstractNumId="26">
    <w:nsid w:val="3DC240FB"/>
    <w:multiLevelType w:val="hybridMultilevel"/>
    <w:lvl w:ilvl="0">
      <w:lvlJc w:val="left"/>
      <w:lvlText w:val="(%1)"/>
      <w:numFmt w:val="lowerLetter"/>
      <w:start w:val="1"/>
    </w:lvl>
  </w:abstractNum>
  <w:abstractNum w:abstractNumId="27">
    <w:nsid w:val="1BA026FA"/>
    <w:multiLevelType w:val="hybridMultilevel"/>
    <w:lvl w:ilvl="0">
      <w:lvlJc w:val="left"/>
      <w:lvlText w:val="(%1)"/>
      <w:numFmt w:val="lowerLetter"/>
      <w:start w:val="1"/>
    </w:lvl>
  </w:abstractNum>
  <w:abstractNum w:abstractNumId="28">
    <w:nsid w:val="79A1DEAA"/>
    <w:multiLevelType w:val="hybridMultilevel"/>
    <w:lvl w:ilvl="0">
      <w:lvlJc w:val="left"/>
      <w:lvlText w:val="(%1)"/>
      <w:numFmt w:val="lowerLetter"/>
      <w:start w:val="1"/>
    </w:lvl>
  </w:abstractNum>
  <w:abstractNum w:abstractNumId="29">
    <w:nsid w:val="75C6C33A"/>
    <w:multiLevelType w:val="hybridMultilevel"/>
    <w:lvl w:ilvl="0">
      <w:lvlJc w:val="left"/>
      <w:lvlText w:val="(%1)"/>
      <w:numFmt w:val="lowerLetter"/>
      <w:start w:val="1"/>
    </w:lvl>
  </w:abstractNum>
  <w:abstractNum w:abstractNumId="30">
    <w:nsid w:val="12E685FB"/>
    <w:multiLevelType w:val="hybridMultilevel"/>
    <w:lvl w:ilvl="0">
      <w:lvlJc w:val="left"/>
      <w:lvlText w:val="(%1)"/>
      <w:numFmt w:val="lowerRoman"/>
      <w:start w:val="4"/>
    </w:lvl>
  </w:abstractNum>
  <w:abstractNum w:abstractNumId="31">
    <w:nsid w:val="70C6A529"/>
    <w:multiLevelType w:val="hybridMultilevel"/>
    <w:lvl w:ilvl="0">
      <w:lvlJc w:val="left"/>
      <w:lvlText w:val="(%1)"/>
      <w:numFmt w:val="lowerRoman"/>
      <w:start w:val="1"/>
    </w:lvl>
  </w:abstractNum>
  <w:abstractNum w:abstractNumId="32">
    <w:nsid w:val="520EEDD1"/>
    <w:multiLevelType w:val="hybridMultilevel"/>
    <w:lvl w:ilvl="0">
      <w:lvlJc w:val="left"/>
      <w:lvlText w:val="(%1)"/>
      <w:numFmt w:val="lowerRoman"/>
      <w:start w:val="3"/>
    </w:lvl>
  </w:abstractNum>
  <w:abstractNum w:abstractNumId="33">
    <w:nsid w:val="374A3FE6"/>
    <w:multiLevelType w:val="hybridMultilevel"/>
    <w:lvl w:ilvl="0">
      <w:lvlJc w:val="left"/>
      <w:lvlText w:val="•"/>
      <w:numFmt w:val="bullet"/>
      <w:start w:val="1"/>
    </w:lvl>
  </w:abstractNum>
  <w:abstractNum w:abstractNumId="34">
    <w:nsid w:val="4F4EF005"/>
    <w:multiLevelType w:val="hybridMultilevel"/>
    <w:lvl w:ilvl="0">
      <w:lvlJc w:val="left"/>
      <w:lvlText w:val="•"/>
      <w:numFmt w:val="bullet"/>
      <w:start w:val="1"/>
    </w:lvl>
  </w:abstractNum>
  <w:abstractNum w:abstractNumId="35">
    <w:nsid w:val="23F9C13C"/>
    <w:multiLevelType w:val="hybridMultilevel"/>
    <w:lvl w:ilvl="0">
      <w:lvlJc w:val="left"/>
      <w:lvlText w:val="(%1)"/>
      <w:numFmt w:val="lowerLetter"/>
      <w:start w:val="1"/>
    </w:lvl>
  </w:abstractNum>
  <w:abstractNum w:abstractNumId="36">
    <w:nsid w:val="649BB77C"/>
    <w:multiLevelType w:val="hybridMultilevel"/>
    <w:lvl w:ilvl="0">
      <w:lvlJc w:val="left"/>
      <w:lvlText w:val="(%1)"/>
      <w:numFmt w:val="lowerLetter"/>
      <w:start w:val="1"/>
    </w:lvl>
  </w:abstractNum>
  <w:abstractNum w:abstractNumId="37">
    <w:nsid w:val="275AC794"/>
    <w:multiLevelType w:val="hybridMultilevel"/>
    <w:lvl w:ilvl="0">
      <w:lvlJc w:val="left"/>
      <w:lvlText w:val="(%1)"/>
      <w:numFmt w:val="lowerLetter"/>
      <w:start w:val="1"/>
    </w:lvl>
  </w:abstractNum>
  <w:abstractNum w:abstractNumId="38">
    <w:nsid w:val="39386575"/>
    <w:multiLevelType w:val="hybridMultilevel"/>
    <w:lvl w:ilvl="0">
      <w:lvlJc w:val="left"/>
      <w:lvlText w:val="•"/>
      <w:numFmt w:val="bullet"/>
      <w:start w:val="1"/>
    </w:lvl>
  </w:abstractNum>
  <w:abstractNum w:abstractNumId="39">
    <w:nsid w:val="1CF10FD8"/>
    <w:multiLevelType w:val="hybridMultilevel"/>
    <w:lvl w:ilvl="0">
      <w:lvlJc w:val="left"/>
      <w:lvlText w:val="(%1)"/>
      <w:numFmt w:val="lowerLetter"/>
      <w:start w:val="1"/>
    </w:lvl>
  </w:abstractNum>
  <w:abstractNum w:abstractNumId="40">
    <w:nsid w:val="180115BE"/>
    <w:multiLevelType w:val="hybridMultilevel"/>
    <w:lvl w:ilvl="0">
      <w:lvlJc w:val="left"/>
      <w:lvlText w:val="(%1)"/>
      <w:numFmt w:val="lowerLetter"/>
      <w:start w:val="1"/>
    </w:lvl>
  </w:abstractNum>
  <w:abstractNum w:abstractNumId="41">
    <w:nsid w:val="235BA861"/>
    <w:multiLevelType w:val="hybridMultilevel"/>
    <w:lvl w:ilvl="0">
      <w:lvlJc w:val="left"/>
      <w:lvlText w:val="(%1)"/>
      <w:numFmt w:val="lowerLetter"/>
      <w:start w:val="2"/>
    </w:lvl>
  </w:abstractNum>
  <w:abstractNum w:abstractNumId="42">
    <w:nsid w:val="47398C89"/>
    <w:multiLevelType w:val="hybridMultilevel"/>
    <w:lvl w:ilvl="0">
      <w:lvlJc w:val="left"/>
      <w:lvlText w:val="(%1)"/>
      <w:numFmt w:val="lowerLetter"/>
      <w:start w:val="1"/>
    </w:lvl>
  </w:abstractNum>
  <w:abstractNum w:abstractNumId="43">
    <w:nsid w:val="354FE9F9"/>
    <w:multiLevelType w:val="hybridMultilevel"/>
    <w:lvl w:ilvl="0">
      <w:lvlJc w:val="left"/>
      <w:lvlText w:val="(%1)"/>
      <w:numFmt w:val="lowerLetter"/>
      <w:start w:val="1"/>
    </w:lvl>
  </w:abstractNum>
  <w:abstractNum w:abstractNumId="44">
    <w:nsid w:val="15B5AF5C"/>
    <w:multiLevelType w:val="hybridMultilevel"/>
    <w:lvl w:ilvl="0">
      <w:lvlJc w:val="left"/>
      <w:lvlText w:val="(%1)"/>
      <w:numFmt w:val="lowerLetter"/>
      <w:start w:val="1"/>
    </w:lvl>
  </w:abstractNum>
  <w:abstractNum w:abstractNumId="45">
    <w:nsid w:val="741226BB"/>
    <w:multiLevelType w:val="hybridMultilevel"/>
    <w:lvl w:ilvl="0">
      <w:lvlJc w:val="left"/>
      <w:lvlText w:val="(%1)"/>
      <w:numFmt w:val="lowerLetter"/>
      <w:start w:val="1"/>
    </w:lvl>
  </w:abstractNum>
  <w:abstractNum w:abstractNumId="46">
    <w:nsid w:val="D34B6A8"/>
    <w:multiLevelType w:val="hybridMultilevel"/>
    <w:lvl w:ilvl="0">
      <w:lvlJc w:val="left"/>
      <w:lvlText w:val="(%1)"/>
      <w:numFmt w:val="lowerLetter"/>
      <w:start w:val="1"/>
    </w:lvl>
  </w:abstractNum>
  <w:abstractNum w:abstractNumId="47">
    <w:nsid w:val="10233C99"/>
    <w:multiLevelType w:val="hybridMultilevel"/>
    <w:lvl w:ilvl="0">
      <w:lvlJc w:val="left"/>
      <w:lvlText w:val="(%1)"/>
      <w:numFmt w:val="lowerLetter"/>
      <w:start w:val="1"/>
    </w:lvl>
  </w:abstractNum>
  <w:abstractNum w:abstractNumId="48">
    <w:nsid w:val="3F6AB60F"/>
    <w:multiLevelType w:val="hybridMultilevel"/>
    <w:lvl w:ilvl="0">
      <w:lvlJc w:val="left"/>
      <w:lvlText w:val="(%1)"/>
      <w:numFmt w:val="lowerLetter"/>
      <w:start w:val="1"/>
    </w:lvl>
  </w:abstractNum>
  <w:abstractNum w:abstractNumId="49">
    <w:nsid w:val="61574095"/>
    <w:multiLevelType w:val="hybridMultilevel"/>
    <w:lvl w:ilvl="0">
      <w:lvlJc w:val="left"/>
      <w:lvlText w:val="(%1)"/>
      <w:numFmt w:val="lowerLetter"/>
      <w:start w:val="1"/>
    </w:lvl>
  </w:abstractNum>
  <w:abstractNum w:abstractNumId="50">
    <w:nsid w:val="7E0C57B1"/>
    <w:multiLevelType w:val="hybridMultilevel"/>
    <w:lvl w:ilvl="0">
      <w:lvlJc w:val="left"/>
      <w:lvlText w:val="(%1)"/>
      <w:numFmt w:val="lowerLetter"/>
      <w:start w:val="1"/>
    </w:lvl>
  </w:abstractNum>
  <w:abstractNum w:abstractNumId="51">
    <w:nsid w:val="77AE35EB"/>
    <w:multiLevelType w:val="hybridMultilevel"/>
    <w:lvl w:ilvl="0">
      <w:lvlJc w:val="left"/>
      <w:lvlText w:val="(%1)"/>
      <w:numFmt w:val="lowerLetter"/>
      <w:start w:val="1"/>
    </w:lvl>
  </w:abstractNum>
  <w:abstractNum w:abstractNumId="52">
    <w:nsid w:val="579BE4F1"/>
    <w:multiLevelType w:val="hybridMultilevel"/>
    <w:lvl w:ilvl="0">
      <w:lvlJc w:val="left"/>
      <w:lvlText w:val="(%1)"/>
      <w:numFmt w:val="lowerLetter"/>
      <w:start w:val="1"/>
    </w:lvl>
  </w:abstractNum>
  <w:abstractNum w:abstractNumId="53">
    <w:nsid w:val="310C50B3"/>
    <w:multiLevelType w:val="hybridMultilevel"/>
    <w:lvl w:ilvl="0">
      <w:lvlJc w:val="left"/>
      <w:lvlText w:val="•"/>
      <w:numFmt w:val="bullet"/>
      <w:start w:val="1"/>
    </w:lvl>
  </w:abstractNum>
  <w:abstractNum w:abstractNumId="54">
    <w:nsid w:val="5FF87E05"/>
    <w:multiLevelType w:val="hybridMultilevel"/>
    <w:lvl w:ilvl="0">
      <w:lvlJc w:val="left"/>
      <w:lvlText w:val="(%1)"/>
      <w:numFmt w:val="lowerLetter"/>
      <w:start w:val="1"/>
    </w:lvl>
  </w:abstractNum>
  <w:abstractNum w:abstractNumId="55">
    <w:nsid w:val="2F305DEF"/>
    <w:multiLevelType w:val="hybridMultilevel"/>
    <w:lvl w:ilvl="0">
      <w:lvlJc w:val="left"/>
      <w:lvlText w:val="(%1)"/>
      <w:numFmt w:val="lowerLetter"/>
      <w:start w:val="1"/>
    </w:lvl>
  </w:abstractNum>
  <w:abstractNum w:abstractNumId="56">
    <w:nsid w:val="25A70BF7"/>
    <w:multiLevelType w:val="hybridMultilevel"/>
    <w:lvl w:ilvl="0">
      <w:lvlJc w:val="left"/>
      <w:lvlText w:val="%1."/>
      <w:numFmt w:val="decimal"/>
      <w:start w:val="2"/>
    </w:lvl>
  </w:abstractNum>
  <w:abstractNum w:abstractNumId="57">
    <w:nsid w:val="1DBABF00"/>
    <w:multiLevelType w:val="hybridMultilevel"/>
    <w:lvl w:ilvl="0">
      <w:lvlJc w:val="left"/>
      <w:lvlText w:val="(%1)"/>
      <w:numFmt w:val="lowerLetter"/>
      <w:start w:val="1"/>
    </w:lvl>
  </w:abstractNum>
  <w:abstractNum w:abstractNumId="58">
    <w:nsid w:val="4AD084E9"/>
    <w:multiLevelType w:val="hybridMultilevel"/>
    <w:lvl w:ilvl="0">
      <w:lvlJc w:val="left"/>
      <w:lvlText w:val="(%1)"/>
      <w:numFmt w:val="lowerLetter"/>
      <w:start w:val="1"/>
    </w:lvl>
  </w:abstractNum>
  <w:abstractNum w:abstractNumId="59">
    <w:nsid w:val="1F48EAA1"/>
    <w:multiLevelType w:val="hybridMultilevel"/>
    <w:lvl w:ilvl="0">
      <w:lvlJc w:val="left"/>
      <w:lvlText w:val="(%1)"/>
      <w:numFmt w:val="lowerLetter"/>
      <w:start w:val="1"/>
    </w:lvl>
  </w:abstractNum>
  <w:abstractNum w:abstractNumId="60">
    <w:nsid w:val="1381823A"/>
    <w:multiLevelType w:val="hybridMultilevel"/>
    <w:lvl w:ilvl="0">
      <w:lvlJc w:val="left"/>
      <w:lvlText w:val="(%1)"/>
      <w:numFmt w:val="lowerLetter"/>
      <w:start w:val="1"/>
    </w:lvl>
  </w:abstractNum>
  <w:abstractNum w:abstractNumId="61">
    <w:nsid w:val="5DB70AE5"/>
    <w:multiLevelType w:val="hybridMultilevel"/>
    <w:lvl w:ilvl="0">
      <w:lvlJc w:val="left"/>
      <w:lvlText w:val="(%1)"/>
      <w:numFmt w:val="lowerLetter"/>
      <w:start w:val="1"/>
    </w:lvl>
  </w:abstractNum>
  <w:abstractNum w:abstractNumId="62">
    <w:nsid w:val="100F8FCA"/>
    <w:multiLevelType w:val="hybridMultilevel"/>
    <w:lvl w:ilvl="0">
      <w:lvlJc w:val="left"/>
      <w:lvlText w:val="*"/>
      <w:numFmt w:val="bullet"/>
      <w:start w:val="1"/>
    </w:lvl>
  </w:abstractNum>
  <w:abstractNum w:abstractNumId="63">
    <w:nsid w:val="6590700B"/>
    <w:multiLevelType w:val="hybridMultilevel"/>
    <w:lvl w:ilvl="0">
      <w:lvlJc w:val="left"/>
      <w:lvlText w:val="(%1)"/>
      <w:numFmt w:val="lowerLetter"/>
      <w:start w:val="1"/>
    </w:lvl>
  </w:abstractNum>
  <w:abstractNum w:abstractNumId="64">
    <w:nsid w:val="15014ACB"/>
    <w:multiLevelType w:val="hybridMultilevel"/>
    <w:lvl w:ilvl="0">
      <w:lvlJc w:val="left"/>
      <w:lvlText w:val="%1."/>
      <w:numFmt w:val="decimal"/>
      <w:start w:val="1"/>
    </w:lvl>
  </w:abstractNum>
  <w:abstractNum w:abstractNumId="65">
    <w:nsid w:val="5F5E7FD0"/>
    <w:multiLevelType w:val="hybridMultilevel"/>
    <w:lvl w:ilvl="0">
      <w:lvlJc w:val="left"/>
      <w:lvlText w:val="%1)"/>
      <w:numFmt w:val="lowerLetter"/>
      <w:start w:val="1"/>
    </w:lvl>
  </w:abstractNum>
  <w:abstractNum w:abstractNumId="66">
    <w:nsid w:val="98A3148"/>
    <w:multiLevelType w:val="hybridMultilevel"/>
    <w:lvl w:ilvl="0">
      <w:lvlJc w:val="left"/>
      <w:lvlText w:val="%1."/>
      <w:numFmt w:val="decimal"/>
      <w:start w:val="5"/>
    </w:lvl>
  </w:abstractNum>
  <w:abstractNum w:abstractNumId="67">
    <w:nsid w:val="799D0247"/>
    <w:multiLevelType w:val="hybridMultilevel"/>
    <w:lvl w:ilvl="0">
      <w:lvlJc w:val="left"/>
      <w:lvlText w:val="%1)"/>
      <w:numFmt w:val="lowerLetter"/>
      <w:start w:val="1"/>
    </w:lvl>
  </w:abstractNum>
  <w:abstractNum w:abstractNumId="68">
    <w:nsid w:val="6B94764"/>
    <w:multiLevelType w:val="hybridMultilevel"/>
    <w:lvl w:ilvl="0">
      <w:lvlJc w:val="left"/>
      <w:lvlText w:val="%1."/>
      <w:numFmt w:val="decimal"/>
      <w:start w:val="1"/>
    </w:lvl>
  </w:abstractNum>
  <w:abstractNum w:abstractNumId="69">
    <w:nsid w:val="42C296BD"/>
    <w:multiLevelType w:val="hybridMultilevel"/>
    <w:lvl w:ilvl="0">
      <w:lvlJc w:val="left"/>
      <w:lvlText w:val="%1)"/>
      <w:numFmt w:val="lowerLetter"/>
      <w:start w:val="1"/>
    </w:lvl>
  </w:abstractNum>
  <w:abstractNum w:abstractNumId="70">
    <w:nsid w:val="168E121F"/>
    <w:multiLevelType w:val="hybridMultilevel"/>
    <w:lvl w:ilvl="0">
      <w:lvlJc w:val="left"/>
      <w:lvlText w:val="%1."/>
      <w:numFmt w:val="decimal"/>
      <w:start w:val="5"/>
    </w:lvl>
  </w:abstractNum>
  <w:abstractNum w:abstractNumId="71">
    <w:nsid w:val="1EBA5D23"/>
    <w:multiLevelType w:val="hybridMultilevel"/>
    <w:lvl w:ilvl="0">
      <w:lvlJc w:val="left"/>
      <w:lvlText w:val="%1)"/>
      <w:numFmt w:val="lowerLetter"/>
      <w:start w:val="1"/>
    </w:lvl>
  </w:abstractNum>
  <w:abstractNum w:abstractNumId="72">
    <w:nsid w:val="661E3F1E"/>
    <w:multiLevelType w:val="hybridMultilevel"/>
    <w:lvl w:ilvl="0">
      <w:lvlJc w:val="left"/>
      <w:lvlText w:val="(%1)"/>
      <w:numFmt w:val="decimal"/>
      <w:start w:val="1"/>
    </w:lvl>
  </w:abstractNum>
  <w:abstractNum w:abstractNumId="73">
    <w:nsid w:val="5DC79EA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60" Type="http://schemas.openxmlformats.org/officeDocument/2006/relationships/image" Target="media/image252.png"/><Relationship Id="rId261" Type="http://schemas.openxmlformats.org/officeDocument/2006/relationships/image" Target="media/image253.png"/><Relationship Id="rId275" Type="http://schemas.openxmlformats.org/officeDocument/2006/relationships/image" Target="media/image254.png"/><Relationship Id="rId276" Type="http://schemas.openxmlformats.org/officeDocument/2006/relationships/image" Target="media/image255.png"/><Relationship Id="rId287" Type="http://schemas.openxmlformats.org/officeDocument/2006/relationships/image" Target="media/image256.png"/><Relationship Id="rId288" Type="http://schemas.openxmlformats.org/officeDocument/2006/relationships/image" Target="media/image257.png"/><Relationship Id="rId289" Type="http://schemas.openxmlformats.org/officeDocument/2006/relationships/image" Target="media/image258.png"/><Relationship Id="rId290" Type="http://schemas.openxmlformats.org/officeDocument/2006/relationships/image" Target="media/image259.png"/><Relationship Id="rId291" Type="http://schemas.openxmlformats.org/officeDocument/2006/relationships/image" Target="media/image260.png"/><Relationship Id="rId292" Type="http://schemas.openxmlformats.org/officeDocument/2006/relationships/image" Target="media/image261.png"/><Relationship Id="rId293" Type="http://schemas.openxmlformats.org/officeDocument/2006/relationships/image" Target="media/image262.png"/><Relationship Id="rId294" Type="http://schemas.openxmlformats.org/officeDocument/2006/relationships/image" Target="media/image263.png"/><Relationship Id="rId295" Type="http://schemas.openxmlformats.org/officeDocument/2006/relationships/image" Target="media/image264.png"/><Relationship Id="rId296" Type="http://schemas.openxmlformats.org/officeDocument/2006/relationships/image" Target="media/image265.png"/><Relationship Id="rId297" Type="http://schemas.openxmlformats.org/officeDocument/2006/relationships/image" Target="media/image266.png"/><Relationship Id="rId298" Type="http://schemas.openxmlformats.org/officeDocument/2006/relationships/image" Target="media/image267.png"/><Relationship Id="rId299" Type="http://schemas.openxmlformats.org/officeDocument/2006/relationships/image" Target="media/image268.png"/><Relationship Id="rId300" Type="http://schemas.openxmlformats.org/officeDocument/2006/relationships/image" Target="media/image269.png"/><Relationship Id="rId301" Type="http://schemas.openxmlformats.org/officeDocument/2006/relationships/image" Target="media/image270.png"/><Relationship Id="rId259" Type="http://schemas.openxmlformats.org/officeDocument/2006/relationships/hyperlink" Target="http://www.sec.gov/Archives/edgar/data/36270/000129993310004150/exhibit1.htm" TargetMode="External"/><Relationship Id="rId262" Type="http://schemas.openxmlformats.org/officeDocument/2006/relationships/hyperlink" Target="http://www.sec.gov/Archives/edgar/data/36270/000156459017009044/mtb-ex32_393.htm" TargetMode="External"/><Relationship Id="rId263" Type="http://schemas.openxmlformats.org/officeDocument/2006/relationships/hyperlink" Target="http://www.sec.gov/Archives/edgar/data/36270/000095012311055474/l42806exv3w1.htm" TargetMode="External"/><Relationship Id="rId264" Type="http://schemas.openxmlformats.org/officeDocument/2006/relationships/hyperlink" Target="http://www.sec.gov/Archives/edgar/data/36270/000119312513164964/d525568dex31.htm" TargetMode="External"/><Relationship Id="rId265" Type="http://schemas.openxmlformats.org/officeDocument/2006/relationships/hyperlink" Target="http://www.sec.gov/Archives/edgar/data/36270/000119312514045840/d670446dex31.htm" TargetMode="External"/><Relationship Id="rId266" Type="http://schemas.openxmlformats.org/officeDocument/2006/relationships/hyperlink" Target="http://www.sec.gov/Archives/edgar/data/36270/000119312516751828/d243239dex31.htm" TargetMode="External"/><Relationship Id="rId267" Type="http://schemas.openxmlformats.org/officeDocument/2006/relationships/hyperlink" Target="http://www.sec.gov/Archives/edgar/data/36270/000119312513071824/d440871dex42.htm" TargetMode="External"/><Relationship Id="rId268" Type="http://schemas.openxmlformats.org/officeDocument/2006/relationships/hyperlink" Target="http://www.sec.gov/Archives/edgar/data/36270/000095012311052112/l42734exv4w1.htm" TargetMode="External"/><Relationship Id="rId269" Type="http://schemas.openxmlformats.org/officeDocument/2006/relationships/hyperlink" Target="http://www.sec.gov/Archives/edgar/data/36270/000119312512499248/d450586dex41.htm" TargetMode="External"/><Relationship Id="rId270" Type="http://schemas.openxmlformats.org/officeDocument/2006/relationships/hyperlink" Target="http://www.sec.gov/Archives/edgar/data/36270/0001047469-98-031118.txt" TargetMode="External"/><Relationship Id="rId271" Type="http://schemas.openxmlformats.org/officeDocument/2006/relationships/hyperlink" Target="http://www.sec.gov/Archives/edgar/data/36270/000156459017002016/mtb-ex102_1198.htm" TargetMode="External"/><Relationship Id="rId272" Type="http://schemas.openxmlformats.org/officeDocument/2006/relationships/hyperlink" Target="http://www.sec.gov/Archives/edgar/data/36270/000119312516569978/d174513dex101.htm" TargetMode="External"/><Relationship Id="rId273" Type="http://schemas.openxmlformats.org/officeDocument/2006/relationships/hyperlink" Target="http://www.sec.gov/Archives/edgar/data/36270/000119312516569978/d174513dex102.htm" TargetMode="External"/><Relationship Id="rId274" Type="http://schemas.openxmlformats.org/officeDocument/2006/relationships/hyperlink" Target="http://www.sec.gov/Archives/edgar/data/36270/000156459017002016/mtb-ex106_1199.htm" TargetMode="External"/><Relationship Id="rId277" Type="http://schemas.openxmlformats.org/officeDocument/2006/relationships/hyperlink" Target="http://www.sec.gov/Archives/edgar/data/36270/000119312512428478/d428043dex41.htm" TargetMode="External"/><Relationship Id="rId278" Type="http://schemas.openxmlformats.org/officeDocument/2006/relationships/hyperlink" Target="http://www.sec.gov/Archives/edgar/data/36270/000119312513071824/d440871dex1022.htm" TargetMode="External"/><Relationship Id="rId279" Type="http://schemas.openxmlformats.org/officeDocument/2006/relationships/hyperlink" Target="http://www.sec.gov/Archives/edgar/data/36270/000095015205001743/l11997adef14a.htm" TargetMode="External"/><Relationship Id="rId280" Type="http://schemas.openxmlformats.org/officeDocument/2006/relationships/hyperlink" Target="http://www.sec.gov/Archives/edgar/data/36270/000119312515077720/d843862ddef14a.htm" TargetMode="External"/><Relationship Id="rId281" Type="http://schemas.openxmlformats.org/officeDocument/2006/relationships/hyperlink" Target="http://www.sec.gov/Archives/edgar/data/36270/000119312514062812/d631624dex1025.htm" TargetMode="External"/><Relationship Id="rId282" Type="http://schemas.openxmlformats.org/officeDocument/2006/relationships/hyperlink" Target="http://www.sec.gov/Archives/edgar/data/36270/000119312514062812/d631624dex1026.htm" TargetMode="External"/><Relationship Id="rId283" Type="http://schemas.openxmlformats.org/officeDocument/2006/relationships/hyperlink" Target="http://www.sec.gov/Archives/edgar/data/36270/000119312514062812/d631624dex1027.htm" TargetMode="External"/><Relationship Id="rId284" Type="http://schemas.openxmlformats.org/officeDocument/2006/relationships/hyperlink" Target="http://www.sec.gov/Archives/edgar/data/36270/000119312514189500/d709160dex101.htm" TargetMode="External"/><Relationship Id="rId285" Type="http://schemas.openxmlformats.org/officeDocument/2006/relationships/hyperlink" Target="http://www.sec.gov/Archives/edgar/data/36270/000119312515362580/d47915dex46.htm" TargetMode="External"/><Relationship Id="rId286" Type="http://schemas.openxmlformats.org/officeDocument/2006/relationships/hyperlink" Target="http://www.sec.gov/Archives/edgar/data/36270/000119312515362580/d47915dex4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2019-12-29T00:39:30Z</dcterms:created>
  <dcterms:modified xsi:type="dcterms:W3CDTF">2019-12-29T00:39:30Z</dcterms:modified>
</cp:coreProperties>
</file>