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ind w:right="-19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ind w:right="-19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ind w:right="-19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ind w:right="-199"/>
        <w:spacing w:after="0"/>
        <w:rPr>
          <w:sz w:val="20"/>
          <w:szCs w:val="20"/>
          <w:color w:val="auto"/>
        </w:rPr>
      </w:pPr>
      <w:r>
        <w:rPr>
          <w:rFonts w:ascii="Arial" w:cs="Arial" w:eastAsia="Arial" w:hAnsi="Arial"/>
          <w:sz w:val="32"/>
          <w:szCs w:val="32"/>
          <w:b w:val="1"/>
          <w:bCs w:val="1"/>
          <w:color w:val="auto"/>
        </w:rPr>
        <w:t>FORM 10-Q</w:t>
      </w:r>
    </w:p>
    <w:p>
      <w:pPr>
        <w:spacing w:after="0" w:line="226" w:lineRule="exact"/>
        <w:rPr>
          <w:sz w:val="20"/>
          <w:szCs w:val="20"/>
          <w:color w:val="auto"/>
        </w:rPr>
      </w:pPr>
    </w:p>
    <w:p>
      <w:pPr>
        <w:ind w:left="1380" w:right="220" w:hanging="1061"/>
        <w:spacing w:after="0" w:line="256" w:lineRule="auto"/>
        <w:tabs>
          <w:tab w:leader="none" w:pos="13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64"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For the quarterly period ended March 31, 2008</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or</w:t>
      </w:r>
    </w:p>
    <w:p>
      <w:pPr>
        <w:spacing w:after="0" w:line="122" w:lineRule="exact"/>
        <w:rPr>
          <w:sz w:val="20"/>
          <w:szCs w:val="20"/>
          <w:color w:val="auto"/>
        </w:rPr>
      </w:pPr>
    </w:p>
    <w:p>
      <w:pPr>
        <w:ind w:left="1380" w:right="200" w:hanging="1021"/>
        <w:spacing w:after="0" w:line="256" w:lineRule="auto"/>
        <w:tabs>
          <w:tab w:leader="none" w:pos="138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Commission File Number 1-9861</w:t>
      </w:r>
    </w:p>
    <w:p>
      <w:pPr>
        <w:spacing w:after="0" w:line="200" w:lineRule="exact"/>
        <w:rPr>
          <w:sz w:val="20"/>
          <w:szCs w:val="20"/>
          <w:color w:val="auto"/>
        </w:rPr>
      </w:pPr>
    </w:p>
    <w:p>
      <w:pPr>
        <w:jc w:val="center"/>
        <w:ind w:right="-199"/>
        <w:spacing w:after="0"/>
        <w:rPr>
          <w:sz w:val="20"/>
          <w:szCs w:val="20"/>
          <w:color w:val="auto"/>
        </w:rPr>
      </w:pPr>
      <w:r>
        <w:rPr>
          <w:rFonts w:ascii="Arial" w:cs="Arial" w:eastAsia="Arial" w:hAnsi="Arial"/>
          <w:sz w:val="43"/>
          <w:szCs w:val="43"/>
          <w:b w:val="1"/>
          <w:bCs w:val="1"/>
          <w:color w:val="auto"/>
        </w:rPr>
        <w:t>M&amp;T BANK CORPORATION</w:t>
      </w:r>
    </w:p>
    <w:p>
      <w:pPr>
        <w:spacing w:after="0" w:line="5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(Exact name of registrant as specified in its charter)</w:t>
      </w:r>
    </w:p>
    <w:p>
      <w:pPr>
        <w:spacing w:after="0" w:line="209" w:lineRule="exact"/>
        <w:rPr>
          <w:sz w:val="20"/>
          <w:szCs w:val="20"/>
          <w:color w:val="auto"/>
        </w:rPr>
      </w:pPr>
    </w:p>
    <w:tbl>
      <w:tblPr>
        <w:tblLayout w:type="fixed"/>
        <w:tblInd w:w="1640" w:type="dxa"/>
        <w:tblCellMar>
          <w:top w:w="0" w:type="dxa"/>
          <w:left w:w="0" w:type="dxa"/>
          <w:bottom w:w="0" w:type="dxa"/>
          <w:right w:w="0" w:type="dxa"/>
        </w:tblCellMar>
      </w:tblPr>
      <w:tr>
        <w:trPr>
          <w:trHeight w:val="216"/>
        </w:trPr>
        <w:tc>
          <w:tcPr>
            <w:tcW w:w="2160" w:type="dxa"/>
            <w:vAlign w:val="bottom"/>
          </w:tcPr>
          <w:p>
            <w:pPr>
              <w:jc w:val="center"/>
              <w:spacing w:after="0"/>
              <w:rPr>
                <w:sz w:val="20"/>
                <w:szCs w:val="20"/>
                <w:color w:val="auto"/>
              </w:rPr>
            </w:pPr>
            <w:r>
              <w:rPr>
                <w:rFonts w:ascii="Arial" w:cs="Arial" w:eastAsia="Arial" w:hAnsi="Arial"/>
                <w:sz w:val="18"/>
                <w:szCs w:val="18"/>
                <w:color w:val="auto"/>
                <w:w w:val="94"/>
              </w:rPr>
              <w:t>New York</w:t>
            </w:r>
          </w:p>
        </w:tc>
        <w:tc>
          <w:tcPr>
            <w:tcW w:w="5580" w:type="dxa"/>
            <w:vAlign w:val="bottom"/>
          </w:tcPr>
          <w:p>
            <w:pPr>
              <w:jc w:val="right"/>
              <w:ind w:right="150"/>
              <w:spacing w:after="0"/>
              <w:rPr>
                <w:sz w:val="20"/>
                <w:szCs w:val="20"/>
                <w:color w:val="auto"/>
              </w:rPr>
            </w:pPr>
            <w:r>
              <w:rPr>
                <w:rFonts w:ascii="Arial" w:cs="Arial" w:eastAsia="Arial" w:hAnsi="Arial"/>
                <w:sz w:val="18"/>
                <w:szCs w:val="18"/>
                <w:color w:val="auto"/>
              </w:rPr>
              <w:t>16-0968385</w:t>
            </w:r>
          </w:p>
        </w:tc>
      </w:tr>
      <w:tr>
        <w:trPr>
          <w:trHeight w:val="216"/>
        </w:trPr>
        <w:tc>
          <w:tcPr>
            <w:tcW w:w="2160" w:type="dxa"/>
            <w:vAlign w:val="bottom"/>
          </w:tcPr>
          <w:p>
            <w:pPr>
              <w:jc w:val="center"/>
              <w:spacing w:after="0"/>
              <w:rPr>
                <w:sz w:val="20"/>
                <w:szCs w:val="20"/>
                <w:color w:val="auto"/>
              </w:rPr>
            </w:pPr>
            <w:r>
              <w:rPr>
                <w:rFonts w:ascii="Arial" w:cs="Arial" w:eastAsia="Arial" w:hAnsi="Arial"/>
                <w:sz w:val="18"/>
                <w:szCs w:val="18"/>
                <w:color w:val="auto"/>
                <w:w w:val="93"/>
              </w:rPr>
              <w:t>(State or other jurisdiction of</w:t>
            </w:r>
          </w:p>
        </w:tc>
        <w:tc>
          <w:tcPr>
            <w:tcW w:w="5580" w:type="dxa"/>
            <w:vAlign w:val="bottom"/>
          </w:tcPr>
          <w:p>
            <w:pPr>
              <w:jc w:val="center"/>
              <w:ind w:left="4150"/>
              <w:spacing w:after="0"/>
              <w:rPr>
                <w:sz w:val="20"/>
                <w:szCs w:val="20"/>
                <w:color w:val="auto"/>
              </w:rPr>
            </w:pPr>
            <w:r>
              <w:rPr>
                <w:rFonts w:ascii="Arial" w:cs="Arial" w:eastAsia="Arial" w:hAnsi="Arial"/>
                <w:sz w:val="18"/>
                <w:szCs w:val="18"/>
                <w:color w:val="auto"/>
                <w:w w:val="92"/>
              </w:rPr>
              <w:t>(I.R.S. Employer</w:t>
            </w:r>
          </w:p>
        </w:tc>
      </w:tr>
      <w:tr>
        <w:trPr>
          <w:trHeight w:val="230"/>
        </w:trPr>
        <w:tc>
          <w:tcPr>
            <w:tcW w:w="2160" w:type="dxa"/>
            <w:vAlign w:val="bottom"/>
          </w:tcPr>
          <w:p>
            <w:pPr>
              <w:jc w:val="center"/>
              <w:spacing w:after="0"/>
              <w:rPr>
                <w:sz w:val="20"/>
                <w:szCs w:val="20"/>
                <w:color w:val="auto"/>
              </w:rPr>
            </w:pPr>
            <w:r>
              <w:rPr>
                <w:rFonts w:ascii="Arial" w:cs="Arial" w:eastAsia="Arial" w:hAnsi="Arial"/>
                <w:sz w:val="18"/>
                <w:szCs w:val="18"/>
                <w:color w:val="auto"/>
                <w:w w:val="92"/>
              </w:rPr>
              <w:t>incorporation or organization)</w:t>
            </w:r>
          </w:p>
        </w:tc>
        <w:tc>
          <w:tcPr>
            <w:tcW w:w="5580" w:type="dxa"/>
            <w:vAlign w:val="bottom"/>
          </w:tcPr>
          <w:p>
            <w:pPr>
              <w:jc w:val="center"/>
              <w:ind w:left="4150"/>
              <w:spacing w:after="0"/>
              <w:rPr>
                <w:sz w:val="20"/>
                <w:szCs w:val="20"/>
                <w:color w:val="auto"/>
              </w:rPr>
            </w:pPr>
            <w:r>
              <w:rPr>
                <w:rFonts w:ascii="Arial" w:cs="Arial" w:eastAsia="Arial" w:hAnsi="Arial"/>
                <w:sz w:val="18"/>
                <w:szCs w:val="18"/>
                <w:color w:val="auto"/>
                <w:w w:val="95"/>
              </w:rPr>
              <w:t>Identification No.)</w:t>
            </w:r>
          </w:p>
        </w:tc>
      </w:tr>
      <w:tr>
        <w:trPr>
          <w:trHeight w:val="418"/>
        </w:trPr>
        <w:tc>
          <w:tcPr>
            <w:tcW w:w="2160" w:type="dxa"/>
            <w:vAlign w:val="bottom"/>
          </w:tcPr>
          <w:p>
            <w:pPr>
              <w:jc w:val="center"/>
              <w:spacing w:after="0"/>
              <w:rPr>
                <w:sz w:val="20"/>
                <w:szCs w:val="20"/>
                <w:color w:val="auto"/>
              </w:rPr>
            </w:pPr>
            <w:r>
              <w:rPr>
                <w:rFonts w:ascii="Arial" w:cs="Arial" w:eastAsia="Arial" w:hAnsi="Arial"/>
                <w:sz w:val="18"/>
                <w:szCs w:val="18"/>
                <w:color w:val="auto"/>
                <w:w w:val="93"/>
              </w:rPr>
              <w:t>One M &amp; T Plaza</w:t>
            </w:r>
          </w:p>
        </w:tc>
        <w:tc>
          <w:tcPr>
            <w:tcW w:w="5580" w:type="dxa"/>
            <w:vAlign w:val="bottom"/>
          </w:tcPr>
          <w:p>
            <w:pPr>
              <w:spacing w:after="0"/>
              <w:rPr>
                <w:sz w:val="24"/>
                <w:szCs w:val="24"/>
                <w:color w:val="auto"/>
              </w:rPr>
            </w:pPr>
          </w:p>
        </w:tc>
      </w:tr>
      <w:tr>
        <w:trPr>
          <w:trHeight w:val="216"/>
        </w:trPr>
        <w:tc>
          <w:tcPr>
            <w:tcW w:w="2160" w:type="dxa"/>
            <w:vAlign w:val="bottom"/>
          </w:tcPr>
          <w:p>
            <w:pPr>
              <w:jc w:val="center"/>
              <w:spacing w:after="0"/>
              <w:rPr>
                <w:sz w:val="20"/>
                <w:szCs w:val="20"/>
                <w:color w:val="auto"/>
              </w:rPr>
            </w:pPr>
            <w:r>
              <w:rPr>
                <w:rFonts w:ascii="Arial" w:cs="Arial" w:eastAsia="Arial" w:hAnsi="Arial"/>
                <w:sz w:val="18"/>
                <w:szCs w:val="18"/>
                <w:color w:val="auto"/>
                <w:w w:val="95"/>
              </w:rPr>
              <w:t>Buffalo, New York</w:t>
            </w:r>
          </w:p>
        </w:tc>
        <w:tc>
          <w:tcPr>
            <w:tcW w:w="5580" w:type="dxa"/>
            <w:vAlign w:val="bottom"/>
          </w:tcPr>
          <w:p>
            <w:pPr>
              <w:spacing w:after="0"/>
              <w:rPr>
                <w:sz w:val="18"/>
                <w:szCs w:val="18"/>
                <w:color w:val="auto"/>
              </w:rPr>
            </w:pPr>
          </w:p>
        </w:tc>
      </w:tr>
      <w:tr>
        <w:trPr>
          <w:trHeight w:val="216"/>
        </w:trPr>
        <w:tc>
          <w:tcPr>
            <w:tcW w:w="2160" w:type="dxa"/>
            <w:vAlign w:val="bottom"/>
          </w:tcPr>
          <w:p>
            <w:pPr>
              <w:jc w:val="center"/>
              <w:spacing w:after="0"/>
              <w:rPr>
                <w:sz w:val="20"/>
                <w:szCs w:val="20"/>
                <w:color w:val="auto"/>
              </w:rPr>
            </w:pPr>
            <w:r>
              <w:rPr>
                <w:rFonts w:ascii="Arial" w:cs="Arial" w:eastAsia="Arial" w:hAnsi="Arial"/>
                <w:sz w:val="18"/>
                <w:szCs w:val="18"/>
                <w:color w:val="auto"/>
                <w:w w:val="93"/>
              </w:rPr>
              <w:t>(Address of principal</w:t>
            </w:r>
          </w:p>
        </w:tc>
        <w:tc>
          <w:tcPr>
            <w:tcW w:w="5580" w:type="dxa"/>
            <w:vAlign w:val="bottom"/>
          </w:tcPr>
          <w:p>
            <w:pPr>
              <w:jc w:val="right"/>
              <w:ind w:right="350"/>
              <w:spacing w:after="0"/>
              <w:rPr>
                <w:sz w:val="20"/>
                <w:szCs w:val="20"/>
                <w:color w:val="auto"/>
              </w:rPr>
            </w:pPr>
            <w:r>
              <w:rPr>
                <w:rFonts w:ascii="Arial" w:cs="Arial" w:eastAsia="Arial" w:hAnsi="Arial"/>
                <w:sz w:val="18"/>
                <w:szCs w:val="18"/>
                <w:color w:val="auto"/>
              </w:rPr>
              <w:t>14203</w:t>
            </w:r>
          </w:p>
        </w:tc>
      </w:tr>
      <w:tr>
        <w:trPr>
          <w:trHeight w:val="230"/>
        </w:trPr>
        <w:tc>
          <w:tcPr>
            <w:tcW w:w="2160" w:type="dxa"/>
            <w:vAlign w:val="bottom"/>
          </w:tcPr>
          <w:p>
            <w:pPr>
              <w:jc w:val="center"/>
              <w:spacing w:after="0"/>
              <w:rPr>
                <w:sz w:val="20"/>
                <w:szCs w:val="20"/>
                <w:color w:val="auto"/>
              </w:rPr>
            </w:pPr>
            <w:r>
              <w:rPr>
                <w:rFonts w:ascii="Arial" w:cs="Arial" w:eastAsia="Arial" w:hAnsi="Arial"/>
                <w:sz w:val="18"/>
                <w:szCs w:val="18"/>
                <w:color w:val="auto"/>
                <w:w w:val="92"/>
              </w:rPr>
              <w:t>executive offices)</w:t>
            </w:r>
          </w:p>
        </w:tc>
        <w:tc>
          <w:tcPr>
            <w:tcW w:w="5580" w:type="dxa"/>
            <w:vAlign w:val="bottom"/>
          </w:tcPr>
          <w:p>
            <w:pPr>
              <w:jc w:val="center"/>
              <w:ind w:left="4130"/>
              <w:spacing w:after="0"/>
              <w:rPr>
                <w:sz w:val="20"/>
                <w:szCs w:val="20"/>
                <w:color w:val="auto"/>
              </w:rPr>
            </w:pPr>
            <w:r>
              <w:rPr>
                <w:rFonts w:ascii="Arial" w:cs="Arial" w:eastAsia="Arial" w:hAnsi="Arial"/>
                <w:sz w:val="18"/>
                <w:szCs w:val="18"/>
                <w:color w:val="auto"/>
                <w:w w:val="94"/>
              </w:rPr>
              <w:t>(Zip Code)</w:t>
            </w:r>
          </w:p>
        </w:tc>
      </w:tr>
      <w:tr>
        <w:trPr>
          <w:trHeight w:val="418"/>
        </w:trPr>
        <w:tc>
          <w:tcPr>
            <w:tcW w:w="2160" w:type="dxa"/>
            <w:vAlign w:val="bottom"/>
          </w:tcPr>
          <w:p>
            <w:pPr>
              <w:spacing w:after="0"/>
              <w:rPr>
                <w:sz w:val="24"/>
                <w:szCs w:val="24"/>
                <w:color w:val="auto"/>
              </w:rPr>
            </w:pPr>
          </w:p>
        </w:tc>
        <w:tc>
          <w:tcPr>
            <w:tcW w:w="5580" w:type="dxa"/>
            <w:vAlign w:val="bottom"/>
          </w:tcPr>
          <w:p>
            <w:pPr>
              <w:jc w:val="right"/>
              <w:ind w:right="3010"/>
              <w:spacing w:after="0"/>
              <w:rPr>
                <w:sz w:val="20"/>
                <w:szCs w:val="20"/>
                <w:color w:val="auto"/>
              </w:rPr>
            </w:pPr>
            <w:r>
              <w:rPr>
                <w:rFonts w:ascii="Arial" w:cs="Arial" w:eastAsia="Arial" w:hAnsi="Arial"/>
                <w:sz w:val="18"/>
                <w:szCs w:val="18"/>
                <w:color w:val="auto"/>
              </w:rPr>
              <w:t>(716) 842-5445</w:t>
            </w:r>
          </w:p>
        </w:tc>
      </w:tr>
      <w:tr>
        <w:trPr>
          <w:trHeight w:val="230"/>
        </w:trPr>
        <w:tc>
          <w:tcPr>
            <w:tcW w:w="2160" w:type="dxa"/>
            <w:vAlign w:val="bottom"/>
          </w:tcPr>
          <w:p>
            <w:pPr>
              <w:spacing w:after="0"/>
              <w:rPr>
                <w:sz w:val="20"/>
                <w:szCs w:val="20"/>
                <w:color w:val="auto"/>
              </w:rPr>
            </w:pPr>
          </w:p>
        </w:tc>
        <w:tc>
          <w:tcPr>
            <w:tcW w:w="5580" w:type="dxa"/>
            <w:vAlign w:val="bottom"/>
          </w:tcPr>
          <w:p>
            <w:pPr>
              <w:jc w:val="center"/>
              <w:ind w:right="1670"/>
              <w:spacing w:after="0"/>
              <w:rPr>
                <w:sz w:val="20"/>
                <w:szCs w:val="20"/>
                <w:color w:val="auto"/>
              </w:rPr>
            </w:pPr>
            <w:r>
              <w:rPr>
                <w:rFonts w:ascii="Arial" w:cs="Arial" w:eastAsia="Arial" w:hAnsi="Arial"/>
                <w:sz w:val="18"/>
                <w:szCs w:val="18"/>
                <w:color w:val="auto"/>
                <w:w w:val="90"/>
              </w:rPr>
              <w:t>(Registrant’s telephone number, including area code)</w:t>
            </w:r>
          </w:p>
        </w:tc>
      </w:tr>
    </w:tbl>
    <w:p>
      <w:pPr>
        <w:spacing w:after="0" w:line="94" w:lineRule="exact"/>
        <w:rPr>
          <w:sz w:val="20"/>
          <w:szCs w:val="20"/>
          <w:color w:val="auto"/>
        </w:rPr>
      </w:pPr>
    </w:p>
    <w:p>
      <w:pPr>
        <w:ind w:right="30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pacing w:after="0" w:line="91" w:lineRule="exact"/>
        <w:rPr>
          <w:sz w:val="20"/>
          <w:szCs w:val="20"/>
          <w:color w:val="auto"/>
        </w:rPr>
      </w:pPr>
    </w:p>
    <w:p>
      <w:pPr>
        <w:ind w:left="3140" w:hanging="5282"/>
        <w:spacing w:after="0" w:line="223" w:lineRule="exact"/>
        <w:tabs>
          <w:tab w:leader="none" w:pos="312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Accelerated filer o Non-accelerated filer o Smaller reporting company o (Do not check if a smaller reporting company)</w:t>
      </w:r>
    </w:p>
    <w:p>
      <w:pPr>
        <w:spacing w:after="0" w:line="95"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Indicate by checkmark whether the registrant is a shell company (as defined in Rule 12b-2 of the Exchange Act). Yes o No </w:t>
      </w:r>
      <w:r>
        <w:rPr>
          <w:rFonts w:ascii="MS PGothic" w:cs="MS PGothic" w:eastAsia="MS PGothic" w:hAnsi="MS PGothic"/>
          <w:sz w:val="18"/>
          <w:szCs w:val="18"/>
          <w:color w:val="auto"/>
        </w:rPr>
        <w:t>☑</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color w:val="auto"/>
        </w:rPr>
        <w:t>Number of shares of the registrant’s Common Stock, $0.50 par value, outstanding as of the close of business on April 25, 2008: 110,111,644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577850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240" w:top="122" w:right="41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u w:val="single" w:color="auto"/>
          <w:color w:val="auto"/>
        </w:rPr>
        <w:t>M&amp;T BANK CORPORATION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FORM 10-Q</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For the Quarterly Period Ended March 31, 2008</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0800" w:type="dxa"/>
            <w:vAlign w:val="bottom"/>
            <w:tcBorders>
              <w:bottom w:val="single" w:sz="8" w:color="auto"/>
            </w:tcBorders>
            <w:gridSpan w:val="23"/>
          </w:tcPr>
          <w:p>
            <w:pPr>
              <w:spacing w:after="0"/>
              <w:rPr>
                <w:sz w:val="20"/>
                <w:szCs w:val="20"/>
                <w:color w:val="auto"/>
              </w:rPr>
            </w:pPr>
            <w:r>
              <w:rPr>
                <w:rFonts w:ascii="Arial" w:cs="Arial" w:eastAsia="Arial" w:hAnsi="Arial"/>
                <w:sz w:val="14"/>
                <w:szCs w:val="14"/>
                <w:color w:val="auto"/>
              </w:rPr>
              <w:t>Table of Contents of Information Required in Report</w:t>
            </w:r>
          </w:p>
        </w:tc>
        <w:tc>
          <w:tcPr>
            <w:tcW w:w="220" w:type="dxa"/>
            <w:vAlign w:val="bottom"/>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7"/>
              </w:rPr>
              <w:t>Page</w:t>
            </w:r>
          </w:p>
        </w:tc>
      </w:tr>
      <w:tr>
        <w:trPr>
          <w:trHeight w:val="169"/>
        </w:trPr>
        <w:tc>
          <w:tcPr>
            <w:tcW w:w="10800" w:type="dxa"/>
            <w:vAlign w:val="bottom"/>
            <w:gridSpan w:val="23"/>
          </w:tcPr>
          <w:p>
            <w:pPr>
              <w:spacing w:after="0" w:line="170" w:lineRule="exact"/>
              <w:rPr>
                <w:rFonts w:ascii="Arial" w:cs="Arial" w:eastAsia="Arial" w:hAnsi="Arial"/>
                <w:sz w:val="18"/>
                <w:szCs w:val="18"/>
                <w:color w:val="0000EE"/>
              </w:rPr>
            </w:pPr>
            <w:hyperlink w:anchor="page4">
              <w:r>
                <w:rPr>
                  <w:rFonts w:ascii="Arial" w:cs="Arial" w:eastAsia="Arial" w:hAnsi="Arial"/>
                  <w:sz w:val="18"/>
                  <w:szCs w:val="18"/>
                  <w:color w:val="0000EE"/>
                </w:rPr>
                <w:t>Part I. FINANCIAL INFORMATION</w:t>
              </w:r>
            </w:hyperlink>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412"/>
        </w:trPr>
        <w:tc>
          <w:tcPr>
            <w:tcW w:w="220" w:type="dxa"/>
            <w:vAlign w:val="bottom"/>
            <w:tcBorders>
              <w:top w:val="single" w:sz="8" w:color="0000EE"/>
            </w:tcBorders>
          </w:tcPr>
          <w:p>
            <w:pPr>
              <w:spacing w:after="0"/>
              <w:rPr>
                <w:sz w:val="24"/>
                <w:szCs w:val="24"/>
                <w:color w:val="auto"/>
              </w:rPr>
            </w:pPr>
          </w:p>
        </w:tc>
        <w:tc>
          <w:tcPr>
            <w:tcW w:w="900" w:type="dxa"/>
            <w:vAlign w:val="bottom"/>
            <w:tcBorders>
              <w:top w:val="single" w:sz="8" w:color="0000EE"/>
            </w:tcBorders>
            <w:gridSpan w:val="4"/>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Item 1.</w:t>
              </w:r>
            </w:hyperlink>
          </w:p>
        </w:tc>
        <w:tc>
          <w:tcPr>
            <w:tcW w:w="1620" w:type="dxa"/>
            <w:vAlign w:val="bottom"/>
            <w:tcBorders>
              <w:top w:val="single" w:sz="8" w:color="0000EE"/>
            </w:tcBorders>
            <w:gridSpan w:val="6"/>
          </w:tcPr>
          <w:p>
            <w:pPr>
              <w:spacing w:after="0"/>
              <w:rPr>
                <w:rFonts w:ascii="Arial" w:cs="Arial" w:eastAsia="Arial" w:hAnsi="Arial"/>
                <w:sz w:val="18"/>
                <w:szCs w:val="18"/>
                <w:color w:val="0000EE"/>
                <w:w w:val="95"/>
              </w:rPr>
            </w:pPr>
            <w:hyperlink w:anchor="page4">
              <w:r>
                <w:rPr>
                  <w:rFonts w:ascii="Arial" w:cs="Arial" w:eastAsia="Arial" w:hAnsi="Arial"/>
                  <w:sz w:val="18"/>
                  <w:szCs w:val="18"/>
                  <w:color w:val="0000EE"/>
                  <w:w w:val="95"/>
                </w:rPr>
                <w:t>Financial Statements</w:t>
              </w:r>
            </w:hyperlink>
          </w:p>
        </w:tc>
        <w:tc>
          <w:tcPr>
            <w:tcW w:w="8060" w:type="dxa"/>
            <w:vAlign w:val="bottom"/>
            <w:gridSpan w:val="12"/>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0"/>
        </w:trPr>
        <w:tc>
          <w:tcPr>
            <w:tcW w:w="2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r>
      <w:tr>
        <w:trPr>
          <w:trHeight w:val="412"/>
        </w:trPr>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80" w:type="dxa"/>
            <w:vAlign w:val="bottom"/>
            <w:gridSpan w:val="18"/>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CONSOLIDATED BALANCE SHEET - March 31, 2008 and December 31, 2007</w:t>
              </w:r>
            </w:hyperlink>
          </w:p>
        </w:tc>
        <w:tc>
          <w:tcPr>
            <w:tcW w:w="620" w:type="dxa"/>
            <w:vAlign w:val="bottom"/>
            <w:gridSpan w:val="2"/>
          </w:tcPr>
          <w:p>
            <w:pPr>
              <w:jc w:val="right"/>
              <w:ind w:right="28"/>
              <w:spacing w:after="0"/>
              <w:rPr>
                <w:sz w:val="20"/>
                <w:szCs w:val="20"/>
                <w:color w:val="auto"/>
              </w:rPr>
            </w:pPr>
            <w:r>
              <w:rPr>
                <w:rFonts w:ascii="Arial" w:cs="Arial" w:eastAsia="Arial" w:hAnsi="Arial"/>
                <w:sz w:val="18"/>
                <w:szCs w:val="18"/>
                <w:color w:val="auto"/>
              </w:rPr>
              <w:t>3</w:t>
            </w:r>
          </w:p>
        </w:tc>
      </w:tr>
      <w:tr>
        <w:trPr>
          <w:trHeight w:val="20"/>
        </w:trPr>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3"/>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58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r>
      <w:tr>
        <w:trPr>
          <w:trHeight w:val="412"/>
        </w:trPr>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0" w:type="dxa"/>
            <w:vAlign w:val="bottom"/>
            <w:tcBorders>
              <w:bottom w:val="single" w:sz="8" w:color="0000EE"/>
            </w:tcBorders>
            <w:gridSpan w:val="14"/>
          </w:tcPr>
          <w:p>
            <w:pPr>
              <w:spacing w:after="0"/>
              <w:rPr>
                <w:rFonts w:ascii="Arial" w:cs="Arial" w:eastAsia="Arial" w:hAnsi="Arial"/>
                <w:sz w:val="18"/>
                <w:szCs w:val="18"/>
                <w:color w:val="0000EE"/>
                <w:w w:val="92"/>
              </w:rPr>
            </w:pPr>
            <w:hyperlink w:anchor="page5">
              <w:r>
                <w:rPr>
                  <w:rFonts w:ascii="Arial" w:cs="Arial" w:eastAsia="Arial" w:hAnsi="Arial"/>
                  <w:sz w:val="18"/>
                  <w:szCs w:val="18"/>
                  <w:color w:val="0000EE"/>
                  <w:w w:val="92"/>
                </w:rPr>
                <w:t>CONSOLIDATED STATEMENT OF INCOME - Three months ended March 31, 2008 and 2007</w:t>
              </w:r>
            </w:hyperlink>
          </w:p>
        </w:tc>
        <w:tc>
          <w:tcPr>
            <w:tcW w:w="2680" w:type="dxa"/>
            <w:vAlign w:val="bottom"/>
            <w:gridSpan w:val="4"/>
          </w:tcPr>
          <w:p>
            <w:pPr>
              <w:spacing w:after="0"/>
              <w:rPr>
                <w:sz w:val="24"/>
                <w:szCs w:val="24"/>
                <w:color w:val="auto"/>
              </w:rPr>
            </w:pPr>
          </w:p>
        </w:tc>
        <w:tc>
          <w:tcPr>
            <w:tcW w:w="620" w:type="dxa"/>
            <w:vAlign w:val="bottom"/>
            <w:gridSpan w:val="2"/>
          </w:tcPr>
          <w:p>
            <w:pPr>
              <w:jc w:val="right"/>
              <w:ind w:right="28"/>
              <w:spacing w:after="0"/>
              <w:rPr>
                <w:sz w:val="20"/>
                <w:szCs w:val="20"/>
                <w:color w:val="auto"/>
              </w:rPr>
            </w:pPr>
            <w:r>
              <w:rPr>
                <w:rFonts w:ascii="Arial" w:cs="Arial" w:eastAsia="Arial" w:hAnsi="Arial"/>
                <w:sz w:val="18"/>
                <w:szCs w:val="18"/>
                <w:color w:val="auto"/>
              </w:rPr>
              <w:t>4</w:t>
            </w:r>
          </w:p>
        </w:tc>
      </w:tr>
      <w:tr>
        <w:trPr>
          <w:trHeight w:val="412"/>
        </w:trPr>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80" w:type="dxa"/>
            <w:vAlign w:val="bottom"/>
            <w:gridSpan w:val="18"/>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CONSOLIDATED STATEMENT OF CASH FLOWS - Three months ended March 31, 2008 and 2007</w:t>
              </w:r>
            </w:hyperlink>
          </w:p>
        </w:tc>
        <w:tc>
          <w:tcPr>
            <w:tcW w:w="620" w:type="dxa"/>
            <w:vAlign w:val="bottom"/>
            <w:gridSpan w:val="2"/>
          </w:tcPr>
          <w:p>
            <w:pPr>
              <w:jc w:val="right"/>
              <w:ind w:right="28"/>
              <w:spacing w:after="0"/>
              <w:rPr>
                <w:sz w:val="20"/>
                <w:szCs w:val="20"/>
                <w:color w:val="auto"/>
              </w:rPr>
            </w:pPr>
            <w:r>
              <w:rPr>
                <w:rFonts w:ascii="Arial" w:cs="Arial" w:eastAsia="Arial" w:hAnsi="Arial"/>
                <w:sz w:val="18"/>
                <w:szCs w:val="18"/>
                <w:color w:val="auto"/>
              </w:rPr>
              <w:t>5</w:t>
            </w:r>
          </w:p>
        </w:tc>
      </w:tr>
      <w:tr>
        <w:trPr>
          <w:trHeight w:val="20"/>
        </w:trPr>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3"/>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120" w:type="dxa"/>
            <w:vAlign w:val="bottom"/>
            <w:tcBorders>
              <w:left w:val="single" w:sz="8" w:color="0000EE"/>
            </w:tcBorders>
            <w:gridSpan w:val="2"/>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r>
      <w:tr>
        <w:trPr>
          <w:trHeight w:val="412"/>
        </w:trPr>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80" w:type="dxa"/>
            <w:vAlign w:val="bottom"/>
            <w:gridSpan w:val="18"/>
          </w:tcPr>
          <w:p>
            <w:pPr>
              <w:spacing w:after="0"/>
              <w:rPr>
                <w:rFonts w:ascii="Arial" w:cs="Arial" w:eastAsia="Arial" w:hAnsi="Arial"/>
                <w:sz w:val="18"/>
                <w:szCs w:val="18"/>
                <w:color w:val="0000EE"/>
                <w:w w:val="94"/>
              </w:rPr>
            </w:pPr>
            <w:hyperlink w:anchor="page7">
              <w:r>
                <w:rPr>
                  <w:rFonts w:ascii="Arial" w:cs="Arial" w:eastAsia="Arial" w:hAnsi="Arial"/>
                  <w:sz w:val="18"/>
                  <w:szCs w:val="18"/>
                  <w:color w:val="0000EE"/>
                  <w:w w:val="94"/>
                </w:rPr>
                <w:t>CONSOLIDATED STATEMENT OF CHANGES IN STOCKHOLDERS’ EQUITY - Three months ended March 31, 2008 and 2007</w:t>
              </w:r>
            </w:hyperlink>
          </w:p>
        </w:tc>
        <w:tc>
          <w:tcPr>
            <w:tcW w:w="620" w:type="dxa"/>
            <w:vAlign w:val="bottom"/>
            <w:gridSpan w:val="2"/>
          </w:tcPr>
          <w:p>
            <w:pPr>
              <w:jc w:val="right"/>
              <w:ind w:right="28"/>
              <w:spacing w:after="0"/>
              <w:rPr>
                <w:sz w:val="20"/>
                <w:szCs w:val="20"/>
                <w:color w:val="auto"/>
              </w:rPr>
            </w:pPr>
            <w:r>
              <w:rPr>
                <w:rFonts w:ascii="Arial" w:cs="Arial" w:eastAsia="Arial" w:hAnsi="Arial"/>
                <w:sz w:val="18"/>
                <w:szCs w:val="18"/>
                <w:color w:val="auto"/>
              </w:rPr>
              <w:t>6</w:t>
            </w:r>
          </w:p>
        </w:tc>
      </w:tr>
      <w:tr>
        <w:trPr>
          <w:trHeight w:val="412"/>
        </w:trPr>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0" w:type="dxa"/>
            <w:vAlign w:val="bottom"/>
            <w:tcBorders>
              <w:top w:val="single" w:sz="8" w:color="0000EE"/>
            </w:tcBorders>
            <w:gridSpan w:val="17"/>
          </w:tcPr>
          <w:p>
            <w:pPr>
              <w:spacing w:after="0"/>
              <w:rPr>
                <w:rFonts w:ascii="Arial" w:cs="Arial" w:eastAsia="Arial" w:hAnsi="Arial"/>
                <w:sz w:val="18"/>
                <w:szCs w:val="18"/>
                <w:color w:val="0000EE"/>
                <w:w w:val="95"/>
              </w:rPr>
            </w:pPr>
            <w:hyperlink w:anchor="page7">
              <w:r>
                <w:rPr>
                  <w:rFonts w:ascii="Arial" w:cs="Arial" w:eastAsia="Arial" w:hAnsi="Arial"/>
                  <w:sz w:val="18"/>
                  <w:szCs w:val="18"/>
                  <w:color w:val="0000EE"/>
                  <w:w w:val="95"/>
                </w:rPr>
                <w:t>CONSOLIDATED SUMMARY OF CHANGES IN ALLOWANCE FOR CREDIT LOSSES - Three months ended March 31, 2008</w:t>
              </w:r>
            </w:hyperlink>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96"/>
        </w:trPr>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8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and 2007</w:t>
              </w:r>
            </w:hyperlink>
          </w:p>
        </w:tc>
        <w:tc>
          <w:tcPr>
            <w:tcW w:w="200" w:type="dxa"/>
            <w:vAlign w:val="bottom"/>
            <w:gridSpan w:val="2"/>
          </w:tcPr>
          <w:p>
            <w:pPr>
              <w:spacing w:after="0"/>
              <w:rPr>
                <w:sz w:val="17"/>
                <w:szCs w:val="17"/>
                <w:color w:val="auto"/>
              </w:rPr>
            </w:pPr>
          </w:p>
        </w:tc>
        <w:tc>
          <w:tcPr>
            <w:tcW w:w="620" w:type="dxa"/>
            <w:vAlign w:val="bottom"/>
            <w:gridSpan w:val="2"/>
          </w:tcPr>
          <w:p>
            <w:pPr>
              <w:jc w:val="right"/>
              <w:ind w:right="28"/>
              <w:spacing w:after="0" w:line="196" w:lineRule="exact"/>
              <w:rPr>
                <w:sz w:val="20"/>
                <w:szCs w:val="20"/>
                <w:color w:val="auto"/>
              </w:rPr>
            </w:pPr>
            <w:r>
              <w:rPr>
                <w:rFonts w:ascii="Arial" w:cs="Arial" w:eastAsia="Arial" w:hAnsi="Arial"/>
                <w:sz w:val="18"/>
                <w:szCs w:val="18"/>
                <w:color w:val="auto"/>
              </w:rPr>
              <w:t>6</w:t>
            </w:r>
          </w:p>
        </w:tc>
      </w:tr>
      <w:tr>
        <w:trPr>
          <w:trHeight w:val="20"/>
        </w:trPr>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3220" w:type="dxa"/>
            <w:vAlign w:val="bottom"/>
            <w:gridSpan w:val="5"/>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r>
      <w:tr>
        <w:trPr>
          <w:trHeight w:val="412"/>
        </w:trPr>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60" w:type="dxa"/>
            <w:vAlign w:val="bottom"/>
            <w:tcBorders>
              <w:bottom w:val="single" w:sz="8" w:color="0000EE"/>
            </w:tcBorders>
            <w:gridSpan w:val="9"/>
          </w:tcPr>
          <w:p>
            <w:pPr>
              <w:spacing w:after="0"/>
              <w:rPr>
                <w:rFonts w:ascii="Arial" w:cs="Arial" w:eastAsia="Arial" w:hAnsi="Arial"/>
                <w:sz w:val="18"/>
                <w:szCs w:val="18"/>
                <w:color w:val="0000EE"/>
                <w:w w:val="95"/>
              </w:rPr>
            </w:pPr>
            <w:hyperlink w:anchor="page9">
              <w:r>
                <w:rPr>
                  <w:rFonts w:ascii="Arial" w:cs="Arial" w:eastAsia="Arial" w:hAnsi="Arial"/>
                  <w:sz w:val="18"/>
                  <w:szCs w:val="18"/>
                  <w:color w:val="0000EE"/>
                  <w:w w:val="95"/>
                </w:rPr>
                <w:t>NOTES TO FINANCIAL STATEMENTS</w:t>
              </w:r>
            </w:hyperlink>
          </w:p>
        </w:tc>
        <w:tc>
          <w:tcPr>
            <w:tcW w:w="6620" w:type="dxa"/>
            <w:vAlign w:val="bottom"/>
            <w:gridSpan w:val="9"/>
          </w:tcPr>
          <w:p>
            <w:pPr>
              <w:spacing w:after="0"/>
              <w:rPr>
                <w:sz w:val="24"/>
                <w:szCs w:val="24"/>
                <w:color w:val="auto"/>
              </w:rPr>
            </w:pPr>
          </w:p>
        </w:tc>
        <w:tc>
          <w:tcPr>
            <w:tcW w:w="620" w:type="dxa"/>
            <w:vAlign w:val="bottom"/>
            <w:gridSpan w:val="2"/>
          </w:tcPr>
          <w:p>
            <w:pPr>
              <w:jc w:val="right"/>
              <w:ind w:right="28"/>
              <w:spacing w:after="0"/>
              <w:rPr>
                <w:sz w:val="20"/>
                <w:szCs w:val="20"/>
                <w:color w:val="auto"/>
              </w:rPr>
            </w:pPr>
            <w:r>
              <w:rPr>
                <w:rFonts w:ascii="Arial" w:cs="Arial" w:eastAsia="Arial" w:hAnsi="Arial"/>
                <w:sz w:val="18"/>
                <w:szCs w:val="18"/>
                <w:color w:val="auto"/>
              </w:rPr>
              <w:t>7</w:t>
            </w:r>
          </w:p>
        </w:tc>
      </w:tr>
      <w:tr>
        <w:trPr>
          <w:trHeight w:val="412"/>
        </w:trPr>
        <w:tc>
          <w:tcPr>
            <w:tcW w:w="220" w:type="dxa"/>
            <w:vAlign w:val="bottom"/>
          </w:tcPr>
          <w:p>
            <w:pPr>
              <w:spacing w:after="0"/>
              <w:rPr>
                <w:sz w:val="24"/>
                <w:szCs w:val="24"/>
                <w:color w:val="auto"/>
              </w:rPr>
            </w:pPr>
          </w:p>
        </w:tc>
        <w:tc>
          <w:tcPr>
            <w:tcW w:w="900" w:type="dxa"/>
            <w:vAlign w:val="bottom"/>
            <w:gridSpan w:val="4"/>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Item 2.</w:t>
              </w:r>
            </w:hyperlink>
          </w:p>
        </w:tc>
        <w:tc>
          <w:tcPr>
            <w:tcW w:w="9680" w:type="dxa"/>
            <w:vAlign w:val="bottom"/>
            <w:gridSpan w:val="18"/>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Management’s Discussion and Analysis of Financial Condition and Results of Operations</w:t>
              </w:r>
            </w:hyperlink>
          </w:p>
        </w:tc>
        <w:tc>
          <w:tcPr>
            <w:tcW w:w="620" w:type="dxa"/>
            <w:vAlign w:val="bottom"/>
            <w:gridSpan w:val="2"/>
          </w:tcPr>
          <w:p>
            <w:pPr>
              <w:jc w:val="right"/>
              <w:ind w:right="28"/>
              <w:spacing w:after="0"/>
              <w:rPr>
                <w:sz w:val="20"/>
                <w:szCs w:val="20"/>
                <w:color w:val="auto"/>
              </w:rPr>
            </w:pPr>
            <w:r>
              <w:rPr>
                <w:rFonts w:ascii="Arial" w:cs="Arial" w:eastAsia="Arial" w:hAnsi="Arial"/>
                <w:sz w:val="18"/>
                <w:szCs w:val="18"/>
                <w:color w:val="auto"/>
              </w:rPr>
              <w:t>25</w:t>
            </w:r>
          </w:p>
        </w:tc>
      </w:tr>
      <w:tr>
        <w:trPr>
          <w:trHeight w:val="20"/>
        </w:trPr>
        <w:tc>
          <w:tcPr>
            <w:tcW w:w="2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3"/>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120" w:type="dxa"/>
            <w:vAlign w:val="bottom"/>
            <w:tcBorders>
              <w:left w:val="single" w:sz="8" w:color="0000EE"/>
            </w:tcBorders>
            <w:gridSpan w:val="2"/>
            <w:shd w:val="clear" w:color="auto" w:fill="0000EE"/>
          </w:tcPr>
          <w:p>
            <w:pPr>
              <w:spacing w:after="0" w:line="20" w:lineRule="exact"/>
              <w:rPr>
                <w:sz w:val="1"/>
                <w:szCs w:val="1"/>
                <w:color w:val="auto"/>
              </w:rPr>
            </w:pPr>
          </w:p>
        </w:tc>
        <w:tc>
          <w:tcPr>
            <w:tcW w:w="3220" w:type="dxa"/>
            <w:vAlign w:val="bottom"/>
            <w:gridSpan w:val="5"/>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r>
      <w:tr>
        <w:trPr>
          <w:trHeight w:val="412"/>
        </w:trPr>
        <w:tc>
          <w:tcPr>
            <w:tcW w:w="220" w:type="dxa"/>
            <w:vAlign w:val="bottom"/>
          </w:tcPr>
          <w:p>
            <w:pPr>
              <w:spacing w:after="0"/>
              <w:rPr>
                <w:sz w:val="24"/>
                <w:szCs w:val="24"/>
                <w:color w:val="auto"/>
              </w:rPr>
            </w:pPr>
          </w:p>
        </w:tc>
        <w:tc>
          <w:tcPr>
            <w:tcW w:w="900" w:type="dxa"/>
            <w:vAlign w:val="bottom"/>
            <w:gridSpan w:val="4"/>
          </w:tcPr>
          <w:p>
            <w:pPr>
              <w:spacing w:after="0"/>
              <w:rPr>
                <w:rFonts w:ascii="Arial" w:cs="Arial" w:eastAsia="Arial" w:hAnsi="Arial"/>
                <w:sz w:val="18"/>
                <w:szCs w:val="18"/>
                <w:color w:val="0000EE"/>
              </w:rPr>
            </w:pPr>
            <w:hyperlink w:anchor="page63">
              <w:r>
                <w:rPr>
                  <w:rFonts w:ascii="Arial" w:cs="Arial" w:eastAsia="Arial" w:hAnsi="Arial"/>
                  <w:sz w:val="18"/>
                  <w:szCs w:val="18"/>
                  <w:color w:val="0000EE"/>
                </w:rPr>
                <w:t>Item 3.</w:t>
              </w:r>
            </w:hyperlink>
          </w:p>
        </w:tc>
        <w:tc>
          <w:tcPr>
            <w:tcW w:w="9680" w:type="dxa"/>
            <w:vAlign w:val="bottom"/>
            <w:gridSpan w:val="18"/>
          </w:tcPr>
          <w:p>
            <w:pPr>
              <w:spacing w:after="0"/>
              <w:rPr>
                <w:rFonts w:ascii="Arial" w:cs="Arial" w:eastAsia="Arial" w:hAnsi="Arial"/>
                <w:sz w:val="18"/>
                <w:szCs w:val="18"/>
                <w:color w:val="0000EE"/>
              </w:rPr>
            </w:pPr>
            <w:hyperlink w:anchor="page63">
              <w:r>
                <w:rPr>
                  <w:rFonts w:ascii="Arial" w:cs="Arial" w:eastAsia="Arial" w:hAnsi="Arial"/>
                  <w:sz w:val="18"/>
                  <w:szCs w:val="18"/>
                  <w:color w:val="0000EE"/>
                </w:rPr>
                <w:t>Quantitative and Qualitative Disclosures About Market Risk</w:t>
              </w:r>
            </w:hyperlink>
          </w:p>
        </w:tc>
        <w:tc>
          <w:tcPr>
            <w:tcW w:w="620" w:type="dxa"/>
            <w:vAlign w:val="bottom"/>
            <w:gridSpan w:val="2"/>
          </w:tcPr>
          <w:p>
            <w:pPr>
              <w:jc w:val="right"/>
              <w:ind w:right="28"/>
              <w:spacing w:after="0"/>
              <w:rPr>
                <w:sz w:val="20"/>
                <w:szCs w:val="20"/>
                <w:color w:val="auto"/>
              </w:rPr>
            </w:pPr>
            <w:r>
              <w:rPr>
                <w:rFonts w:ascii="Arial" w:cs="Arial" w:eastAsia="Arial" w:hAnsi="Arial"/>
                <w:sz w:val="18"/>
                <w:szCs w:val="18"/>
                <w:color w:val="auto"/>
              </w:rPr>
              <w:t>60</w:t>
            </w:r>
          </w:p>
        </w:tc>
      </w:tr>
      <w:tr>
        <w:trPr>
          <w:trHeight w:val="20"/>
        </w:trPr>
        <w:tc>
          <w:tcPr>
            <w:tcW w:w="2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3"/>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5340" w:type="dxa"/>
            <w:vAlign w:val="bottom"/>
            <w:tcBorders>
              <w:left w:val="single" w:sz="8" w:color="0000EE"/>
            </w:tcBorders>
            <w:gridSpan w:val="7"/>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r>
      <w:tr>
        <w:trPr>
          <w:trHeight w:val="412"/>
        </w:trPr>
        <w:tc>
          <w:tcPr>
            <w:tcW w:w="220" w:type="dxa"/>
            <w:vAlign w:val="bottom"/>
          </w:tcPr>
          <w:p>
            <w:pPr>
              <w:spacing w:after="0"/>
              <w:rPr>
                <w:sz w:val="24"/>
                <w:szCs w:val="24"/>
                <w:color w:val="auto"/>
              </w:rPr>
            </w:pPr>
          </w:p>
        </w:tc>
        <w:tc>
          <w:tcPr>
            <w:tcW w:w="900" w:type="dxa"/>
            <w:vAlign w:val="bottom"/>
            <w:gridSpan w:val="4"/>
          </w:tcPr>
          <w:p>
            <w:pPr>
              <w:spacing w:after="0"/>
              <w:rPr>
                <w:rFonts w:ascii="Arial" w:cs="Arial" w:eastAsia="Arial" w:hAnsi="Arial"/>
                <w:sz w:val="18"/>
                <w:szCs w:val="18"/>
                <w:color w:val="0000EE"/>
              </w:rPr>
            </w:pPr>
            <w:hyperlink w:anchor="page63">
              <w:r>
                <w:rPr>
                  <w:rFonts w:ascii="Arial" w:cs="Arial" w:eastAsia="Arial" w:hAnsi="Arial"/>
                  <w:sz w:val="18"/>
                  <w:szCs w:val="18"/>
                  <w:color w:val="0000EE"/>
                </w:rPr>
                <w:t>Item 4.</w:t>
              </w:r>
            </w:hyperlink>
          </w:p>
        </w:tc>
        <w:tc>
          <w:tcPr>
            <w:tcW w:w="9680" w:type="dxa"/>
            <w:vAlign w:val="bottom"/>
            <w:gridSpan w:val="18"/>
          </w:tcPr>
          <w:p>
            <w:pPr>
              <w:spacing w:after="0"/>
              <w:rPr>
                <w:rFonts w:ascii="Arial" w:cs="Arial" w:eastAsia="Arial" w:hAnsi="Arial"/>
                <w:sz w:val="18"/>
                <w:szCs w:val="18"/>
                <w:color w:val="0000EE"/>
              </w:rPr>
            </w:pPr>
            <w:hyperlink w:anchor="page63">
              <w:r>
                <w:rPr>
                  <w:rFonts w:ascii="Arial" w:cs="Arial" w:eastAsia="Arial" w:hAnsi="Arial"/>
                  <w:sz w:val="18"/>
                  <w:szCs w:val="18"/>
                  <w:color w:val="0000EE"/>
                </w:rPr>
                <w:t>Controls and Procedures</w:t>
              </w:r>
            </w:hyperlink>
          </w:p>
        </w:tc>
        <w:tc>
          <w:tcPr>
            <w:tcW w:w="620" w:type="dxa"/>
            <w:vAlign w:val="bottom"/>
            <w:gridSpan w:val="2"/>
          </w:tcPr>
          <w:p>
            <w:pPr>
              <w:jc w:val="right"/>
              <w:ind w:right="28"/>
              <w:spacing w:after="0"/>
              <w:rPr>
                <w:sz w:val="20"/>
                <w:szCs w:val="20"/>
                <w:color w:val="auto"/>
              </w:rPr>
            </w:pPr>
            <w:r>
              <w:rPr>
                <w:rFonts w:ascii="Arial" w:cs="Arial" w:eastAsia="Arial" w:hAnsi="Arial"/>
                <w:sz w:val="18"/>
                <w:szCs w:val="18"/>
                <w:color w:val="auto"/>
              </w:rPr>
              <w:t>60</w:t>
            </w:r>
          </w:p>
        </w:tc>
      </w:tr>
      <w:tr>
        <w:trPr>
          <w:trHeight w:val="20"/>
        </w:trPr>
        <w:tc>
          <w:tcPr>
            <w:tcW w:w="2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3"/>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340" w:type="dxa"/>
            <w:vAlign w:val="bottom"/>
            <w:gridSpan w:val="7"/>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412"/>
        </w:trPr>
        <w:tc>
          <w:tcPr>
            <w:tcW w:w="2420" w:type="dxa"/>
            <w:vAlign w:val="bottom"/>
            <w:tcBorders>
              <w:bottom w:val="single" w:sz="8" w:color="0000EE"/>
            </w:tcBorders>
            <w:gridSpan w:val="9"/>
          </w:tcPr>
          <w:p>
            <w:pPr>
              <w:spacing w:after="0"/>
              <w:rPr>
                <w:rFonts w:ascii="Arial" w:cs="Arial" w:eastAsia="Arial" w:hAnsi="Arial"/>
                <w:sz w:val="18"/>
                <w:szCs w:val="18"/>
                <w:color w:val="0000EE"/>
                <w:w w:val="94"/>
              </w:rPr>
            </w:pPr>
            <w:hyperlink w:anchor="page63">
              <w:r>
                <w:rPr>
                  <w:rFonts w:ascii="Arial" w:cs="Arial" w:eastAsia="Arial" w:hAnsi="Arial"/>
                  <w:sz w:val="18"/>
                  <w:szCs w:val="18"/>
                  <w:color w:val="0000EE"/>
                  <w:w w:val="94"/>
                </w:rPr>
                <w:t>Part II. OTHER INFORMATION</w:t>
              </w:r>
            </w:hyperlink>
          </w:p>
        </w:tc>
        <w:tc>
          <w:tcPr>
            <w:tcW w:w="8380" w:type="dxa"/>
            <w:vAlign w:val="bottom"/>
            <w:gridSpan w:val="14"/>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412"/>
        </w:trPr>
        <w:tc>
          <w:tcPr>
            <w:tcW w:w="220" w:type="dxa"/>
            <w:vAlign w:val="bottom"/>
          </w:tcPr>
          <w:p>
            <w:pPr>
              <w:spacing w:after="0"/>
              <w:rPr>
                <w:sz w:val="24"/>
                <w:szCs w:val="24"/>
                <w:color w:val="auto"/>
              </w:rPr>
            </w:pPr>
          </w:p>
        </w:tc>
        <w:tc>
          <w:tcPr>
            <w:tcW w:w="900" w:type="dxa"/>
            <w:vAlign w:val="bottom"/>
            <w:gridSpan w:val="4"/>
          </w:tcPr>
          <w:p>
            <w:pPr>
              <w:spacing w:after="0"/>
              <w:rPr>
                <w:rFonts w:ascii="Arial" w:cs="Arial" w:eastAsia="Arial" w:hAnsi="Arial"/>
                <w:sz w:val="18"/>
                <w:szCs w:val="18"/>
                <w:color w:val="0000EE"/>
              </w:rPr>
            </w:pPr>
            <w:hyperlink w:anchor="page63">
              <w:r>
                <w:rPr>
                  <w:rFonts w:ascii="Arial" w:cs="Arial" w:eastAsia="Arial" w:hAnsi="Arial"/>
                  <w:sz w:val="18"/>
                  <w:szCs w:val="18"/>
                  <w:color w:val="0000EE"/>
                </w:rPr>
                <w:t>Item 1.</w:t>
              </w:r>
            </w:hyperlink>
          </w:p>
        </w:tc>
        <w:tc>
          <w:tcPr>
            <w:tcW w:w="9680" w:type="dxa"/>
            <w:vAlign w:val="bottom"/>
            <w:gridSpan w:val="18"/>
          </w:tcPr>
          <w:p>
            <w:pPr>
              <w:spacing w:after="0"/>
              <w:rPr>
                <w:rFonts w:ascii="Arial" w:cs="Arial" w:eastAsia="Arial" w:hAnsi="Arial"/>
                <w:sz w:val="18"/>
                <w:szCs w:val="18"/>
                <w:color w:val="0000EE"/>
              </w:rPr>
            </w:pPr>
            <w:hyperlink w:anchor="page63">
              <w:r>
                <w:rPr>
                  <w:rFonts w:ascii="Arial" w:cs="Arial" w:eastAsia="Arial" w:hAnsi="Arial"/>
                  <w:sz w:val="18"/>
                  <w:szCs w:val="18"/>
                  <w:color w:val="0000EE"/>
                </w:rPr>
                <w:t>Legal Proceedings</w:t>
              </w:r>
            </w:hyperlink>
          </w:p>
        </w:tc>
        <w:tc>
          <w:tcPr>
            <w:tcW w:w="620" w:type="dxa"/>
            <w:vAlign w:val="bottom"/>
            <w:gridSpan w:val="2"/>
          </w:tcPr>
          <w:p>
            <w:pPr>
              <w:jc w:val="right"/>
              <w:ind w:right="28"/>
              <w:spacing w:after="0"/>
              <w:rPr>
                <w:sz w:val="20"/>
                <w:szCs w:val="20"/>
                <w:color w:val="auto"/>
              </w:rPr>
            </w:pPr>
            <w:r>
              <w:rPr>
                <w:rFonts w:ascii="Arial" w:cs="Arial" w:eastAsia="Arial" w:hAnsi="Arial"/>
                <w:sz w:val="18"/>
                <w:szCs w:val="18"/>
                <w:color w:val="auto"/>
              </w:rPr>
              <w:t>60</w:t>
            </w:r>
          </w:p>
        </w:tc>
      </w:tr>
      <w:tr>
        <w:trPr>
          <w:trHeight w:val="20"/>
        </w:trPr>
        <w:tc>
          <w:tcPr>
            <w:tcW w:w="2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20" w:type="dxa"/>
            <w:vAlign w:val="bottom"/>
            <w:tcBorders>
              <w:left w:val="single" w:sz="8" w:color="0000EE"/>
            </w:tcBorders>
            <w:gridSpan w:val="4"/>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340" w:type="dxa"/>
            <w:vAlign w:val="bottom"/>
            <w:gridSpan w:val="7"/>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r>
      <w:tr>
        <w:trPr>
          <w:trHeight w:val="412"/>
        </w:trPr>
        <w:tc>
          <w:tcPr>
            <w:tcW w:w="220" w:type="dxa"/>
            <w:vAlign w:val="bottom"/>
          </w:tcPr>
          <w:p>
            <w:pPr>
              <w:spacing w:after="0"/>
              <w:rPr>
                <w:sz w:val="24"/>
                <w:szCs w:val="24"/>
                <w:color w:val="auto"/>
              </w:rPr>
            </w:pPr>
          </w:p>
        </w:tc>
        <w:tc>
          <w:tcPr>
            <w:tcW w:w="640" w:type="dxa"/>
            <w:vAlign w:val="bottom"/>
            <w:gridSpan w:val="2"/>
          </w:tcPr>
          <w:p>
            <w:pPr>
              <w:spacing w:after="0"/>
              <w:rPr>
                <w:rFonts w:ascii="Arial" w:cs="Arial" w:eastAsia="Arial" w:hAnsi="Arial"/>
                <w:sz w:val="18"/>
                <w:szCs w:val="18"/>
                <w:color w:val="0000EE"/>
                <w:w w:val="92"/>
              </w:rPr>
            </w:pPr>
            <w:hyperlink w:anchor="page63">
              <w:r>
                <w:rPr>
                  <w:rFonts w:ascii="Arial" w:cs="Arial" w:eastAsia="Arial" w:hAnsi="Arial"/>
                  <w:sz w:val="18"/>
                  <w:szCs w:val="18"/>
                  <w:color w:val="0000EE"/>
                  <w:w w:val="92"/>
                </w:rPr>
                <w:t>Item 1A.</w:t>
              </w:r>
            </w:hyperlink>
          </w:p>
        </w:tc>
        <w:tc>
          <w:tcPr>
            <w:tcW w:w="260" w:type="dxa"/>
            <w:vAlign w:val="bottom"/>
            <w:gridSpan w:val="2"/>
          </w:tcPr>
          <w:p>
            <w:pPr>
              <w:spacing w:after="0"/>
              <w:rPr>
                <w:sz w:val="24"/>
                <w:szCs w:val="24"/>
                <w:color w:val="auto"/>
              </w:rPr>
            </w:pPr>
          </w:p>
        </w:tc>
        <w:tc>
          <w:tcPr>
            <w:tcW w:w="9680" w:type="dxa"/>
            <w:vAlign w:val="bottom"/>
            <w:gridSpan w:val="18"/>
          </w:tcPr>
          <w:p>
            <w:pPr>
              <w:spacing w:after="0"/>
              <w:rPr>
                <w:rFonts w:ascii="Arial" w:cs="Arial" w:eastAsia="Arial" w:hAnsi="Arial"/>
                <w:sz w:val="18"/>
                <w:szCs w:val="18"/>
                <w:color w:val="0000EE"/>
              </w:rPr>
            </w:pPr>
            <w:hyperlink w:anchor="page63">
              <w:r>
                <w:rPr>
                  <w:rFonts w:ascii="Arial" w:cs="Arial" w:eastAsia="Arial" w:hAnsi="Arial"/>
                  <w:sz w:val="18"/>
                  <w:szCs w:val="18"/>
                  <w:color w:val="0000EE"/>
                </w:rPr>
                <w:t>Risk Factors</w:t>
              </w:r>
            </w:hyperlink>
          </w:p>
        </w:tc>
        <w:tc>
          <w:tcPr>
            <w:tcW w:w="620" w:type="dxa"/>
            <w:vAlign w:val="bottom"/>
            <w:gridSpan w:val="2"/>
          </w:tcPr>
          <w:p>
            <w:pPr>
              <w:jc w:val="right"/>
              <w:ind w:right="28"/>
              <w:spacing w:after="0"/>
              <w:rPr>
                <w:sz w:val="20"/>
                <w:szCs w:val="20"/>
                <w:color w:val="auto"/>
              </w:rPr>
            </w:pPr>
            <w:r>
              <w:rPr>
                <w:rFonts w:ascii="Arial" w:cs="Arial" w:eastAsia="Arial" w:hAnsi="Arial"/>
                <w:sz w:val="18"/>
                <w:szCs w:val="18"/>
                <w:color w:val="auto"/>
              </w:rPr>
              <w:t>60</w:t>
            </w:r>
          </w:p>
        </w:tc>
      </w:tr>
      <w:tr>
        <w:trPr>
          <w:trHeight w:val="20"/>
        </w:trPr>
        <w:tc>
          <w:tcPr>
            <w:tcW w:w="22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340" w:type="dxa"/>
            <w:vAlign w:val="bottom"/>
            <w:gridSpan w:val="7"/>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r>
      <w:tr>
        <w:trPr>
          <w:trHeight w:val="412"/>
        </w:trPr>
        <w:tc>
          <w:tcPr>
            <w:tcW w:w="220" w:type="dxa"/>
            <w:vAlign w:val="bottom"/>
          </w:tcPr>
          <w:p>
            <w:pPr>
              <w:spacing w:after="0"/>
              <w:rPr>
                <w:sz w:val="24"/>
                <w:szCs w:val="24"/>
                <w:color w:val="auto"/>
              </w:rPr>
            </w:pPr>
          </w:p>
        </w:tc>
        <w:tc>
          <w:tcPr>
            <w:tcW w:w="640" w:type="dxa"/>
            <w:vAlign w:val="bottom"/>
            <w:gridSpan w:val="2"/>
          </w:tcPr>
          <w:p>
            <w:pPr>
              <w:spacing w:after="0"/>
              <w:rPr>
                <w:rFonts w:ascii="Arial" w:cs="Arial" w:eastAsia="Arial" w:hAnsi="Arial"/>
                <w:sz w:val="18"/>
                <w:szCs w:val="18"/>
                <w:color w:val="0000EE"/>
              </w:rPr>
            </w:pPr>
            <w:hyperlink w:anchor="page64">
              <w:r>
                <w:rPr>
                  <w:rFonts w:ascii="Arial" w:cs="Arial" w:eastAsia="Arial" w:hAnsi="Arial"/>
                  <w:sz w:val="18"/>
                  <w:szCs w:val="18"/>
                  <w:color w:val="0000EE"/>
                </w:rPr>
                <w:t>Item 2.</w:t>
              </w:r>
            </w:hyperlink>
          </w:p>
        </w:tc>
        <w:tc>
          <w:tcPr>
            <w:tcW w:w="260" w:type="dxa"/>
            <w:vAlign w:val="bottom"/>
            <w:gridSpan w:val="2"/>
          </w:tcPr>
          <w:p>
            <w:pPr>
              <w:spacing w:after="0"/>
              <w:rPr>
                <w:sz w:val="24"/>
                <w:szCs w:val="24"/>
                <w:color w:val="auto"/>
              </w:rPr>
            </w:pPr>
          </w:p>
        </w:tc>
        <w:tc>
          <w:tcPr>
            <w:tcW w:w="9680" w:type="dxa"/>
            <w:vAlign w:val="bottom"/>
            <w:gridSpan w:val="18"/>
          </w:tcPr>
          <w:p>
            <w:pPr>
              <w:spacing w:after="0"/>
              <w:rPr>
                <w:rFonts w:ascii="Arial" w:cs="Arial" w:eastAsia="Arial" w:hAnsi="Arial"/>
                <w:sz w:val="18"/>
                <w:szCs w:val="18"/>
                <w:color w:val="0000EE"/>
              </w:rPr>
            </w:pPr>
            <w:hyperlink w:anchor="page64">
              <w:r>
                <w:rPr>
                  <w:rFonts w:ascii="Arial" w:cs="Arial" w:eastAsia="Arial" w:hAnsi="Arial"/>
                  <w:sz w:val="18"/>
                  <w:szCs w:val="18"/>
                  <w:color w:val="0000EE"/>
                </w:rPr>
                <w:t>Unregistered Sales of Equity Securities and Use of Proceeds</w:t>
              </w:r>
            </w:hyperlink>
          </w:p>
        </w:tc>
        <w:tc>
          <w:tcPr>
            <w:tcW w:w="620" w:type="dxa"/>
            <w:vAlign w:val="bottom"/>
            <w:gridSpan w:val="2"/>
          </w:tcPr>
          <w:p>
            <w:pPr>
              <w:jc w:val="right"/>
              <w:ind w:right="28"/>
              <w:spacing w:after="0"/>
              <w:rPr>
                <w:sz w:val="20"/>
                <w:szCs w:val="20"/>
                <w:color w:val="auto"/>
              </w:rPr>
            </w:pPr>
            <w:r>
              <w:rPr>
                <w:rFonts w:ascii="Arial" w:cs="Arial" w:eastAsia="Arial" w:hAnsi="Arial"/>
                <w:sz w:val="18"/>
                <w:szCs w:val="18"/>
                <w:color w:val="auto"/>
              </w:rPr>
              <w:t>61</w:t>
            </w:r>
          </w:p>
        </w:tc>
      </w:tr>
      <w:tr>
        <w:trPr>
          <w:trHeight w:val="20"/>
        </w:trPr>
        <w:tc>
          <w:tcPr>
            <w:tcW w:w="2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00" w:type="dxa"/>
            <w:vAlign w:val="bottom"/>
            <w:tcBorders>
              <w:left w:val="single" w:sz="8" w:color="0000EE"/>
            </w:tcBorders>
            <w:gridSpan w:val="2"/>
            <w:shd w:val="clear" w:color="auto" w:fill="0000EE"/>
          </w:tcPr>
          <w:p>
            <w:pPr>
              <w:spacing w:after="0" w:line="20" w:lineRule="exact"/>
              <w:rPr>
                <w:sz w:val="1"/>
                <w:szCs w:val="1"/>
                <w:color w:val="auto"/>
              </w:rPr>
            </w:pPr>
          </w:p>
        </w:tc>
        <w:tc>
          <w:tcPr>
            <w:tcW w:w="1020" w:type="dxa"/>
            <w:vAlign w:val="bottom"/>
            <w:tcBorders>
              <w:left w:val="single" w:sz="8" w:color="0000EE"/>
            </w:tcBorders>
            <w:gridSpan w:val="4"/>
            <w:shd w:val="clear" w:color="auto" w:fill="0000EE"/>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5340" w:type="dxa"/>
            <w:vAlign w:val="bottom"/>
            <w:gridSpan w:val="7"/>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r>
      <w:tr>
        <w:trPr>
          <w:trHeight w:val="412"/>
        </w:trPr>
        <w:tc>
          <w:tcPr>
            <w:tcW w:w="220" w:type="dxa"/>
            <w:vAlign w:val="bottom"/>
          </w:tcPr>
          <w:p>
            <w:pPr>
              <w:spacing w:after="0"/>
              <w:rPr>
                <w:sz w:val="24"/>
                <w:szCs w:val="24"/>
                <w:color w:val="auto"/>
              </w:rPr>
            </w:pPr>
          </w:p>
        </w:tc>
        <w:tc>
          <w:tcPr>
            <w:tcW w:w="900" w:type="dxa"/>
            <w:vAlign w:val="bottom"/>
            <w:gridSpan w:val="4"/>
          </w:tcPr>
          <w:p>
            <w:pPr>
              <w:spacing w:after="0"/>
              <w:rPr>
                <w:rFonts w:ascii="Arial" w:cs="Arial" w:eastAsia="Arial" w:hAnsi="Arial"/>
                <w:sz w:val="18"/>
                <w:szCs w:val="18"/>
                <w:color w:val="0000EE"/>
              </w:rPr>
            </w:pPr>
            <w:hyperlink w:anchor="page64">
              <w:r>
                <w:rPr>
                  <w:rFonts w:ascii="Arial" w:cs="Arial" w:eastAsia="Arial" w:hAnsi="Arial"/>
                  <w:sz w:val="18"/>
                  <w:szCs w:val="18"/>
                  <w:color w:val="0000EE"/>
                </w:rPr>
                <w:t>Item 3.</w:t>
              </w:r>
            </w:hyperlink>
          </w:p>
        </w:tc>
        <w:tc>
          <w:tcPr>
            <w:tcW w:w="9680" w:type="dxa"/>
            <w:vAlign w:val="bottom"/>
            <w:gridSpan w:val="18"/>
          </w:tcPr>
          <w:p>
            <w:pPr>
              <w:spacing w:after="0"/>
              <w:rPr>
                <w:rFonts w:ascii="Arial" w:cs="Arial" w:eastAsia="Arial" w:hAnsi="Arial"/>
                <w:sz w:val="18"/>
                <w:szCs w:val="18"/>
                <w:color w:val="0000EE"/>
              </w:rPr>
            </w:pPr>
            <w:hyperlink w:anchor="page64">
              <w:r>
                <w:rPr>
                  <w:rFonts w:ascii="Arial" w:cs="Arial" w:eastAsia="Arial" w:hAnsi="Arial"/>
                  <w:sz w:val="18"/>
                  <w:szCs w:val="18"/>
                  <w:color w:val="0000EE"/>
                </w:rPr>
                <w:t>Defaults Upon Senior Securities</w:t>
              </w:r>
            </w:hyperlink>
          </w:p>
        </w:tc>
        <w:tc>
          <w:tcPr>
            <w:tcW w:w="620" w:type="dxa"/>
            <w:vAlign w:val="bottom"/>
            <w:gridSpan w:val="2"/>
          </w:tcPr>
          <w:p>
            <w:pPr>
              <w:jc w:val="right"/>
              <w:ind w:right="28"/>
              <w:spacing w:after="0"/>
              <w:rPr>
                <w:sz w:val="20"/>
                <w:szCs w:val="20"/>
                <w:color w:val="auto"/>
              </w:rPr>
            </w:pPr>
            <w:r>
              <w:rPr>
                <w:rFonts w:ascii="Arial" w:cs="Arial" w:eastAsia="Arial" w:hAnsi="Arial"/>
                <w:sz w:val="18"/>
                <w:szCs w:val="18"/>
                <w:color w:val="auto"/>
              </w:rPr>
              <w:t>61</w:t>
            </w:r>
          </w:p>
        </w:tc>
      </w:tr>
      <w:tr>
        <w:trPr>
          <w:trHeight w:val="20"/>
        </w:trPr>
        <w:tc>
          <w:tcPr>
            <w:tcW w:w="2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00" w:type="dxa"/>
            <w:vAlign w:val="bottom"/>
            <w:tcBorders>
              <w:left w:val="single" w:sz="8" w:color="0000EE"/>
            </w:tcBorders>
            <w:gridSpan w:val="2"/>
            <w:shd w:val="clear" w:color="auto" w:fill="0000EE"/>
          </w:tcPr>
          <w:p>
            <w:pPr>
              <w:spacing w:after="0" w:line="20" w:lineRule="exact"/>
              <w:rPr>
                <w:sz w:val="1"/>
                <w:szCs w:val="1"/>
                <w:color w:val="auto"/>
              </w:rPr>
            </w:pPr>
          </w:p>
        </w:tc>
        <w:tc>
          <w:tcPr>
            <w:tcW w:w="1020" w:type="dxa"/>
            <w:vAlign w:val="bottom"/>
            <w:tcBorders>
              <w:left w:val="single" w:sz="8" w:color="0000EE"/>
            </w:tcBorders>
            <w:gridSpan w:val="4"/>
            <w:shd w:val="clear" w:color="auto" w:fill="0000EE"/>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5920" w:type="dxa"/>
            <w:vAlign w:val="bottom"/>
            <w:gridSpan w:val="8"/>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r>
      <w:tr>
        <w:trPr>
          <w:trHeight w:val="412"/>
        </w:trPr>
        <w:tc>
          <w:tcPr>
            <w:tcW w:w="220" w:type="dxa"/>
            <w:vAlign w:val="bottom"/>
          </w:tcPr>
          <w:p>
            <w:pPr>
              <w:spacing w:after="0"/>
              <w:rPr>
                <w:sz w:val="24"/>
                <w:szCs w:val="24"/>
                <w:color w:val="auto"/>
              </w:rPr>
            </w:pPr>
          </w:p>
        </w:tc>
        <w:tc>
          <w:tcPr>
            <w:tcW w:w="900" w:type="dxa"/>
            <w:vAlign w:val="bottom"/>
            <w:gridSpan w:val="4"/>
          </w:tcPr>
          <w:p>
            <w:pPr>
              <w:spacing w:after="0"/>
              <w:rPr>
                <w:rFonts w:ascii="Arial" w:cs="Arial" w:eastAsia="Arial" w:hAnsi="Arial"/>
                <w:sz w:val="18"/>
                <w:szCs w:val="18"/>
                <w:color w:val="0000EE"/>
              </w:rPr>
            </w:pPr>
            <w:hyperlink w:anchor="page64">
              <w:r>
                <w:rPr>
                  <w:rFonts w:ascii="Arial" w:cs="Arial" w:eastAsia="Arial" w:hAnsi="Arial"/>
                  <w:sz w:val="18"/>
                  <w:szCs w:val="18"/>
                  <w:color w:val="0000EE"/>
                </w:rPr>
                <w:t>Item 4.</w:t>
              </w:r>
            </w:hyperlink>
          </w:p>
        </w:tc>
        <w:tc>
          <w:tcPr>
            <w:tcW w:w="9680" w:type="dxa"/>
            <w:vAlign w:val="bottom"/>
            <w:gridSpan w:val="18"/>
          </w:tcPr>
          <w:p>
            <w:pPr>
              <w:spacing w:after="0"/>
              <w:rPr>
                <w:rFonts w:ascii="Arial" w:cs="Arial" w:eastAsia="Arial" w:hAnsi="Arial"/>
                <w:sz w:val="18"/>
                <w:szCs w:val="18"/>
                <w:color w:val="0000EE"/>
              </w:rPr>
            </w:pPr>
            <w:hyperlink w:anchor="page64">
              <w:r>
                <w:rPr>
                  <w:rFonts w:ascii="Arial" w:cs="Arial" w:eastAsia="Arial" w:hAnsi="Arial"/>
                  <w:sz w:val="18"/>
                  <w:szCs w:val="18"/>
                  <w:color w:val="0000EE"/>
                </w:rPr>
                <w:t>Submission of Matters to a Vote of Security Holders</w:t>
              </w:r>
            </w:hyperlink>
          </w:p>
        </w:tc>
        <w:tc>
          <w:tcPr>
            <w:tcW w:w="620" w:type="dxa"/>
            <w:vAlign w:val="bottom"/>
            <w:gridSpan w:val="2"/>
          </w:tcPr>
          <w:p>
            <w:pPr>
              <w:jc w:val="right"/>
              <w:ind w:right="28"/>
              <w:spacing w:after="0"/>
              <w:rPr>
                <w:sz w:val="20"/>
                <w:szCs w:val="20"/>
                <w:color w:val="auto"/>
              </w:rPr>
            </w:pPr>
            <w:r>
              <w:rPr>
                <w:rFonts w:ascii="Arial" w:cs="Arial" w:eastAsia="Arial" w:hAnsi="Arial"/>
                <w:sz w:val="18"/>
                <w:szCs w:val="18"/>
                <w:color w:val="auto"/>
              </w:rPr>
              <w:t>61</w:t>
            </w:r>
          </w:p>
        </w:tc>
      </w:tr>
      <w:tr>
        <w:trPr>
          <w:trHeight w:val="20"/>
        </w:trPr>
        <w:tc>
          <w:tcPr>
            <w:tcW w:w="2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00" w:type="dxa"/>
            <w:vAlign w:val="bottom"/>
            <w:tcBorders>
              <w:left w:val="single" w:sz="8" w:color="0000EE"/>
            </w:tcBorders>
            <w:gridSpan w:val="2"/>
            <w:shd w:val="clear" w:color="auto" w:fill="0000EE"/>
          </w:tcPr>
          <w:p>
            <w:pPr>
              <w:spacing w:after="0" w:line="20" w:lineRule="exact"/>
              <w:rPr>
                <w:sz w:val="1"/>
                <w:szCs w:val="1"/>
                <w:color w:val="auto"/>
              </w:rPr>
            </w:pPr>
          </w:p>
        </w:tc>
        <w:tc>
          <w:tcPr>
            <w:tcW w:w="2460" w:type="dxa"/>
            <w:vAlign w:val="bottom"/>
            <w:tcBorders>
              <w:left w:val="single" w:sz="8" w:color="0000EE"/>
            </w:tcBorders>
            <w:gridSpan w:val="6"/>
            <w:shd w:val="clear" w:color="auto" w:fill="0000EE"/>
          </w:tcPr>
          <w:p>
            <w:pPr>
              <w:spacing w:after="0" w:line="20" w:lineRule="exact"/>
              <w:rPr>
                <w:sz w:val="1"/>
                <w:szCs w:val="1"/>
                <w:color w:val="auto"/>
              </w:rPr>
            </w:pPr>
          </w:p>
        </w:tc>
        <w:tc>
          <w:tcPr>
            <w:tcW w:w="5920" w:type="dxa"/>
            <w:vAlign w:val="bottom"/>
            <w:gridSpan w:val="8"/>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r>
      <w:tr>
        <w:trPr>
          <w:trHeight w:val="412"/>
        </w:trPr>
        <w:tc>
          <w:tcPr>
            <w:tcW w:w="220" w:type="dxa"/>
            <w:vAlign w:val="bottom"/>
          </w:tcPr>
          <w:p>
            <w:pPr>
              <w:spacing w:after="0"/>
              <w:rPr>
                <w:sz w:val="24"/>
                <w:szCs w:val="24"/>
                <w:color w:val="auto"/>
              </w:rPr>
            </w:pPr>
          </w:p>
        </w:tc>
        <w:tc>
          <w:tcPr>
            <w:tcW w:w="900" w:type="dxa"/>
            <w:vAlign w:val="bottom"/>
            <w:gridSpan w:val="4"/>
          </w:tcPr>
          <w:p>
            <w:pPr>
              <w:spacing w:after="0"/>
              <w:rPr>
                <w:rFonts w:ascii="Arial" w:cs="Arial" w:eastAsia="Arial" w:hAnsi="Arial"/>
                <w:sz w:val="18"/>
                <w:szCs w:val="18"/>
                <w:color w:val="0000EE"/>
              </w:rPr>
            </w:pPr>
            <w:hyperlink w:anchor="page65">
              <w:r>
                <w:rPr>
                  <w:rFonts w:ascii="Arial" w:cs="Arial" w:eastAsia="Arial" w:hAnsi="Arial"/>
                  <w:sz w:val="18"/>
                  <w:szCs w:val="18"/>
                  <w:color w:val="0000EE"/>
                </w:rPr>
                <w:t>Item 5.</w:t>
              </w:r>
            </w:hyperlink>
          </w:p>
        </w:tc>
        <w:tc>
          <w:tcPr>
            <w:tcW w:w="9680" w:type="dxa"/>
            <w:vAlign w:val="bottom"/>
            <w:gridSpan w:val="18"/>
          </w:tcPr>
          <w:p>
            <w:pPr>
              <w:spacing w:after="0"/>
              <w:rPr>
                <w:rFonts w:ascii="Arial" w:cs="Arial" w:eastAsia="Arial" w:hAnsi="Arial"/>
                <w:sz w:val="18"/>
                <w:szCs w:val="18"/>
                <w:color w:val="0000EE"/>
              </w:rPr>
            </w:pPr>
            <w:hyperlink w:anchor="page65">
              <w:r>
                <w:rPr>
                  <w:rFonts w:ascii="Arial" w:cs="Arial" w:eastAsia="Arial" w:hAnsi="Arial"/>
                  <w:sz w:val="18"/>
                  <w:szCs w:val="18"/>
                  <w:color w:val="0000EE"/>
                </w:rPr>
                <w:t>Other Information</w:t>
              </w:r>
            </w:hyperlink>
          </w:p>
        </w:tc>
        <w:tc>
          <w:tcPr>
            <w:tcW w:w="620" w:type="dxa"/>
            <w:vAlign w:val="bottom"/>
            <w:gridSpan w:val="2"/>
          </w:tcPr>
          <w:p>
            <w:pPr>
              <w:jc w:val="right"/>
              <w:ind w:right="28"/>
              <w:spacing w:after="0"/>
              <w:rPr>
                <w:sz w:val="20"/>
                <w:szCs w:val="20"/>
                <w:color w:val="auto"/>
              </w:rPr>
            </w:pPr>
            <w:r>
              <w:rPr>
                <w:rFonts w:ascii="Arial" w:cs="Arial" w:eastAsia="Arial" w:hAnsi="Arial"/>
                <w:sz w:val="18"/>
                <w:szCs w:val="18"/>
                <w:color w:val="auto"/>
              </w:rPr>
              <w:t>62</w:t>
            </w:r>
          </w:p>
        </w:tc>
      </w:tr>
      <w:tr>
        <w:trPr>
          <w:trHeight w:val="20"/>
        </w:trPr>
        <w:tc>
          <w:tcPr>
            <w:tcW w:w="2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00" w:type="dxa"/>
            <w:vAlign w:val="bottom"/>
            <w:tcBorders>
              <w:left w:val="single" w:sz="8" w:color="0000EE"/>
            </w:tcBorders>
            <w:gridSpan w:val="2"/>
            <w:shd w:val="clear" w:color="auto" w:fill="0000EE"/>
          </w:tcPr>
          <w:p>
            <w:pPr>
              <w:spacing w:after="0" w:line="20" w:lineRule="exact"/>
              <w:rPr>
                <w:sz w:val="1"/>
                <w:szCs w:val="1"/>
                <w:color w:val="auto"/>
              </w:rPr>
            </w:pPr>
          </w:p>
        </w:tc>
        <w:tc>
          <w:tcPr>
            <w:tcW w:w="8380" w:type="dxa"/>
            <w:vAlign w:val="bottom"/>
            <w:gridSpan w:val="14"/>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r>
      <w:tr>
        <w:trPr>
          <w:trHeight w:val="412"/>
        </w:trPr>
        <w:tc>
          <w:tcPr>
            <w:tcW w:w="220" w:type="dxa"/>
            <w:vAlign w:val="bottom"/>
          </w:tcPr>
          <w:p>
            <w:pPr>
              <w:spacing w:after="0"/>
              <w:rPr>
                <w:sz w:val="24"/>
                <w:szCs w:val="24"/>
                <w:color w:val="auto"/>
              </w:rPr>
            </w:pPr>
          </w:p>
        </w:tc>
        <w:tc>
          <w:tcPr>
            <w:tcW w:w="900" w:type="dxa"/>
            <w:vAlign w:val="bottom"/>
            <w:gridSpan w:val="4"/>
          </w:tcPr>
          <w:p>
            <w:pPr>
              <w:spacing w:after="0"/>
              <w:rPr>
                <w:rFonts w:ascii="Arial" w:cs="Arial" w:eastAsia="Arial" w:hAnsi="Arial"/>
                <w:sz w:val="18"/>
                <w:szCs w:val="18"/>
                <w:color w:val="0000EE"/>
              </w:rPr>
            </w:pPr>
            <w:hyperlink w:anchor="page65">
              <w:r>
                <w:rPr>
                  <w:rFonts w:ascii="Arial" w:cs="Arial" w:eastAsia="Arial" w:hAnsi="Arial"/>
                  <w:sz w:val="18"/>
                  <w:szCs w:val="18"/>
                  <w:color w:val="0000EE"/>
                </w:rPr>
                <w:t>Item 6.</w:t>
              </w:r>
            </w:hyperlink>
          </w:p>
        </w:tc>
        <w:tc>
          <w:tcPr>
            <w:tcW w:w="9680" w:type="dxa"/>
            <w:vAlign w:val="bottom"/>
            <w:gridSpan w:val="18"/>
          </w:tcPr>
          <w:p>
            <w:pPr>
              <w:spacing w:after="0"/>
              <w:rPr>
                <w:rFonts w:ascii="Arial" w:cs="Arial" w:eastAsia="Arial" w:hAnsi="Arial"/>
                <w:sz w:val="18"/>
                <w:szCs w:val="18"/>
                <w:color w:val="0000EE"/>
              </w:rPr>
            </w:pPr>
            <w:hyperlink w:anchor="page65">
              <w:r>
                <w:rPr>
                  <w:rFonts w:ascii="Arial" w:cs="Arial" w:eastAsia="Arial" w:hAnsi="Arial"/>
                  <w:sz w:val="18"/>
                  <w:szCs w:val="18"/>
                  <w:color w:val="0000EE"/>
                </w:rPr>
                <w:t>Exhibits</w:t>
              </w:r>
            </w:hyperlink>
          </w:p>
        </w:tc>
        <w:tc>
          <w:tcPr>
            <w:tcW w:w="620" w:type="dxa"/>
            <w:vAlign w:val="bottom"/>
            <w:gridSpan w:val="2"/>
          </w:tcPr>
          <w:p>
            <w:pPr>
              <w:jc w:val="right"/>
              <w:ind w:right="28"/>
              <w:spacing w:after="0"/>
              <w:rPr>
                <w:sz w:val="20"/>
                <w:szCs w:val="20"/>
                <w:color w:val="auto"/>
              </w:rPr>
            </w:pPr>
            <w:r>
              <w:rPr>
                <w:rFonts w:ascii="Arial" w:cs="Arial" w:eastAsia="Arial" w:hAnsi="Arial"/>
                <w:sz w:val="18"/>
                <w:szCs w:val="18"/>
                <w:color w:val="auto"/>
              </w:rPr>
              <w:t>62</w:t>
            </w:r>
          </w:p>
        </w:tc>
      </w:tr>
      <w:tr>
        <w:trPr>
          <w:trHeight w:val="20"/>
        </w:trPr>
        <w:tc>
          <w:tcPr>
            <w:tcW w:w="2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r>
      <w:tr>
        <w:trPr>
          <w:trHeight w:val="412"/>
        </w:trPr>
        <w:tc>
          <w:tcPr>
            <w:tcW w:w="1120" w:type="dxa"/>
            <w:vAlign w:val="bottom"/>
            <w:gridSpan w:val="5"/>
          </w:tcPr>
          <w:p>
            <w:pPr>
              <w:spacing w:after="0"/>
              <w:rPr>
                <w:rFonts w:ascii="Arial" w:cs="Arial" w:eastAsia="Arial" w:hAnsi="Arial"/>
                <w:sz w:val="18"/>
                <w:szCs w:val="18"/>
                <w:color w:val="0000EE"/>
                <w:w w:val="93"/>
              </w:rPr>
            </w:pPr>
            <w:hyperlink w:anchor="page66">
              <w:r>
                <w:rPr>
                  <w:rFonts w:ascii="Arial" w:cs="Arial" w:eastAsia="Arial" w:hAnsi="Arial"/>
                  <w:sz w:val="18"/>
                  <w:szCs w:val="18"/>
                  <w:color w:val="0000EE"/>
                  <w:w w:val="93"/>
                </w:rPr>
                <w:t>SIGNATURES</w:t>
              </w:r>
            </w:hyperlink>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gridSpan w:val="2"/>
          </w:tcPr>
          <w:p>
            <w:pPr>
              <w:jc w:val="right"/>
              <w:ind w:right="28"/>
              <w:spacing w:after="0"/>
              <w:rPr>
                <w:sz w:val="20"/>
                <w:szCs w:val="20"/>
                <w:color w:val="auto"/>
              </w:rPr>
            </w:pPr>
            <w:r>
              <w:rPr>
                <w:rFonts w:ascii="Arial" w:cs="Arial" w:eastAsia="Arial" w:hAnsi="Arial"/>
                <w:sz w:val="18"/>
                <w:szCs w:val="18"/>
                <w:color w:val="auto"/>
              </w:rPr>
              <w:t>63</w:t>
            </w:r>
          </w:p>
        </w:tc>
      </w:tr>
      <w:tr>
        <w:trPr>
          <w:trHeight w:val="20"/>
        </w:trPr>
        <w:tc>
          <w:tcPr>
            <w:tcW w:w="1100" w:type="dxa"/>
            <w:vAlign w:val="bottom"/>
            <w:gridSpan w:val="4"/>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460" w:type="dxa"/>
            <w:vAlign w:val="bottom"/>
            <w:gridSpan w:val="17"/>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r>
      <w:tr>
        <w:trPr>
          <w:trHeight w:val="412"/>
        </w:trPr>
        <w:tc>
          <w:tcPr>
            <w:tcW w:w="1340" w:type="dxa"/>
            <w:vAlign w:val="bottom"/>
            <w:tcBorders>
              <w:bottom w:val="single" w:sz="8" w:color="0000EE"/>
            </w:tcBorders>
            <w:gridSpan w:val="6"/>
          </w:tcPr>
          <w:p>
            <w:pPr>
              <w:spacing w:after="0"/>
              <w:rPr>
                <w:rFonts w:ascii="Arial" w:cs="Arial" w:eastAsia="Arial" w:hAnsi="Arial"/>
                <w:sz w:val="18"/>
                <w:szCs w:val="18"/>
                <w:color w:val="0000EE"/>
              </w:rPr>
            </w:pPr>
            <w:hyperlink w:anchor="page67">
              <w:r>
                <w:rPr>
                  <w:rFonts w:ascii="Arial" w:cs="Arial" w:eastAsia="Arial" w:hAnsi="Arial"/>
                  <w:sz w:val="18"/>
                  <w:szCs w:val="18"/>
                  <w:color w:val="0000EE"/>
                </w:rPr>
                <w:t>EXHIBIT INDEX</w:t>
              </w:r>
            </w:hyperlink>
          </w:p>
        </w:tc>
        <w:tc>
          <w:tcPr>
            <w:tcW w:w="9460" w:type="dxa"/>
            <w:vAlign w:val="bottom"/>
            <w:gridSpan w:val="17"/>
          </w:tcPr>
          <w:p>
            <w:pPr>
              <w:spacing w:after="0"/>
              <w:rPr>
                <w:sz w:val="24"/>
                <w:szCs w:val="24"/>
                <w:color w:val="auto"/>
              </w:rPr>
            </w:pPr>
          </w:p>
        </w:tc>
        <w:tc>
          <w:tcPr>
            <w:tcW w:w="620" w:type="dxa"/>
            <w:vAlign w:val="bottom"/>
            <w:gridSpan w:val="2"/>
          </w:tcPr>
          <w:p>
            <w:pPr>
              <w:jc w:val="right"/>
              <w:ind w:right="28"/>
              <w:spacing w:after="0"/>
              <w:rPr>
                <w:sz w:val="20"/>
                <w:szCs w:val="20"/>
                <w:color w:val="auto"/>
              </w:rPr>
            </w:pPr>
            <w:r>
              <w:rPr>
                <w:rFonts w:ascii="Arial" w:cs="Arial" w:eastAsia="Arial" w:hAnsi="Arial"/>
                <w:sz w:val="18"/>
                <w:szCs w:val="18"/>
                <w:color w:val="auto"/>
              </w:rPr>
              <w:t>64</w:t>
            </w:r>
          </w:p>
        </w:tc>
      </w:tr>
    </w:tbl>
    <w:p>
      <w:pPr>
        <w:spacing w:after="0" w:line="1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EX-31.1</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EX-31.2</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EX-32.1</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EX-32.2</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62"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1. Financial Statements.</w:t>
      </w:r>
    </w:p>
    <w:p>
      <w:pPr>
        <w:spacing w:after="0" w:line="333"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M&amp;T BANK CORPORATION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CONSOLIDATED BALANCE SHEET (Unaudited)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tcPr>
          <w:p>
            <w:pPr>
              <w:jc w:val="right"/>
              <w:ind w:right="551"/>
              <w:spacing w:after="0"/>
              <w:rPr>
                <w:sz w:val="20"/>
                <w:szCs w:val="20"/>
                <w:color w:val="auto"/>
              </w:rPr>
            </w:pPr>
            <w:r>
              <w:rPr>
                <w:rFonts w:ascii="Arial" w:cs="Arial" w:eastAsia="Arial" w:hAnsi="Arial"/>
                <w:sz w:val="14"/>
                <w:szCs w:val="14"/>
                <w:color w:val="auto"/>
              </w:rPr>
              <w:t>March 31,</w:t>
            </w:r>
          </w:p>
        </w:tc>
        <w:tc>
          <w:tcPr>
            <w:tcW w:w="1560" w:type="dxa"/>
            <w:vAlign w:val="bottom"/>
          </w:tcPr>
          <w:p>
            <w:pPr>
              <w:jc w:val="right"/>
              <w:ind w:right="191"/>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67"/>
        </w:trPr>
        <w:tc>
          <w:tcPr>
            <w:tcW w:w="8100" w:type="dxa"/>
            <w:vAlign w:val="bottom"/>
            <w:gridSpan w:val="4"/>
          </w:tcPr>
          <w:p>
            <w:pPr>
              <w:spacing w:after="0"/>
              <w:rPr>
                <w:sz w:val="20"/>
                <w:szCs w:val="20"/>
                <w:color w:val="auto"/>
              </w:rPr>
            </w:pPr>
            <w:r>
              <w:rPr>
                <w:rFonts w:ascii="Arial" w:cs="Arial" w:eastAsia="Arial" w:hAnsi="Arial"/>
                <w:sz w:val="14"/>
                <w:szCs w:val="14"/>
                <w:i w:val="1"/>
                <w:iCs w:val="1"/>
                <w:color w:val="auto"/>
              </w:rPr>
              <w:t>Dollars in thousands, except per share</w:t>
            </w:r>
          </w:p>
        </w:tc>
        <w:tc>
          <w:tcPr>
            <w:tcW w:w="420" w:type="dxa"/>
            <w:vAlign w:val="bottom"/>
          </w:tcPr>
          <w:p>
            <w:pPr>
              <w:spacing w:after="0"/>
              <w:rPr>
                <w:sz w:val="14"/>
                <w:szCs w:val="14"/>
                <w:color w:val="auto"/>
              </w:rPr>
            </w:pPr>
          </w:p>
        </w:tc>
        <w:tc>
          <w:tcPr>
            <w:tcW w:w="1340" w:type="dxa"/>
            <w:vAlign w:val="bottom"/>
          </w:tcPr>
          <w:p>
            <w:pPr>
              <w:jc w:val="right"/>
              <w:ind w:right="711"/>
              <w:spacing w:after="0"/>
              <w:rPr>
                <w:sz w:val="20"/>
                <w:szCs w:val="20"/>
                <w:color w:val="auto"/>
              </w:rPr>
            </w:pPr>
            <w:r>
              <w:rPr>
                <w:rFonts w:ascii="Arial" w:cs="Arial" w:eastAsia="Arial" w:hAnsi="Arial"/>
                <w:sz w:val="14"/>
                <w:szCs w:val="14"/>
                <w:color w:val="auto"/>
              </w:rPr>
              <w:t>2008</w:t>
            </w:r>
          </w:p>
        </w:tc>
        <w:tc>
          <w:tcPr>
            <w:tcW w:w="1560" w:type="dxa"/>
            <w:vAlign w:val="bottom"/>
          </w:tcPr>
          <w:p>
            <w:pPr>
              <w:jc w:val="right"/>
              <w:ind w:right="451"/>
              <w:spacing w:after="0"/>
              <w:rPr>
                <w:sz w:val="20"/>
                <w:szCs w:val="20"/>
                <w:color w:val="auto"/>
              </w:rPr>
            </w:pPr>
            <w:r>
              <w:rPr>
                <w:rFonts w:ascii="Arial" w:cs="Arial" w:eastAsia="Arial" w:hAnsi="Arial"/>
                <w:sz w:val="14"/>
                <w:szCs w:val="14"/>
                <w:color w:val="auto"/>
              </w:rPr>
              <w:t>2007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18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6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Cash and due from banks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451"/>
              <w:spacing w:after="0"/>
              <w:rPr>
                <w:sz w:val="20"/>
                <w:szCs w:val="20"/>
                <w:color w:val="auto"/>
              </w:rPr>
            </w:pPr>
            <w:r>
              <w:rPr>
                <w:rFonts w:ascii="Arial" w:cs="Arial" w:eastAsia="Arial" w:hAnsi="Arial"/>
                <w:sz w:val="18"/>
                <w:szCs w:val="18"/>
                <w:color w:val="auto"/>
                <w:w w:val="97"/>
              </w:rPr>
              <w:t>1,763,426</w:t>
            </w:r>
          </w:p>
        </w:tc>
        <w:tc>
          <w:tcPr>
            <w:tcW w:w="156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1,719,509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6400" w:type="dxa"/>
            <w:vAlign w:val="bottom"/>
            <w:gridSpan w:val="2"/>
          </w:tcPr>
          <w:p>
            <w:pPr>
              <w:ind w:left="220"/>
              <w:spacing w:after="0"/>
              <w:rPr>
                <w:sz w:val="20"/>
                <w:szCs w:val="20"/>
                <w:color w:val="auto"/>
              </w:rPr>
            </w:pPr>
            <w:r>
              <w:rPr>
                <w:rFonts w:ascii="Arial" w:cs="Arial" w:eastAsia="Arial" w:hAnsi="Arial"/>
                <w:sz w:val="18"/>
                <w:szCs w:val="18"/>
                <w:color w:val="auto"/>
              </w:rPr>
              <w:t>Interest-bearing deposits at banks</w:t>
            </w:r>
          </w:p>
        </w:tc>
        <w:tc>
          <w:tcPr>
            <w:tcW w:w="420" w:type="dxa"/>
            <w:vAlign w:val="bottom"/>
          </w:tcPr>
          <w:p>
            <w:pPr>
              <w:spacing w:after="0"/>
              <w:rPr>
                <w:sz w:val="18"/>
                <w:szCs w:val="18"/>
                <w:color w:val="auto"/>
              </w:rPr>
            </w:pPr>
          </w:p>
        </w:tc>
        <w:tc>
          <w:tcPr>
            <w:tcW w:w="1340" w:type="dxa"/>
            <w:vAlign w:val="bottom"/>
          </w:tcPr>
          <w:p>
            <w:pPr>
              <w:jc w:val="right"/>
              <w:ind w:right="451"/>
              <w:spacing w:after="0"/>
              <w:rPr>
                <w:sz w:val="20"/>
                <w:szCs w:val="20"/>
                <w:color w:val="auto"/>
              </w:rPr>
            </w:pPr>
            <w:r>
              <w:rPr>
                <w:rFonts w:ascii="Arial" w:cs="Arial" w:eastAsia="Arial" w:hAnsi="Arial"/>
                <w:sz w:val="18"/>
                <w:szCs w:val="18"/>
                <w:color w:val="auto"/>
              </w:rPr>
              <w:t>7,027</w:t>
            </w:r>
          </w:p>
        </w:tc>
        <w:tc>
          <w:tcPr>
            <w:tcW w:w="1560" w:type="dxa"/>
            <w:vAlign w:val="bottom"/>
          </w:tcPr>
          <w:p>
            <w:pPr>
              <w:jc w:val="right"/>
              <w:ind w:right="191"/>
              <w:spacing w:after="0"/>
              <w:rPr>
                <w:sz w:val="20"/>
                <w:szCs w:val="20"/>
                <w:color w:val="auto"/>
              </w:rPr>
            </w:pPr>
            <w:r>
              <w:rPr>
                <w:rFonts w:ascii="Arial" w:cs="Arial" w:eastAsia="Arial" w:hAnsi="Arial"/>
                <w:sz w:val="18"/>
                <w:szCs w:val="18"/>
                <w:color w:val="auto"/>
              </w:rPr>
              <w:t>18,431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6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Federal funds sold</w:t>
            </w: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451"/>
              <w:spacing w:after="0"/>
              <w:rPr>
                <w:sz w:val="20"/>
                <w:szCs w:val="20"/>
                <w:color w:val="auto"/>
              </w:rPr>
            </w:pPr>
            <w:r>
              <w:rPr>
                <w:rFonts w:ascii="Arial" w:cs="Arial" w:eastAsia="Arial" w:hAnsi="Arial"/>
                <w:sz w:val="18"/>
                <w:szCs w:val="18"/>
                <w:color w:val="auto"/>
              </w:rPr>
              <w:t>12,700</w:t>
            </w:r>
          </w:p>
        </w:tc>
        <w:tc>
          <w:tcPr>
            <w:tcW w:w="156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48,038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6400" w:type="dxa"/>
            <w:vAlign w:val="bottom"/>
            <w:gridSpan w:val="2"/>
          </w:tcPr>
          <w:p>
            <w:pPr>
              <w:ind w:left="220"/>
              <w:spacing w:after="0"/>
              <w:rPr>
                <w:sz w:val="20"/>
                <w:szCs w:val="20"/>
                <w:color w:val="auto"/>
              </w:rPr>
            </w:pPr>
            <w:r>
              <w:rPr>
                <w:rFonts w:ascii="Arial" w:cs="Arial" w:eastAsia="Arial" w:hAnsi="Arial"/>
                <w:sz w:val="18"/>
                <w:szCs w:val="18"/>
                <w:color w:val="auto"/>
              </w:rPr>
              <w:t>Trading account</w:t>
            </w:r>
          </w:p>
        </w:tc>
        <w:tc>
          <w:tcPr>
            <w:tcW w:w="420" w:type="dxa"/>
            <w:vAlign w:val="bottom"/>
          </w:tcPr>
          <w:p>
            <w:pPr>
              <w:spacing w:after="0"/>
              <w:rPr>
                <w:sz w:val="18"/>
                <w:szCs w:val="18"/>
                <w:color w:val="auto"/>
              </w:rPr>
            </w:pPr>
          </w:p>
        </w:tc>
        <w:tc>
          <w:tcPr>
            <w:tcW w:w="1340" w:type="dxa"/>
            <w:vAlign w:val="bottom"/>
          </w:tcPr>
          <w:p>
            <w:pPr>
              <w:jc w:val="right"/>
              <w:ind w:right="451"/>
              <w:spacing w:after="0"/>
              <w:rPr>
                <w:sz w:val="20"/>
                <w:szCs w:val="20"/>
                <w:color w:val="auto"/>
              </w:rPr>
            </w:pPr>
            <w:r>
              <w:rPr>
                <w:rFonts w:ascii="Arial" w:cs="Arial" w:eastAsia="Arial" w:hAnsi="Arial"/>
                <w:sz w:val="18"/>
                <w:szCs w:val="18"/>
                <w:color w:val="auto"/>
              </w:rPr>
              <w:t>372,067</w:t>
            </w:r>
          </w:p>
        </w:tc>
        <w:tc>
          <w:tcPr>
            <w:tcW w:w="1560" w:type="dxa"/>
            <w:vAlign w:val="bottom"/>
          </w:tcPr>
          <w:p>
            <w:pPr>
              <w:jc w:val="right"/>
              <w:ind w:right="191"/>
              <w:spacing w:after="0"/>
              <w:rPr>
                <w:sz w:val="20"/>
                <w:szCs w:val="20"/>
                <w:color w:val="auto"/>
              </w:rPr>
            </w:pPr>
            <w:r>
              <w:rPr>
                <w:rFonts w:ascii="Arial" w:cs="Arial" w:eastAsia="Arial" w:hAnsi="Arial"/>
                <w:sz w:val="18"/>
                <w:szCs w:val="18"/>
                <w:color w:val="auto"/>
              </w:rPr>
              <w:t>281,244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6400" w:type="dxa"/>
            <w:vAlign w:val="bottom"/>
            <w:gridSpan w:val="2"/>
            <w:shd w:val="clear" w:color="auto" w:fill="CCEEFF"/>
          </w:tcPr>
          <w:p>
            <w:pPr>
              <w:ind w:left="220"/>
              <w:spacing w:after="0" w:line="201" w:lineRule="exact"/>
              <w:rPr>
                <w:sz w:val="20"/>
                <w:szCs w:val="20"/>
                <w:color w:val="auto"/>
              </w:rPr>
            </w:pPr>
            <w:r>
              <w:rPr>
                <w:rFonts w:ascii="Arial" w:cs="Arial" w:eastAsia="Arial" w:hAnsi="Arial"/>
                <w:sz w:val="18"/>
                <w:szCs w:val="18"/>
                <w:color w:val="auto"/>
                <w:w w:val="99"/>
              </w:rPr>
              <w:t>Investment securities (include pledged available for sale securities that can be</w:t>
            </w:r>
          </w:p>
        </w:tc>
        <w:tc>
          <w:tcPr>
            <w:tcW w:w="4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sold or</w:t>
            </w:r>
          </w:p>
        </w:tc>
        <w:tc>
          <w:tcPr>
            <w:tcW w:w="42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18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5"/>
              </w:rPr>
              <w:t>repledged of $2,087,546 at March 31, 2008; $1,988,128 at December 31, 2007)</w:t>
            </w: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180" w:type="dxa"/>
            <w:vAlign w:val="bottom"/>
          </w:tcPr>
          <w:p>
            <w:pPr>
              <w:ind w:left="200"/>
              <w:spacing w:after="0" w:line="201" w:lineRule="exact"/>
              <w:rPr>
                <w:sz w:val="20"/>
                <w:szCs w:val="20"/>
                <w:color w:val="auto"/>
              </w:rPr>
            </w:pPr>
            <w:r>
              <w:rPr>
                <w:rFonts w:ascii="Arial" w:cs="Arial" w:eastAsia="Arial" w:hAnsi="Arial"/>
                <w:sz w:val="18"/>
                <w:szCs w:val="18"/>
                <w:color w:val="auto"/>
              </w:rPr>
              <w:t>Available for sale (cost: $8,369,478 at March 31, 2008; $8,451,411 at</w:t>
            </w:r>
          </w:p>
        </w:tc>
        <w:tc>
          <w:tcPr>
            <w:tcW w:w="4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180" w:type="dxa"/>
            <w:vAlign w:val="bottom"/>
          </w:tcPr>
          <w:p>
            <w:pPr>
              <w:ind w:left="400"/>
              <w:spacing w:after="0"/>
              <w:rPr>
                <w:sz w:val="20"/>
                <w:szCs w:val="20"/>
                <w:color w:val="auto"/>
              </w:rPr>
            </w:pPr>
            <w:r>
              <w:rPr>
                <w:rFonts w:ascii="Arial" w:cs="Arial" w:eastAsia="Arial" w:hAnsi="Arial"/>
                <w:sz w:val="18"/>
                <w:szCs w:val="18"/>
                <w:color w:val="auto"/>
              </w:rPr>
              <w:t>December 31, 2007)</w:t>
            </w:r>
          </w:p>
        </w:tc>
        <w:tc>
          <w:tcPr>
            <w:tcW w:w="420" w:type="dxa"/>
            <w:vAlign w:val="bottom"/>
          </w:tcPr>
          <w:p>
            <w:pPr>
              <w:spacing w:after="0"/>
              <w:rPr>
                <w:sz w:val="20"/>
                <w:szCs w:val="20"/>
                <w:color w:val="auto"/>
              </w:rPr>
            </w:pPr>
          </w:p>
        </w:tc>
        <w:tc>
          <w:tcPr>
            <w:tcW w:w="1340" w:type="dxa"/>
            <w:vAlign w:val="bottom"/>
          </w:tcPr>
          <w:p>
            <w:pPr>
              <w:jc w:val="right"/>
              <w:ind w:right="451"/>
              <w:spacing w:after="0"/>
              <w:rPr>
                <w:sz w:val="20"/>
                <w:szCs w:val="20"/>
                <w:color w:val="auto"/>
              </w:rPr>
            </w:pPr>
            <w:r>
              <w:rPr>
                <w:rFonts w:ascii="Arial" w:cs="Arial" w:eastAsia="Arial" w:hAnsi="Arial"/>
                <w:sz w:val="18"/>
                <w:szCs w:val="18"/>
                <w:color w:val="auto"/>
                <w:w w:val="97"/>
              </w:rPr>
              <w:t>8,092,117</w:t>
            </w:r>
          </w:p>
        </w:tc>
        <w:tc>
          <w:tcPr>
            <w:tcW w:w="1560" w:type="dxa"/>
            <w:vAlign w:val="bottom"/>
          </w:tcPr>
          <w:p>
            <w:pPr>
              <w:jc w:val="right"/>
              <w:ind w:right="191"/>
              <w:spacing w:after="0"/>
              <w:rPr>
                <w:sz w:val="20"/>
                <w:szCs w:val="20"/>
                <w:color w:val="auto"/>
              </w:rPr>
            </w:pPr>
            <w:r>
              <w:rPr>
                <w:rFonts w:ascii="Arial" w:cs="Arial" w:eastAsia="Arial" w:hAnsi="Arial"/>
                <w:sz w:val="18"/>
                <w:szCs w:val="18"/>
                <w:color w:val="auto"/>
              </w:rPr>
              <w:t>8,379,169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1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Held to maturity (fair value: $75,257 at March 31, 2008; $78,250 at</w:t>
            </w:r>
          </w:p>
        </w:tc>
        <w:tc>
          <w:tcPr>
            <w:tcW w:w="4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1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December 31, 2007)</w:t>
            </w:r>
          </w:p>
        </w:tc>
        <w:tc>
          <w:tcPr>
            <w:tcW w:w="420" w:type="dxa"/>
            <w:vAlign w:val="bottom"/>
            <w:shd w:val="clear" w:color="auto" w:fill="CCEEFF"/>
          </w:tcPr>
          <w:p>
            <w:pPr>
              <w:spacing w:after="0"/>
              <w:rPr>
                <w:sz w:val="20"/>
                <w:szCs w:val="20"/>
                <w:color w:val="auto"/>
              </w:rPr>
            </w:pPr>
          </w:p>
        </w:tc>
        <w:tc>
          <w:tcPr>
            <w:tcW w:w="1340" w:type="dxa"/>
            <w:vAlign w:val="bottom"/>
            <w:shd w:val="clear" w:color="auto" w:fill="CCEEFF"/>
          </w:tcPr>
          <w:p>
            <w:pPr>
              <w:jc w:val="right"/>
              <w:ind w:right="451"/>
              <w:spacing w:after="0"/>
              <w:rPr>
                <w:sz w:val="20"/>
                <w:szCs w:val="20"/>
                <w:color w:val="auto"/>
              </w:rPr>
            </w:pPr>
            <w:r>
              <w:rPr>
                <w:rFonts w:ascii="Arial" w:cs="Arial" w:eastAsia="Arial" w:hAnsi="Arial"/>
                <w:sz w:val="18"/>
                <w:szCs w:val="18"/>
                <w:color w:val="auto"/>
              </w:rPr>
              <w:t>72,981</w:t>
            </w:r>
          </w:p>
        </w:tc>
        <w:tc>
          <w:tcPr>
            <w:tcW w:w="156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76,441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180" w:type="dxa"/>
            <w:vAlign w:val="bottom"/>
          </w:tcPr>
          <w:p>
            <w:pPr>
              <w:ind w:left="200"/>
              <w:spacing w:after="0" w:line="201" w:lineRule="exact"/>
              <w:rPr>
                <w:sz w:val="20"/>
                <w:szCs w:val="20"/>
                <w:color w:val="auto"/>
              </w:rPr>
            </w:pPr>
            <w:r>
              <w:rPr>
                <w:rFonts w:ascii="Arial" w:cs="Arial" w:eastAsia="Arial" w:hAnsi="Arial"/>
                <w:sz w:val="18"/>
                <w:szCs w:val="18"/>
                <w:color w:val="auto"/>
              </w:rPr>
              <w:t>Other (fair value: $511,259 at March 31, 2008; $506,388 at December 31,</w:t>
            </w:r>
          </w:p>
        </w:tc>
        <w:tc>
          <w:tcPr>
            <w:tcW w:w="4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6400" w:type="dxa"/>
            <w:vAlign w:val="bottom"/>
            <w:gridSpan w:val="2"/>
          </w:tcPr>
          <w:p>
            <w:pPr>
              <w:ind w:left="620"/>
              <w:spacing w:after="0"/>
              <w:rPr>
                <w:sz w:val="20"/>
                <w:szCs w:val="20"/>
                <w:color w:val="auto"/>
              </w:rPr>
            </w:pPr>
            <w:r>
              <w:rPr>
                <w:rFonts w:ascii="Arial" w:cs="Arial" w:eastAsia="Arial" w:hAnsi="Arial"/>
                <w:sz w:val="18"/>
                <w:szCs w:val="18"/>
                <w:color w:val="auto"/>
              </w:rPr>
              <w:t>2007)</w:t>
            </w:r>
          </w:p>
        </w:tc>
        <w:tc>
          <w:tcPr>
            <w:tcW w:w="420" w:type="dxa"/>
            <w:vAlign w:val="bottom"/>
          </w:tcPr>
          <w:p>
            <w:pPr>
              <w:spacing w:after="0"/>
              <w:rPr>
                <w:sz w:val="20"/>
                <w:szCs w:val="20"/>
                <w:color w:val="auto"/>
              </w:rPr>
            </w:pPr>
          </w:p>
        </w:tc>
        <w:tc>
          <w:tcPr>
            <w:tcW w:w="1340" w:type="dxa"/>
            <w:vAlign w:val="bottom"/>
          </w:tcPr>
          <w:p>
            <w:pPr>
              <w:jc w:val="right"/>
              <w:ind w:right="451"/>
              <w:spacing w:after="0"/>
              <w:rPr>
                <w:sz w:val="20"/>
                <w:szCs w:val="20"/>
                <w:color w:val="auto"/>
              </w:rPr>
            </w:pPr>
            <w:r>
              <w:rPr>
                <w:rFonts w:ascii="Arial" w:cs="Arial" w:eastAsia="Arial" w:hAnsi="Arial"/>
                <w:sz w:val="18"/>
                <w:szCs w:val="18"/>
                <w:color w:val="auto"/>
              </w:rPr>
              <w:t>511,259</w:t>
            </w:r>
          </w:p>
        </w:tc>
        <w:tc>
          <w:tcPr>
            <w:tcW w:w="1560" w:type="dxa"/>
            <w:vAlign w:val="bottom"/>
          </w:tcPr>
          <w:p>
            <w:pPr>
              <w:jc w:val="right"/>
              <w:ind w:right="191"/>
              <w:spacing w:after="0"/>
              <w:rPr>
                <w:sz w:val="20"/>
                <w:szCs w:val="20"/>
                <w:color w:val="auto"/>
              </w:rPr>
            </w:pPr>
            <w:r>
              <w:rPr>
                <w:rFonts w:ascii="Arial" w:cs="Arial" w:eastAsia="Arial" w:hAnsi="Arial"/>
                <w:sz w:val="18"/>
                <w:szCs w:val="18"/>
                <w:color w:val="auto"/>
              </w:rPr>
              <w:t>506,388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180" w:type="dxa"/>
            <w:vAlign w:val="bottom"/>
            <w:tcBorders>
              <w:top w:val="single" w:sz="8" w:color="auto"/>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Total investment securities</w:t>
            </w: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ind w:right="451"/>
              <w:spacing w:after="0"/>
              <w:rPr>
                <w:sz w:val="20"/>
                <w:szCs w:val="20"/>
                <w:color w:val="auto"/>
              </w:rPr>
            </w:pPr>
            <w:r>
              <w:rPr>
                <w:rFonts w:ascii="Arial" w:cs="Arial" w:eastAsia="Arial" w:hAnsi="Arial"/>
                <w:sz w:val="18"/>
                <w:szCs w:val="18"/>
                <w:color w:val="auto"/>
                <w:w w:val="97"/>
              </w:rPr>
              <w:t>8,676,357</w:t>
            </w:r>
          </w:p>
        </w:tc>
        <w:tc>
          <w:tcPr>
            <w:tcW w:w="1560" w:type="dxa"/>
            <w:vAlign w:val="bottom"/>
            <w:tcBorders>
              <w:top w:val="single" w:sz="8" w:color="auto"/>
              <w:bottom w:val="single" w:sz="8" w:color="auto"/>
            </w:tcBorders>
            <w:shd w:val="clear" w:color="auto" w:fill="CCEEFF"/>
          </w:tcPr>
          <w:p>
            <w:pPr>
              <w:jc w:val="right"/>
              <w:ind w:right="191"/>
              <w:spacing w:after="0"/>
              <w:rPr>
                <w:sz w:val="20"/>
                <w:szCs w:val="20"/>
                <w:color w:val="auto"/>
              </w:rPr>
            </w:pPr>
            <w:r>
              <w:rPr>
                <w:rFonts w:ascii="Arial" w:cs="Arial" w:eastAsia="Arial" w:hAnsi="Arial"/>
                <w:sz w:val="18"/>
                <w:szCs w:val="18"/>
                <w:color w:val="auto"/>
              </w:rPr>
              <w:t>8,961,998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Loans and leases</w:t>
            </w:r>
          </w:p>
        </w:tc>
        <w:tc>
          <w:tcPr>
            <w:tcW w:w="420" w:type="dxa"/>
            <w:vAlign w:val="bottom"/>
          </w:tcPr>
          <w:p>
            <w:pPr>
              <w:spacing w:after="0"/>
              <w:rPr>
                <w:sz w:val="19"/>
                <w:szCs w:val="19"/>
                <w:color w:val="auto"/>
              </w:rPr>
            </w:pPr>
          </w:p>
        </w:tc>
        <w:tc>
          <w:tcPr>
            <w:tcW w:w="1340" w:type="dxa"/>
            <w:vAlign w:val="bottom"/>
          </w:tcPr>
          <w:p>
            <w:pPr>
              <w:jc w:val="right"/>
              <w:ind w:right="451"/>
              <w:spacing w:after="0"/>
              <w:rPr>
                <w:sz w:val="20"/>
                <w:szCs w:val="20"/>
                <w:color w:val="auto"/>
              </w:rPr>
            </w:pPr>
            <w:r>
              <w:rPr>
                <w:rFonts w:ascii="Arial" w:cs="Arial" w:eastAsia="Arial" w:hAnsi="Arial"/>
                <w:sz w:val="18"/>
                <w:szCs w:val="18"/>
                <w:color w:val="auto"/>
                <w:w w:val="86"/>
              </w:rPr>
              <w:t>49,615,489</w:t>
            </w:r>
          </w:p>
        </w:tc>
        <w:tc>
          <w:tcPr>
            <w:tcW w:w="1560" w:type="dxa"/>
            <w:vAlign w:val="bottom"/>
          </w:tcPr>
          <w:p>
            <w:pPr>
              <w:jc w:val="right"/>
              <w:ind w:right="191"/>
              <w:spacing w:after="0"/>
              <w:rPr>
                <w:sz w:val="20"/>
                <w:szCs w:val="20"/>
                <w:color w:val="auto"/>
              </w:rPr>
            </w:pPr>
            <w:r>
              <w:rPr>
                <w:rFonts w:ascii="Arial" w:cs="Arial" w:eastAsia="Arial" w:hAnsi="Arial"/>
                <w:sz w:val="18"/>
                <w:szCs w:val="18"/>
                <w:color w:val="auto"/>
              </w:rPr>
              <w:t>48,352,262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Unearned discount</w:t>
            </w: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391"/>
              <w:spacing w:after="0"/>
              <w:rPr>
                <w:sz w:val="20"/>
                <w:szCs w:val="20"/>
                <w:color w:val="auto"/>
              </w:rPr>
            </w:pPr>
            <w:r>
              <w:rPr>
                <w:rFonts w:ascii="Arial" w:cs="Arial" w:eastAsia="Arial" w:hAnsi="Arial"/>
                <w:sz w:val="18"/>
                <w:szCs w:val="18"/>
                <w:color w:val="auto"/>
              </w:rPr>
              <w:t>(336,608)</w:t>
            </w:r>
          </w:p>
        </w:tc>
        <w:tc>
          <w:tcPr>
            <w:tcW w:w="15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(330,700)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18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Allowance for credit losses</w:t>
            </w: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391"/>
              <w:spacing w:after="0"/>
              <w:rPr>
                <w:sz w:val="20"/>
                <w:szCs w:val="20"/>
                <w:color w:val="auto"/>
              </w:rPr>
            </w:pPr>
            <w:r>
              <w:rPr>
                <w:rFonts w:ascii="Arial" w:cs="Arial" w:eastAsia="Arial" w:hAnsi="Arial"/>
                <w:sz w:val="18"/>
                <w:szCs w:val="18"/>
                <w:color w:val="auto"/>
              </w:rPr>
              <w:t>(773,624)</w:t>
            </w:r>
          </w:p>
        </w:tc>
        <w:tc>
          <w:tcPr>
            <w:tcW w:w="156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(759,439)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18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Loans and leases, net</w:t>
            </w:r>
          </w:p>
        </w:tc>
        <w:tc>
          <w:tcPr>
            <w:tcW w:w="4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451"/>
              <w:spacing w:after="0"/>
              <w:rPr>
                <w:sz w:val="20"/>
                <w:szCs w:val="20"/>
                <w:color w:val="auto"/>
              </w:rPr>
            </w:pPr>
            <w:r>
              <w:rPr>
                <w:rFonts w:ascii="Arial" w:cs="Arial" w:eastAsia="Arial" w:hAnsi="Arial"/>
                <w:sz w:val="18"/>
                <w:szCs w:val="18"/>
                <w:color w:val="auto"/>
                <w:w w:val="86"/>
              </w:rPr>
              <w:t>48,505,257</w:t>
            </w:r>
          </w:p>
        </w:tc>
        <w:tc>
          <w:tcPr>
            <w:tcW w:w="156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8"/>
                <w:szCs w:val="18"/>
                <w:color w:val="auto"/>
              </w:rPr>
              <w:t>47,262,123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Premises and equipment</w:t>
            </w:r>
          </w:p>
        </w:tc>
        <w:tc>
          <w:tcPr>
            <w:tcW w:w="420" w:type="dxa"/>
            <w:vAlign w:val="bottom"/>
          </w:tcPr>
          <w:p>
            <w:pPr>
              <w:spacing w:after="0"/>
              <w:rPr>
                <w:sz w:val="19"/>
                <w:szCs w:val="19"/>
                <w:color w:val="auto"/>
              </w:rPr>
            </w:pPr>
          </w:p>
        </w:tc>
        <w:tc>
          <w:tcPr>
            <w:tcW w:w="1340" w:type="dxa"/>
            <w:vAlign w:val="bottom"/>
          </w:tcPr>
          <w:p>
            <w:pPr>
              <w:jc w:val="right"/>
              <w:ind w:right="451"/>
              <w:spacing w:after="0"/>
              <w:rPr>
                <w:sz w:val="20"/>
                <w:szCs w:val="20"/>
                <w:color w:val="auto"/>
              </w:rPr>
            </w:pPr>
            <w:r>
              <w:rPr>
                <w:rFonts w:ascii="Arial" w:cs="Arial" w:eastAsia="Arial" w:hAnsi="Arial"/>
                <w:sz w:val="18"/>
                <w:szCs w:val="18"/>
                <w:color w:val="auto"/>
              </w:rPr>
              <w:t>366,065</w:t>
            </w:r>
          </w:p>
        </w:tc>
        <w:tc>
          <w:tcPr>
            <w:tcW w:w="1560" w:type="dxa"/>
            <w:vAlign w:val="bottom"/>
          </w:tcPr>
          <w:p>
            <w:pPr>
              <w:jc w:val="right"/>
              <w:ind w:right="191"/>
              <w:spacing w:after="0"/>
              <w:rPr>
                <w:sz w:val="20"/>
                <w:szCs w:val="20"/>
                <w:color w:val="auto"/>
              </w:rPr>
            </w:pPr>
            <w:r>
              <w:rPr>
                <w:rFonts w:ascii="Arial" w:cs="Arial" w:eastAsia="Arial" w:hAnsi="Arial"/>
                <w:sz w:val="18"/>
                <w:szCs w:val="18"/>
                <w:color w:val="auto"/>
              </w:rPr>
              <w:t>370,765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6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Goodwill</w:t>
            </w: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451"/>
              <w:spacing w:after="0"/>
              <w:rPr>
                <w:sz w:val="20"/>
                <w:szCs w:val="20"/>
                <w:color w:val="auto"/>
              </w:rPr>
            </w:pPr>
            <w:r>
              <w:rPr>
                <w:rFonts w:ascii="Arial" w:cs="Arial" w:eastAsia="Arial" w:hAnsi="Arial"/>
                <w:sz w:val="18"/>
                <w:szCs w:val="18"/>
                <w:color w:val="auto"/>
                <w:w w:val="97"/>
              </w:rPr>
              <w:t>3,192,128</w:t>
            </w:r>
          </w:p>
        </w:tc>
        <w:tc>
          <w:tcPr>
            <w:tcW w:w="156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3,196,433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6400" w:type="dxa"/>
            <w:vAlign w:val="bottom"/>
            <w:gridSpan w:val="2"/>
          </w:tcPr>
          <w:p>
            <w:pPr>
              <w:ind w:left="220"/>
              <w:spacing w:after="0"/>
              <w:rPr>
                <w:sz w:val="20"/>
                <w:szCs w:val="20"/>
                <w:color w:val="auto"/>
              </w:rPr>
            </w:pPr>
            <w:r>
              <w:rPr>
                <w:rFonts w:ascii="Arial" w:cs="Arial" w:eastAsia="Arial" w:hAnsi="Arial"/>
                <w:sz w:val="18"/>
                <w:szCs w:val="18"/>
                <w:color w:val="auto"/>
              </w:rPr>
              <w:t>Core deposit and other intangible assets</w:t>
            </w:r>
          </w:p>
        </w:tc>
        <w:tc>
          <w:tcPr>
            <w:tcW w:w="420" w:type="dxa"/>
            <w:vAlign w:val="bottom"/>
          </w:tcPr>
          <w:p>
            <w:pPr>
              <w:spacing w:after="0"/>
              <w:rPr>
                <w:sz w:val="18"/>
                <w:szCs w:val="18"/>
                <w:color w:val="auto"/>
              </w:rPr>
            </w:pPr>
          </w:p>
        </w:tc>
        <w:tc>
          <w:tcPr>
            <w:tcW w:w="1340" w:type="dxa"/>
            <w:vAlign w:val="bottom"/>
          </w:tcPr>
          <w:p>
            <w:pPr>
              <w:jc w:val="right"/>
              <w:ind w:right="451"/>
              <w:spacing w:after="0"/>
              <w:rPr>
                <w:sz w:val="20"/>
                <w:szCs w:val="20"/>
                <w:color w:val="auto"/>
              </w:rPr>
            </w:pPr>
            <w:r>
              <w:rPr>
                <w:rFonts w:ascii="Arial" w:cs="Arial" w:eastAsia="Arial" w:hAnsi="Arial"/>
                <w:sz w:val="18"/>
                <w:szCs w:val="18"/>
                <w:color w:val="auto"/>
              </w:rPr>
              <w:t>230,093</w:t>
            </w:r>
          </w:p>
        </w:tc>
        <w:tc>
          <w:tcPr>
            <w:tcW w:w="1560" w:type="dxa"/>
            <w:vAlign w:val="bottom"/>
          </w:tcPr>
          <w:p>
            <w:pPr>
              <w:jc w:val="right"/>
              <w:ind w:right="191"/>
              <w:spacing w:after="0"/>
              <w:rPr>
                <w:sz w:val="20"/>
                <w:szCs w:val="20"/>
                <w:color w:val="auto"/>
              </w:rPr>
            </w:pPr>
            <w:r>
              <w:rPr>
                <w:rFonts w:ascii="Arial" w:cs="Arial" w:eastAsia="Arial" w:hAnsi="Arial"/>
                <w:sz w:val="18"/>
                <w:szCs w:val="18"/>
                <w:color w:val="auto"/>
              </w:rPr>
              <w:t>248,556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6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Accrued interest and other assets</w:t>
            </w: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451"/>
              <w:spacing w:after="0"/>
              <w:rPr>
                <w:sz w:val="20"/>
                <w:szCs w:val="20"/>
                <w:color w:val="auto"/>
              </w:rPr>
            </w:pPr>
            <w:r>
              <w:rPr>
                <w:rFonts w:ascii="Arial" w:cs="Arial" w:eastAsia="Arial" w:hAnsi="Arial"/>
                <w:sz w:val="18"/>
                <w:szCs w:val="18"/>
                <w:color w:val="auto"/>
                <w:w w:val="97"/>
              </w:rPr>
              <w:t>2,960,453</w:t>
            </w:r>
          </w:p>
        </w:tc>
        <w:tc>
          <w:tcPr>
            <w:tcW w:w="156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2,768,542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6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180" w:type="dxa"/>
            <w:vAlign w:val="bottom"/>
            <w:tcBorders>
              <w:top w:val="single" w:sz="8" w:color="auto"/>
              <w:bottom w:val="single" w:sz="8" w:color="auto"/>
            </w:tcBorders>
          </w:tcPr>
          <w:p>
            <w:pPr>
              <w:ind w:left="480"/>
              <w:spacing w:after="0"/>
              <w:rPr>
                <w:sz w:val="20"/>
                <w:szCs w:val="20"/>
                <w:color w:val="auto"/>
              </w:rPr>
            </w:pPr>
            <w:r>
              <w:rPr>
                <w:rFonts w:ascii="Arial" w:cs="Arial" w:eastAsia="Arial" w:hAnsi="Arial"/>
                <w:sz w:val="18"/>
                <w:szCs w:val="18"/>
                <w:color w:val="auto"/>
              </w:rPr>
              <w:t>Total assets</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8"/>
                <w:szCs w:val="18"/>
                <w:color w:val="auto"/>
                <w:w w:val="86"/>
              </w:rPr>
              <w:t>66,085,573</w:t>
            </w:r>
          </w:p>
        </w:tc>
        <w:tc>
          <w:tcPr>
            <w:tcW w:w="1560" w:type="dxa"/>
            <w:vAlign w:val="bottom"/>
            <w:tcBorders>
              <w:top w:val="single" w:sz="8" w:color="auto"/>
              <w:bottom w:val="single" w:sz="8" w:color="auto"/>
            </w:tcBorders>
          </w:tcPr>
          <w:p>
            <w:pPr>
              <w:jc w:val="right"/>
              <w:ind w:right="191"/>
              <w:spacing w:after="0"/>
              <w:rPr>
                <w:sz w:val="20"/>
                <w:szCs w:val="20"/>
                <w:color w:val="auto"/>
              </w:rPr>
            </w:pPr>
            <w:r>
              <w:rPr>
                <w:rFonts w:ascii="Arial" w:cs="Arial" w:eastAsia="Arial" w:hAnsi="Arial"/>
                <w:sz w:val="18"/>
                <w:szCs w:val="18"/>
                <w:color w:val="auto"/>
              </w:rPr>
              <w:t>64,875,639</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1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6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Noninterest-bearing deposits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451"/>
              <w:spacing w:after="0"/>
              <w:rPr>
                <w:sz w:val="20"/>
                <w:szCs w:val="20"/>
                <w:color w:val="auto"/>
              </w:rPr>
            </w:pPr>
            <w:r>
              <w:rPr>
                <w:rFonts w:ascii="Arial" w:cs="Arial" w:eastAsia="Arial" w:hAnsi="Arial"/>
                <w:sz w:val="18"/>
                <w:szCs w:val="18"/>
                <w:color w:val="auto"/>
                <w:w w:val="97"/>
              </w:rPr>
              <w:t>7,890,326</w:t>
            </w:r>
          </w:p>
        </w:tc>
        <w:tc>
          <w:tcPr>
            <w:tcW w:w="156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8,131,662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6400" w:type="dxa"/>
            <w:vAlign w:val="bottom"/>
            <w:gridSpan w:val="2"/>
          </w:tcPr>
          <w:p>
            <w:pPr>
              <w:ind w:left="220"/>
              <w:spacing w:after="0"/>
              <w:rPr>
                <w:sz w:val="20"/>
                <w:szCs w:val="20"/>
                <w:color w:val="auto"/>
              </w:rPr>
            </w:pPr>
            <w:r>
              <w:rPr>
                <w:rFonts w:ascii="Arial" w:cs="Arial" w:eastAsia="Arial" w:hAnsi="Arial"/>
                <w:sz w:val="18"/>
                <w:szCs w:val="18"/>
                <w:color w:val="auto"/>
              </w:rPr>
              <w:t>NOW accounts</w:t>
            </w:r>
          </w:p>
        </w:tc>
        <w:tc>
          <w:tcPr>
            <w:tcW w:w="420" w:type="dxa"/>
            <w:vAlign w:val="bottom"/>
          </w:tcPr>
          <w:p>
            <w:pPr>
              <w:spacing w:after="0"/>
              <w:rPr>
                <w:sz w:val="18"/>
                <w:szCs w:val="18"/>
                <w:color w:val="auto"/>
              </w:rPr>
            </w:pPr>
          </w:p>
        </w:tc>
        <w:tc>
          <w:tcPr>
            <w:tcW w:w="1340" w:type="dxa"/>
            <w:vAlign w:val="bottom"/>
          </w:tcPr>
          <w:p>
            <w:pPr>
              <w:jc w:val="right"/>
              <w:ind w:right="451"/>
              <w:spacing w:after="0"/>
              <w:rPr>
                <w:sz w:val="20"/>
                <w:szCs w:val="20"/>
                <w:color w:val="auto"/>
              </w:rPr>
            </w:pPr>
            <w:r>
              <w:rPr>
                <w:rFonts w:ascii="Arial" w:cs="Arial" w:eastAsia="Arial" w:hAnsi="Arial"/>
                <w:sz w:val="18"/>
                <w:szCs w:val="18"/>
                <w:color w:val="auto"/>
              </w:rPr>
              <w:t>946,018</w:t>
            </w:r>
          </w:p>
        </w:tc>
        <w:tc>
          <w:tcPr>
            <w:tcW w:w="1560" w:type="dxa"/>
            <w:vAlign w:val="bottom"/>
          </w:tcPr>
          <w:p>
            <w:pPr>
              <w:jc w:val="right"/>
              <w:ind w:right="191"/>
              <w:spacing w:after="0"/>
              <w:rPr>
                <w:sz w:val="20"/>
                <w:szCs w:val="20"/>
                <w:color w:val="auto"/>
              </w:rPr>
            </w:pPr>
            <w:r>
              <w:rPr>
                <w:rFonts w:ascii="Arial" w:cs="Arial" w:eastAsia="Arial" w:hAnsi="Arial"/>
                <w:sz w:val="18"/>
                <w:szCs w:val="18"/>
                <w:color w:val="auto"/>
              </w:rPr>
              <w:t>1,190,161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6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Savings deposits</w:t>
            </w: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451"/>
              <w:spacing w:after="0"/>
              <w:rPr>
                <w:sz w:val="20"/>
                <w:szCs w:val="20"/>
                <w:color w:val="auto"/>
              </w:rPr>
            </w:pPr>
            <w:r>
              <w:rPr>
                <w:rFonts w:ascii="Arial" w:cs="Arial" w:eastAsia="Arial" w:hAnsi="Arial"/>
                <w:sz w:val="18"/>
                <w:szCs w:val="18"/>
                <w:color w:val="auto"/>
                <w:w w:val="86"/>
              </w:rPr>
              <w:t>17,333,096</w:t>
            </w:r>
          </w:p>
        </w:tc>
        <w:tc>
          <w:tcPr>
            <w:tcW w:w="156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15,419,357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6400" w:type="dxa"/>
            <w:vAlign w:val="bottom"/>
            <w:gridSpan w:val="2"/>
          </w:tcPr>
          <w:p>
            <w:pPr>
              <w:ind w:left="220"/>
              <w:spacing w:after="0"/>
              <w:rPr>
                <w:sz w:val="20"/>
                <w:szCs w:val="20"/>
                <w:color w:val="auto"/>
              </w:rPr>
            </w:pPr>
            <w:r>
              <w:rPr>
                <w:rFonts w:ascii="Arial" w:cs="Arial" w:eastAsia="Arial" w:hAnsi="Arial"/>
                <w:sz w:val="18"/>
                <w:szCs w:val="18"/>
                <w:color w:val="auto"/>
              </w:rPr>
              <w:t>Time deposits</w:t>
            </w:r>
          </w:p>
        </w:tc>
        <w:tc>
          <w:tcPr>
            <w:tcW w:w="420" w:type="dxa"/>
            <w:vAlign w:val="bottom"/>
          </w:tcPr>
          <w:p>
            <w:pPr>
              <w:spacing w:after="0"/>
              <w:rPr>
                <w:sz w:val="18"/>
                <w:szCs w:val="18"/>
                <w:color w:val="auto"/>
              </w:rPr>
            </w:pPr>
          </w:p>
        </w:tc>
        <w:tc>
          <w:tcPr>
            <w:tcW w:w="1340" w:type="dxa"/>
            <w:vAlign w:val="bottom"/>
          </w:tcPr>
          <w:p>
            <w:pPr>
              <w:jc w:val="right"/>
              <w:ind w:right="451"/>
              <w:spacing w:after="0"/>
              <w:rPr>
                <w:sz w:val="20"/>
                <w:szCs w:val="20"/>
                <w:color w:val="auto"/>
              </w:rPr>
            </w:pPr>
            <w:r>
              <w:rPr>
                <w:rFonts w:ascii="Arial" w:cs="Arial" w:eastAsia="Arial" w:hAnsi="Arial"/>
                <w:sz w:val="18"/>
                <w:szCs w:val="18"/>
                <w:color w:val="auto"/>
                <w:w w:val="97"/>
              </w:rPr>
              <w:t>9,657,146</w:t>
            </w:r>
          </w:p>
        </w:tc>
        <w:tc>
          <w:tcPr>
            <w:tcW w:w="1560" w:type="dxa"/>
            <w:vAlign w:val="bottom"/>
          </w:tcPr>
          <w:p>
            <w:pPr>
              <w:jc w:val="right"/>
              <w:ind w:right="191"/>
              <w:spacing w:after="0"/>
              <w:rPr>
                <w:sz w:val="20"/>
                <w:szCs w:val="20"/>
                <w:color w:val="auto"/>
              </w:rPr>
            </w:pPr>
            <w:r>
              <w:rPr>
                <w:rFonts w:ascii="Arial" w:cs="Arial" w:eastAsia="Arial" w:hAnsi="Arial"/>
                <w:sz w:val="18"/>
                <w:szCs w:val="18"/>
                <w:color w:val="auto"/>
              </w:rPr>
              <w:t>10,668,581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6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Deposits at foreign office</w:t>
            </w: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451"/>
              <w:spacing w:after="0"/>
              <w:rPr>
                <w:sz w:val="20"/>
                <w:szCs w:val="20"/>
                <w:color w:val="auto"/>
              </w:rPr>
            </w:pPr>
            <w:r>
              <w:rPr>
                <w:rFonts w:ascii="Arial" w:cs="Arial" w:eastAsia="Arial" w:hAnsi="Arial"/>
                <w:sz w:val="18"/>
                <w:szCs w:val="18"/>
                <w:color w:val="auto"/>
                <w:w w:val="97"/>
              </w:rPr>
              <w:t>5,706,424</w:t>
            </w:r>
          </w:p>
        </w:tc>
        <w:tc>
          <w:tcPr>
            <w:tcW w:w="156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5,856,427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180" w:type="dxa"/>
            <w:vAlign w:val="bottom"/>
            <w:tcBorders>
              <w:top w:val="single" w:sz="8" w:color="auto"/>
              <w:bottom w:val="single" w:sz="8" w:color="auto"/>
            </w:tcBorders>
          </w:tcPr>
          <w:p>
            <w:pPr>
              <w:ind w:left="480"/>
              <w:spacing w:after="0"/>
              <w:rPr>
                <w:sz w:val="20"/>
                <w:szCs w:val="20"/>
                <w:color w:val="auto"/>
              </w:rPr>
            </w:pPr>
            <w:r>
              <w:rPr>
                <w:rFonts w:ascii="Arial" w:cs="Arial" w:eastAsia="Arial" w:hAnsi="Arial"/>
                <w:sz w:val="18"/>
                <w:szCs w:val="18"/>
                <w:color w:val="auto"/>
              </w:rPr>
              <w:t>Total deposits</w:t>
            </w:r>
          </w:p>
        </w:tc>
        <w:tc>
          <w:tcPr>
            <w:tcW w:w="420" w:type="dxa"/>
            <w:vAlign w:val="bottom"/>
            <w:tcBorders>
              <w:top w:val="single" w:sz="8" w:color="auto"/>
              <w:bottom w:val="single" w:sz="8" w:color="auto"/>
            </w:tcBorders>
          </w:tcPr>
          <w:p>
            <w:pPr>
              <w:spacing w:after="0"/>
              <w:rPr>
                <w:sz w:val="20"/>
                <w:szCs w:val="20"/>
                <w:color w:val="auto"/>
              </w:rPr>
            </w:pPr>
          </w:p>
        </w:tc>
        <w:tc>
          <w:tcPr>
            <w:tcW w:w="134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8"/>
                <w:szCs w:val="18"/>
                <w:color w:val="auto"/>
                <w:w w:val="86"/>
              </w:rPr>
              <w:t>41,533,010</w:t>
            </w:r>
          </w:p>
        </w:tc>
        <w:tc>
          <w:tcPr>
            <w:tcW w:w="1560" w:type="dxa"/>
            <w:vAlign w:val="bottom"/>
            <w:tcBorders>
              <w:top w:val="single" w:sz="8" w:color="auto"/>
              <w:bottom w:val="single" w:sz="8" w:color="auto"/>
            </w:tcBorders>
          </w:tcPr>
          <w:p>
            <w:pPr>
              <w:jc w:val="right"/>
              <w:ind w:right="191"/>
              <w:spacing w:after="0"/>
              <w:rPr>
                <w:sz w:val="20"/>
                <w:szCs w:val="20"/>
                <w:color w:val="auto"/>
              </w:rPr>
            </w:pPr>
            <w:r>
              <w:rPr>
                <w:rFonts w:ascii="Arial" w:cs="Arial" w:eastAsia="Arial" w:hAnsi="Arial"/>
                <w:sz w:val="18"/>
                <w:szCs w:val="18"/>
                <w:color w:val="auto"/>
              </w:rPr>
              <w:t>41,266,188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6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Federal funds purchased and agreements to repurchase securities</w:t>
            </w: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451"/>
              <w:spacing w:after="0"/>
              <w:rPr>
                <w:sz w:val="20"/>
                <w:szCs w:val="20"/>
                <w:color w:val="auto"/>
              </w:rPr>
            </w:pPr>
            <w:r>
              <w:rPr>
                <w:rFonts w:ascii="Arial" w:cs="Arial" w:eastAsia="Arial" w:hAnsi="Arial"/>
                <w:sz w:val="18"/>
                <w:szCs w:val="18"/>
                <w:color w:val="auto"/>
                <w:w w:val="97"/>
              </w:rPr>
              <w:t>4,310,957</w:t>
            </w:r>
          </w:p>
        </w:tc>
        <w:tc>
          <w:tcPr>
            <w:tcW w:w="156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4,351,313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6400" w:type="dxa"/>
            <w:vAlign w:val="bottom"/>
            <w:gridSpan w:val="2"/>
          </w:tcPr>
          <w:p>
            <w:pPr>
              <w:ind w:left="220"/>
              <w:spacing w:after="0"/>
              <w:rPr>
                <w:sz w:val="20"/>
                <w:szCs w:val="20"/>
                <w:color w:val="auto"/>
              </w:rPr>
            </w:pPr>
            <w:r>
              <w:rPr>
                <w:rFonts w:ascii="Arial" w:cs="Arial" w:eastAsia="Arial" w:hAnsi="Arial"/>
                <w:sz w:val="18"/>
                <w:szCs w:val="18"/>
                <w:color w:val="auto"/>
              </w:rPr>
              <w:t>Other short-term borrowings</w:t>
            </w:r>
          </w:p>
        </w:tc>
        <w:tc>
          <w:tcPr>
            <w:tcW w:w="420" w:type="dxa"/>
            <w:vAlign w:val="bottom"/>
          </w:tcPr>
          <w:p>
            <w:pPr>
              <w:spacing w:after="0"/>
              <w:rPr>
                <w:sz w:val="18"/>
                <w:szCs w:val="18"/>
                <w:color w:val="auto"/>
              </w:rPr>
            </w:pPr>
          </w:p>
        </w:tc>
        <w:tc>
          <w:tcPr>
            <w:tcW w:w="1340" w:type="dxa"/>
            <w:vAlign w:val="bottom"/>
          </w:tcPr>
          <w:p>
            <w:pPr>
              <w:jc w:val="right"/>
              <w:ind w:right="451"/>
              <w:spacing w:after="0"/>
              <w:rPr>
                <w:sz w:val="20"/>
                <w:szCs w:val="20"/>
                <w:color w:val="auto"/>
              </w:rPr>
            </w:pPr>
            <w:r>
              <w:rPr>
                <w:rFonts w:ascii="Arial" w:cs="Arial" w:eastAsia="Arial" w:hAnsi="Arial"/>
                <w:sz w:val="18"/>
                <w:szCs w:val="18"/>
                <w:color w:val="auto"/>
                <w:w w:val="97"/>
              </w:rPr>
              <w:t>1,884,477</w:t>
            </w:r>
          </w:p>
        </w:tc>
        <w:tc>
          <w:tcPr>
            <w:tcW w:w="1560" w:type="dxa"/>
            <w:vAlign w:val="bottom"/>
          </w:tcPr>
          <w:p>
            <w:pPr>
              <w:jc w:val="right"/>
              <w:ind w:right="191"/>
              <w:spacing w:after="0"/>
              <w:rPr>
                <w:sz w:val="20"/>
                <w:szCs w:val="20"/>
                <w:color w:val="auto"/>
              </w:rPr>
            </w:pPr>
            <w:r>
              <w:rPr>
                <w:rFonts w:ascii="Arial" w:cs="Arial" w:eastAsia="Arial" w:hAnsi="Arial"/>
                <w:sz w:val="18"/>
                <w:szCs w:val="18"/>
                <w:color w:val="auto"/>
              </w:rPr>
              <w:t>1,470,584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6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Accrued interest and other liabilities</w:t>
            </w: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451"/>
              <w:spacing w:after="0"/>
              <w:rPr>
                <w:sz w:val="20"/>
                <w:szCs w:val="20"/>
                <w:color w:val="auto"/>
              </w:rPr>
            </w:pPr>
            <w:r>
              <w:rPr>
                <w:rFonts w:ascii="Arial" w:cs="Arial" w:eastAsia="Arial" w:hAnsi="Arial"/>
                <w:sz w:val="18"/>
                <w:szCs w:val="18"/>
                <w:color w:val="auto"/>
                <w:w w:val="97"/>
              </w:rPr>
              <w:t>1,196,756</w:t>
            </w:r>
          </w:p>
        </w:tc>
        <w:tc>
          <w:tcPr>
            <w:tcW w:w="156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984,353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6400" w:type="dxa"/>
            <w:vAlign w:val="bottom"/>
            <w:gridSpan w:val="2"/>
          </w:tcPr>
          <w:p>
            <w:pPr>
              <w:ind w:left="220"/>
              <w:spacing w:after="0"/>
              <w:rPr>
                <w:sz w:val="20"/>
                <w:szCs w:val="20"/>
                <w:color w:val="auto"/>
              </w:rPr>
            </w:pPr>
            <w:r>
              <w:rPr>
                <w:rFonts w:ascii="Arial" w:cs="Arial" w:eastAsia="Arial" w:hAnsi="Arial"/>
                <w:sz w:val="18"/>
                <w:szCs w:val="18"/>
                <w:color w:val="auto"/>
              </w:rPr>
              <w:t>Long-term borrowings</w:t>
            </w:r>
          </w:p>
        </w:tc>
        <w:tc>
          <w:tcPr>
            <w:tcW w:w="420" w:type="dxa"/>
            <w:vAlign w:val="bottom"/>
          </w:tcPr>
          <w:p>
            <w:pPr>
              <w:spacing w:after="0"/>
              <w:rPr>
                <w:sz w:val="19"/>
                <w:szCs w:val="19"/>
                <w:color w:val="auto"/>
              </w:rPr>
            </w:pPr>
          </w:p>
        </w:tc>
        <w:tc>
          <w:tcPr>
            <w:tcW w:w="1340" w:type="dxa"/>
            <w:vAlign w:val="bottom"/>
          </w:tcPr>
          <w:p>
            <w:pPr>
              <w:jc w:val="right"/>
              <w:ind w:right="451"/>
              <w:spacing w:after="0"/>
              <w:rPr>
                <w:sz w:val="20"/>
                <w:szCs w:val="20"/>
                <w:color w:val="auto"/>
              </w:rPr>
            </w:pPr>
            <w:r>
              <w:rPr>
                <w:rFonts w:ascii="Arial" w:cs="Arial" w:eastAsia="Arial" w:hAnsi="Arial"/>
                <w:sz w:val="18"/>
                <w:szCs w:val="18"/>
                <w:color w:val="auto"/>
                <w:w w:val="86"/>
              </w:rPr>
              <w:t>10,672,411</w:t>
            </w:r>
          </w:p>
        </w:tc>
        <w:tc>
          <w:tcPr>
            <w:tcW w:w="1560" w:type="dxa"/>
            <w:vAlign w:val="bottom"/>
          </w:tcPr>
          <w:p>
            <w:pPr>
              <w:jc w:val="right"/>
              <w:ind w:right="191"/>
              <w:spacing w:after="0"/>
              <w:rPr>
                <w:sz w:val="20"/>
                <w:szCs w:val="20"/>
                <w:color w:val="auto"/>
              </w:rPr>
            </w:pPr>
            <w:r>
              <w:rPr>
                <w:rFonts w:ascii="Arial" w:cs="Arial" w:eastAsia="Arial" w:hAnsi="Arial"/>
                <w:sz w:val="18"/>
                <w:szCs w:val="18"/>
                <w:color w:val="auto"/>
              </w:rPr>
              <w:t>10,317,945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180" w:type="dxa"/>
            <w:vAlign w:val="bottom"/>
            <w:tcBorders>
              <w:top w:val="single" w:sz="8" w:color="auto"/>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Total liabilities</w:t>
            </w: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ind w:right="451"/>
              <w:spacing w:after="0"/>
              <w:rPr>
                <w:sz w:val="20"/>
                <w:szCs w:val="20"/>
                <w:color w:val="auto"/>
              </w:rPr>
            </w:pPr>
            <w:r>
              <w:rPr>
                <w:rFonts w:ascii="Arial" w:cs="Arial" w:eastAsia="Arial" w:hAnsi="Arial"/>
                <w:sz w:val="18"/>
                <w:szCs w:val="18"/>
                <w:color w:val="auto"/>
                <w:w w:val="86"/>
              </w:rPr>
              <w:t>59,597,611</w:t>
            </w:r>
          </w:p>
        </w:tc>
        <w:tc>
          <w:tcPr>
            <w:tcW w:w="1560" w:type="dxa"/>
            <w:vAlign w:val="bottom"/>
            <w:tcBorders>
              <w:top w:val="single" w:sz="8" w:color="auto"/>
              <w:bottom w:val="single" w:sz="8" w:color="auto"/>
            </w:tcBorders>
            <w:shd w:val="clear" w:color="auto" w:fill="CCEEFF"/>
          </w:tcPr>
          <w:p>
            <w:pPr>
              <w:jc w:val="right"/>
              <w:ind w:right="191"/>
              <w:spacing w:after="0"/>
              <w:rPr>
                <w:sz w:val="20"/>
                <w:szCs w:val="20"/>
                <w:color w:val="auto"/>
              </w:rPr>
            </w:pPr>
            <w:r>
              <w:rPr>
                <w:rFonts w:ascii="Arial" w:cs="Arial" w:eastAsia="Arial" w:hAnsi="Arial"/>
                <w:sz w:val="18"/>
                <w:szCs w:val="18"/>
                <w:color w:val="auto"/>
              </w:rPr>
              <w:t>58,390,383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Stockholders’ equity</w:t>
            </w:r>
          </w:p>
        </w:tc>
        <w:tc>
          <w:tcPr>
            <w:tcW w:w="6400" w:type="dxa"/>
            <w:vAlign w:val="bottom"/>
            <w:gridSpan w:val="2"/>
          </w:tcPr>
          <w:p>
            <w:pPr>
              <w:ind w:left="220"/>
              <w:spacing w:after="0"/>
              <w:rPr>
                <w:sz w:val="20"/>
                <w:szCs w:val="20"/>
                <w:color w:val="auto"/>
              </w:rPr>
            </w:pPr>
            <w:r>
              <w:rPr>
                <w:rFonts w:ascii="Arial" w:cs="Arial" w:eastAsia="Arial" w:hAnsi="Arial"/>
                <w:sz w:val="18"/>
                <w:szCs w:val="18"/>
                <w:color w:val="auto"/>
              </w:rPr>
              <w:t>Preferred stock, $1 par, 1,000,000 shares authorized, none outstanding</w:t>
            </w:r>
          </w:p>
        </w:tc>
        <w:tc>
          <w:tcPr>
            <w:tcW w:w="420" w:type="dxa"/>
            <w:vAlign w:val="bottom"/>
          </w:tcPr>
          <w:p>
            <w:pPr>
              <w:spacing w:after="0"/>
              <w:rPr>
                <w:sz w:val="19"/>
                <w:szCs w:val="19"/>
                <w:color w:val="auto"/>
              </w:rPr>
            </w:pPr>
          </w:p>
        </w:tc>
        <w:tc>
          <w:tcPr>
            <w:tcW w:w="1340" w:type="dxa"/>
            <w:vAlign w:val="bottom"/>
          </w:tcPr>
          <w:p>
            <w:pPr>
              <w:jc w:val="right"/>
              <w:ind w:right="451"/>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1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6400" w:type="dxa"/>
            <w:vAlign w:val="bottom"/>
            <w:gridSpan w:val="2"/>
            <w:shd w:val="clear" w:color="auto" w:fill="CCEEFF"/>
          </w:tcPr>
          <w:p>
            <w:pPr>
              <w:ind w:left="220"/>
              <w:spacing w:after="0" w:line="201" w:lineRule="exact"/>
              <w:rPr>
                <w:sz w:val="20"/>
                <w:szCs w:val="20"/>
                <w:color w:val="auto"/>
              </w:rPr>
            </w:pPr>
            <w:r>
              <w:rPr>
                <w:rFonts w:ascii="Arial" w:cs="Arial" w:eastAsia="Arial" w:hAnsi="Arial"/>
                <w:sz w:val="18"/>
                <w:szCs w:val="18"/>
                <w:color w:val="auto"/>
                <w:w w:val="98"/>
              </w:rPr>
              <w:t>Common stock, $.50 par, 250,000,000 shares authorized, 120,396,611 shares</w:t>
            </w:r>
          </w:p>
        </w:tc>
        <w:tc>
          <w:tcPr>
            <w:tcW w:w="4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issued at March 31, 2008 and at December 31, 2007</w:t>
            </w:r>
          </w:p>
        </w:tc>
        <w:tc>
          <w:tcPr>
            <w:tcW w:w="420" w:type="dxa"/>
            <w:vAlign w:val="bottom"/>
            <w:shd w:val="clear" w:color="auto" w:fill="CCEEFF"/>
          </w:tcPr>
          <w:p>
            <w:pPr>
              <w:spacing w:after="0"/>
              <w:rPr>
                <w:sz w:val="20"/>
                <w:szCs w:val="20"/>
                <w:color w:val="auto"/>
              </w:rPr>
            </w:pPr>
          </w:p>
        </w:tc>
        <w:tc>
          <w:tcPr>
            <w:tcW w:w="1340" w:type="dxa"/>
            <w:vAlign w:val="bottom"/>
            <w:shd w:val="clear" w:color="auto" w:fill="CCEEFF"/>
          </w:tcPr>
          <w:p>
            <w:pPr>
              <w:jc w:val="right"/>
              <w:ind w:right="451"/>
              <w:spacing w:after="0"/>
              <w:rPr>
                <w:sz w:val="20"/>
                <w:szCs w:val="20"/>
                <w:color w:val="auto"/>
              </w:rPr>
            </w:pPr>
            <w:r>
              <w:rPr>
                <w:rFonts w:ascii="Arial" w:cs="Arial" w:eastAsia="Arial" w:hAnsi="Arial"/>
                <w:sz w:val="18"/>
                <w:szCs w:val="18"/>
                <w:color w:val="auto"/>
              </w:rPr>
              <w:t>60,198</w:t>
            </w:r>
          </w:p>
        </w:tc>
        <w:tc>
          <w:tcPr>
            <w:tcW w:w="156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60,198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6400" w:type="dxa"/>
            <w:vAlign w:val="bottom"/>
            <w:gridSpan w:val="2"/>
          </w:tcPr>
          <w:p>
            <w:pPr>
              <w:ind w:left="220"/>
              <w:spacing w:after="0" w:line="201" w:lineRule="exact"/>
              <w:rPr>
                <w:sz w:val="20"/>
                <w:szCs w:val="20"/>
                <w:color w:val="auto"/>
              </w:rPr>
            </w:pPr>
            <w:r>
              <w:rPr>
                <w:rFonts w:ascii="Arial" w:cs="Arial" w:eastAsia="Arial" w:hAnsi="Arial"/>
                <w:sz w:val="18"/>
                <w:szCs w:val="18"/>
                <w:color w:val="auto"/>
              </w:rPr>
              <w:t>Common stock issuable, 77,364 shares at March 31, 2008; 82,912 shares at</w:t>
            </w:r>
          </w:p>
        </w:tc>
        <w:tc>
          <w:tcPr>
            <w:tcW w:w="4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180" w:type="dxa"/>
            <w:vAlign w:val="bottom"/>
          </w:tcPr>
          <w:p>
            <w:pPr>
              <w:ind w:left="200"/>
              <w:spacing w:after="0"/>
              <w:rPr>
                <w:sz w:val="20"/>
                <w:szCs w:val="20"/>
                <w:color w:val="auto"/>
              </w:rPr>
            </w:pPr>
            <w:r>
              <w:rPr>
                <w:rFonts w:ascii="Arial" w:cs="Arial" w:eastAsia="Arial" w:hAnsi="Arial"/>
                <w:sz w:val="18"/>
                <w:szCs w:val="18"/>
                <w:color w:val="auto"/>
              </w:rPr>
              <w:t>December 31, 2007</w:t>
            </w:r>
          </w:p>
        </w:tc>
        <w:tc>
          <w:tcPr>
            <w:tcW w:w="420" w:type="dxa"/>
            <w:vAlign w:val="bottom"/>
          </w:tcPr>
          <w:p>
            <w:pPr>
              <w:spacing w:after="0"/>
              <w:rPr>
                <w:sz w:val="20"/>
                <w:szCs w:val="20"/>
                <w:color w:val="auto"/>
              </w:rPr>
            </w:pPr>
          </w:p>
        </w:tc>
        <w:tc>
          <w:tcPr>
            <w:tcW w:w="1340" w:type="dxa"/>
            <w:vAlign w:val="bottom"/>
          </w:tcPr>
          <w:p>
            <w:pPr>
              <w:jc w:val="right"/>
              <w:ind w:right="451"/>
              <w:spacing w:after="0"/>
              <w:rPr>
                <w:sz w:val="20"/>
                <w:szCs w:val="20"/>
                <w:color w:val="auto"/>
              </w:rPr>
            </w:pPr>
            <w:r>
              <w:rPr>
                <w:rFonts w:ascii="Arial" w:cs="Arial" w:eastAsia="Arial" w:hAnsi="Arial"/>
                <w:sz w:val="18"/>
                <w:szCs w:val="18"/>
                <w:color w:val="auto"/>
              </w:rPr>
              <w:t>4,529</w:t>
            </w:r>
          </w:p>
        </w:tc>
        <w:tc>
          <w:tcPr>
            <w:tcW w:w="1560" w:type="dxa"/>
            <w:vAlign w:val="bottom"/>
          </w:tcPr>
          <w:p>
            <w:pPr>
              <w:jc w:val="right"/>
              <w:ind w:right="191"/>
              <w:spacing w:after="0"/>
              <w:rPr>
                <w:sz w:val="20"/>
                <w:szCs w:val="20"/>
                <w:color w:val="auto"/>
              </w:rPr>
            </w:pPr>
            <w:r>
              <w:rPr>
                <w:rFonts w:ascii="Arial" w:cs="Arial" w:eastAsia="Arial" w:hAnsi="Arial"/>
                <w:sz w:val="18"/>
                <w:szCs w:val="18"/>
                <w:color w:val="auto"/>
              </w:rPr>
              <w:t>4,776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6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Additional paid-in capital</w:t>
            </w: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451"/>
              <w:spacing w:after="0"/>
              <w:rPr>
                <w:sz w:val="20"/>
                <w:szCs w:val="20"/>
                <w:color w:val="auto"/>
              </w:rPr>
            </w:pPr>
            <w:r>
              <w:rPr>
                <w:rFonts w:ascii="Arial" w:cs="Arial" w:eastAsia="Arial" w:hAnsi="Arial"/>
                <w:sz w:val="18"/>
                <w:szCs w:val="18"/>
                <w:color w:val="auto"/>
                <w:w w:val="97"/>
              </w:rPr>
              <w:t>2,849,320</w:t>
            </w:r>
          </w:p>
        </w:tc>
        <w:tc>
          <w:tcPr>
            <w:tcW w:w="156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2,848,752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6400" w:type="dxa"/>
            <w:vAlign w:val="bottom"/>
            <w:gridSpan w:val="2"/>
          </w:tcPr>
          <w:p>
            <w:pPr>
              <w:ind w:left="220"/>
              <w:spacing w:after="0"/>
              <w:rPr>
                <w:sz w:val="20"/>
                <w:szCs w:val="20"/>
                <w:color w:val="auto"/>
              </w:rPr>
            </w:pPr>
            <w:r>
              <w:rPr>
                <w:rFonts w:ascii="Arial" w:cs="Arial" w:eastAsia="Arial" w:hAnsi="Arial"/>
                <w:sz w:val="18"/>
                <w:szCs w:val="18"/>
                <w:color w:val="auto"/>
              </w:rPr>
              <w:t>Retained earnings</w:t>
            </w:r>
          </w:p>
        </w:tc>
        <w:tc>
          <w:tcPr>
            <w:tcW w:w="420" w:type="dxa"/>
            <w:vAlign w:val="bottom"/>
          </w:tcPr>
          <w:p>
            <w:pPr>
              <w:spacing w:after="0"/>
              <w:rPr>
                <w:sz w:val="18"/>
                <w:szCs w:val="18"/>
                <w:color w:val="auto"/>
              </w:rPr>
            </w:pPr>
          </w:p>
        </w:tc>
        <w:tc>
          <w:tcPr>
            <w:tcW w:w="1340" w:type="dxa"/>
            <w:vAlign w:val="bottom"/>
          </w:tcPr>
          <w:p>
            <w:pPr>
              <w:jc w:val="right"/>
              <w:ind w:right="451"/>
              <w:spacing w:after="0"/>
              <w:rPr>
                <w:sz w:val="20"/>
                <w:szCs w:val="20"/>
                <w:color w:val="auto"/>
              </w:rPr>
            </w:pPr>
            <w:r>
              <w:rPr>
                <w:rFonts w:ascii="Arial" w:cs="Arial" w:eastAsia="Arial" w:hAnsi="Arial"/>
                <w:sz w:val="18"/>
                <w:szCs w:val="18"/>
                <w:color w:val="auto"/>
                <w:w w:val="97"/>
              </w:rPr>
              <w:t>4,940,723</w:t>
            </w:r>
          </w:p>
        </w:tc>
        <w:tc>
          <w:tcPr>
            <w:tcW w:w="1560" w:type="dxa"/>
            <w:vAlign w:val="bottom"/>
          </w:tcPr>
          <w:p>
            <w:pPr>
              <w:jc w:val="right"/>
              <w:ind w:right="191"/>
              <w:spacing w:after="0"/>
              <w:rPr>
                <w:sz w:val="20"/>
                <w:szCs w:val="20"/>
                <w:color w:val="auto"/>
              </w:rPr>
            </w:pPr>
            <w:r>
              <w:rPr>
                <w:rFonts w:ascii="Arial" w:cs="Arial" w:eastAsia="Arial" w:hAnsi="Arial"/>
                <w:sz w:val="18"/>
                <w:szCs w:val="18"/>
                <w:color w:val="auto"/>
              </w:rPr>
              <w:t>4,815,585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6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Accumulated other comprehensive income (loss), net</w:t>
            </w: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391"/>
              <w:spacing w:after="0"/>
              <w:rPr>
                <w:sz w:val="20"/>
                <w:szCs w:val="20"/>
                <w:color w:val="auto"/>
              </w:rPr>
            </w:pPr>
            <w:r>
              <w:rPr>
                <w:rFonts w:ascii="Arial" w:cs="Arial" w:eastAsia="Arial" w:hAnsi="Arial"/>
                <w:sz w:val="18"/>
                <w:szCs w:val="18"/>
                <w:color w:val="auto"/>
              </w:rPr>
              <w:t>(259,484)</w:t>
            </w:r>
          </w:p>
        </w:tc>
        <w:tc>
          <w:tcPr>
            <w:tcW w:w="15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(114,822)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6400" w:type="dxa"/>
            <w:vAlign w:val="bottom"/>
            <w:gridSpan w:val="2"/>
          </w:tcPr>
          <w:p>
            <w:pPr>
              <w:ind w:left="220"/>
              <w:spacing w:after="0" w:line="201" w:lineRule="exact"/>
              <w:rPr>
                <w:sz w:val="20"/>
                <w:szCs w:val="20"/>
                <w:color w:val="auto"/>
              </w:rPr>
            </w:pPr>
            <w:r>
              <w:rPr>
                <w:rFonts w:ascii="Arial" w:cs="Arial" w:eastAsia="Arial" w:hAnsi="Arial"/>
                <w:sz w:val="18"/>
                <w:szCs w:val="18"/>
                <w:color w:val="auto"/>
              </w:rPr>
              <w:t>Treasury stock - common, at cost - 10,365,863 shares at March 31, 2008;</w:t>
            </w:r>
          </w:p>
        </w:tc>
        <w:tc>
          <w:tcPr>
            <w:tcW w:w="4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18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10,544,259 shares at December 31, 2007</w:t>
            </w:r>
          </w:p>
        </w:tc>
        <w:tc>
          <w:tcPr>
            <w:tcW w:w="4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391"/>
              <w:spacing w:after="0"/>
              <w:rPr>
                <w:sz w:val="20"/>
                <w:szCs w:val="20"/>
                <w:color w:val="auto"/>
              </w:rPr>
            </w:pPr>
            <w:r>
              <w:rPr>
                <w:rFonts w:ascii="Arial" w:cs="Arial" w:eastAsia="Arial" w:hAnsi="Arial"/>
                <w:sz w:val="18"/>
                <w:szCs w:val="18"/>
                <w:color w:val="auto"/>
                <w:w w:val="91"/>
              </w:rPr>
              <w:t>(1,107,324)</w:t>
            </w:r>
          </w:p>
        </w:tc>
        <w:tc>
          <w:tcPr>
            <w:tcW w:w="156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(1,129,233)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18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Total stockholders’ equity</w:t>
            </w:r>
          </w:p>
        </w:tc>
        <w:tc>
          <w:tcPr>
            <w:tcW w:w="4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451"/>
              <w:spacing w:after="0"/>
              <w:rPr>
                <w:sz w:val="20"/>
                <w:szCs w:val="20"/>
                <w:color w:val="auto"/>
              </w:rPr>
            </w:pPr>
            <w:r>
              <w:rPr>
                <w:rFonts w:ascii="Arial" w:cs="Arial" w:eastAsia="Arial" w:hAnsi="Arial"/>
                <w:sz w:val="18"/>
                <w:szCs w:val="18"/>
                <w:color w:val="auto"/>
                <w:w w:val="97"/>
              </w:rPr>
              <w:t>6,487,962</w:t>
            </w:r>
          </w:p>
        </w:tc>
        <w:tc>
          <w:tcPr>
            <w:tcW w:w="156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8"/>
                <w:szCs w:val="18"/>
                <w:color w:val="auto"/>
              </w:rPr>
              <w:t>6,485,256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6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18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Total liabilities and stockholders’ equity</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color w:val="auto"/>
                <w:w w:val="86"/>
              </w:rPr>
              <w:t>66,085,573</w:t>
            </w:r>
          </w:p>
        </w:tc>
        <w:tc>
          <w:tcPr>
            <w:tcW w:w="156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rPr>
              <w:t>64,875,639</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6400" w:type="dxa"/>
            <w:vAlign w:val="bottom"/>
            <w:gridSpan w:val="2"/>
          </w:tcPr>
          <w:p>
            <w:pPr>
              <w:ind w:left="3860"/>
              <w:spacing w:after="0"/>
              <w:rPr>
                <w:sz w:val="20"/>
                <w:szCs w:val="20"/>
                <w:color w:val="auto"/>
              </w:rPr>
            </w:pPr>
            <w:r>
              <w:rPr>
                <w:rFonts w:ascii="Arial" w:cs="Arial" w:eastAsia="Arial" w:hAnsi="Arial"/>
                <w:sz w:val="18"/>
                <w:szCs w:val="18"/>
                <w:color w:val="auto"/>
              </w:rPr>
              <w:t>- 3 -</w:t>
            </w:r>
          </w:p>
        </w:tc>
        <w:tc>
          <w:tcPr>
            <w:tcW w:w="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68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618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1340" w:type="dxa"/>
            <w:vAlign w:val="bottom"/>
            <w:tcBorders>
              <w:bottom w:val="single" w:sz="8" w:color="808080"/>
            </w:tcBorders>
          </w:tcPr>
          <w:p>
            <w:pPr>
              <w:spacing w:after="0"/>
              <w:rPr>
                <w:sz w:val="19"/>
                <w:szCs w:val="19"/>
                <w:color w:val="auto"/>
              </w:rPr>
            </w:pPr>
          </w:p>
        </w:tc>
        <w:tc>
          <w:tcPr>
            <w:tcW w:w="15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3720" w:firstLine="3721"/>
        <w:spacing w:after="0" w:line="402" w:lineRule="auto"/>
        <w:rPr>
          <w:sz w:val="20"/>
          <w:szCs w:val="20"/>
          <w:color w:val="auto"/>
        </w:rPr>
      </w:pPr>
      <w:r>
        <w:rPr>
          <w:rFonts w:ascii="Arial" w:cs="Arial" w:eastAsia="Arial" w:hAnsi="Arial"/>
          <w:sz w:val="18"/>
          <w:szCs w:val="18"/>
          <w:color w:val="auto"/>
        </w:rPr>
        <w:t>M&amp;T BANK CORPORATION AND SUBSIDIARIES CONSOLIDATED STATEMENT OF INCOME (Unaudited)</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760" w:type="dxa"/>
            <w:vAlign w:val="bottom"/>
            <w:gridSpan w:val="2"/>
          </w:tcPr>
          <w:p>
            <w:pPr>
              <w:jc w:val="right"/>
              <w:ind w:right="570"/>
              <w:spacing w:after="0"/>
              <w:rPr>
                <w:sz w:val="20"/>
                <w:szCs w:val="20"/>
                <w:color w:val="auto"/>
              </w:rPr>
            </w:pPr>
            <w:r>
              <w:rPr>
                <w:rFonts w:ascii="Arial" w:cs="Arial" w:eastAsia="Arial" w:hAnsi="Arial"/>
                <w:sz w:val="14"/>
                <w:szCs w:val="14"/>
                <w:color w:val="auto"/>
              </w:rPr>
              <w:t>Three months ended March 31</w:t>
            </w:r>
          </w:p>
        </w:tc>
      </w:tr>
      <w:tr>
        <w:trPr>
          <w:trHeight w:val="174"/>
        </w:trPr>
        <w:tc>
          <w:tcPr>
            <w:tcW w:w="2360" w:type="dxa"/>
            <w:vAlign w:val="bottom"/>
            <w:gridSpan w:val="2"/>
          </w:tcPr>
          <w:p>
            <w:pPr>
              <w:spacing w:after="0"/>
              <w:rPr>
                <w:sz w:val="20"/>
                <w:szCs w:val="20"/>
                <w:color w:val="auto"/>
              </w:rPr>
            </w:pPr>
            <w:r>
              <w:rPr>
                <w:rFonts w:ascii="Arial" w:cs="Arial" w:eastAsia="Arial" w:hAnsi="Arial"/>
                <w:sz w:val="14"/>
                <w:szCs w:val="14"/>
                <w:i w:val="1"/>
                <w:iCs w:val="1"/>
                <w:color w:val="auto"/>
              </w:rPr>
              <w:t>In thousands, except per share</w:t>
            </w:r>
          </w:p>
        </w:tc>
        <w:tc>
          <w:tcPr>
            <w:tcW w:w="600" w:type="dxa"/>
            <w:vAlign w:val="bottom"/>
          </w:tcPr>
          <w:p>
            <w:pPr>
              <w:spacing w:after="0"/>
              <w:rPr>
                <w:sz w:val="15"/>
                <w:szCs w:val="15"/>
                <w:color w:val="auto"/>
              </w:rPr>
            </w:pPr>
          </w:p>
        </w:tc>
        <w:tc>
          <w:tcPr>
            <w:tcW w:w="48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40" w:type="dxa"/>
            <w:vAlign w:val="bottom"/>
          </w:tcPr>
          <w:p>
            <w:pPr>
              <w:jc w:val="right"/>
              <w:ind w:right="711"/>
              <w:spacing w:after="0"/>
              <w:rPr>
                <w:sz w:val="20"/>
                <w:szCs w:val="20"/>
                <w:color w:val="auto"/>
              </w:rPr>
            </w:pPr>
            <w:r>
              <w:rPr>
                <w:rFonts w:ascii="Arial" w:cs="Arial" w:eastAsia="Arial" w:hAnsi="Arial"/>
                <w:sz w:val="14"/>
                <w:szCs w:val="14"/>
                <w:color w:val="auto"/>
              </w:rPr>
              <w:t>2008</w:t>
            </w:r>
          </w:p>
        </w:tc>
        <w:tc>
          <w:tcPr>
            <w:tcW w:w="1520" w:type="dxa"/>
            <w:vAlign w:val="bottom"/>
          </w:tcPr>
          <w:p>
            <w:pPr>
              <w:jc w:val="right"/>
              <w:ind w:right="410"/>
              <w:spacing w:after="0"/>
              <w:rPr>
                <w:sz w:val="20"/>
                <w:szCs w:val="20"/>
                <w:color w:val="auto"/>
              </w:rPr>
            </w:pPr>
            <w:r>
              <w:rPr>
                <w:rFonts w:ascii="Arial" w:cs="Arial" w:eastAsia="Arial" w:hAnsi="Arial"/>
                <w:sz w:val="14"/>
                <w:szCs w:val="14"/>
                <w:color w:val="auto"/>
              </w:rPr>
              <w:t>2007</w:t>
            </w:r>
          </w:p>
        </w:tc>
      </w:tr>
      <w:tr>
        <w:trPr>
          <w:trHeight w:val="216"/>
        </w:trPr>
        <w:tc>
          <w:tcPr>
            <w:tcW w:w="20" w:type="dxa"/>
            <w:vAlign w:val="bottom"/>
          </w:tcPr>
          <w:p>
            <w:pPr>
              <w:spacing w:after="0"/>
              <w:rPr>
                <w:sz w:val="18"/>
                <w:szCs w:val="18"/>
                <w:color w:val="auto"/>
              </w:rPr>
            </w:pPr>
          </w:p>
        </w:tc>
        <w:tc>
          <w:tcPr>
            <w:tcW w:w="2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5420" w:type="dxa"/>
            <w:vAlign w:val="bottom"/>
            <w:tcBorders>
              <w:top w:val="single" w:sz="8" w:color="auto"/>
            </w:tcBorders>
            <w:gridSpan w:val="2"/>
            <w:shd w:val="clear" w:color="auto" w:fill="CCEEFF"/>
          </w:tcPr>
          <w:p>
            <w:pPr>
              <w:ind w:left="600"/>
              <w:spacing w:after="0"/>
              <w:rPr>
                <w:sz w:val="20"/>
                <w:szCs w:val="20"/>
                <w:color w:val="auto"/>
              </w:rPr>
            </w:pPr>
            <w:r>
              <w:rPr>
                <w:rFonts w:ascii="Arial" w:cs="Arial" w:eastAsia="Arial" w:hAnsi="Arial"/>
                <w:sz w:val="18"/>
                <w:szCs w:val="18"/>
                <w:color w:val="auto"/>
              </w:rPr>
              <w:t>Loans and leases, including fees</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tcBorders>
            <w:shd w:val="clear" w:color="auto" w:fill="CCEEFF"/>
          </w:tcPr>
          <w:p>
            <w:pPr>
              <w:jc w:val="right"/>
              <w:ind w:right="571"/>
              <w:spacing w:after="0"/>
              <w:rPr>
                <w:sz w:val="20"/>
                <w:szCs w:val="20"/>
                <w:color w:val="auto"/>
              </w:rPr>
            </w:pPr>
            <w:r>
              <w:rPr>
                <w:rFonts w:ascii="Arial" w:cs="Arial" w:eastAsia="Arial" w:hAnsi="Arial"/>
                <w:sz w:val="18"/>
                <w:szCs w:val="18"/>
                <w:color w:val="auto"/>
                <w:w w:val="86"/>
              </w:rPr>
              <w:t>768,391</w:t>
            </w:r>
          </w:p>
        </w:tc>
        <w:tc>
          <w:tcPr>
            <w:tcW w:w="152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768,121</w:t>
            </w:r>
          </w:p>
        </w:tc>
      </w:tr>
      <w:tr>
        <w:trPr>
          <w:trHeight w:val="216"/>
        </w:trPr>
        <w:tc>
          <w:tcPr>
            <w:tcW w:w="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5420" w:type="dxa"/>
            <w:vAlign w:val="bottom"/>
            <w:gridSpan w:val="2"/>
          </w:tcPr>
          <w:p>
            <w:pPr>
              <w:ind w:left="600"/>
              <w:spacing w:after="0"/>
              <w:rPr>
                <w:sz w:val="20"/>
                <w:szCs w:val="20"/>
                <w:color w:val="auto"/>
              </w:rPr>
            </w:pPr>
            <w:r>
              <w:rPr>
                <w:rFonts w:ascii="Arial" w:cs="Arial" w:eastAsia="Arial" w:hAnsi="Arial"/>
                <w:sz w:val="18"/>
                <w:szCs w:val="18"/>
                <w:color w:val="auto"/>
              </w:rPr>
              <w:t>Deposits at banks</w:t>
            </w:r>
          </w:p>
        </w:tc>
        <w:tc>
          <w:tcPr>
            <w:tcW w:w="880" w:type="dxa"/>
            <w:vAlign w:val="bottom"/>
          </w:tcPr>
          <w:p>
            <w:pPr>
              <w:spacing w:after="0"/>
              <w:rPr>
                <w:sz w:val="18"/>
                <w:szCs w:val="18"/>
                <w:color w:val="auto"/>
              </w:rPr>
            </w:pPr>
          </w:p>
        </w:tc>
        <w:tc>
          <w:tcPr>
            <w:tcW w:w="1240" w:type="dxa"/>
            <w:vAlign w:val="bottom"/>
          </w:tcPr>
          <w:p>
            <w:pPr>
              <w:jc w:val="right"/>
              <w:ind w:right="571"/>
              <w:spacing w:after="0"/>
              <w:rPr>
                <w:sz w:val="20"/>
                <w:szCs w:val="20"/>
                <w:color w:val="auto"/>
              </w:rPr>
            </w:pPr>
            <w:r>
              <w:rPr>
                <w:rFonts w:ascii="Arial" w:cs="Arial" w:eastAsia="Arial" w:hAnsi="Arial"/>
                <w:sz w:val="18"/>
                <w:szCs w:val="18"/>
                <w:color w:val="auto"/>
              </w:rPr>
              <w:t>44</w:t>
            </w:r>
          </w:p>
        </w:tc>
        <w:tc>
          <w:tcPr>
            <w:tcW w:w="1520" w:type="dxa"/>
            <w:vAlign w:val="bottom"/>
          </w:tcPr>
          <w:p>
            <w:pPr>
              <w:jc w:val="right"/>
              <w:ind w:right="250"/>
              <w:spacing w:after="0"/>
              <w:rPr>
                <w:sz w:val="20"/>
                <w:szCs w:val="20"/>
                <w:color w:val="auto"/>
              </w:rPr>
            </w:pPr>
            <w:r>
              <w:rPr>
                <w:rFonts w:ascii="Arial" w:cs="Arial" w:eastAsia="Arial" w:hAnsi="Arial"/>
                <w:sz w:val="18"/>
                <w:szCs w:val="18"/>
                <w:color w:val="auto"/>
              </w:rPr>
              <w:t>66</w:t>
            </w:r>
          </w:p>
        </w:tc>
      </w:tr>
      <w:tr>
        <w:trPr>
          <w:trHeight w:val="216"/>
        </w:trPr>
        <w:tc>
          <w:tcPr>
            <w:tcW w:w="20" w:type="dxa"/>
            <w:vAlign w:val="bottom"/>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54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Federal funds sold</w:t>
            </w:r>
          </w:p>
        </w:tc>
        <w:tc>
          <w:tcPr>
            <w:tcW w:w="8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571"/>
              <w:spacing w:after="0"/>
              <w:rPr>
                <w:sz w:val="20"/>
                <w:szCs w:val="20"/>
                <w:color w:val="auto"/>
              </w:rPr>
            </w:pPr>
            <w:r>
              <w:rPr>
                <w:rFonts w:ascii="Arial" w:cs="Arial" w:eastAsia="Arial" w:hAnsi="Arial"/>
                <w:sz w:val="18"/>
                <w:szCs w:val="18"/>
                <w:color w:val="auto"/>
              </w:rPr>
              <w:t>85</w:t>
            </w:r>
          </w:p>
        </w:tc>
        <w:tc>
          <w:tcPr>
            <w:tcW w:w="15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260</w:t>
            </w:r>
          </w:p>
        </w:tc>
      </w:tr>
      <w:tr>
        <w:trPr>
          <w:trHeight w:val="216"/>
        </w:trPr>
        <w:tc>
          <w:tcPr>
            <w:tcW w:w="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5420" w:type="dxa"/>
            <w:vAlign w:val="bottom"/>
            <w:gridSpan w:val="2"/>
          </w:tcPr>
          <w:p>
            <w:pPr>
              <w:ind w:left="600"/>
              <w:spacing w:after="0"/>
              <w:rPr>
                <w:sz w:val="20"/>
                <w:szCs w:val="20"/>
                <w:color w:val="auto"/>
              </w:rPr>
            </w:pPr>
            <w:r>
              <w:rPr>
                <w:rFonts w:ascii="Arial" w:cs="Arial" w:eastAsia="Arial" w:hAnsi="Arial"/>
                <w:sz w:val="18"/>
                <w:szCs w:val="18"/>
                <w:color w:val="auto"/>
              </w:rPr>
              <w:t>Agreements to resell securities</w:t>
            </w:r>
          </w:p>
        </w:tc>
        <w:tc>
          <w:tcPr>
            <w:tcW w:w="880" w:type="dxa"/>
            <w:vAlign w:val="bottom"/>
          </w:tcPr>
          <w:p>
            <w:pPr>
              <w:spacing w:after="0"/>
              <w:rPr>
                <w:sz w:val="18"/>
                <w:szCs w:val="18"/>
                <w:color w:val="auto"/>
              </w:rPr>
            </w:pPr>
          </w:p>
        </w:tc>
        <w:tc>
          <w:tcPr>
            <w:tcW w:w="1240" w:type="dxa"/>
            <w:vAlign w:val="bottom"/>
          </w:tcPr>
          <w:p>
            <w:pPr>
              <w:jc w:val="right"/>
              <w:ind w:right="571"/>
              <w:spacing w:after="0"/>
              <w:rPr>
                <w:sz w:val="20"/>
                <w:szCs w:val="20"/>
                <w:color w:val="auto"/>
              </w:rPr>
            </w:pPr>
            <w:r>
              <w:rPr>
                <w:rFonts w:ascii="Arial" w:cs="Arial" w:eastAsia="Arial" w:hAnsi="Arial"/>
                <w:sz w:val="18"/>
                <w:szCs w:val="18"/>
                <w:color w:val="auto"/>
              </w:rPr>
              <w:t>871</w:t>
            </w:r>
          </w:p>
        </w:tc>
        <w:tc>
          <w:tcPr>
            <w:tcW w:w="1520" w:type="dxa"/>
            <w:vAlign w:val="bottom"/>
          </w:tcPr>
          <w:p>
            <w:pPr>
              <w:jc w:val="right"/>
              <w:ind w:right="250"/>
              <w:spacing w:after="0"/>
              <w:rPr>
                <w:sz w:val="20"/>
                <w:szCs w:val="20"/>
                <w:color w:val="auto"/>
              </w:rPr>
            </w:pPr>
            <w:r>
              <w:rPr>
                <w:rFonts w:ascii="Arial" w:cs="Arial" w:eastAsia="Arial" w:hAnsi="Arial"/>
                <w:sz w:val="18"/>
                <w:szCs w:val="18"/>
                <w:color w:val="auto"/>
              </w:rPr>
              <w:t>4,541</w:t>
            </w:r>
          </w:p>
        </w:tc>
      </w:tr>
      <w:tr>
        <w:trPr>
          <w:trHeight w:val="216"/>
        </w:trPr>
        <w:tc>
          <w:tcPr>
            <w:tcW w:w="20" w:type="dxa"/>
            <w:vAlign w:val="bottom"/>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54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Trading account</w:t>
            </w:r>
          </w:p>
        </w:tc>
        <w:tc>
          <w:tcPr>
            <w:tcW w:w="8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571"/>
              <w:spacing w:after="0"/>
              <w:rPr>
                <w:sz w:val="20"/>
                <w:szCs w:val="20"/>
                <w:color w:val="auto"/>
              </w:rPr>
            </w:pPr>
            <w:r>
              <w:rPr>
                <w:rFonts w:ascii="Arial" w:cs="Arial" w:eastAsia="Arial" w:hAnsi="Arial"/>
                <w:sz w:val="18"/>
                <w:szCs w:val="18"/>
                <w:color w:val="auto"/>
              </w:rPr>
              <w:t>259</w:t>
            </w:r>
          </w:p>
        </w:tc>
        <w:tc>
          <w:tcPr>
            <w:tcW w:w="15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111</w:t>
            </w:r>
          </w:p>
        </w:tc>
      </w:tr>
      <w:tr>
        <w:trPr>
          <w:trHeight w:val="216"/>
        </w:trPr>
        <w:tc>
          <w:tcPr>
            <w:tcW w:w="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5420" w:type="dxa"/>
            <w:vAlign w:val="bottom"/>
            <w:gridSpan w:val="2"/>
          </w:tcPr>
          <w:p>
            <w:pPr>
              <w:ind w:left="600"/>
              <w:spacing w:after="0"/>
              <w:rPr>
                <w:sz w:val="20"/>
                <w:szCs w:val="20"/>
                <w:color w:val="auto"/>
              </w:rPr>
            </w:pPr>
            <w:r>
              <w:rPr>
                <w:rFonts w:ascii="Arial" w:cs="Arial" w:eastAsia="Arial" w:hAnsi="Arial"/>
                <w:sz w:val="18"/>
                <w:szCs w:val="18"/>
                <w:color w:val="auto"/>
              </w:rPr>
              <w:t>Investment securities</w:t>
            </w:r>
          </w:p>
        </w:tc>
        <w:tc>
          <w:tcPr>
            <w:tcW w:w="8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Fully taxable</w:t>
            </w:r>
          </w:p>
        </w:tc>
        <w:tc>
          <w:tcPr>
            <w:tcW w:w="8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571"/>
              <w:spacing w:after="0"/>
              <w:rPr>
                <w:sz w:val="20"/>
                <w:szCs w:val="20"/>
                <w:color w:val="auto"/>
              </w:rPr>
            </w:pPr>
            <w:r>
              <w:rPr>
                <w:rFonts w:ascii="Arial" w:cs="Arial" w:eastAsia="Arial" w:hAnsi="Arial"/>
                <w:sz w:val="18"/>
                <w:szCs w:val="18"/>
                <w:color w:val="auto"/>
                <w:w w:val="86"/>
              </w:rPr>
              <w:t>111,045</w:t>
            </w:r>
          </w:p>
        </w:tc>
        <w:tc>
          <w:tcPr>
            <w:tcW w:w="15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84,674</w:t>
            </w:r>
          </w:p>
        </w:tc>
      </w:tr>
      <w:tr>
        <w:trPr>
          <w:trHeight w:val="223"/>
        </w:trPr>
        <w:tc>
          <w:tcPr>
            <w:tcW w:w="2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82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Exempt from federal taxes</w:t>
            </w:r>
          </w:p>
        </w:tc>
        <w:tc>
          <w:tcPr>
            <w:tcW w:w="8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71"/>
              <w:spacing w:after="0"/>
              <w:rPr>
                <w:sz w:val="20"/>
                <w:szCs w:val="20"/>
                <w:color w:val="auto"/>
              </w:rPr>
            </w:pPr>
            <w:r>
              <w:rPr>
                <w:rFonts w:ascii="Arial" w:cs="Arial" w:eastAsia="Arial" w:hAnsi="Arial"/>
                <w:sz w:val="18"/>
                <w:szCs w:val="18"/>
                <w:color w:val="auto"/>
              </w:rPr>
              <w:t>3,467</w:t>
            </w:r>
          </w:p>
        </w:tc>
        <w:tc>
          <w:tcPr>
            <w:tcW w:w="15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3,276</w:t>
            </w:r>
          </w:p>
        </w:tc>
      </w:tr>
      <w:tr>
        <w:trPr>
          <w:trHeight w:val="216"/>
        </w:trPr>
        <w:tc>
          <w:tcPr>
            <w:tcW w:w="20" w:type="dxa"/>
            <w:vAlign w:val="bottom"/>
          </w:tcPr>
          <w:p>
            <w:pPr>
              <w:spacing w:after="0"/>
              <w:rPr>
                <w:sz w:val="18"/>
                <w:szCs w:val="18"/>
                <w:color w:val="auto"/>
              </w:rPr>
            </w:pPr>
          </w:p>
        </w:tc>
        <w:tc>
          <w:tcPr>
            <w:tcW w:w="23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482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Total interest income</w:t>
            </w:r>
          </w:p>
        </w:tc>
        <w:tc>
          <w:tcPr>
            <w:tcW w:w="8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571"/>
              <w:spacing w:after="0"/>
              <w:rPr>
                <w:sz w:val="20"/>
                <w:szCs w:val="20"/>
                <w:color w:val="auto"/>
              </w:rPr>
            </w:pPr>
            <w:r>
              <w:rPr>
                <w:rFonts w:ascii="Arial" w:cs="Arial" w:eastAsia="Arial" w:hAnsi="Arial"/>
                <w:sz w:val="18"/>
                <w:szCs w:val="18"/>
                <w:color w:val="auto"/>
                <w:w w:val="86"/>
              </w:rPr>
              <w:t>884,162</w:t>
            </w:r>
          </w:p>
        </w:tc>
        <w:tc>
          <w:tcPr>
            <w:tcW w:w="152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861,049</w:t>
            </w:r>
          </w:p>
        </w:tc>
      </w:tr>
      <w:tr>
        <w:trPr>
          <w:trHeight w:val="223"/>
        </w:trPr>
        <w:tc>
          <w:tcPr>
            <w:tcW w:w="20" w:type="dxa"/>
            <w:vAlign w:val="bottom"/>
          </w:tcPr>
          <w:p>
            <w:pPr>
              <w:spacing w:after="0"/>
              <w:rPr>
                <w:sz w:val="19"/>
                <w:szCs w:val="19"/>
                <w:color w:val="auto"/>
              </w:rPr>
            </w:pPr>
          </w:p>
        </w:tc>
        <w:tc>
          <w:tcPr>
            <w:tcW w:w="2340" w:type="dxa"/>
            <w:vAlign w:val="bottom"/>
          </w:tcPr>
          <w:p>
            <w:pPr>
              <w:spacing w:after="0"/>
              <w:rPr>
                <w:sz w:val="20"/>
                <w:szCs w:val="20"/>
                <w:color w:val="auto"/>
              </w:rPr>
            </w:pPr>
            <w:r>
              <w:rPr>
                <w:rFonts w:ascii="Arial" w:cs="Arial" w:eastAsia="Arial" w:hAnsi="Arial"/>
                <w:sz w:val="18"/>
                <w:szCs w:val="18"/>
                <w:color w:val="auto"/>
              </w:rPr>
              <w:t>Interest expense</w:t>
            </w:r>
          </w:p>
        </w:tc>
        <w:tc>
          <w:tcPr>
            <w:tcW w:w="5420" w:type="dxa"/>
            <w:vAlign w:val="bottom"/>
            <w:gridSpan w:val="2"/>
          </w:tcPr>
          <w:p>
            <w:pPr>
              <w:ind w:left="600"/>
              <w:spacing w:after="0"/>
              <w:rPr>
                <w:sz w:val="20"/>
                <w:szCs w:val="20"/>
                <w:color w:val="auto"/>
              </w:rPr>
            </w:pPr>
            <w:r>
              <w:rPr>
                <w:rFonts w:ascii="Arial" w:cs="Arial" w:eastAsia="Arial" w:hAnsi="Arial"/>
                <w:sz w:val="18"/>
                <w:szCs w:val="18"/>
                <w:color w:val="auto"/>
              </w:rPr>
              <w:t>NOW accounts</w:t>
            </w:r>
          </w:p>
        </w:tc>
        <w:tc>
          <w:tcPr>
            <w:tcW w:w="880" w:type="dxa"/>
            <w:vAlign w:val="bottom"/>
          </w:tcPr>
          <w:p>
            <w:pPr>
              <w:spacing w:after="0"/>
              <w:rPr>
                <w:sz w:val="19"/>
                <w:szCs w:val="19"/>
                <w:color w:val="auto"/>
              </w:rPr>
            </w:pPr>
          </w:p>
        </w:tc>
        <w:tc>
          <w:tcPr>
            <w:tcW w:w="1240" w:type="dxa"/>
            <w:vAlign w:val="bottom"/>
          </w:tcPr>
          <w:p>
            <w:pPr>
              <w:jc w:val="right"/>
              <w:ind w:right="571"/>
              <w:spacing w:after="0"/>
              <w:rPr>
                <w:sz w:val="20"/>
                <w:szCs w:val="20"/>
                <w:color w:val="auto"/>
              </w:rPr>
            </w:pPr>
            <w:r>
              <w:rPr>
                <w:rFonts w:ascii="Arial" w:cs="Arial" w:eastAsia="Arial" w:hAnsi="Arial"/>
                <w:sz w:val="18"/>
                <w:szCs w:val="18"/>
                <w:color w:val="auto"/>
              </w:rPr>
              <w:t>1,018</w:t>
            </w:r>
          </w:p>
        </w:tc>
        <w:tc>
          <w:tcPr>
            <w:tcW w:w="1520" w:type="dxa"/>
            <w:vAlign w:val="bottom"/>
          </w:tcPr>
          <w:p>
            <w:pPr>
              <w:jc w:val="right"/>
              <w:ind w:right="250"/>
              <w:spacing w:after="0"/>
              <w:rPr>
                <w:sz w:val="20"/>
                <w:szCs w:val="20"/>
                <w:color w:val="auto"/>
              </w:rPr>
            </w:pPr>
            <w:r>
              <w:rPr>
                <w:rFonts w:ascii="Arial" w:cs="Arial" w:eastAsia="Arial" w:hAnsi="Arial"/>
                <w:sz w:val="18"/>
                <w:szCs w:val="18"/>
                <w:color w:val="auto"/>
              </w:rPr>
              <w:t>1,167</w:t>
            </w:r>
          </w:p>
        </w:tc>
      </w:tr>
      <w:tr>
        <w:trPr>
          <w:trHeight w:val="216"/>
        </w:trPr>
        <w:tc>
          <w:tcPr>
            <w:tcW w:w="20" w:type="dxa"/>
            <w:vAlign w:val="bottom"/>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54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Savings deposits</w:t>
            </w:r>
          </w:p>
        </w:tc>
        <w:tc>
          <w:tcPr>
            <w:tcW w:w="8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571"/>
              <w:spacing w:after="0"/>
              <w:rPr>
                <w:sz w:val="20"/>
                <w:szCs w:val="20"/>
                <w:color w:val="auto"/>
              </w:rPr>
            </w:pPr>
            <w:r>
              <w:rPr>
                <w:rFonts w:ascii="Arial" w:cs="Arial" w:eastAsia="Arial" w:hAnsi="Arial"/>
                <w:sz w:val="18"/>
                <w:szCs w:val="18"/>
                <w:color w:val="auto"/>
              </w:rPr>
              <w:t>66,622</w:t>
            </w:r>
          </w:p>
        </w:tc>
        <w:tc>
          <w:tcPr>
            <w:tcW w:w="15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60,842</w:t>
            </w:r>
          </w:p>
        </w:tc>
      </w:tr>
      <w:tr>
        <w:trPr>
          <w:trHeight w:val="216"/>
        </w:trPr>
        <w:tc>
          <w:tcPr>
            <w:tcW w:w="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5420" w:type="dxa"/>
            <w:vAlign w:val="bottom"/>
            <w:gridSpan w:val="2"/>
          </w:tcPr>
          <w:p>
            <w:pPr>
              <w:ind w:left="600"/>
              <w:spacing w:after="0"/>
              <w:rPr>
                <w:sz w:val="20"/>
                <w:szCs w:val="20"/>
                <w:color w:val="auto"/>
              </w:rPr>
            </w:pPr>
            <w:r>
              <w:rPr>
                <w:rFonts w:ascii="Arial" w:cs="Arial" w:eastAsia="Arial" w:hAnsi="Arial"/>
                <w:sz w:val="18"/>
                <w:szCs w:val="18"/>
                <w:color w:val="auto"/>
              </w:rPr>
              <w:t>Time deposits</w:t>
            </w:r>
          </w:p>
        </w:tc>
        <w:tc>
          <w:tcPr>
            <w:tcW w:w="880" w:type="dxa"/>
            <w:vAlign w:val="bottom"/>
          </w:tcPr>
          <w:p>
            <w:pPr>
              <w:spacing w:after="0"/>
              <w:rPr>
                <w:sz w:val="18"/>
                <w:szCs w:val="18"/>
                <w:color w:val="auto"/>
              </w:rPr>
            </w:pPr>
          </w:p>
        </w:tc>
        <w:tc>
          <w:tcPr>
            <w:tcW w:w="1240" w:type="dxa"/>
            <w:vAlign w:val="bottom"/>
          </w:tcPr>
          <w:p>
            <w:pPr>
              <w:jc w:val="right"/>
              <w:ind w:right="571"/>
              <w:spacing w:after="0"/>
              <w:rPr>
                <w:sz w:val="20"/>
                <w:szCs w:val="20"/>
                <w:color w:val="auto"/>
              </w:rPr>
            </w:pPr>
            <w:r>
              <w:rPr>
                <w:rFonts w:ascii="Arial" w:cs="Arial" w:eastAsia="Arial" w:hAnsi="Arial"/>
                <w:sz w:val="18"/>
                <w:szCs w:val="18"/>
                <w:color w:val="auto"/>
                <w:w w:val="86"/>
              </w:rPr>
              <w:t>106,643</w:t>
            </w:r>
          </w:p>
        </w:tc>
        <w:tc>
          <w:tcPr>
            <w:tcW w:w="1520" w:type="dxa"/>
            <w:vAlign w:val="bottom"/>
          </w:tcPr>
          <w:p>
            <w:pPr>
              <w:jc w:val="right"/>
              <w:ind w:right="250"/>
              <w:spacing w:after="0"/>
              <w:rPr>
                <w:sz w:val="20"/>
                <w:szCs w:val="20"/>
                <w:color w:val="auto"/>
              </w:rPr>
            </w:pPr>
            <w:r>
              <w:rPr>
                <w:rFonts w:ascii="Arial" w:cs="Arial" w:eastAsia="Arial" w:hAnsi="Arial"/>
                <w:sz w:val="18"/>
                <w:szCs w:val="18"/>
                <w:color w:val="auto"/>
              </w:rPr>
              <w:t>136,682</w:t>
            </w:r>
          </w:p>
        </w:tc>
      </w:tr>
      <w:tr>
        <w:trPr>
          <w:trHeight w:val="216"/>
        </w:trPr>
        <w:tc>
          <w:tcPr>
            <w:tcW w:w="20" w:type="dxa"/>
            <w:vAlign w:val="bottom"/>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54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Deposits at foreign office</w:t>
            </w:r>
          </w:p>
        </w:tc>
        <w:tc>
          <w:tcPr>
            <w:tcW w:w="8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571"/>
              <w:spacing w:after="0"/>
              <w:rPr>
                <w:sz w:val="20"/>
                <w:szCs w:val="20"/>
                <w:color w:val="auto"/>
              </w:rPr>
            </w:pPr>
            <w:r>
              <w:rPr>
                <w:rFonts w:ascii="Arial" w:cs="Arial" w:eastAsia="Arial" w:hAnsi="Arial"/>
                <w:sz w:val="18"/>
                <w:szCs w:val="18"/>
                <w:color w:val="auto"/>
              </w:rPr>
              <w:t>38,373</w:t>
            </w:r>
          </w:p>
        </w:tc>
        <w:tc>
          <w:tcPr>
            <w:tcW w:w="15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47,649</w:t>
            </w:r>
          </w:p>
        </w:tc>
      </w:tr>
      <w:tr>
        <w:trPr>
          <w:trHeight w:val="216"/>
        </w:trPr>
        <w:tc>
          <w:tcPr>
            <w:tcW w:w="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5420" w:type="dxa"/>
            <w:vAlign w:val="bottom"/>
            <w:gridSpan w:val="2"/>
          </w:tcPr>
          <w:p>
            <w:pPr>
              <w:ind w:left="600"/>
              <w:spacing w:after="0"/>
              <w:rPr>
                <w:sz w:val="20"/>
                <w:szCs w:val="20"/>
                <w:color w:val="auto"/>
              </w:rPr>
            </w:pPr>
            <w:r>
              <w:rPr>
                <w:rFonts w:ascii="Arial" w:cs="Arial" w:eastAsia="Arial" w:hAnsi="Arial"/>
                <w:sz w:val="18"/>
                <w:szCs w:val="18"/>
                <w:color w:val="auto"/>
              </w:rPr>
              <w:t>Short-term borrowings</w:t>
            </w:r>
          </w:p>
        </w:tc>
        <w:tc>
          <w:tcPr>
            <w:tcW w:w="880" w:type="dxa"/>
            <w:vAlign w:val="bottom"/>
          </w:tcPr>
          <w:p>
            <w:pPr>
              <w:spacing w:after="0"/>
              <w:rPr>
                <w:sz w:val="18"/>
                <w:szCs w:val="18"/>
                <w:color w:val="auto"/>
              </w:rPr>
            </w:pPr>
          </w:p>
        </w:tc>
        <w:tc>
          <w:tcPr>
            <w:tcW w:w="1240" w:type="dxa"/>
            <w:vAlign w:val="bottom"/>
          </w:tcPr>
          <w:p>
            <w:pPr>
              <w:jc w:val="right"/>
              <w:ind w:right="571"/>
              <w:spacing w:after="0"/>
              <w:rPr>
                <w:sz w:val="20"/>
                <w:szCs w:val="20"/>
                <w:color w:val="auto"/>
              </w:rPr>
            </w:pPr>
            <w:r>
              <w:rPr>
                <w:rFonts w:ascii="Arial" w:cs="Arial" w:eastAsia="Arial" w:hAnsi="Arial"/>
                <w:sz w:val="18"/>
                <w:szCs w:val="18"/>
                <w:color w:val="auto"/>
              </w:rPr>
              <w:t>61,621</w:t>
            </w:r>
          </w:p>
        </w:tc>
        <w:tc>
          <w:tcPr>
            <w:tcW w:w="1520" w:type="dxa"/>
            <w:vAlign w:val="bottom"/>
          </w:tcPr>
          <w:p>
            <w:pPr>
              <w:jc w:val="right"/>
              <w:ind w:right="250"/>
              <w:spacing w:after="0"/>
              <w:rPr>
                <w:sz w:val="20"/>
                <w:szCs w:val="20"/>
                <w:color w:val="auto"/>
              </w:rPr>
            </w:pPr>
            <w:r>
              <w:rPr>
                <w:rFonts w:ascii="Arial" w:cs="Arial" w:eastAsia="Arial" w:hAnsi="Arial"/>
                <w:sz w:val="18"/>
                <w:szCs w:val="18"/>
                <w:color w:val="auto"/>
              </w:rPr>
              <w:t>63,564</w:t>
            </w:r>
          </w:p>
        </w:tc>
      </w:tr>
      <w:tr>
        <w:trPr>
          <w:trHeight w:val="216"/>
        </w:trPr>
        <w:tc>
          <w:tcPr>
            <w:tcW w:w="20" w:type="dxa"/>
            <w:vAlign w:val="bottom"/>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54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Long-term borrowings</w:t>
            </w:r>
          </w:p>
        </w:tc>
        <w:tc>
          <w:tcPr>
            <w:tcW w:w="8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571"/>
              <w:spacing w:after="0"/>
              <w:rPr>
                <w:sz w:val="20"/>
                <w:szCs w:val="20"/>
                <w:color w:val="auto"/>
              </w:rPr>
            </w:pPr>
            <w:r>
              <w:rPr>
                <w:rFonts w:ascii="Arial" w:cs="Arial" w:eastAsia="Arial" w:hAnsi="Arial"/>
                <w:sz w:val="18"/>
                <w:szCs w:val="18"/>
                <w:color w:val="auto"/>
                <w:w w:val="86"/>
              </w:rPr>
              <w:t>131,035</w:t>
            </w:r>
          </w:p>
        </w:tc>
        <w:tc>
          <w:tcPr>
            <w:tcW w:w="15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100,718</w:t>
            </w:r>
          </w:p>
        </w:tc>
      </w:tr>
      <w:tr>
        <w:trPr>
          <w:trHeight w:val="230"/>
        </w:trPr>
        <w:tc>
          <w:tcPr>
            <w:tcW w:w="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820" w:type="dxa"/>
            <w:vAlign w:val="bottom"/>
            <w:tcBorders>
              <w:top w:val="single" w:sz="8" w:color="auto"/>
              <w:bottom w:val="single" w:sz="8" w:color="auto"/>
            </w:tcBorders>
          </w:tcPr>
          <w:p>
            <w:pPr>
              <w:ind w:left="420"/>
              <w:spacing w:after="0"/>
              <w:rPr>
                <w:sz w:val="20"/>
                <w:szCs w:val="20"/>
                <w:color w:val="auto"/>
              </w:rPr>
            </w:pPr>
            <w:r>
              <w:rPr>
                <w:rFonts w:ascii="Arial" w:cs="Arial" w:eastAsia="Arial" w:hAnsi="Arial"/>
                <w:sz w:val="18"/>
                <w:szCs w:val="18"/>
                <w:color w:val="auto"/>
              </w:rPr>
              <w:t>Total interest expense</w:t>
            </w:r>
          </w:p>
        </w:tc>
        <w:tc>
          <w:tcPr>
            <w:tcW w:w="88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ind w:right="571"/>
              <w:spacing w:after="0"/>
              <w:rPr>
                <w:sz w:val="20"/>
                <w:szCs w:val="20"/>
                <w:color w:val="auto"/>
              </w:rPr>
            </w:pPr>
            <w:r>
              <w:rPr>
                <w:rFonts w:ascii="Arial" w:cs="Arial" w:eastAsia="Arial" w:hAnsi="Arial"/>
                <w:sz w:val="18"/>
                <w:szCs w:val="18"/>
                <w:color w:val="auto"/>
                <w:w w:val="86"/>
              </w:rPr>
              <w:t>405,312</w:t>
            </w:r>
          </w:p>
        </w:tc>
        <w:tc>
          <w:tcPr>
            <w:tcW w:w="15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410,622</w:t>
            </w:r>
          </w:p>
        </w:tc>
      </w:tr>
      <w:tr>
        <w:trPr>
          <w:trHeight w:val="216"/>
        </w:trPr>
        <w:tc>
          <w:tcPr>
            <w:tcW w:w="20" w:type="dxa"/>
            <w:vAlign w:val="bottom"/>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5420" w:type="dxa"/>
            <w:vAlign w:val="bottom"/>
            <w:gridSpan w:val="2"/>
            <w:shd w:val="clear" w:color="auto" w:fill="CCEEFF"/>
          </w:tcPr>
          <w:p>
            <w:pPr>
              <w:ind w:left="600"/>
              <w:spacing w:after="0"/>
              <w:rPr>
                <w:sz w:val="20"/>
                <w:szCs w:val="20"/>
                <w:color w:val="auto"/>
              </w:rPr>
            </w:pPr>
            <w:r>
              <w:rPr>
                <w:rFonts w:ascii="Arial" w:cs="Arial" w:eastAsia="Arial" w:hAnsi="Arial"/>
                <w:sz w:val="18"/>
                <w:szCs w:val="18"/>
                <w:i w:val="1"/>
                <w:iCs w:val="1"/>
                <w:color w:val="auto"/>
              </w:rPr>
              <w:t>Net interest income</w:t>
            </w:r>
          </w:p>
        </w:tc>
        <w:tc>
          <w:tcPr>
            <w:tcW w:w="8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571"/>
              <w:spacing w:after="0"/>
              <w:rPr>
                <w:sz w:val="20"/>
                <w:szCs w:val="20"/>
                <w:color w:val="auto"/>
              </w:rPr>
            </w:pPr>
            <w:r>
              <w:rPr>
                <w:rFonts w:ascii="Arial" w:cs="Arial" w:eastAsia="Arial" w:hAnsi="Arial"/>
                <w:sz w:val="18"/>
                <w:szCs w:val="18"/>
                <w:color w:val="auto"/>
                <w:w w:val="86"/>
              </w:rPr>
              <w:t>478,850</w:t>
            </w:r>
          </w:p>
        </w:tc>
        <w:tc>
          <w:tcPr>
            <w:tcW w:w="15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450,427</w:t>
            </w:r>
          </w:p>
        </w:tc>
      </w:tr>
      <w:tr>
        <w:trPr>
          <w:trHeight w:val="223"/>
        </w:trPr>
        <w:tc>
          <w:tcPr>
            <w:tcW w:w="2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Provision for credit losses</w:t>
            </w:r>
          </w:p>
        </w:tc>
        <w:tc>
          <w:tcPr>
            <w:tcW w:w="8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71"/>
              <w:spacing w:after="0"/>
              <w:rPr>
                <w:sz w:val="20"/>
                <w:szCs w:val="20"/>
                <w:color w:val="auto"/>
              </w:rPr>
            </w:pPr>
            <w:r>
              <w:rPr>
                <w:rFonts w:ascii="Arial" w:cs="Arial" w:eastAsia="Arial" w:hAnsi="Arial"/>
                <w:sz w:val="18"/>
                <w:szCs w:val="18"/>
                <w:color w:val="auto"/>
              </w:rPr>
              <w:t>60,000</w:t>
            </w:r>
          </w:p>
        </w:tc>
        <w:tc>
          <w:tcPr>
            <w:tcW w:w="15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27,000</w:t>
            </w:r>
          </w:p>
        </w:tc>
      </w:tr>
      <w:tr>
        <w:trPr>
          <w:trHeight w:val="216"/>
        </w:trPr>
        <w:tc>
          <w:tcPr>
            <w:tcW w:w="20" w:type="dxa"/>
            <w:vAlign w:val="bottom"/>
          </w:tcPr>
          <w:p>
            <w:pPr>
              <w:spacing w:after="0"/>
              <w:rPr>
                <w:sz w:val="18"/>
                <w:szCs w:val="18"/>
                <w:color w:val="auto"/>
              </w:rPr>
            </w:pPr>
          </w:p>
        </w:tc>
        <w:tc>
          <w:tcPr>
            <w:tcW w:w="2340" w:type="dxa"/>
            <w:vAlign w:val="bottom"/>
            <w:tcBorders>
              <w:bottom w:val="single" w:sz="8" w:color="auto"/>
            </w:tcBorders>
            <w:shd w:val="clear" w:color="auto" w:fill="CCEEFF"/>
          </w:tcPr>
          <w:p>
            <w:pPr>
              <w:spacing w:after="0"/>
              <w:rPr>
                <w:sz w:val="18"/>
                <w:szCs w:val="18"/>
                <w:color w:val="auto"/>
              </w:rPr>
            </w:pPr>
          </w:p>
        </w:tc>
        <w:tc>
          <w:tcPr>
            <w:tcW w:w="5420" w:type="dxa"/>
            <w:vAlign w:val="bottom"/>
            <w:tcBorders>
              <w:bottom w:val="single" w:sz="8" w:color="auto"/>
            </w:tcBorders>
            <w:gridSpan w:val="2"/>
            <w:shd w:val="clear" w:color="auto" w:fill="CCEEFF"/>
          </w:tcPr>
          <w:p>
            <w:pPr>
              <w:ind w:left="600"/>
              <w:spacing w:after="0"/>
              <w:rPr>
                <w:sz w:val="20"/>
                <w:szCs w:val="20"/>
                <w:color w:val="auto"/>
              </w:rPr>
            </w:pPr>
            <w:r>
              <w:rPr>
                <w:rFonts w:ascii="Arial" w:cs="Arial" w:eastAsia="Arial" w:hAnsi="Arial"/>
                <w:sz w:val="18"/>
                <w:szCs w:val="18"/>
                <w:color w:val="auto"/>
              </w:rPr>
              <w:t>Net interest income after provision for credit losses</w:t>
            </w:r>
          </w:p>
        </w:tc>
        <w:tc>
          <w:tcPr>
            <w:tcW w:w="8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571"/>
              <w:spacing w:after="0"/>
              <w:rPr>
                <w:sz w:val="20"/>
                <w:szCs w:val="20"/>
                <w:color w:val="auto"/>
              </w:rPr>
            </w:pPr>
            <w:r>
              <w:rPr>
                <w:rFonts w:ascii="Arial" w:cs="Arial" w:eastAsia="Arial" w:hAnsi="Arial"/>
                <w:sz w:val="18"/>
                <w:szCs w:val="18"/>
                <w:color w:val="auto"/>
                <w:w w:val="86"/>
              </w:rPr>
              <w:t>418,850</w:t>
            </w:r>
          </w:p>
        </w:tc>
        <w:tc>
          <w:tcPr>
            <w:tcW w:w="152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423,427</w:t>
            </w:r>
          </w:p>
        </w:tc>
      </w:tr>
      <w:tr>
        <w:trPr>
          <w:trHeight w:val="223"/>
        </w:trPr>
        <w:tc>
          <w:tcPr>
            <w:tcW w:w="20" w:type="dxa"/>
            <w:vAlign w:val="bottom"/>
          </w:tcPr>
          <w:p>
            <w:pPr>
              <w:spacing w:after="0"/>
              <w:rPr>
                <w:sz w:val="19"/>
                <w:szCs w:val="19"/>
                <w:color w:val="auto"/>
              </w:rPr>
            </w:pPr>
          </w:p>
        </w:tc>
        <w:tc>
          <w:tcPr>
            <w:tcW w:w="2340" w:type="dxa"/>
            <w:vAlign w:val="bottom"/>
          </w:tcPr>
          <w:p>
            <w:pPr>
              <w:spacing w:after="0"/>
              <w:rPr>
                <w:sz w:val="20"/>
                <w:szCs w:val="20"/>
                <w:color w:val="auto"/>
              </w:rPr>
            </w:pPr>
            <w:r>
              <w:rPr>
                <w:rFonts w:ascii="Arial" w:cs="Arial" w:eastAsia="Arial" w:hAnsi="Arial"/>
                <w:sz w:val="18"/>
                <w:szCs w:val="18"/>
                <w:color w:val="auto"/>
              </w:rPr>
              <w:t>Other income</w:t>
            </w:r>
          </w:p>
        </w:tc>
        <w:tc>
          <w:tcPr>
            <w:tcW w:w="5420" w:type="dxa"/>
            <w:vAlign w:val="bottom"/>
            <w:gridSpan w:val="2"/>
          </w:tcPr>
          <w:p>
            <w:pPr>
              <w:ind w:left="600"/>
              <w:spacing w:after="0"/>
              <w:rPr>
                <w:sz w:val="20"/>
                <w:szCs w:val="20"/>
                <w:color w:val="auto"/>
              </w:rPr>
            </w:pPr>
            <w:r>
              <w:rPr>
                <w:rFonts w:ascii="Arial" w:cs="Arial" w:eastAsia="Arial" w:hAnsi="Arial"/>
                <w:sz w:val="18"/>
                <w:szCs w:val="18"/>
                <w:color w:val="auto"/>
              </w:rPr>
              <w:t>Mortgage banking revenues</w:t>
            </w:r>
          </w:p>
        </w:tc>
        <w:tc>
          <w:tcPr>
            <w:tcW w:w="880" w:type="dxa"/>
            <w:vAlign w:val="bottom"/>
          </w:tcPr>
          <w:p>
            <w:pPr>
              <w:spacing w:after="0"/>
              <w:rPr>
                <w:sz w:val="19"/>
                <w:szCs w:val="19"/>
                <w:color w:val="auto"/>
              </w:rPr>
            </w:pPr>
          </w:p>
        </w:tc>
        <w:tc>
          <w:tcPr>
            <w:tcW w:w="1240" w:type="dxa"/>
            <w:vAlign w:val="bottom"/>
          </w:tcPr>
          <w:p>
            <w:pPr>
              <w:jc w:val="right"/>
              <w:ind w:right="571"/>
              <w:spacing w:after="0"/>
              <w:rPr>
                <w:sz w:val="20"/>
                <w:szCs w:val="20"/>
                <w:color w:val="auto"/>
              </w:rPr>
            </w:pPr>
            <w:r>
              <w:rPr>
                <w:rFonts w:ascii="Arial" w:cs="Arial" w:eastAsia="Arial" w:hAnsi="Arial"/>
                <w:sz w:val="18"/>
                <w:szCs w:val="18"/>
                <w:color w:val="auto"/>
              </w:rPr>
              <w:t>40,070</w:t>
            </w:r>
          </w:p>
        </w:tc>
        <w:tc>
          <w:tcPr>
            <w:tcW w:w="1520" w:type="dxa"/>
            <w:vAlign w:val="bottom"/>
          </w:tcPr>
          <w:p>
            <w:pPr>
              <w:jc w:val="right"/>
              <w:ind w:right="250"/>
              <w:spacing w:after="0"/>
              <w:rPr>
                <w:sz w:val="20"/>
                <w:szCs w:val="20"/>
                <w:color w:val="auto"/>
              </w:rPr>
            </w:pPr>
            <w:r>
              <w:rPr>
                <w:rFonts w:ascii="Arial" w:cs="Arial" w:eastAsia="Arial" w:hAnsi="Arial"/>
                <w:sz w:val="18"/>
                <w:szCs w:val="18"/>
                <w:color w:val="auto"/>
              </w:rPr>
              <w:t>13,873</w:t>
            </w:r>
          </w:p>
        </w:tc>
      </w:tr>
      <w:tr>
        <w:trPr>
          <w:trHeight w:val="216"/>
        </w:trPr>
        <w:tc>
          <w:tcPr>
            <w:tcW w:w="20" w:type="dxa"/>
            <w:vAlign w:val="bottom"/>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54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Service charges on deposit accounts</w:t>
            </w:r>
          </w:p>
        </w:tc>
        <w:tc>
          <w:tcPr>
            <w:tcW w:w="8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571"/>
              <w:spacing w:after="0"/>
              <w:rPr>
                <w:sz w:val="20"/>
                <w:szCs w:val="20"/>
                <w:color w:val="auto"/>
              </w:rPr>
            </w:pPr>
            <w:r>
              <w:rPr>
                <w:rFonts w:ascii="Arial" w:cs="Arial" w:eastAsia="Arial" w:hAnsi="Arial"/>
                <w:sz w:val="18"/>
                <w:szCs w:val="18"/>
                <w:color w:val="auto"/>
                <w:w w:val="86"/>
              </w:rPr>
              <w:t>103,454</w:t>
            </w:r>
          </w:p>
        </w:tc>
        <w:tc>
          <w:tcPr>
            <w:tcW w:w="15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94,587</w:t>
            </w:r>
          </w:p>
        </w:tc>
      </w:tr>
      <w:tr>
        <w:trPr>
          <w:trHeight w:val="216"/>
        </w:trPr>
        <w:tc>
          <w:tcPr>
            <w:tcW w:w="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5420" w:type="dxa"/>
            <w:vAlign w:val="bottom"/>
            <w:gridSpan w:val="2"/>
          </w:tcPr>
          <w:p>
            <w:pPr>
              <w:ind w:left="600"/>
              <w:spacing w:after="0"/>
              <w:rPr>
                <w:sz w:val="20"/>
                <w:szCs w:val="20"/>
                <w:color w:val="auto"/>
              </w:rPr>
            </w:pPr>
            <w:r>
              <w:rPr>
                <w:rFonts w:ascii="Arial" w:cs="Arial" w:eastAsia="Arial" w:hAnsi="Arial"/>
                <w:sz w:val="18"/>
                <w:szCs w:val="18"/>
                <w:color w:val="auto"/>
              </w:rPr>
              <w:t>Trust income</w:t>
            </w:r>
          </w:p>
        </w:tc>
        <w:tc>
          <w:tcPr>
            <w:tcW w:w="880" w:type="dxa"/>
            <w:vAlign w:val="bottom"/>
          </w:tcPr>
          <w:p>
            <w:pPr>
              <w:spacing w:after="0"/>
              <w:rPr>
                <w:sz w:val="18"/>
                <w:szCs w:val="18"/>
                <w:color w:val="auto"/>
              </w:rPr>
            </w:pPr>
          </w:p>
        </w:tc>
        <w:tc>
          <w:tcPr>
            <w:tcW w:w="1240" w:type="dxa"/>
            <w:vAlign w:val="bottom"/>
          </w:tcPr>
          <w:p>
            <w:pPr>
              <w:jc w:val="right"/>
              <w:ind w:right="571"/>
              <w:spacing w:after="0"/>
              <w:rPr>
                <w:sz w:val="20"/>
                <w:szCs w:val="20"/>
                <w:color w:val="auto"/>
              </w:rPr>
            </w:pPr>
            <w:r>
              <w:rPr>
                <w:rFonts w:ascii="Arial" w:cs="Arial" w:eastAsia="Arial" w:hAnsi="Arial"/>
                <w:sz w:val="18"/>
                <w:szCs w:val="18"/>
                <w:color w:val="auto"/>
              </w:rPr>
              <w:t>40,304</w:t>
            </w:r>
          </w:p>
        </w:tc>
        <w:tc>
          <w:tcPr>
            <w:tcW w:w="1520" w:type="dxa"/>
            <w:vAlign w:val="bottom"/>
          </w:tcPr>
          <w:p>
            <w:pPr>
              <w:jc w:val="right"/>
              <w:ind w:right="250"/>
              <w:spacing w:after="0"/>
              <w:rPr>
                <w:sz w:val="20"/>
                <w:szCs w:val="20"/>
                <w:color w:val="auto"/>
              </w:rPr>
            </w:pPr>
            <w:r>
              <w:rPr>
                <w:rFonts w:ascii="Arial" w:cs="Arial" w:eastAsia="Arial" w:hAnsi="Arial"/>
                <w:sz w:val="18"/>
                <w:szCs w:val="18"/>
                <w:color w:val="auto"/>
              </w:rPr>
              <w:t>36,973</w:t>
            </w:r>
          </w:p>
        </w:tc>
      </w:tr>
      <w:tr>
        <w:trPr>
          <w:trHeight w:val="216"/>
        </w:trPr>
        <w:tc>
          <w:tcPr>
            <w:tcW w:w="20" w:type="dxa"/>
            <w:vAlign w:val="bottom"/>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54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Brokerage services income</w:t>
            </w:r>
          </w:p>
        </w:tc>
        <w:tc>
          <w:tcPr>
            <w:tcW w:w="8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571"/>
              <w:spacing w:after="0"/>
              <w:rPr>
                <w:sz w:val="20"/>
                <w:szCs w:val="20"/>
                <w:color w:val="auto"/>
              </w:rPr>
            </w:pPr>
            <w:r>
              <w:rPr>
                <w:rFonts w:ascii="Arial" w:cs="Arial" w:eastAsia="Arial" w:hAnsi="Arial"/>
                <w:sz w:val="18"/>
                <w:szCs w:val="18"/>
                <w:color w:val="auto"/>
              </w:rPr>
              <w:t>15,473</w:t>
            </w:r>
          </w:p>
        </w:tc>
        <w:tc>
          <w:tcPr>
            <w:tcW w:w="15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15,212</w:t>
            </w:r>
          </w:p>
        </w:tc>
      </w:tr>
      <w:tr>
        <w:trPr>
          <w:trHeight w:val="216"/>
        </w:trPr>
        <w:tc>
          <w:tcPr>
            <w:tcW w:w="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5420" w:type="dxa"/>
            <w:vAlign w:val="bottom"/>
            <w:gridSpan w:val="2"/>
          </w:tcPr>
          <w:p>
            <w:pPr>
              <w:ind w:left="600"/>
              <w:spacing w:after="0"/>
              <w:rPr>
                <w:sz w:val="20"/>
                <w:szCs w:val="20"/>
                <w:color w:val="auto"/>
              </w:rPr>
            </w:pPr>
            <w:r>
              <w:rPr>
                <w:rFonts w:ascii="Arial" w:cs="Arial" w:eastAsia="Arial" w:hAnsi="Arial"/>
                <w:sz w:val="18"/>
                <w:szCs w:val="18"/>
                <w:color w:val="auto"/>
              </w:rPr>
              <w:t>Trading account and foreign exchange gains</w:t>
            </w:r>
          </w:p>
        </w:tc>
        <w:tc>
          <w:tcPr>
            <w:tcW w:w="880" w:type="dxa"/>
            <w:vAlign w:val="bottom"/>
          </w:tcPr>
          <w:p>
            <w:pPr>
              <w:spacing w:after="0"/>
              <w:rPr>
                <w:sz w:val="18"/>
                <w:szCs w:val="18"/>
                <w:color w:val="auto"/>
              </w:rPr>
            </w:pPr>
          </w:p>
        </w:tc>
        <w:tc>
          <w:tcPr>
            <w:tcW w:w="1240" w:type="dxa"/>
            <w:vAlign w:val="bottom"/>
          </w:tcPr>
          <w:p>
            <w:pPr>
              <w:jc w:val="right"/>
              <w:ind w:right="571"/>
              <w:spacing w:after="0"/>
              <w:rPr>
                <w:sz w:val="20"/>
                <w:szCs w:val="20"/>
                <w:color w:val="auto"/>
              </w:rPr>
            </w:pPr>
            <w:r>
              <w:rPr>
                <w:rFonts w:ascii="Arial" w:cs="Arial" w:eastAsia="Arial" w:hAnsi="Arial"/>
                <w:sz w:val="18"/>
                <w:szCs w:val="18"/>
                <w:color w:val="auto"/>
              </w:rPr>
              <w:t>4,713</w:t>
            </w:r>
          </w:p>
        </w:tc>
        <w:tc>
          <w:tcPr>
            <w:tcW w:w="1520" w:type="dxa"/>
            <w:vAlign w:val="bottom"/>
          </w:tcPr>
          <w:p>
            <w:pPr>
              <w:jc w:val="right"/>
              <w:ind w:right="250"/>
              <w:spacing w:after="0"/>
              <w:rPr>
                <w:sz w:val="20"/>
                <w:szCs w:val="20"/>
                <w:color w:val="auto"/>
              </w:rPr>
            </w:pPr>
            <w:r>
              <w:rPr>
                <w:rFonts w:ascii="Arial" w:cs="Arial" w:eastAsia="Arial" w:hAnsi="Arial"/>
                <w:sz w:val="18"/>
                <w:szCs w:val="18"/>
                <w:color w:val="auto"/>
              </w:rPr>
              <w:t>6,223</w:t>
            </w:r>
          </w:p>
        </w:tc>
      </w:tr>
      <w:tr>
        <w:trPr>
          <w:trHeight w:val="216"/>
        </w:trPr>
        <w:tc>
          <w:tcPr>
            <w:tcW w:w="20" w:type="dxa"/>
            <w:vAlign w:val="bottom"/>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54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Gain on bank investment securities</w:t>
            </w:r>
          </w:p>
        </w:tc>
        <w:tc>
          <w:tcPr>
            <w:tcW w:w="8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571"/>
              <w:spacing w:after="0"/>
              <w:rPr>
                <w:sz w:val="20"/>
                <w:szCs w:val="20"/>
                <w:color w:val="auto"/>
              </w:rPr>
            </w:pPr>
            <w:r>
              <w:rPr>
                <w:rFonts w:ascii="Arial" w:cs="Arial" w:eastAsia="Arial" w:hAnsi="Arial"/>
                <w:sz w:val="18"/>
                <w:szCs w:val="18"/>
                <w:color w:val="auto"/>
              </w:rPr>
              <w:t>33,447</w:t>
            </w:r>
          </w:p>
        </w:tc>
        <w:tc>
          <w:tcPr>
            <w:tcW w:w="15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1,063</w:t>
            </w:r>
          </w:p>
        </w:tc>
      </w:tr>
      <w:tr>
        <w:trPr>
          <w:trHeight w:val="216"/>
        </w:trPr>
        <w:tc>
          <w:tcPr>
            <w:tcW w:w="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5420" w:type="dxa"/>
            <w:vAlign w:val="bottom"/>
            <w:gridSpan w:val="2"/>
          </w:tcPr>
          <w:p>
            <w:pPr>
              <w:ind w:left="600"/>
              <w:spacing w:after="0"/>
              <w:rPr>
                <w:sz w:val="20"/>
                <w:szCs w:val="20"/>
                <w:color w:val="auto"/>
              </w:rPr>
            </w:pPr>
            <w:r>
              <w:rPr>
                <w:rFonts w:ascii="Arial" w:cs="Arial" w:eastAsia="Arial" w:hAnsi="Arial"/>
                <w:sz w:val="18"/>
                <w:szCs w:val="18"/>
                <w:color w:val="auto"/>
              </w:rPr>
              <w:t>Equity in earnings of Bayview Lending Group LLC</w:t>
            </w:r>
          </w:p>
        </w:tc>
        <w:tc>
          <w:tcPr>
            <w:tcW w:w="880" w:type="dxa"/>
            <w:vAlign w:val="bottom"/>
          </w:tcPr>
          <w:p>
            <w:pPr>
              <w:spacing w:after="0"/>
              <w:rPr>
                <w:sz w:val="18"/>
                <w:szCs w:val="18"/>
                <w:color w:val="auto"/>
              </w:rPr>
            </w:pPr>
          </w:p>
        </w:tc>
        <w:tc>
          <w:tcPr>
            <w:tcW w:w="1240" w:type="dxa"/>
            <w:vAlign w:val="bottom"/>
          </w:tcPr>
          <w:p>
            <w:pPr>
              <w:jc w:val="right"/>
              <w:ind w:right="511"/>
              <w:spacing w:after="0"/>
              <w:rPr>
                <w:sz w:val="20"/>
                <w:szCs w:val="20"/>
                <w:color w:val="auto"/>
              </w:rPr>
            </w:pPr>
            <w:r>
              <w:rPr>
                <w:rFonts w:ascii="Arial" w:cs="Arial" w:eastAsia="Arial" w:hAnsi="Arial"/>
                <w:sz w:val="18"/>
                <w:szCs w:val="18"/>
                <w:color w:val="auto"/>
              </w:rPr>
              <w:t>(1,260)</w:t>
            </w:r>
          </w:p>
        </w:tc>
        <w:tc>
          <w:tcPr>
            <w:tcW w:w="1520" w:type="dxa"/>
            <w:vAlign w:val="bottom"/>
          </w:tcPr>
          <w:p>
            <w:pPr>
              <w:jc w:val="right"/>
              <w:ind w:right="190"/>
              <w:spacing w:after="0"/>
              <w:rPr>
                <w:sz w:val="20"/>
                <w:szCs w:val="20"/>
                <w:color w:val="auto"/>
              </w:rPr>
            </w:pPr>
            <w:r>
              <w:rPr>
                <w:rFonts w:ascii="Arial" w:cs="Arial" w:eastAsia="Arial" w:hAnsi="Arial"/>
                <w:sz w:val="18"/>
                <w:szCs w:val="18"/>
                <w:color w:val="auto"/>
              </w:rPr>
              <w:t>(2,428)</w:t>
            </w:r>
          </w:p>
        </w:tc>
      </w:tr>
      <w:tr>
        <w:trPr>
          <w:trHeight w:val="216"/>
        </w:trPr>
        <w:tc>
          <w:tcPr>
            <w:tcW w:w="20" w:type="dxa"/>
            <w:vAlign w:val="bottom"/>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54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Other revenues from operations</w:t>
            </w:r>
          </w:p>
        </w:tc>
        <w:tc>
          <w:tcPr>
            <w:tcW w:w="8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571"/>
              <w:spacing w:after="0"/>
              <w:rPr>
                <w:sz w:val="20"/>
                <w:szCs w:val="20"/>
                <w:color w:val="auto"/>
              </w:rPr>
            </w:pPr>
            <w:r>
              <w:rPr>
                <w:rFonts w:ascii="Arial" w:cs="Arial" w:eastAsia="Arial" w:hAnsi="Arial"/>
                <w:sz w:val="18"/>
                <w:szCs w:val="18"/>
                <w:color w:val="auto"/>
              </w:rPr>
              <w:t>76,462</w:t>
            </w:r>
          </w:p>
        </w:tc>
        <w:tc>
          <w:tcPr>
            <w:tcW w:w="15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70,980</w:t>
            </w:r>
          </w:p>
        </w:tc>
      </w:tr>
      <w:tr>
        <w:trPr>
          <w:trHeight w:val="230"/>
        </w:trPr>
        <w:tc>
          <w:tcPr>
            <w:tcW w:w="20" w:type="dxa"/>
            <w:vAlign w:val="bottom"/>
          </w:tcPr>
          <w:p>
            <w:pPr>
              <w:spacing w:after="0"/>
              <w:rPr>
                <w:sz w:val="20"/>
                <w:szCs w:val="20"/>
                <w:color w:val="auto"/>
              </w:rPr>
            </w:pPr>
          </w:p>
        </w:tc>
        <w:tc>
          <w:tcPr>
            <w:tcW w:w="23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4820" w:type="dxa"/>
            <w:vAlign w:val="bottom"/>
            <w:tcBorders>
              <w:top w:val="single" w:sz="8" w:color="auto"/>
              <w:bottom w:val="single" w:sz="8" w:color="auto"/>
            </w:tcBorders>
          </w:tcPr>
          <w:p>
            <w:pPr>
              <w:ind w:left="420"/>
              <w:spacing w:after="0"/>
              <w:rPr>
                <w:sz w:val="20"/>
                <w:szCs w:val="20"/>
                <w:color w:val="auto"/>
              </w:rPr>
            </w:pPr>
            <w:r>
              <w:rPr>
                <w:rFonts w:ascii="Arial" w:cs="Arial" w:eastAsia="Arial" w:hAnsi="Arial"/>
                <w:sz w:val="18"/>
                <w:szCs w:val="18"/>
                <w:color w:val="auto"/>
              </w:rPr>
              <w:t>Total other income</w:t>
            </w:r>
          </w:p>
        </w:tc>
        <w:tc>
          <w:tcPr>
            <w:tcW w:w="88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ind w:right="571"/>
              <w:spacing w:after="0"/>
              <w:rPr>
                <w:sz w:val="20"/>
                <w:szCs w:val="20"/>
                <w:color w:val="auto"/>
              </w:rPr>
            </w:pPr>
            <w:r>
              <w:rPr>
                <w:rFonts w:ascii="Arial" w:cs="Arial" w:eastAsia="Arial" w:hAnsi="Arial"/>
                <w:sz w:val="18"/>
                <w:szCs w:val="18"/>
                <w:color w:val="auto"/>
                <w:w w:val="86"/>
              </w:rPr>
              <w:t>312,663</w:t>
            </w:r>
          </w:p>
        </w:tc>
        <w:tc>
          <w:tcPr>
            <w:tcW w:w="15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236,483</w:t>
            </w:r>
          </w:p>
        </w:tc>
      </w:tr>
      <w:tr>
        <w:trPr>
          <w:trHeight w:val="216"/>
        </w:trPr>
        <w:tc>
          <w:tcPr>
            <w:tcW w:w="20" w:type="dxa"/>
            <w:vAlign w:val="bottom"/>
          </w:tcPr>
          <w:p>
            <w:pPr>
              <w:spacing w:after="0"/>
              <w:rPr>
                <w:sz w:val="18"/>
                <w:szCs w:val="18"/>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Other expense</w:t>
            </w:r>
          </w:p>
        </w:tc>
        <w:tc>
          <w:tcPr>
            <w:tcW w:w="54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Salaries and employee benefits</w:t>
            </w:r>
          </w:p>
        </w:tc>
        <w:tc>
          <w:tcPr>
            <w:tcW w:w="8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571"/>
              <w:spacing w:after="0"/>
              <w:rPr>
                <w:sz w:val="20"/>
                <w:szCs w:val="20"/>
                <w:color w:val="auto"/>
              </w:rPr>
            </w:pPr>
            <w:r>
              <w:rPr>
                <w:rFonts w:ascii="Arial" w:cs="Arial" w:eastAsia="Arial" w:hAnsi="Arial"/>
                <w:sz w:val="18"/>
                <w:szCs w:val="18"/>
                <w:color w:val="auto"/>
                <w:w w:val="86"/>
              </w:rPr>
              <w:t>251,871</w:t>
            </w:r>
          </w:p>
        </w:tc>
        <w:tc>
          <w:tcPr>
            <w:tcW w:w="15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236,754</w:t>
            </w:r>
          </w:p>
        </w:tc>
      </w:tr>
      <w:tr>
        <w:trPr>
          <w:trHeight w:val="216"/>
        </w:trPr>
        <w:tc>
          <w:tcPr>
            <w:tcW w:w="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5420" w:type="dxa"/>
            <w:vAlign w:val="bottom"/>
            <w:gridSpan w:val="2"/>
          </w:tcPr>
          <w:p>
            <w:pPr>
              <w:ind w:left="600"/>
              <w:spacing w:after="0"/>
              <w:rPr>
                <w:sz w:val="20"/>
                <w:szCs w:val="20"/>
                <w:color w:val="auto"/>
              </w:rPr>
            </w:pPr>
            <w:r>
              <w:rPr>
                <w:rFonts w:ascii="Arial" w:cs="Arial" w:eastAsia="Arial" w:hAnsi="Arial"/>
                <w:sz w:val="18"/>
                <w:szCs w:val="18"/>
                <w:color w:val="auto"/>
              </w:rPr>
              <w:t>Equipment and net occupancy</w:t>
            </w:r>
          </w:p>
        </w:tc>
        <w:tc>
          <w:tcPr>
            <w:tcW w:w="880" w:type="dxa"/>
            <w:vAlign w:val="bottom"/>
          </w:tcPr>
          <w:p>
            <w:pPr>
              <w:spacing w:after="0"/>
              <w:rPr>
                <w:sz w:val="18"/>
                <w:szCs w:val="18"/>
                <w:color w:val="auto"/>
              </w:rPr>
            </w:pPr>
          </w:p>
        </w:tc>
        <w:tc>
          <w:tcPr>
            <w:tcW w:w="1240" w:type="dxa"/>
            <w:vAlign w:val="bottom"/>
          </w:tcPr>
          <w:p>
            <w:pPr>
              <w:jc w:val="right"/>
              <w:ind w:right="571"/>
              <w:spacing w:after="0"/>
              <w:rPr>
                <w:sz w:val="20"/>
                <w:szCs w:val="20"/>
                <w:color w:val="auto"/>
              </w:rPr>
            </w:pPr>
            <w:r>
              <w:rPr>
                <w:rFonts w:ascii="Arial" w:cs="Arial" w:eastAsia="Arial" w:hAnsi="Arial"/>
                <w:sz w:val="18"/>
                <w:szCs w:val="18"/>
                <w:color w:val="auto"/>
              </w:rPr>
              <w:t>46,765</w:t>
            </w:r>
          </w:p>
        </w:tc>
        <w:tc>
          <w:tcPr>
            <w:tcW w:w="1520" w:type="dxa"/>
            <w:vAlign w:val="bottom"/>
          </w:tcPr>
          <w:p>
            <w:pPr>
              <w:jc w:val="right"/>
              <w:ind w:right="250"/>
              <w:spacing w:after="0"/>
              <w:rPr>
                <w:sz w:val="20"/>
                <w:szCs w:val="20"/>
                <w:color w:val="auto"/>
              </w:rPr>
            </w:pPr>
            <w:r>
              <w:rPr>
                <w:rFonts w:ascii="Arial" w:cs="Arial" w:eastAsia="Arial" w:hAnsi="Arial"/>
                <w:sz w:val="18"/>
                <w:szCs w:val="18"/>
                <w:color w:val="auto"/>
              </w:rPr>
              <w:t>42,846</w:t>
            </w:r>
          </w:p>
        </w:tc>
      </w:tr>
      <w:tr>
        <w:trPr>
          <w:trHeight w:val="216"/>
        </w:trPr>
        <w:tc>
          <w:tcPr>
            <w:tcW w:w="20" w:type="dxa"/>
            <w:vAlign w:val="bottom"/>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54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Printing, postage and supplies</w:t>
            </w:r>
          </w:p>
        </w:tc>
        <w:tc>
          <w:tcPr>
            <w:tcW w:w="8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571"/>
              <w:spacing w:after="0"/>
              <w:rPr>
                <w:sz w:val="20"/>
                <w:szCs w:val="20"/>
                <w:color w:val="auto"/>
              </w:rPr>
            </w:pPr>
            <w:r>
              <w:rPr>
                <w:rFonts w:ascii="Arial" w:cs="Arial" w:eastAsia="Arial" w:hAnsi="Arial"/>
                <w:sz w:val="18"/>
                <w:szCs w:val="18"/>
                <w:color w:val="auto"/>
              </w:rPr>
              <w:t>9,896</w:t>
            </w:r>
          </w:p>
        </w:tc>
        <w:tc>
          <w:tcPr>
            <w:tcW w:w="15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8,906</w:t>
            </w:r>
          </w:p>
        </w:tc>
      </w:tr>
      <w:tr>
        <w:trPr>
          <w:trHeight w:val="216"/>
        </w:trPr>
        <w:tc>
          <w:tcPr>
            <w:tcW w:w="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5420" w:type="dxa"/>
            <w:vAlign w:val="bottom"/>
            <w:gridSpan w:val="2"/>
          </w:tcPr>
          <w:p>
            <w:pPr>
              <w:ind w:left="600"/>
              <w:spacing w:after="0"/>
              <w:rPr>
                <w:sz w:val="20"/>
                <w:szCs w:val="20"/>
                <w:color w:val="auto"/>
              </w:rPr>
            </w:pPr>
            <w:r>
              <w:rPr>
                <w:rFonts w:ascii="Arial" w:cs="Arial" w:eastAsia="Arial" w:hAnsi="Arial"/>
                <w:sz w:val="18"/>
                <w:szCs w:val="18"/>
                <w:color w:val="auto"/>
              </w:rPr>
              <w:t>Amortization of core deposit and other intangible assets</w:t>
            </w:r>
          </w:p>
        </w:tc>
        <w:tc>
          <w:tcPr>
            <w:tcW w:w="880" w:type="dxa"/>
            <w:vAlign w:val="bottom"/>
          </w:tcPr>
          <w:p>
            <w:pPr>
              <w:spacing w:after="0"/>
              <w:rPr>
                <w:sz w:val="18"/>
                <w:szCs w:val="18"/>
                <w:color w:val="auto"/>
              </w:rPr>
            </w:pPr>
          </w:p>
        </w:tc>
        <w:tc>
          <w:tcPr>
            <w:tcW w:w="1240" w:type="dxa"/>
            <w:vAlign w:val="bottom"/>
          </w:tcPr>
          <w:p>
            <w:pPr>
              <w:jc w:val="right"/>
              <w:ind w:right="571"/>
              <w:spacing w:after="0"/>
              <w:rPr>
                <w:sz w:val="20"/>
                <w:szCs w:val="20"/>
                <w:color w:val="auto"/>
              </w:rPr>
            </w:pPr>
            <w:r>
              <w:rPr>
                <w:rFonts w:ascii="Arial" w:cs="Arial" w:eastAsia="Arial" w:hAnsi="Arial"/>
                <w:sz w:val="18"/>
                <w:szCs w:val="18"/>
                <w:color w:val="auto"/>
              </w:rPr>
              <w:t>18,483</w:t>
            </w:r>
          </w:p>
        </w:tc>
        <w:tc>
          <w:tcPr>
            <w:tcW w:w="1520" w:type="dxa"/>
            <w:vAlign w:val="bottom"/>
          </w:tcPr>
          <w:p>
            <w:pPr>
              <w:jc w:val="right"/>
              <w:ind w:right="250"/>
              <w:spacing w:after="0"/>
              <w:rPr>
                <w:sz w:val="20"/>
                <w:szCs w:val="20"/>
                <w:color w:val="auto"/>
              </w:rPr>
            </w:pPr>
            <w:r>
              <w:rPr>
                <w:rFonts w:ascii="Arial" w:cs="Arial" w:eastAsia="Arial" w:hAnsi="Arial"/>
                <w:sz w:val="18"/>
                <w:szCs w:val="18"/>
                <w:color w:val="auto"/>
              </w:rPr>
              <w:t>18,356</w:t>
            </w:r>
          </w:p>
        </w:tc>
      </w:tr>
      <w:tr>
        <w:trPr>
          <w:trHeight w:val="216"/>
        </w:trPr>
        <w:tc>
          <w:tcPr>
            <w:tcW w:w="20" w:type="dxa"/>
            <w:vAlign w:val="bottom"/>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54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Other costs of operations</w:t>
            </w:r>
          </w:p>
        </w:tc>
        <w:tc>
          <w:tcPr>
            <w:tcW w:w="8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571"/>
              <w:spacing w:after="0"/>
              <w:rPr>
                <w:sz w:val="20"/>
                <w:szCs w:val="20"/>
                <w:color w:val="auto"/>
              </w:rPr>
            </w:pPr>
            <w:r>
              <w:rPr>
                <w:rFonts w:ascii="Arial" w:cs="Arial" w:eastAsia="Arial" w:hAnsi="Arial"/>
                <w:sz w:val="18"/>
                <w:szCs w:val="18"/>
                <w:color w:val="auto"/>
              </w:rPr>
              <w:t>98,689</w:t>
            </w:r>
          </w:p>
        </w:tc>
        <w:tc>
          <w:tcPr>
            <w:tcW w:w="15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92,175</w:t>
            </w:r>
          </w:p>
        </w:tc>
      </w:tr>
      <w:tr>
        <w:trPr>
          <w:trHeight w:val="230"/>
        </w:trPr>
        <w:tc>
          <w:tcPr>
            <w:tcW w:w="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820" w:type="dxa"/>
            <w:vAlign w:val="bottom"/>
            <w:tcBorders>
              <w:top w:val="single" w:sz="8" w:color="auto"/>
              <w:bottom w:val="single" w:sz="8" w:color="auto"/>
            </w:tcBorders>
          </w:tcPr>
          <w:p>
            <w:pPr>
              <w:ind w:left="420"/>
              <w:spacing w:after="0"/>
              <w:rPr>
                <w:sz w:val="20"/>
                <w:szCs w:val="20"/>
                <w:color w:val="auto"/>
              </w:rPr>
            </w:pPr>
            <w:r>
              <w:rPr>
                <w:rFonts w:ascii="Arial" w:cs="Arial" w:eastAsia="Arial" w:hAnsi="Arial"/>
                <w:sz w:val="18"/>
                <w:szCs w:val="18"/>
                <w:color w:val="auto"/>
              </w:rPr>
              <w:t>Total other expense</w:t>
            </w:r>
          </w:p>
        </w:tc>
        <w:tc>
          <w:tcPr>
            <w:tcW w:w="88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ind w:right="571"/>
              <w:spacing w:after="0"/>
              <w:rPr>
                <w:sz w:val="20"/>
                <w:szCs w:val="20"/>
                <w:color w:val="auto"/>
              </w:rPr>
            </w:pPr>
            <w:r>
              <w:rPr>
                <w:rFonts w:ascii="Arial" w:cs="Arial" w:eastAsia="Arial" w:hAnsi="Arial"/>
                <w:sz w:val="18"/>
                <w:szCs w:val="18"/>
                <w:color w:val="auto"/>
                <w:w w:val="86"/>
              </w:rPr>
              <w:t>425,704</w:t>
            </w:r>
          </w:p>
        </w:tc>
        <w:tc>
          <w:tcPr>
            <w:tcW w:w="15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399,037</w:t>
            </w:r>
          </w:p>
        </w:tc>
      </w:tr>
      <w:tr>
        <w:trPr>
          <w:trHeight w:val="216"/>
        </w:trPr>
        <w:tc>
          <w:tcPr>
            <w:tcW w:w="20" w:type="dxa"/>
            <w:vAlign w:val="bottom"/>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54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Income before taxes</w:t>
            </w:r>
          </w:p>
        </w:tc>
        <w:tc>
          <w:tcPr>
            <w:tcW w:w="8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571"/>
              <w:spacing w:after="0"/>
              <w:rPr>
                <w:sz w:val="20"/>
                <w:szCs w:val="20"/>
                <w:color w:val="auto"/>
              </w:rPr>
            </w:pPr>
            <w:r>
              <w:rPr>
                <w:rFonts w:ascii="Arial" w:cs="Arial" w:eastAsia="Arial" w:hAnsi="Arial"/>
                <w:sz w:val="18"/>
                <w:szCs w:val="18"/>
                <w:color w:val="auto"/>
                <w:w w:val="86"/>
              </w:rPr>
              <w:t>305,809</w:t>
            </w:r>
          </w:p>
        </w:tc>
        <w:tc>
          <w:tcPr>
            <w:tcW w:w="15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260,873</w:t>
            </w:r>
          </w:p>
        </w:tc>
      </w:tr>
      <w:tr>
        <w:trPr>
          <w:trHeight w:val="223"/>
        </w:trPr>
        <w:tc>
          <w:tcPr>
            <w:tcW w:w="2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Income taxes</w:t>
            </w:r>
          </w:p>
        </w:tc>
        <w:tc>
          <w:tcPr>
            <w:tcW w:w="8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71"/>
              <w:spacing w:after="0"/>
              <w:rPr>
                <w:sz w:val="20"/>
                <w:szCs w:val="20"/>
                <w:color w:val="auto"/>
              </w:rPr>
            </w:pPr>
            <w:r>
              <w:rPr>
                <w:rFonts w:ascii="Arial" w:cs="Arial" w:eastAsia="Arial" w:hAnsi="Arial"/>
                <w:sz w:val="18"/>
                <w:szCs w:val="18"/>
                <w:color w:val="auto"/>
                <w:w w:val="86"/>
              </w:rPr>
              <w:t>103,613</w:t>
            </w:r>
          </w:p>
        </w:tc>
        <w:tc>
          <w:tcPr>
            <w:tcW w:w="15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84,900</w:t>
            </w:r>
          </w:p>
        </w:tc>
      </w:tr>
      <w:tr>
        <w:trPr>
          <w:trHeight w:val="216"/>
        </w:trPr>
        <w:tc>
          <w:tcPr>
            <w:tcW w:w="20" w:type="dxa"/>
            <w:vAlign w:val="bottom"/>
          </w:tcPr>
          <w:p>
            <w:pPr>
              <w:spacing w:after="0"/>
              <w:rPr>
                <w:sz w:val="18"/>
                <w:szCs w:val="18"/>
                <w:color w:val="auto"/>
              </w:rPr>
            </w:pPr>
          </w:p>
        </w:tc>
        <w:tc>
          <w:tcPr>
            <w:tcW w:w="2340" w:type="dxa"/>
            <w:vAlign w:val="bottom"/>
            <w:tcBorders>
              <w:bottom w:val="single" w:sz="8" w:color="auto"/>
            </w:tcBorders>
            <w:shd w:val="clear" w:color="auto" w:fill="CCEEFF"/>
          </w:tcPr>
          <w:p>
            <w:pPr>
              <w:spacing w:after="0"/>
              <w:rPr>
                <w:sz w:val="18"/>
                <w:szCs w:val="18"/>
                <w:color w:val="auto"/>
              </w:rPr>
            </w:pPr>
          </w:p>
        </w:tc>
        <w:tc>
          <w:tcPr>
            <w:tcW w:w="5420" w:type="dxa"/>
            <w:vAlign w:val="bottom"/>
            <w:tcBorders>
              <w:bottom w:val="single" w:sz="8" w:color="auto"/>
            </w:tcBorders>
            <w:gridSpan w:val="2"/>
            <w:shd w:val="clear" w:color="auto" w:fill="CCEEFF"/>
          </w:tcPr>
          <w:p>
            <w:pPr>
              <w:ind w:left="600"/>
              <w:spacing w:after="0"/>
              <w:rPr>
                <w:sz w:val="20"/>
                <w:szCs w:val="20"/>
                <w:color w:val="auto"/>
              </w:rPr>
            </w:pPr>
            <w:r>
              <w:rPr>
                <w:rFonts w:ascii="Arial" w:cs="Arial" w:eastAsia="Arial" w:hAnsi="Arial"/>
                <w:sz w:val="18"/>
                <w:szCs w:val="18"/>
                <w:i w:val="1"/>
                <w:iCs w:val="1"/>
                <w:color w:val="auto"/>
              </w:rPr>
              <w:t>Net income</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ind w:right="571"/>
              <w:spacing w:after="0"/>
              <w:rPr>
                <w:sz w:val="20"/>
                <w:szCs w:val="20"/>
                <w:color w:val="auto"/>
              </w:rPr>
            </w:pPr>
            <w:r>
              <w:rPr>
                <w:rFonts w:ascii="Arial" w:cs="Arial" w:eastAsia="Arial" w:hAnsi="Arial"/>
                <w:sz w:val="18"/>
                <w:szCs w:val="18"/>
                <w:color w:val="auto"/>
                <w:w w:val="86"/>
              </w:rPr>
              <w:t>202,196</w:t>
            </w:r>
          </w:p>
        </w:tc>
        <w:tc>
          <w:tcPr>
            <w:tcW w:w="152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175,973</w:t>
            </w:r>
          </w:p>
        </w:tc>
      </w:tr>
      <w:tr>
        <w:trPr>
          <w:trHeight w:val="223"/>
        </w:trPr>
        <w:tc>
          <w:tcPr>
            <w:tcW w:w="2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5420" w:type="dxa"/>
            <w:vAlign w:val="bottom"/>
            <w:gridSpan w:val="2"/>
          </w:tcPr>
          <w:p>
            <w:pPr>
              <w:ind w:left="600"/>
              <w:spacing w:after="0"/>
              <w:rPr>
                <w:sz w:val="20"/>
                <w:szCs w:val="20"/>
                <w:color w:val="auto"/>
              </w:rPr>
            </w:pPr>
            <w:r>
              <w:rPr>
                <w:rFonts w:ascii="Arial" w:cs="Arial" w:eastAsia="Arial" w:hAnsi="Arial"/>
                <w:sz w:val="18"/>
                <w:szCs w:val="18"/>
                <w:color w:val="auto"/>
              </w:rPr>
              <w:t>Net income per common share</w:t>
            </w:r>
          </w:p>
        </w:tc>
        <w:tc>
          <w:tcPr>
            <w:tcW w:w="8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571"/>
              <w:spacing w:after="0"/>
              <w:rPr>
                <w:sz w:val="20"/>
                <w:szCs w:val="20"/>
                <w:color w:val="auto"/>
              </w:rPr>
            </w:pPr>
            <w:r>
              <w:rPr>
                <w:rFonts w:ascii="Arial" w:cs="Arial" w:eastAsia="Arial" w:hAnsi="Arial"/>
                <w:sz w:val="18"/>
                <w:szCs w:val="18"/>
                <w:color w:val="auto"/>
              </w:rPr>
              <w:t>1.84</w:t>
            </w:r>
          </w:p>
        </w:tc>
        <w:tc>
          <w:tcPr>
            <w:tcW w:w="15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1.60</w:t>
            </w:r>
          </w:p>
        </w:tc>
      </w:tr>
      <w:tr>
        <w:trPr>
          <w:trHeight w:val="230"/>
        </w:trPr>
        <w:tc>
          <w:tcPr>
            <w:tcW w:w="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820" w:type="dxa"/>
            <w:vAlign w:val="bottom"/>
          </w:tcPr>
          <w:p>
            <w:pPr>
              <w:ind w:left="200"/>
              <w:spacing w:after="0"/>
              <w:rPr>
                <w:sz w:val="20"/>
                <w:szCs w:val="20"/>
                <w:color w:val="auto"/>
              </w:rPr>
            </w:pPr>
            <w:r>
              <w:rPr>
                <w:rFonts w:ascii="Arial" w:cs="Arial" w:eastAsia="Arial" w:hAnsi="Arial"/>
                <w:sz w:val="18"/>
                <w:szCs w:val="18"/>
                <w:color w:val="auto"/>
              </w:rPr>
              <w:t>Diluted</w:t>
            </w:r>
          </w:p>
        </w:tc>
        <w:tc>
          <w:tcPr>
            <w:tcW w:w="880" w:type="dxa"/>
            <w:vAlign w:val="bottom"/>
          </w:tcPr>
          <w:p>
            <w:pPr>
              <w:spacing w:after="0"/>
              <w:rPr>
                <w:sz w:val="20"/>
                <w:szCs w:val="20"/>
                <w:color w:val="auto"/>
              </w:rPr>
            </w:pPr>
          </w:p>
        </w:tc>
        <w:tc>
          <w:tcPr>
            <w:tcW w:w="1240" w:type="dxa"/>
            <w:vAlign w:val="bottom"/>
          </w:tcPr>
          <w:p>
            <w:pPr>
              <w:jc w:val="right"/>
              <w:ind w:right="571"/>
              <w:spacing w:after="0"/>
              <w:rPr>
                <w:sz w:val="20"/>
                <w:szCs w:val="20"/>
                <w:color w:val="auto"/>
              </w:rPr>
            </w:pPr>
            <w:r>
              <w:rPr>
                <w:rFonts w:ascii="Arial" w:cs="Arial" w:eastAsia="Arial" w:hAnsi="Arial"/>
                <w:sz w:val="18"/>
                <w:szCs w:val="18"/>
                <w:color w:val="auto"/>
              </w:rPr>
              <w:t>1.82</w:t>
            </w:r>
          </w:p>
        </w:tc>
        <w:tc>
          <w:tcPr>
            <w:tcW w:w="1520" w:type="dxa"/>
            <w:vAlign w:val="bottom"/>
          </w:tcPr>
          <w:p>
            <w:pPr>
              <w:jc w:val="right"/>
              <w:ind w:right="250"/>
              <w:spacing w:after="0"/>
              <w:rPr>
                <w:sz w:val="20"/>
                <w:szCs w:val="20"/>
                <w:color w:val="auto"/>
              </w:rPr>
            </w:pPr>
            <w:r>
              <w:rPr>
                <w:rFonts w:ascii="Arial" w:cs="Arial" w:eastAsia="Arial" w:hAnsi="Arial"/>
                <w:sz w:val="18"/>
                <w:szCs w:val="18"/>
                <w:color w:val="auto"/>
              </w:rPr>
              <w:t>1.57</w:t>
            </w:r>
          </w:p>
        </w:tc>
      </w:tr>
      <w:tr>
        <w:trPr>
          <w:trHeight w:val="202"/>
        </w:trPr>
        <w:tc>
          <w:tcPr>
            <w:tcW w:w="2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8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54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Cash dividends per common share</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571"/>
              <w:spacing w:after="0"/>
              <w:rPr>
                <w:sz w:val="20"/>
                <w:szCs w:val="20"/>
                <w:color w:val="auto"/>
              </w:rPr>
            </w:pPr>
            <w:r>
              <w:rPr>
                <w:rFonts w:ascii="Arial" w:cs="Arial" w:eastAsia="Arial" w:hAnsi="Arial"/>
                <w:sz w:val="18"/>
                <w:szCs w:val="18"/>
                <w:color w:val="auto"/>
              </w:rPr>
              <w:t>.70</w:t>
            </w:r>
          </w:p>
        </w:tc>
        <w:tc>
          <w:tcPr>
            <w:tcW w:w="15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.60</w:t>
            </w:r>
          </w:p>
        </w:tc>
      </w:tr>
      <w:tr>
        <w:trPr>
          <w:trHeight w:val="432"/>
        </w:trPr>
        <w:tc>
          <w:tcPr>
            <w:tcW w:w="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5420" w:type="dxa"/>
            <w:vAlign w:val="bottom"/>
            <w:gridSpan w:val="2"/>
          </w:tcPr>
          <w:p>
            <w:pPr>
              <w:ind w:left="600"/>
              <w:spacing w:after="0"/>
              <w:rPr>
                <w:sz w:val="20"/>
                <w:szCs w:val="20"/>
                <w:color w:val="auto"/>
              </w:rPr>
            </w:pPr>
            <w:r>
              <w:rPr>
                <w:rFonts w:ascii="Arial" w:cs="Arial" w:eastAsia="Arial" w:hAnsi="Arial"/>
                <w:sz w:val="18"/>
                <w:szCs w:val="18"/>
                <w:color w:val="auto"/>
              </w:rPr>
              <w:t>Average common shares outstanding</w:t>
            </w:r>
          </w:p>
        </w:tc>
        <w:tc>
          <w:tcPr>
            <w:tcW w:w="8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8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571"/>
              <w:spacing w:after="0"/>
              <w:rPr>
                <w:sz w:val="20"/>
                <w:szCs w:val="20"/>
                <w:color w:val="auto"/>
              </w:rPr>
            </w:pPr>
            <w:r>
              <w:rPr>
                <w:rFonts w:ascii="Arial" w:cs="Arial" w:eastAsia="Arial" w:hAnsi="Arial"/>
                <w:sz w:val="18"/>
                <w:szCs w:val="18"/>
                <w:color w:val="auto"/>
                <w:w w:val="86"/>
              </w:rPr>
              <w:t>110,017</w:t>
            </w:r>
          </w:p>
        </w:tc>
        <w:tc>
          <w:tcPr>
            <w:tcW w:w="15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109,694</w:t>
            </w:r>
          </w:p>
        </w:tc>
      </w:tr>
      <w:tr>
        <w:trPr>
          <w:trHeight w:val="230"/>
        </w:trPr>
        <w:tc>
          <w:tcPr>
            <w:tcW w:w="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820" w:type="dxa"/>
            <w:vAlign w:val="bottom"/>
          </w:tcPr>
          <w:p>
            <w:pPr>
              <w:ind w:left="200"/>
              <w:spacing w:after="0"/>
              <w:rPr>
                <w:sz w:val="20"/>
                <w:szCs w:val="20"/>
                <w:color w:val="auto"/>
              </w:rPr>
            </w:pPr>
            <w:r>
              <w:rPr>
                <w:rFonts w:ascii="Arial" w:cs="Arial" w:eastAsia="Arial" w:hAnsi="Arial"/>
                <w:sz w:val="18"/>
                <w:szCs w:val="18"/>
                <w:color w:val="auto"/>
              </w:rPr>
              <w:t>Diluted</w:t>
            </w:r>
          </w:p>
        </w:tc>
        <w:tc>
          <w:tcPr>
            <w:tcW w:w="880" w:type="dxa"/>
            <w:vAlign w:val="bottom"/>
          </w:tcPr>
          <w:p>
            <w:pPr>
              <w:spacing w:after="0"/>
              <w:rPr>
                <w:sz w:val="20"/>
                <w:szCs w:val="20"/>
                <w:color w:val="auto"/>
              </w:rPr>
            </w:pPr>
          </w:p>
        </w:tc>
        <w:tc>
          <w:tcPr>
            <w:tcW w:w="1240" w:type="dxa"/>
            <w:vAlign w:val="bottom"/>
          </w:tcPr>
          <w:p>
            <w:pPr>
              <w:jc w:val="right"/>
              <w:ind w:right="571"/>
              <w:spacing w:after="0"/>
              <w:rPr>
                <w:sz w:val="20"/>
                <w:szCs w:val="20"/>
                <w:color w:val="auto"/>
              </w:rPr>
            </w:pPr>
            <w:r>
              <w:rPr>
                <w:rFonts w:ascii="Arial" w:cs="Arial" w:eastAsia="Arial" w:hAnsi="Arial"/>
                <w:sz w:val="18"/>
                <w:szCs w:val="18"/>
                <w:color w:val="auto"/>
                <w:w w:val="86"/>
              </w:rPr>
              <w:t>110,967</w:t>
            </w:r>
          </w:p>
        </w:tc>
        <w:tc>
          <w:tcPr>
            <w:tcW w:w="1520" w:type="dxa"/>
            <w:vAlign w:val="bottom"/>
          </w:tcPr>
          <w:p>
            <w:pPr>
              <w:jc w:val="right"/>
              <w:ind w:right="250"/>
              <w:spacing w:after="0"/>
              <w:rPr>
                <w:sz w:val="20"/>
                <w:szCs w:val="20"/>
                <w:color w:val="auto"/>
              </w:rPr>
            </w:pPr>
            <w:r>
              <w:rPr>
                <w:rFonts w:ascii="Arial" w:cs="Arial" w:eastAsia="Arial" w:hAnsi="Arial"/>
                <w:sz w:val="18"/>
                <w:szCs w:val="18"/>
                <w:color w:val="auto"/>
              </w:rPr>
              <w:t>112,187</w:t>
            </w:r>
          </w:p>
        </w:tc>
      </w:tr>
      <w:tr>
        <w:trPr>
          <w:trHeight w:val="391"/>
        </w:trPr>
        <w:tc>
          <w:tcPr>
            <w:tcW w:w="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5420" w:type="dxa"/>
            <w:vAlign w:val="bottom"/>
            <w:gridSpan w:val="2"/>
          </w:tcPr>
          <w:p>
            <w:pPr>
              <w:jc w:val="right"/>
              <w:ind w:right="1830"/>
              <w:spacing w:after="0"/>
              <w:rPr>
                <w:sz w:val="20"/>
                <w:szCs w:val="20"/>
                <w:color w:val="auto"/>
              </w:rPr>
            </w:pPr>
            <w:r>
              <w:rPr>
                <w:rFonts w:ascii="Arial" w:cs="Arial" w:eastAsia="Arial" w:hAnsi="Arial"/>
                <w:sz w:val="18"/>
                <w:szCs w:val="18"/>
                <w:color w:val="auto"/>
              </w:rPr>
              <w:t>- 4 -</w:t>
            </w:r>
          </w:p>
        </w:tc>
        <w:tc>
          <w:tcPr>
            <w:tcW w:w="8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26"/>
        </w:trPr>
        <w:tc>
          <w:tcPr>
            <w:tcW w:w="20" w:type="dxa"/>
            <w:vAlign w:val="bottom"/>
          </w:tcPr>
          <w:p>
            <w:pPr>
              <w:spacing w:after="0"/>
              <w:rPr>
                <w:sz w:val="19"/>
                <w:szCs w:val="19"/>
                <w:color w:val="auto"/>
              </w:rPr>
            </w:pPr>
          </w:p>
        </w:tc>
        <w:tc>
          <w:tcPr>
            <w:tcW w:w="234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482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1240" w:type="dxa"/>
            <w:vAlign w:val="bottom"/>
            <w:tcBorders>
              <w:bottom w:val="single" w:sz="8" w:color="808080"/>
            </w:tcBorders>
          </w:tcPr>
          <w:p>
            <w:pPr>
              <w:spacing w:after="0"/>
              <w:rPr>
                <w:sz w:val="19"/>
                <w:szCs w:val="19"/>
                <w:color w:val="auto"/>
              </w:rPr>
            </w:pPr>
          </w:p>
        </w:tc>
        <w:tc>
          <w:tcPr>
            <w:tcW w:w="15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M&amp;T BANK CORPORATION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 OF CASH FLOWS (Unaudited)</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540" w:type="dxa"/>
            <w:vAlign w:val="bottom"/>
            <w:gridSpan w:val="2"/>
          </w:tcPr>
          <w:p>
            <w:pPr>
              <w:jc w:val="right"/>
              <w:ind w:right="468"/>
              <w:spacing w:after="0"/>
              <w:rPr>
                <w:sz w:val="20"/>
                <w:szCs w:val="20"/>
                <w:color w:val="auto"/>
              </w:rPr>
            </w:pPr>
            <w:r>
              <w:rPr>
                <w:rFonts w:ascii="Arial" w:cs="Arial" w:eastAsia="Arial" w:hAnsi="Arial"/>
                <w:sz w:val="14"/>
                <w:szCs w:val="14"/>
                <w:color w:val="auto"/>
              </w:rPr>
              <w:t>Three months ended March 31</w:t>
            </w:r>
          </w:p>
        </w:tc>
      </w:tr>
      <w:tr>
        <w:trPr>
          <w:trHeight w:val="174"/>
        </w:trPr>
        <w:tc>
          <w:tcPr>
            <w:tcW w:w="372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Pr>
          <w:p>
            <w:pPr>
              <w:spacing w:after="0"/>
              <w:rPr>
                <w:sz w:val="15"/>
                <w:szCs w:val="15"/>
                <w:color w:val="auto"/>
              </w:rPr>
            </w:pPr>
          </w:p>
        </w:tc>
        <w:tc>
          <w:tcPr>
            <w:tcW w:w="4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60" w:type="dxa"/>
            <w:vAlign w:val="bottom"/>
          </w:tcPr>
          <w:p>
            <w:pPr>
              <w:jc w:val="right"/>
              <w:ind w:right="648"/>
              <w:spacing w:after="0"/>
              <w:rPr>
                <w:sz w:val="20"/>
                <w:szCs w:val="20"/>
                <w:color w:val="auto"/>
              </w:rPr>
            </w:pPr>
            <w:r>
              <w:rPr>
                <w:rFonts w:ascii="Arial" w:cs="Arial" w:eastAsia="Arial" w:hAnsi="Arial"/>
                <w:sz w:val="14"/>
                <w:szCs w:val="14"/>
                <w:color w:val="auto"/>
              </w:rPr>
              <w:t>2008</w:t>
            </w:r>
          </w:p>
        </w:tc>
        <w:tc>
          <w:tcPr>
            <w:tcW w:w="1380" w:type="dxa"/>
            <w:vAlign w:val="bottom"/>
          </w:tcPr>
          <w:p>
            <w:pPr>
              <w:jc w:val="right"/>
              <w:ind w:right="368"/>
              <w:spacing w:after="0"/>
              <w:rPr>
                <w:sz w:val="20"/>
                <w:szCs w:val="20"/>
                <w:color w:val="auto"/>
              </w:rPr>
            </w:pPr>
            <w:r>
              <w:rPr>
                <w:rFonts w:ascii="Arial" w:cs="Arial" w:eastAsia="Arial" w:hAnsi="Arial"/>
                <w:sz w:val="14"/>
                <w:szCs w:val="14"/>
                <w:color w:val="auto"/>
              </w:rPr>
              <w:t>2007</w:t>
            </w:r>
          </w:p>
        </w:tc>
      </w:tr>
      <w:tr>
        <w:trPr>
          <w:trHeight w:val="149"/>
        </w:trPr>
        <w:tc>
          <w:tcPr>
            <w:tcW w:w="20" w:type="dxa"/>
            <w:vAlign w:val="bottom"/>
          </w:tcPr>
          <w:p>
            <w:pPr>
              <w:spacing w:after="0"/>
              <w:rPr>
                <w:sz w:val="12"/>
                <w:szCs w:val="12"/>
                <w:color w:val="auto"/>
              </w:rPr>
            </w:pPr>
          </w:p>
        </w:tc>
        <w:tc>
          <w:tcPr>
            <w:tcW w:w="3700" w:type="dxa"/>
            <w:vAlign w:val="bottom"/>
            <w:tcBorders>
              <w:top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Cash flows from operating activities</w:t>
            </w:r>
          </w:p>
        </w:tc>
        <w:tc>
          <w:tcPr>
            <w:tcW w:w="4740" w:type="dxa"/>
            <w:vAlign w:val="bottom"/>
            <w:tcBorders>
              <w:top w:val="single" w:sz="8" w:color="auto"/>
            </w:tcBorders>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Net income</w:t>
            </w:r>
          </w:p>
        </w:tc>
        <w:tc>
          <w:tcPr>
            <w:tcW w:w="42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160" w:type="dxa"/>
            <w:vAlign w:val="bottom"/>
            <w:tcBorders>
              <w:top w:val="single" w:sz="8" w:color="auto"/>
            </w:tcBorders>
            <w:shd w:val="clear" w:color="auto" w:fill="CCEEFF"/>
          </w:tcPr>
          <w:p>
            <w:pPr>
              <w:jc w:val="right"/>
              <w:ind w:right="448"/>
              <w:spacing w:after="0" w:line="149" w:lineRule="exact"/>
              <w:rPr>
                <w:sz w:val="20"/>
                <w:szCs w:val="20"/>
                <w:color w:val="auto"/>
              </w:rPr>
            </w:pPr>
            <w:r>
              <w:rPr>
                <w:rFonts w:ascii="Arial" w:cs="Arial" w:eastAsia="Arial" w:hAnsi="Arial"/>
                <w:sz w:val="14"/>
                <w:szCs w:val="14"/>
                <w:color w:val="auto"/>
              </w:rPr>
              <w:t>202,196</w:t>
            </w:r>
          </w:p>
        </w:tc>
        <w:tc>
          <w:tcPr>
            <w:tcW w:w="1380" w:type="dxa"/>
            <w:vAlign w:val="bottom"/>
            <w:tcBorders>
              <w:top w:val="single" w:sz="8" w:color="auto"/>
            </w:tcBorders>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rPr>
              <w:t>175,973</w:t>
            </w:r>
          </w:p>
        </w:tc>
      </w:tr>
      <w:tr>
        <w:trPr>
          <w:trHeight w:val="130"/>
        </w:trPr>
        <w:tc>
          <w:tcPr>
            <w:tcW w:w="20" w:type="dxa"/>
            <w:vAlign w:val="bottom"/>
          </w:tcPr>
          <w:p>
            <w:pPr>
              <w:spacing w:after="0"/>
              <w:rPr>
                <w:sz w:val="11"/>
                <w:szCs w:val="11"/>
                <w:color w:val="auto"/>
              </w:rPr>
            </w:pPr>
          </w:p>
        </w:tc>
        <w:tc>
          <w:tcPr>
            <w:tcW w:w="3700" w:type="dxa"/>
            <w:vAlign w:val="bottom"/>
          </w:tcPr>
          <w:p>
            <w:pPr>
              <w:spacing w:after="0"/>
              <w:rPr>
                <w:sz w:val="11"/>
                <w:szCs w:val="11"/>
                <w:color w:val="auto"/>
              </w:rPr>
            </w:pPr>
          </w:p>
        </w:tc>
        <w:tc>
          <w:tcPr>
            <w:tcW w:w="4740" w:type="dxa"/>
            <w:vAlign w:val="bottom"/>
            <w:gridSpan w:val="2"/>
          </w:tcPr>
          <w:p>
            <w:pPr>
              <w:ind w:left="340"/>
              <w:spacing w:after="0" w:line="130" w:lineRule="exact"/>
              <w:rPr>
                <w:sz w:val="20"/>
                <w:szCs w:val="20"/>
                <w:color w:val="auto"/>
              </w:rPr>
            </w:pPr>
            <w:r>
              <w:rPr>
                <w:rFonts w:ascii="Arial" w:cs="Arial" w:eastAsia="Arial" w:hAnsi="Arial"/>
                <w:sz w:val="14"/>
                <w:szCs w:val="14"/>
                <w:color w:val="auto"/>
              </w:rPr>
              <w:t>Adjustments to reconcile net income to net cash provided by operating</w:t>
            </w:r>
          </w:p>
        </w:tc>
        <w:tc>
          <w:tcPr>
            <w:tcW w:w="4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380" w:type="dxa"/>
            <w:vAlign w:val="bottom"/>
          </w:tcPr>
          <w:p>
            <w:pPr>
              <w:spacing w:after="0"/>
              <w:rPr>
                <w:sz w:val="11"/>
                <w:szCs w:val="11"/>
                <w:color w:val="auto"/>
              </w:rPr>
            </w:pPr>
          </w:p>
        </w:tc>
      </w:tr>
      <w:tr>
        <w:trPr>
          <w:trHeight w:val="167"/>
        </w:trPr>
        <w:tc>
          <w:tcPr>
            <w:tcW w:w="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0" w:type="dxa"/>
            <w:vAlign w:val="bottom"/>
          </w:tcPr>
          <w:p>
            <w:pPr>
              <w:ind w:left="200"/>
              <w:spacing w:after="0"/>
              <w:rPr>
                <w:sz w:val="20"/>
                <w:szCs w:val="20"/>
                <w:color w:val="auto"/>
              </w:rPr>
            </w:pPr>
            <w:r>
              <w:rPr>
                <w:rFonts w:ascii="Arial" w:cs="Arial" w:eastAsia="Arial" w:hAnsi="Arial"/>
                <w:sz w:val="14"/>
                <w:szCs w:val="14"/>
                <w:color w:val="auto"/>
              </w:rPr>
              <w:t>activities</w:t>
            </w:r>
          </w:p>
        </w:tc>
        <w:tc>
          <w:tcPr>
            <w:tcW w:w="4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37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400" w:type="dxa"/>
            <w:vAlign w:val="bottom"/>
            <w:shd w:val="clear" w:color="auto" w:fill="CCEEFF"/>
          </w:tcPr>
          <w:p>
            <w:pPr>
              <w:ind w:left="400"/>
              <w:spacing w:after="0" w:line="149" w:lineRule="exact"/>
              <w:rPr>
                <w:sz w:val="20"/>
                <w:szCs w:val="20"/>
                <w:color w:val="auto"/>
              </w:rPr>
            </w:pPr>
            <w:r>
              <w:rPr>
                <w:rFonts w:ascii="Arial" w:cs="Arial" w:eastAsia="Arial" w:hAnsi="Arial"/>
                <w:sz w:val="14"/>
                <w:szCs w:val="14"/>
                <w:color w:val="auto"/>
              </w:rPr>
              <w:t>Provision for credit losses</w:t>
            </w:r>
          </w:p>
        </w:tc>
        <w:tc>
          <w:tcPr>
            <w:tcW w:w="420" w:type="dxa"/>
            <w:vAlign w:val="bottom"/>
            <w:shd w:val="clear" w:color="auto" w:fill="CCEEFF"/>
          </w:tcPr>
          <w:p>
            <w:pPr>
              <w:spacing w:after="0"/>
              <w:rPr>
                <w:sz w:val="12"/>
                <w:szCs w:val="12"/>
                <w:color w:val="auto"/>
              </w:rPr>
            </w:pPr>
          </w:p>
        </w:tc>
        <w:tc>
          <w:tcPr>
            <w:tcW w:w="1160" w:type="dxa"/>
            <w:vAlign w:val="bottom"/>
            <w:shd w:val="clear" w:color="auto" w:fill="CCEEFF"/>
          </w:tcPr>
          <w:p>
            <w:pPr>
              <w:jc w:val="right"/>
              <w:ind w:right="448"/>
              <w:spacing w:after="0" w:line="149" w:lineRule="exact"/>
              <w:rPr>
                <w:sz w:val="20"/>
                <w:szCs w:val="20"/>
                <w:color w:val="auto"/>
              </w:rPr>
            </w:pPr>
            <w:r>
              <w:rPr>
                <w:rFonts w:ascii="Arial" w:cs="Arial" w:eastAsia="Arial" w:hAnsi="Arial"/>
                <w:sz w:val="14"/>
                <w:szCs w:val="14"/>
                <w:color w:val="auto"/>
              </w:rPr>
              <w:t>60,000</w:t>
            </w:r>
          </w:p>
        </w:tc>
        <w:tc>
          <w:tcPr>
            <w:tcW w:w="1380" w:type="dxa"/>
            <w:vAlign w:val="bottom"/>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rPr>
              <w:t>27,000</w:t>
            </w:r>
          </w:p>
        </w:tc>
      </w:tr>
      <w:tr>
        <w:trPr>
          <w:trHeight w:val="149"/>
        </w:trPr>
        <w:tc>
          <w:tcPr>
            <w:tcW w:w="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400" w:type="dxa"/>
            <w:vAlign w:val="bottom"/>
          </w:tcPr>
          <w:p>
            <w:pPr>
              <w:ind w:left="400"/>
              <w:spacing w:after="0" w:line="149" w:lineRule="exact"/>
              <w:rPr>
                <w:sz w:val="20"/>
                <w:szCs w:val="20"/>
                <w:color w:val="auto"/>
              </w:rPr>
            </w:pPr>
            <w:r>
              <w:rPr>
                <w:rFonts w:ascii="Arial" w:cs="Arial" w:eastAsia="Arial" w:hAnsi="Arial"/>
                <w:sz w:val="14"/>
                <w:szCs w:val="14"/>
                <w:color w:val="auto"/>
              </w:rPr>
              <w:t>Depreciation and amortization of premises and equipment</w:t>
            </w:r>
          </w:p>
        </w:tc>
        <w:tc>
          <w:tcPr>
            <w:tcW w:w="420" w:type="dxa"/>
            <w:vAlign w:val="bottom"/>
          </w:tcPr>
          <w:p>
            <w:pPr>
              <w:spacing w:after="0"/>
              <w:rPr>
                <w:sz w:val="12"/>
                <w:szCs w:val="12"/>
                <w:color w:val="auto"/>
              </w:rPr>
            </w:pPr>
          </w:p>
        </w:tc>
        <w:tc>
          <w:tcPr>
            <w:tcW w:w="1160" w:type="dxa"/>
            <w:vAlign w:val="bottom"/>
          </w:tcPr>
          <w:p>
            <w:pPr>
              <w:jc w:val="right"/>
              <w:ind w:right="448"/>
              <w:spacing w:after="0" w:line="149" w:lineRule="exact"/>
              <w:rPr>
                <w:sz w:val="20"/>
                <w:szCs w:val="20"/>
                <w:color w:val="auto"/>
              </w:rPr>
            </w:pPr>
            <w:r>
              <w:rPr>
                <w:rFonts w:ascii="Arial" w:cs="Arial" w:eastAsia="Arial" w:hAnsi="Arial"/>
                <w:sz w:val="14"/>
                <w:szCs w:val="14"/>
                <w:color w:val="auto"/>
              </w:rPr>
              <w:t>13,205</w:t>
            </w:r>
          </w:p>
        </w:tc>
        <w:tc>
          <w:tcPr>
            <w:tcW w:w="1380" w:type="dxa"/>
            <w:vAlign w:val="bottom"/>
          </w:tcPr>
          <w:p>
            <w:pPr>
              <w:jc w:val="right"/>
              <w:ind w:right="188"/>
              <w:spacing w:after="0" w:line="149" w:lineRule="exact"/>
              <w:rPr>
                <w:sz w:val="20"/>
                <w:szCs w:val="20"/>
                <w:color w:val="auto"/>
              </w:rPr>
            </w:pPr>
            <w:r>
              <w:rPr>
                <w:rFonts w:ascii="Arial" w:cs="Arial" w:eastAsia="Arial" w:hAnsi="Arial"/>
                <w:sz w:val="14"/>
                <w:szCs w:val="14"/>
                <w:color w:val="auto"/>
              </w:rPr>
              <w:t>12,579</w:t>
            </w:r>
          </w:p>
        </w:tc>
      </w:tr>
      <w:tr>
        <w:trPr>
          <w:trHeight w:val="149"/>
        </w:trPr>
        <w:tc>
          <w:tcPr>
            <w:tcW w:w="20" w:type="dxa"/>
            <w:vAlign w:val="bottom"/>
          </w:tcPr>
          <w:p>
            <w:pPr>
              <w:spacing w:after="0"/>
              <w:rPr>
                <w:sz w:val="12"/>
                <w:szCs w:val="12"/>
                <w:color w:val="auto"/>
              </w:rPr>
            </w:pPr>
          </w:p>
        </w:tc>
        <w:tc>
          <w:tcPr>
            <w:tcW w:w="37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400" w:type="dxa"/>
            <w:vAlign w:val="bottom"/>
            <w:shd w:val="clear" w:color="auto" w:fill="CCEEFF"/>
          </w:tcPr>
          <w:p>
            <w:pPr>
              <w:ind w:left="400"/>
              <w:spacing w:after="0" w:line="149" w:lineRule="exact"/>
              <w:rPr>
                <w:sz w:val="20"/>
                <w:szCs w:val="20"/>
                <w:color w:val="auto"/>
              </w:rPr>
            </w:pPr>
            <w:r>
              <w:rPr>
                <w:rFonts w:ascii="Arial" w:cs="Arial" w:eastAsia="Arial" w:hAnsi="Arial"/>
                <w:sz w:val="14"/>
                <w:szCs w:val="14"/>
                <w:color w:val="auto"/>
              </w:rPr>
              <w:t>Amortization of capitalized servicing rights</w:t>
            </w:r>
          </w:p>
        </w:tc>
        <w:tc>
          <w:tcPr>
            <w:tcW w:w="420" w:type="dxa"/>
            <w:vAlign w:val="bottom"/>
            <w:shd w:val="clear" w:color="auto" w:fill="CCEEFF"/>
          </w:tcPr>
          <w:p>
            <w:pPr>
              <w:spacing w:after="0"/>
              <w:rPr>
                <w:sz w:val="12"/>
                <w:szCs w:val="12"/>
                <w:color w:val="auto"/>
              </w:rPr>
            </w:pPr>
          </w:p>
        </w:tc>
        <w:tc>
          <w:tcPr>
            <w:tcW w:w="1160" w:type="dxa"/>
            <w:vAlign w:val="bottom"/>
            <w:shd w:val="clear" w:color="auto" w:fill="CCEEFF"/>
          </w:tcPr>
          <w:p>
            <w:pPr>
              <w:jc w:val="right"/>
              <w:ind w:right="448"/>
              <w:spacing w:after="0" w:line="149" w:lineRule="exact"/>
              <w:rPr>
                <w:sz w:val="20"/>
                <w:szCs w:val="20"/>
                <w:color w:val="auto"/>
              </w:rPr>
            </w:pPr>
            <w:r>
              <w:rPr>
                <w:rFonts w:ascii="Arial" w:cs="Arial" w:eastAsia="Arial" w:hAnsi="Arial"/>
                <w:sz w:val="14"/>
                <w:szCs w:val="14"/>
                <w:color w:val="auto"/>
              </w:rPr>
              <w:t>16,414</w:t>
            </w:r>
          </w:p>
        </w:tc>
        <w:tc>
          <w:tcPr>
            <w:tcW w:w="1380" w:type="dxa"/>
            <w:vAlign w:val="bottom"/>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rPr>
              <w:t>15,591</w:t>
            </w:r>
          </w:p>
        </w:tc>
      </w:tr>
      <w:tr>
        <w:trPr>
          <w:trHeight w:val="149"/>
        </w:trPr>
        <w:tc>
          <w:tcPr>
            <w:tcW w:w="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400" w:type="dxa"/>
            <w:vAlign w:val="bottom"/>
          </w:tcPr>
          <w:p>
            <w:pPr>
              <w:ind w:left="400"/>
              <w:spacing w:after="0" w:line="149" w:lineRule="exact"/>
              <w:rPr>
                <w:sz w:val="20"/>
                <w:szCs w:val="20"/>
                <w:color w:val="auto"/>
              </w:rPr>
            </w:pPr>
            <w:r>
              <w:rPr>
                <w:rFonts w:ascii="Arial" w:cs="Arial" w:eastAsia="Arial" w:hAnsi="Arial"/>
                <w:sz w:val="14"/>
                <w:szCs w:val="14"/>
                <w:color w:val="auto"/>
              </w:rPr>
              <w:t>Amortization of core deposit and other intangible assets</w:t>
            </w:r>
          </w:p>
        </w:tc>
        <w:tc>
          <w:tcPr>
            <w:tcW w:w="420" w:type="dxa"/>
            <w:vAlign w:val="bottom"/>
          </w:tcPr>
          <w:p>
            <w:pPr>
              <w:spacing w:after="0"/>
              <w:rPr>
                <w:sz w:val="12"/>
                <w:szCs w:val="12"/>
                <w:color w:val="auto"/>
              </w:rPr>
            </w:pPr>
          </w:p>
        </w:tc>
        <w:tc>
          <w:tcPr>
            <w:tcW w:w="1160" w:type="dxa"/>
            <w:vAlign w:val="bottom"/>
          </w:tcPr>
          <w:p>
            <w:pPr>
              <w:jc w:val="right"/>
              <w:ind w:right="448"/>
              <w:spacing w:after="0" w:line="149" w:lineRule="exact"/>
              <w:rPr>
                <w:sz w:val="20"/>
                <w:szCs w:val="20"/>
                <w:color w:val="auto"/>
              </w:rPr>
            </w:pPr>
            <w:r>
              <w:rPr>
                <w:rFonts w:ascii="Arial" w:cs="Arial" w:eastAsia="Arial" w:hAnsi="Arial"/>
                <w:sz w:val="14"/>
                <w:szCs w:val="14"/>
                <w:color w:val="auto"/>
              </w:rPr>
              <w:t>18,483</w:t>
            </w:r>
          </w:p>
        </w:tc>
        <w:tc>
          <w:tcPr>
            <w:tcW w:w="1380" w:type="dxa"/>
            <w:vAlign w:val="bottom"/>
          </w:tcPr>
          <w:p>
            <w:pPr>
              <w:jc w:val="right"/>
              <w:ind w:right="188"/>
              <w:spacing w:after="0" w:line="149" w:lineRule="exact"/>
              <w:rPr>
                <w:sz w:val="20"/>
                <w:szCs w:val="20"/>
                <w:color w:val="auto"/>
              </w:rPr>
            </w:pPr>
            <w:r>
              <w:rPr>
                <w:rFonts w:ascii="Arial" w:cs="Arial" w:eastAsia="Arial" w:hAnsi="Arial"/>
                <w:sz w:val="14"/>
                <w:szCs w:val="14"/>
                <w:color w:val="auto"/>
              </w:rPr>
              <w:t>18,356</w:t>
            </w:r>
          </w:p>
        </w:tc>
      </w:tr>
      <w:tr>
        <w:trPr>
          <w:trHeight w:val="149"/>
        </w:trPr>
        <w:tc>
          <w:tcPr>
            <w:tcW w:w="20" w:type="dxa"/>
            <w:vAlign w:val="bottom"/>
          </w:tcPr>
          <w:p>
            <w:pPr>
              <w:spacing w:after="0"/>
              <w:rPr>
                <w:sz w:val="12"/>
                <w:szCs w:val="12"/>
                <w:color w:val="auto"/>
              </w:rPr>
            </w:pPr>
          </w:p>
        </w:tc>
        <w:tc>
          <w:tcPr>
            <w:tcW w:w="37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400" w:type="dxa"/>
            <w:vAlign w:val="bottom"/>
            <w:shd w:val="clear" w:color="auto" w:fill="CCEEFF"/>
          </w:tcPr>
          <w:p>
            <w:pPr>
              <w:ind w:left="400"/>
              <w:spacing w:after="0" w:line="149" w:lineRule="exact"/>
              <w:rPr>
                <w:sz w:val="20"/>
                <w:szCs w:val="20"/>
                <w:color w:val="auto"/>
              </w:rPr>
            </w:pPr>
            <w:r>
              <w:rPr>
                <w:rFonts w:ascii="Arial" w:cs="Arial" w:eastAsia="Arial" w:hAnsi="Arial"/>
                <w:sz w:val="14"/>
                <w:szCs w:val="14"/>
                <w:color w:val="auto"/>
              </w:rPr>
              <w:t>Provision for deferred income taxes</w:t>
            </w:r>
          </w:p>
        </w:tc>
        <w:tc>
          <w:tcPr>
            <w:tcW w:w="420" w:type="dxa"/>
            <w:vAlign w:val="bottom"/>
            <w:shd w:val="clear" w:color="auto" w:fill="CCEEFF"/>
          </w:tcPr>
          <w:p>
            <w:pPr>
              <w:spacing w:after="0"/>
              <w:rPr>
                <w:sz w:val="12"/>
                <w:szCs w:val="12"/>
                <w:color w:val="auto"/>
              </w:rPr>
            </w:pPr>
          </w:p>
        </w:tc>
        <w:tc>
          <w:tcPr>
            <w:tcW w:w="1160" w:type="dxa"/>
            <w:vAlign w:val="bottom"/>
            <w:shd w:val="clear" w:color="auto" w:fill="CCEEFF"/>
          </w:tcPr>
          <w:p>
            <w:pPr>
              <w:jc w:val="right"/>
              <w:ind w:right="408"/>
              <w:spacing w:after="0" w:line="149" w:lineRule="exact"/>
              <w:rPr>
                <w:sz w:val="20"/>
                <w:szCs w:val="20"/>
                <w:color w:val="auto"/>
              </w:rPr>
            </w:pPr>
            <w:r>
              <w:rPr>
                <w:rFonts w:ascii="Arial" w:cs="Arial" w:eastAsia="Arial" w:hAnsi="Arial"/>
                <w:sz w:val="14"/>
                <w:szCs w:val="14"/>
                <w:color w:val="auto"/>
              </w:rPr>
              <w:t>(6,203)</w:t>
            </w:r>
          </w:p>
        </w:tc>
        <w:tc>
          <w:tcPr>
            <w:tcW w:w="138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(19,402)</w:t>
            </w:r>
          </w:p>
        </w:tc>
      </w:tr>
      <w:tr>
        <w:trPr>
          <w:trHeight w:val="149"/>
        </w:trPr>
        <w:tc>
          <w:tcPr>
            <w:tcW w:w="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400" w:type="dxa"/>
            <w:vAlign w:val="bottom"/>
          </w:tcPr>
          <w:p>
            <w:pPr>
              <w:ind w:left="400"/>
              <w:spacing w:after="0" w:line="149" w:lineRule="exact"/>
              <w:rPr>
                <w:sz w:val="20"/>
                <w:szCs w:val="20"/>
                <w:color w:val="auto"/>
              </w:rPr>
            </w:pPr>
            <w:r>
              <w:rPr>
                <w:rFonts w:ascii="Arial" w:cs="Arial" w:eastAsia="Arial" w:hAnsi="Arial"/>
                <w:sz w:val="14"/>
                <w:szCs w:val="14"/>
                <w:color w:val="auto"/>
              </w:rPr>
              <w:t>Asset write-downs</w:t>
            </w:r>
          </w:p>
        </w:tc>
        <w:tc>
          <w:tcPr>
            <w:tcW w:w="420" w:type="dxa"/>
            <w:vAlign w:val="bottom"/>
          </w:tcPr>
          <w:p>
            <w:pPr>
              <w:spacing w:after="0"/>
              <w:rPr>
                <w:sz w:val="12"/>
                <w:szCs w:val="12"/>
                <w:color w:val="auto"/>
              </w:rPr>
            </w:pPr>
          </w:p>
        </w:tc>
        <w:tc>
          <w:tcPr>
            <w:tcW w:w="1160" w:type="dxa"/>
            <w:vAlign w:val="bottom"/>
          </w:tcPr>
          <w:p>
            <w:pPr>
              <w:jc w:val="right"/>
              <w:ind w:right="448"/>
              <w:spacing w:after="0" w:line="149" w:lineRule="exact"/>
              <w:rPr>
                <w:sz w:val="20"/>
                <w:szCs w:val="20"/>
                <w:color w:val="auto"/>
              </w:rPr>
            </w:pPr>
            <w:r>
              <w:rPr>
                <w:rFonts w:ascii="Arial" w:cs="Arial" w:eastAsia="Arial" w:hAnsi="Arial"/>
                <w:sz w:val="14"/>
                <w:szCs w:val="14"/>
                <w:color w:val="auto"/>
              </w:rPr>
              <w:t>130</w:t>
            </w:r>
          </w:p>
        </w:tc>
        <w:tc>
          <w:tcPr>
            <w:tcW w:w="1380" w:type="dxa"/>
            <w:vAlign w:val="bottom"/>
          </w:tcPr>
          <w:p>
            <w:pPr>
              <w:jc w:val="right"/>
              <w:ind w:right="188"/>
              <w:spacing w:after="0" w:line="149" w:lineRule="exact"/>
              <w:rPr>
                <w:sz w:val="20"/>
                <w:szCs w:val="20"/>
                <w:color w:val="auto"/>
              </w:rPr>
            </w:pPr>
            <w:r>
              <w:rPr>
                <w:rFonts w:ascii="Arial" w:cs="Arial" w:eastAsia="Arial" w:hAnsi="Arial"/>
                <w:sz w:val="14"/>
                <w:szCs w:val="14"/>
                <w:color w:val="auto"/>
              </w:rPr>
              <w:t>12,777</w:t>
            </w:r>
          </w:p>
        </w:tc>
      </w:tr>
      <w:tr>
        <w:trPr>
          <w:trHeight w:val="149"/>
        </w:trPr>
        <w:tc>
          <w:tcPr>
            <w:tcW w:w="20" w:type="dxa"/>
            <w:vAlign w:val="bottom"/>
          </w:tcPr>
          <w:p>
            <w:pPr>
              <w:spacing w:after="0"/>
              <w:rPr>
                <w:sz w:val="12"/>
                <w:szCs w:val="12"/>
                <w:color w:val="auto"/>
              </w:rPr>
            </w:pPr>
          </w:p>
        </w:tc>
        <w:tc>
          <w:tcPr>
            <w:tcW w:w="37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400" w:type="dxa"/>
            <w:vAlign w:val="bottom"/>
            <w:shd w:val="clear" w:color="auto" w:fill="CCEEFF"/>
          </w:tcPr>
          <w:p>
            <w:pPr>
              <w:ind w:left="400"/>
              <w:spacing w:after="0" w:line="149" w:lineRule="exact"/>
              <w:rPr>
                <w:sz w:val="20"/>
                <w:szCs w:val="20"/>
                <w:color w:val="auto"/>
              </w:rPr>
            </w:pPr>
            <w:r>
              <w:rPr>
                <w:rFonts w:ascii="Arial" w:cs="Arial" w:eastAsia="Arial" w:hAnsi="Arial"/>
                <w:sz w:val="14"/>
                <w:szCs w:val="14"/>
                <w:color w:val="auto"/>
              </w:rPr>
              <w:t>Net gain on sales of assets</w:t>
            </w:r>
          </w:p>
        </w:tc>
        <w:tc>
          <w:tcPr>
            <w:tcW w:w="420" w:type="dxa"/>
            <w:vAlign w:val="bottom"/>
            <w:shd w:val="clear" w:color="auto" w:fill="CCEEFF"/>
          </w:tcPr>
          <w:p>
            <w:pPr>
              <w:spacing w:after="0"/>
              <w:rPr>
                <w:sz w:val="12"/>
                <w:szCs w:val="12"/>
                <w:color w:val="auto"/>
              </w:rPr>
            </w:pPr>
          </w:p>
        </w:tc>
        <w:tc>
          <w:tcPr>
            <w:tcW w:w="1160" w:type="dxa"/>
            <w:vAlign w:val="bottom"/>
            <w:shd w:val="clear" w:color="auto" w:fill="CCEEFF"/>
          </w:tcPr>
          <w:p>
            <w:pPr>
              <w:jc w:val="right"/>
              <w:ind w:right="408"/>
              <w:spacing w:after="0" w:line="149" w:lineRule="exact"/>
              <w:rPr>
                <w:sz w:val="20"/>
                <w:szCs w:val="20"/>
                <w:color w:val="auto"/>
              </w:rPr>
            </w:pPr>
            <w:r>
              <w:rPr>
                <w:rFonts w:ascii="Arial" w:cs="Arial" w:eastAsia="Arial" w:hAnsi="Arial"/>
                <w:sz w:val="14"/>
                <w:szCs w:val="14"/>
                <w:color w:val="auto"/>
              </w:rPr>
              <w:t>(32,714)</w:t>
            </w:r>
          </w:p>
        </w:tc>
        <w:tc>
          <w:tcPr>
            <w:tcW w:w="138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(4,808)</w:t>
            </w:r>
          </w:p>
        </w:tc>
      </w:tr>
      <w:tr>
        <w:trPr>
          <w:trHeight w:val="149"/>
        </w:trPr>
        <w:tc>
          <w:tcPr>
            <w:tcW w:w="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400" w:type="dxa"/>
            <w:vAlign w:val="bottom"/>
          </w:tcPr>
          <w:p>
            <w:pPr>
              <w:ind w:left="400"/>
              <w:spacing w:after="0" w:line="149" w:lineRule="exact"/>
              <w:rPr>
                <w:sz w:val="20"/>
                <w:szCs w:val="20"/>
                <w:color w:val="auto"/>
              </w:rPr>
            </w:pPr>
            <w:r>
              <w:rPr>
                <w:rFonts w:ascii="Arial" w:cs="Arial" w:eastAsia="Arial" w:hAnsi="Arial"/>
                <w:sz w:val="14"/>
                <w:szCs w:val="14"/>
                <w:color w:val="auto"/>
              </w:rPr>
              <w:t>Net change in accrued interest receivable, payable</w:t>
            </w:r>
          </w:p>
        </w:tc>
        <w:tc>
          <w:tcPr>
            <w:tcW w:w="420" w:type="dxa"/>
            <w:vAlign w:val="bottom"/>
          </w:tcPr>
          <w:p>
            <w:pPr>
              <w:spacing w:after="0"/>
              <w:rPr>
                <w:sz w:val="12"/>
                <w:szCs w:val="12"/>
                <w:color w:val="auto"/>
              </w:rPr>
            </w:pPr>
          </w:p>
        </w:tc>
        <w:tc>
          <w:tcPr>
            <w:tcW w:w="1160" w:type="dxa"/>
            <w:vAlign w:val="bottom"/>
          </w:tcPr>
          <w:p>
            <w:pPr>
              <w:jc w:val="right"/>
              <w:ind w:right="448"/>
              <w:spacing w:after="0" w:line="149" w:lineRule="exact"/>
              <w:rPr>
                <w:sz w:val="20"/>
                <w:szCs w:val="20"/>
                <w:color w:val="auto"/>
              </w:rPr>
            </w:pPr>
            <w:r>
              <w:rPr>
                <w:rFonts w:ascii="Arial" w:cs="Arial" w:eastAsia="Arial" w:hAnsi="Arial"/>
                <w:sz w:val="14"/>
                <w:szCs w:val="14"/>
                <w:color w:val="auto"/>
              </w:rPr>
              <w:t>24,332</w:t>
            </w:r>
          </w:p>
        </w:tc>
        <w:tc>
          <w:tcPr>
            <w:tcW w:w="1380" w:type="dxa"/>
            <w:vAlign w:val="bottom"/>
          </w:tcPr>
          <w:p>
            <w:pPr>
              <w:jc w:val="right"/>
              <w:ind w:right="188"/>
              <w:spacing w:after="0" w:line="149" w:lineRule="exact"/>
              <w:rPr>
                <w:sz w:val="20"/>
                <w:szCs w:val="20"/>
                <w:color w:val="auto"/>
              </w:rPr>
            </w:pPr>
            <w:r>
              <w:rPr>
                <w:rFonts w:ascii="Arial" w:cs="Arial" w:eastAsia="Arial" w:hAnsi="Arial"/>
                <w:sz w:val="14"/>
                <w:szCs w:val="14"/>
                <w:color w:val="auto"/>
              </w:rPr>
              <w:t>15,445</w:t>
            </w:r>
          </w:p>
        </w:tc>
      </w:tr>
      <w:tr>
        <w:trPr>
          <w:trHeight w:val="149"/>
        </w:trPr>
        <w:tc>
          <w:tcPr>
            <w:tcW w:w="20" w:type="dxa"/>
            <w:vAlign w:val="bottom"/>
          </w:tcPr>
          <w:p>
            <w:pPr>
              <w:spacing w:after="0"/>
              <w:rPr>
                <w:sz w:val="12"/>
                <w:szCs w:val="12"/>
                <w:color w:val="auto"/>
              </w:rPr>
            </w:pPr>
          </w:p>
        </w:tc>
        <w:tc>
          <w:tcPr>
            <w:tcW w:w="37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400" w:type="dxa"/>
            <w:vAlign w:val="bottom"/>
            <w:shd w:val="clear" w:color="auto" w:fill="CCEEFF"/>
          </w:tcPr>
          <w:p>
            <w:pPr>
              <w:ind w:left="400"/>
              <w:spacing w:after="0" w:line="149" w:lineRule="exact"/>
              <w:rPr>
                <w:sz w:val="20"/>
                <w:szCs w:val="20"/>
                <w:color w:val="auto"/>
              </w:rPr>
            </w:pPr>
            <w:r>
              <w:rPr>
                <w:rFonts w:ascii="Arial" w:cs="Arial" w:eastAsia="Arial" w:hAnsi="Arial"/>
                <w:sz w:val="14"/>
                <w:szCs w:val="14"/>
                <w:color w:val="auto"/>
              </w:rPr>
              <w:t>Net change in other accrued income and expense</w:t>
            </w:r>
          </w:p>
        </w:tc>
        <w:tc>
          <w:tcPr>
            <w:tcW w:w="420" w:type="dxa"/>
            <w:vAlign w:val="bottom"/>
            <w:shd w:val="clear" w:color="auto" w:fill="CCEEFF"/>
          </w:tcPr>
          <w:p>
            <w:pPr>
              <w:spacing w:after="0"/>
              <w:rPr>
                <w:sz w:val="12"/>
                <w:szCs w:val="12"/>
                <w:color w:val="auto"/>
              </w:rPr>
            </w:pPr>
          </w:p>
        </w:tc>
        <w:tc>
          <w:tcPr>
            <w:tcW w:w="1160" w:type="dxa"/>
            <w:vAlign w:val="bottom"/>
            <w:shd w:val="clear" w:color="auto" w:fill="CCEEFF"/>
          </w:tcPr>
          <w:p>
            <w:pPr>
              <w:jc w:val="right"/>
              <w:ind w:right="448"/>
              <w:spacing w:after="0" w:line="149" w:lineRule="exact"/>
              <w:rPr>
                <w:sz w:val="20"/>
                <w:szCs w:val="20"/>
                <w:color w:val="auto"/>
              </w:rPr>
            </w:pPr>
            <w:r>
              <w:rPr>
                <w:rFonts w:ascii="Arial" w:cs="Arial" w:eastAsia="Arial" w:hAnsi="Arial"/>
                <w:sz w:val="14"/>
                <w:szCs w:val="14"/>
                <w:color w:val="auto"/>
              </w:rPr>
              <w:t>47,486</w:t>
            </w:r>
          </w:p>
        </w:tc>
        <w:tc>
          <w:tcPr>
            <w:tcW w:w="1380" w:type="dxa"/>
            <w:vAlign w:val="bottom"/>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rPr>
              <w:t>43,023</w:t>
            </w:r>
          </w:p>
        </w:tc>
      </w:tr>
      <w:tr>
        <w:trPr>
          <w:trHeight w:val="149"/>
        </w:trPr>
        <w:tc>
          <w:tcPr>
            <w:tcW w:w="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400" w:type="dxa"/>
            <w:vAlign w:val="bottom"/>
          </w:tcPr>
          <w:p>
            <w:pPr>
              <w:ind w:left="400"/>
              <w:spacing w:after="0" w:line="149" w:lineRule="exact"/>
              <w:rPr>
                <w:sz w:val="20"/>
                <w:szCs w:val="20"/>
                <w:color w:val="auto"/>
              </w:rPr>
            </w:pPr>
            <w:r>
              <w:rPr>
                <w:rFonts w:ascii="Arial" w:cs="Arial" w:eastAsia="Arial" w:hAnsi="Arial"/>
                <w:sz w:val="14"/>
                <w:szCs w:val="14"/>
                <w:color w:val="auto"/>
              </w:rPr>
              <w:t>Net change in loans originated for sale</w:t>
            </w:r>
          </w:p>
        </w:tc>
        <w:tc>
          <w:tcPr>
            <w:tcW w:w="420" w:type="dxa"/>
            <w:vAlign w:val="bottom"/>
          </w:tcPr>
          <w:p>
            <w:pPr>
              <w:spacing w:after="0"/>
              <w:rPr>
                <w:sz w:val="12"/>
                <w:szCs w:val="12"/>
                <w:color w:val="auto"/>
              </w:rPr>
            </w:pPr>
          </w:p>
        </w:tc>
        <w:tc>
          <w:tcPr>
            <w:tcW w:w="1160" w:type="dxa"/>
            <w:vAlign w:val="bottom"/>
          </w:tcPr>
          <w:p>
            <w:pPr>
              <w:jc w:val="right"/>
              <w:ind w:right="408"/>
              <w:spacing w:after="0" w:line="149" w:lineRule="exact"/>
              <w:rPr>
                <w:sz w:val="20"/>
                <w:szCs w:val="20"/>
                <w:color w:val="auto"/>
              </w:rPr>
            </w:pPr>
            <w:r>
              <w:rPr>
                <w:rFonts w:ascii="Arial" w:cs="Arial" w:eastAsia="Arial" w:hAnsi="Arial"/>
                <w:sz w:val="14"/>
                <w:szCs w:val="14"/>
                <w:color w:val="auto"/>
              </w:rPr>
              <w:t>(65,976)</w:t>
            </w:r>
          </w:p>
        </w:tc>
        <w:tc>
          <w:tcPr>
            <w:tcW w:w="1380" w:type="dxa"/>
            <w:vAlign w:val="bottom"/>
          </w:tcPr>
          <w:p>
            <w:pPr>
              <w:jc w:val="right"/>
              <w:ind w:right="188"/>
              <w:spacing w:after="0" w:line="149" w:lineRule="exact"/>
              <w:rPr>
                <w:sz w:val="20"/>
                <w:szCs w:val="20"/>
                <w:color w:val="auto"/>
              </w:rPr>
            </w:pPr>
            <w:r>
              <w:rPr>
                <w:rFonts w:ascii="Arial" w:cs="Arial" w:eastAsia="Arial" w:hAnsi="Arial"/>
                <w:sz w:val="14"/>
                <w:szCs w:val="14"/>
                <w:color w:val="auto"/>
              </w:rPr>
              <w:t>136,065</w:t>
            </w:r>
          </w:p>
        </w:tc>
      </w:tr>
      <w:tr>
        <w:trPr>
          <w:trHeight w:val="149"/>
        </w:trPr>
        <w:tc>
          <w:tcPr>
            <w:tcW w:w="20" w:type="dxa"/>
            <w:vAlign w:val="bottom"/>
          </w:tcPr>
          <w:p>
            <w:pPr>
              <w:spacing w:after="0"/>
              <w:rPr>
                <w:sz w:val="12"/>
                <w:szCs w:val="12"/>
                <w:color w:val="auto"/>
              </w:rPr>
            </w:pPr>
          </w:p>
        </w:tc>
        <w:tc>
          <w:tcPr>
            <w:tcW w:w="37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400" w:type="dxa"/>
            <w:vAlign w:val="bottom"/>
            <w:tcBorders>
              <w:bottom w:val="single" w:sz="8" w:color="auto"/>
            </w:tcBorders>
            <w:shd w:val="clear" w:color="auto" w:fill="CCEEFF"/>
          </w:tcPr>
          <w:p>
            <w:pPr>
              <w:ind w:left="400"/>
              <w:spacing w:after="0" w:line="149" w:lineRule="exact"/>
              <w:rPr>
                <w:sz w:val="20"/>
                <w:szCs w:val="20"/>
                <w:color w:val="auto"/>
              </w:rPr>
            </w:pPr>
            <w:r>
              <w:rPr>
                <w:rFonts w:ascii="Arial" w:cs="Arial" w:eastAsia="Arial" w:hAnsi="Arial"/>
                <w:sz w:val="14"/>
                <w:szCs w:val="14"/>
                <w:color w:val="auto"/>
              </w:rPr>
              <w:t>Net change in trading account assets and liabilities</w:t>
            </w:r>
          </w:p>
        </w:tc>
        <w:tc>
          <w:tcPr>
            <w:tcW w:w="420" w:type="dxa"/>
            <w:vAlign w:val="bottom"/>
            <w:tcBorders>
              <w:bottom w:val="single" w:sz="8" w:color="auto"/>
            </w:tcBorders>
            <w:shd w:val="clear" w:color="auto" w:fill="CCEEFF"/>
          </w:tcPr>
          <w:p>
            <w:pPr>
              <w:spacing w:after="0"/>
              <w:rPr>
                <w:sz w:val="12"/>
                <w:szCs w:val="12"/>
                <w:color w:val="auto"/>
              </w:rPr>
            </w:pPr>
          </w:p>
        </w:tc>
        <w:tc>
          <w:tcPr>
            <w:tcW w:w="1160" w:type="dxa"/>
            <w:vAlign w:val="bottom"/>
            <w:tcBorders>
              <w:bottom w:val="single" w:sz="8" w:color="auto"/>
            </w:tcBorders>
            <w:shd w:val="clear" w:color="auto" w:fill="CCEEFF"/>
          </w:tcPr>
          <w:p>
            <w:pPr>
              <w:jc w:val="right"/>
              <w:ind w:right="448"/>
              <w:spacing w:after="0" w:line="149" w:lineRule="exact"/>
              <w:rPr>
                <w:sz w:val="20"/>
                <w:szCs w:val="20"/>
                <w:color w:val="auto"/>
              </w:rPr>
            </w:pPr>
            <w:r>
              <w:rPr>
                <w:rFonts w:ascii="Arial" w:cs="Arial" w:eastAsia="Arial" w:hAnsi="Arial"/>
                <w:sz w:val="14"/>
                <w:szCs w:val="14"/>
                <w:color w:val="auto"/>
              </w:rPr>
              <w:t>55,764</w:t>
            </w:r>
          </w:p>
        </w:tc>
        <w:tc>
          <w:tcPr>
            <w:tcW w:w="1380" w:type="dxa"/>
            <w:vAlign w:val="bottom"/>
            <w:tcBorders>
              <w:bottom w:val="single" w:sz="8" w:color="auto"/>
            </w:tcBorders>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(20,674)</w:t>
            </w:r>
          </w:p>
        </w:tc>
      </w:tr>
      <w:tr>
        <w:trPr>
          <w:trHeight w:val="163"/>
        </w:trPr>
        <w:tc>
          <w:tcPr>
            <w:tcW w:w="20" w:type="dxa"/>
            <w:vAlign w:val="bottom"/>
          </w:tcPr>
          <w:p>
            <w:pPr>
              <w:spacing w:after="0"/>
              <w:rPr>
                <w:sz w:val="14"/>
                <w:szCs w:val="14"/>
                <w:color w:val="auto"/>
              </w:rPr>
            </w:pPr>
          </w:p>
        </w:tc>
        <w:tc>
          <w:tcPr>
            <w:tcW w:w="37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4400" w:type="dxa"/>
            <w:vAlign w:val="bottom"/>
            <w:tcBorders>
              <w:bottom w:val="single" w:sz="8" w:color="auto"/>
            </w:tcBorders>
          </w:tcPr>
          <w:p>
            <w:pPr>
              <w:ind w:left="400"/>
              <w:spacing w:after="0" w:line="155" w:lineRule="exact"/>
              <w:rPr>
                <w:sz w:val="20"/>
                <w:szCs w:val="20"/>
                <w:color w:val="auto"/>
              </w:rPr>
            </w:pPr>
            <w:r>
              <w:rPr>
                <w:rFonts w:ascii="Arial" w:cs="Arial" w:eastAsia="Arial" w:hAnsi="Arial"/>
                <w:sz w:val="14"/>
                <w:szCs w:val="14"/>
                <w:color w:val="auto"/>
              </w:rPr>
              <w:t>Net cash provided by operating activities</w:t>
            </w:r>
          </w:p>
        </w:tc>
        <w:tc>
          <w:tcPr>
            <w:tcW w:w="4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48"/>
              <w:spacing w:after="0" w:line="155" w:lineRule="exact"/>
              <w:rPr>
                <w:sz w:val="20"/>
                <w:szCs w:val="20"/>
                <w:color w:val="auto"/>
              </w:rPr>
            </w:pPr>
            <w:r>
              <w:rPr>
                <w:rFonts w:ascii="Arial" w:cs="Arial" w:eastAsia="Arial" w:hAnsi="Arial"/>
                <w:sz w:val="14"/>
                <w:szCs w:val="14"/>
                <w:color w:val="auto"/>
              </w:rPr>
              <w:t>333,117</w:t>
            </w:r>
          </w:p>
        </w:tc>
        <w:tc>
          <w:tcPr>
            <w:tcW w:w="1380" w:type="dxa"/>
            <w:vAlign w:val="bottom"/>
            <w:tcBorders>
              <w:bottom w:val="single" w:sz="8" w:color="auto"/>
            </w:tcBorders>
          </w:tcPr>
          <w:p>
            <w:pPr>
              <w:jc w:val="right"/>
              <w:ind w:right="188"/>
              <w:spacing w:after="0" w:line="155" w:lineRule="exact"/>
              <w:rPr>
                <w:sz w:val="20"/>
                <w:szCs w:val="20"/>
                <w:color w:val="auto"/>
              </w:rPr>
            </w:pPr>
            <w:r>
              <w:rPr>
                <w:rFonts w:ascii="Arial" w:cs="Arial" w:eastAsia="Arial" w:hAnsi="Arial"/>
                <w:sz w:val="14"/>
                <w:szCs w:val="14"/>
                <w:color w:val="auto"/>
              </w:rPr>
              <w:t>411,925</w:t>
            </w:r>
          </w:p>
        </w:tc>
      </w:tr>
      <w:tr>
        <w:trPr>
          <w:trHeight w:val="149"/>
        </w:trPr>
        <w:tc>
          <w:tcPr>
            <w:tcW w:w="20" w:type="dxa"/>
            <w:vAlign w:val="bottom"/>
          </w:tcPr>
          <w:p>
            <w:pPr>
              <w:spacing w:after="0"/>
              <w:rPr>
                <w:sz w:val="12"/>
                <w:szCs w:val="12"/>
                <w:color w:val="auto"/>
              </w:rPr>
            </w:pPr>
          </w:p>
        </w:tc>
        <w:tc>
          <w:tcPr>
            <w:tcW w:w="3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flows from investing activities</w:t>
            </w:r>
          </w:p>
        </w:tc>
        <w:tc>
          <w:tcPr>
            <w:tcW w:w="474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Proceeds from sales of investment securities</w:t>
            </w:r>
          </w:p>
        </w:tc>
        <w:tc>
          <w:tcPr>
            <w:tcW w:w="4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400" w:type="dxa"/>
            <w:vAlign w:val="bottom"/>
          </w:tcPr>
          <w:p>
            <w:pPr>
              <w:ind w:left="200"/>
              <w:spacing w:after="0" w:line="149" w:lineRule="exact"/>
              <w:rPr>
                <w:sz w:val="20"/>
                <w:szCs w:val="20"/>
                <w:color w:val="auto"/>
              </w:rPr>
            </w:pPr>
            <w:r>
              <w:rPr>
                <w:rFonts w:ascii="Arial" w:cs="Arial" w:eastAsia="Arial" w:hAnsi="Arial"/>
                <w:sz w:val="14"/>
                <w:szCs w:val="14"/>
                <w:color w:val="auto"/>
              </w:rPr>
              <w:t>Available for sale</w:t>
            </w:r>
          </w:p>
        </w:tc>
        <w:tc>
          <w:tcPr>
            <w:tcW w:w="420" w:type="dxa"/>
            <w:vAlign w:val="bottom"/>
          </w:tcPr>
          <w:p>
            <w:pPr>
              <w:spacing w:after="0"/>
              <w:rPr>
                <w:sz w:val="12"/>
                <w:szCs w:val="12"/>
                <w:color w:val="auto"/>
              </w:rPr>
            </w:pPr>
          </w:p>
        </w:tc>
        <w:tc>
          <w:tcPr>
            <w:tcW w:w="1160" w:type="dxa"/>
            <w:vAlign w:val="bottom"/>
          </w:tcPr>
          <w:p>
            <w:pPr>
              <w:jc w:val="right"/>
              <w:ind w:right="448"/>
              <w:spacing w:after="0" w:line="149" w:lineRule="exact"/>
              <w:rPr>
                <w:sz w:val="20"/>
                <w:szCs w:val="20"/>
                <w:color w:val="auto"/>
              </w:rPr>
            </w:pPr>
            <w:r>
              <w:rPr>
                <w:rFonts w:ascii="Arial" w:cs="Arial" w:eastAsia="Arial" w:hAnsi="Arial"/>
                <w:sz w:val="14"/>
                <w:szCs w:val="14"/>
                <w:color w:val="auto"/>
              </w:rPr>
              <w:t>49,678</w:t>
            </w:r>
          </w:p>
        </w:tc>
        <w:tc>
          <w:tcPr>
            <w:tcW w:w="1380" w:type="dxa"/>
            <w:vAlign w:val="bottom"/>
          </w:tcPr>
          <w:p>
            <w:pPr>
              <w:jc w:val="right"/>
              <w:ind w:right="188"/>
              <w:spacing w:after="0" w:line="149" w:lineRule="exact"/>
              <w:rPr>
                <w:sz w:val="20"/>
                <w:szCs w:val="20"/>
                <w:color w:val="auto"/>
              </w:rPr>
            </w:pPr>
            <w:r>
              <w:rPr>
                <w:rFonts w:ascii="Arial" w:cs="Arial" w:eastAsia="Arial" w:hAnsi="Arial"/>
                <w:sz w:val="14"/>
                <w:szCs w:val="14"/>
                <w:color w:val="auto"/>
              </w:rPr>
              <w:t>32,362</w:t>
            </w:r>
          </w:p>
        </w:tc>
      </w:tr>
      <w:tr>
        <w:trPr>
          <w:trHeight w:val="149"/>
        </w:trPr>
        <w:tc>
          <w:tcPr>
            <w:tcW w:w="20" w:type="dxa"/>
            <w:vAlign w:val="bottom"/>
          </w:tcPr>
          <w:p>
            <w:pPr>
              <w:spacing w:after="0"/>
              <w:rPr>
                <w:sz w:val="12"/>
                <w:szCs w:val="12"/>
                <w:color w:val="auto"/>
              </w:rPr>
            </w:pPr>
          </w:p>
        </w:tc>
        <w:tc>
          <w:tcPr>
            <w:tcW w:w="37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4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Other</w:t>
            </w:r>
          </w:p>
        </w:tc>
        <w:tc>
          <w:tcPr>
            <w:tcW w:w="420" w:type="dxa"/>
            <w:vAlign w:val="bottom"/>
            <w:shd w:val="clear" w:color="auto" w:fill="CCEEFF"/>
          </w:tcPr>
          <w:p>
            <w:pPr>
              <w:spacing w:after="0"/>
              <w:rPr>
                <w:sz w:val="12"/>
                <w:szCs w:val="12"/>
                <w:color w:val="auto"/>
              </w:rPr>
            </w:pPr>
          </w:p>
        </w:tc>
        <w:tc>
          <w:tcPr>
            <w:tcW w:w="1160" w:type="dxa"/>
            <w:vAlign w:val="bottom"/>
            <w:shd w:val="clear" w:color="auto" w:fill="CCEEFF"/>
          </w:tcPr>
          <w:p>
            <w:pPr>
              <w:jc w:val="right"/>
              <w:ind w:right="448"/>
              <w:spacing w:after="0" w:line="149" w:lineRule="exact"/>
              <w:rPr>
                <w:sz w:val="20"/>
                <w:szCs w:val="20"/>
                <w:color w:val="auto"/>
              </w:rPr>
            </w:pPr>
            <w:r>
              <w:rPr>
                <w:rFonts w:ascii="Arial" w:cs="Arial" w:eastAsia="Arial" w:hAnsi="Arial"/>
                <w:sz w:val="14"/>
                <w:szCs w:val="14"/>
                <w:color w:val="auto"/>
              </w:rPr>
              <w:t>35,188</w:t>
            </w:r>
          </w:p>
        </w:tc>
        <w:tc>
          <w:tcPr>
            <w:tcW w:w="1380" w:type="dxa"/>
            <w:vAlign w:val="bottom"/>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rPr>
              <w:t>1,365</w:t>
            </w:r>
          </w:p>
        </w:tc>
      </w:tr>
      <w:tr>
        <w:trPr>
          <w:trHeight w:val="149"/>
        </w:trPr>
        <w:tc>
          <w:tcPr>
            <w:tcW w:w="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474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Proceeds from maturities of investment securities</w:t>
            </w:r>
          </w:p>
        </w:tc>
        <w:tc>
          <w:tcPr>
            <w:tcW w:w="4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3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7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4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Available for sale</w:t>
            </w:r>
          </w:p>
        </w:tc>
        <w:tc>
          <w:tcPr>
            <w:tcW w:w="420" w:type="dxa"/>
            <w:vAlign w:val="bottom"/>
            <w:shd w:val="clear" w:color="auto" w:fill="CCEEFF"/>
          </w:tcPr>
          <w:p>
            <w:pPr>
              <w:spacing w:after="0"/>
              <w:rPr>
                <w:sz w:val="12"/>
                <w:szCs w:val="12"/>
                <w:color w:val="auto"/>
              </w:rPr>
            </w:pPr>
          </w:p>
        </w:tc>
        <w:tc>
          <w:tcPr>
            <w:tcW w:w="1160" w:type="dxa"/>
            <w:vAlign w:val="bottom"/>
            <w:shd w:val="clear" w:color="auto" w:fill="CCEEFF"/>
          </w:tcPr>
          <w:p>
            <w:pPr>
              <w:jc w:val="right"/>
              <w:ind w:right="448"/>
              <w:spacing w:after="0" w:line="149" w:lineRule="exact"/>
              <w:rPr>
                <w:sz w:val="20"/>
                <w:szCs w:val="20"/>
                <w:color w:val="auto"/>
              </w:rPr>
            </w:pPr>
            <w:r>
              <w:rPr>
                <w:rFonts w:ascii="Arial" w:cs="Arial" w:eastAsia="Arial" w:hAnsi="Arial"/>
                <w:sz w:val="14"/>
                <w:szCs w:val="14"/>
                <w:color w:val="auto"/>
              </w:rPr>
              <w:t>652,254</w:t>
            </w:r>
          </w:p>
        </w:tc>
        <w:tc>
          <w:tcPr>
            <w:tcW w:w="1380" w:type="dxa"/>
            <w:vAlign w:val="bottom"/>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rPr>
              <w:t>486,151</w:t>
            </w:r>
          </w:p>
        </w:tc>
      </w:tr>
      <w:tr>
        <w:trPr>
          <w:trHeight w:val="149"/>
        </w:trPr>
        <w:tc>
          <w:tcPr>
            <w:tcW w:w="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400" w:type="dxa"/>
            <w:vAlign w:val="bottom"/>
          </w:tcPr>
          <w:p>
            <w:pPr>
              <w:ind w:left="200"/>
              <w:spacing w:after="0" w:line="149" w:lineRule="exact"/>
              <w:rPr>
                <w:sz w:val="20"/>
                <w:szCs w:val="20"/>
                <w:color w:val="auto"/>
              </w:rPr>
            </w:pPr>
            <w:r>
              <w:rPr>
                <w:rFonts w:ascii="Arial" w:cs="Arial" w:eastAsia="Arial" w:hAnsi="Arial"/>
                <w:sz w:val="14"/>
                <w:szCs w:val="14"/>
                <w:color w:val="auto"/>
              </w:rPr>
              <w:t>Held to maturity</w:t>
            </w:r>
          </w:p>
        </w:tc>
        <w:tc>
          <w:tcPr>
            <w:tcW w:w="420" w:type="dxa"/>
            <w:vAlign w:val="bottom"/>
          </w:tcPr>
          <w:p>
            <w:pPr>
              <w:spacing w:after="0"/>
              <w:rPr>
                <w:sz w:val="12"/>
                <w:szCs w:val="12"/>
                <w:color w:val="auto"/>
              </w:rPr>
            </w:pPr>
          </w:p>
        </w:tc>
        <w:tc>
          <w:tcPr>
            <w:tcW w:w="1160" w:type="dxa"/>
            <w:vAlign w:val="bottom"/>
          </w:tcPr>
          <w:p>
            <w:pPr>
              <w:jc w:val="right"/>
              <w:ind w:right="448"/>
              <w:spacing w:after="0" w:line="149" w:lineRule="exact"/>
              <w:rPr>
                <w:sz w:val="20"/>
                <w:szCs w:val="20"/>
                <w:color w:val="auto"/>
              </w:rPr>
            </w:pPr>
            <w:r>
              <w:rPr>
                <w:rFonts w:ascii="Arial" w:cs="Arial" w:eastAsia="Arial" w:hAnsi="Arial"/>
                <w:sz w:val="14"/>
                <w:szCs w:val="14"/>
                <w:color w:val="auto"/>
              </w:rPr>
              <w:t>13,706</w:t>
            </w:r>
          </w:p>
        </w:tc>
        <w:tc>
          <w:tcPr>
            <w:tcW w:w="1380" w:type="dxa"/>
            <w:vAlign w:val="bottom"/>
          </w:tcPr>
          <w:p>
            <w:pPr>
              <w:jc w:val="right"/>
              <w:ind w:right="188"/>
              <w:spacing w:after="0" w:line="149" w:lineRule="exact"/>
              <w:rPr>
                <w:sz w:val="20"/>
                <w:szCs w:val="20"/>
                <w:color w:val="auto"/>
              </w:rPr>
            </w:pPr>
            <w:r>
              <w:rPr>
                <w:rFonts w:ascii="Arial" w:cs="Arial" w:eastAsia="Arial" w:hAnsi="Arial"/>
                <w:sz w:val="14"/>
                <w:szCs w:val="14"/>
                <w:color w:val="auto"/>
              </w:rPr>
              <w:t>8,388</w:t>
            </w:r>
          </w:p>
        </w:tc>
      </w:tr>
      <w:tr>
        <w:trPr>
          <w:trHeight w:val="149"/>
        </w:trPr>
        <w:tc>
          <w:tcPr>
            <w:tcW w:w="20" w:type="dxa"/>
            <w:vAlign w:val="bottom"/>
          </w:tcPr>
          <w:p>
            <w:pPr>
              <w:spacing w:after="0"/>
              <w:rPr>
                <w:sz w:val="12"/>
                <w:szCs w:val="12"/>
                <w:color w:val="auto"/>
              </w:rPr>
            </w:pPr>
          </w:p>
        </w:tc>
        <w:tc>
          <w:tcPr>
            <w:tcW w:w="3700" w:type="dxa"/>
            <w:vAlign w:val="bottom"/>
            <w:shd w:val="clear" w:color="auto" w:fill="CCEEFF"/>
          </w:tcPr>
          <w:p>
            <w:pPr>
              <w:spacing w:after="0"/>
              <w:rPr>
                <w:sz w:val="12"/>
                <w:szCs w:val="12"/>
                <w:color w:val="auto"/>
              </w:rPr>
            </w:pPr>
          </w:p>
        </w:tc>
        <w:tc>
          <w:tcPr>
            <w:tcW w:w="474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Purchases of investment securities</w:t>
            </w:r>
          </w:p>
        </w:tc>
        <w:tc>
          <w:tcPr>
            <w:tcW w:w="4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400" w:type="dxa"/>
            <w:vAlign w:val="bottom"/>
          </w:tcPr>
          <w:p>
            <w:pPr>
              <w:ind w:left="200"/>
              <w:spacing w:after="0" w:line="149" w:lineRule="exact"/>
              <w:rPr>
                <w:sz w:val="20"/>
                <w:szCs w:val="20"/>
                <w:color w:val="auto"/>
              </w:rPr>
            </w:pPr>
            <w:r>
              <w:rPr>
                <w:rFonts w:ascii="Arial" w:cs="Arial" w:eastAsia="Arial" w:hAnsi="Arial"/>
                <w:sz w:val="14"/>
                <w:szCs w:val="14"/>
                <w:color w:val="auto"/>
              </w:rPr>
              <w:t>Available for sale</w:t>
            </w:r>
          </w:p>
        </w:tc>
        <w:tc>
          <w:tcPr>
            <w:tcW w:w="420" w:type="dxa"/>
            <w:vAlign w:val="bottom"/>
          </w:tcPr>
          <w:p>
            <w:pPr>
              <w:spacing w:after="0"/>
              <w:rPr>
                <w:sz w:val="12"/>
                <w:szCs w:val="12"/>
                <w:color w:val="auto"/>
              </w:rPr>
            </w:pPr>
          </w:p>
        </w:tc>
        <w:tc>
          <w:tcPr>
            <w:tcW w:w="1160" w:type="dxa"/>
            <w:vAlign w:val="bottom"/>
          </w:tcPr>
          <w:p>
            <w:pPr>
              <w:jc w:val="right"/>
              <w:ind w:right="408"/>
              <w:spacing w:after="0" w:line="149" w:lineRule="exact"/>
              <w:rPr>
                <w:sz w:val="20"/>
                <w:szCs w:val="20"/>
                <w:color w:val="auto"/>
              </w:rPr>
            </w:pPr>
            <w:r>
              <w:rPr>
                <w:rFonts w:ascii="Arial" w:cs="Arial" w:eastAsia="Arial" w:hAnsi="Arial"/>
                <w:sz w:val="14"/>
                <w:szCs w:val="14"/>
                <w:color w:val="auto"/>
              </w:rPr>
              <w:t>(587,345)</w:t>
            </w:r>
          </w:p>
        </w:tc>
        <w:tc>
          <w:tcPr>
            <w:tcW w:w="138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(257,403)</w:t>
            </w:r>
          </w:p>
        </w:tc>
      </w:tr>
      <w:tr>
        <w:trPr>
          <w:trHeight w:val="149"/>
        </w:trPr>
        <w:tc>
          <w:tcPr>
            <w:tcW w:w="20" w:type="dxa"/>
            <w:vAlign w:val="bottom"/>
          </w:tcPr>
          <w:p>
            <w:pPr>
              <w:spacing w:after="0"/>
              <w:rPr>
                <w:sz w:val="12"/>
                <w:szCs w:val="12"/>
                <w:color w:val="auto"/>
              </w:rPr>
            </w:pPr>
          </w:p>
        </w:tc>
        <w:tc>
          <w:tcPr>
            <w:tcW w:w="37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4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Held to maturity</w:t>
            </w:r>
          </w:p>
        </w:tc>
        <w:tc>
          <w:tcPr>
            <w:tcW w:w="420" w:type="dxa"/>
            <w:vAlign w:val="bottom"/>
            <w:shd w:val="clear" w:color="auto" w:fill="CCEEFF"/>
          </w:tcPr>
          <w:p>
            <w:pPr>
              <w:spacing w:after="0"/>
              <w:rPr>
                <w:sz w:val="12"/>
                <w:szCs w:val="12"/>
                <w:color w:val="auto"/>
              </w:rPr>
            </w:pPr>
          </w:p>
        </w:tc>
        <w:tc>
          <w:tcPr>
            <w:tcW w:w="1160" w:type="dxa"/>
            <w:vAlign w:val="bottom"/>
            <w:shd w:val="clear" w:color="auto" w:fill="CCEEFF"/>
          </w:tcPr>
          <w:p>
            <w:pPr>
              <w:jc w:val="right"/>
              <w:ind w:right="408"/>
              <w:spacing w:after="0" w:line="149" w:lineRule="exact"/>
              <w:rPr>
                <w:sz w:val="20"/>
                <w:szCs w:val="20"/>
                <w:color w:val="auto"/>
              </w:rPr>
            </w:pPr>
            <w:r>
              <w:rPr>
                <w:rFonts w:ascii="Arial" w:cs="Arial" w:eastAsia="Arial" w:hAnsi="Arial"/>
                <w:sz w:val="14"/>
                <w:szCs w:val="14"/>
                <w:color w:val="auto"/>
              </w:rPr>
              <w:t>(10,255)</w:t>
            </w:r>
          </w:p>
        </w:tc>
        <w:tc>
          <w:tcPr>
            <w:tcW w:w="138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(9,013)</w:t>
            </w:r>
          </w:p>
        </w:tc>
      </w:tr>
      <w:tr>
        <w:trPr>
          <w:trHeight w:val="149"/>
        </w:trPr>
        <w:tc>
          <w:tcPr>
            <w:tcW w:w="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400" w:type="dxa"/>
            <w:vAlign w:val="bottom"/>
          </w:tcPr>
          <w:p>
            <w:pPr>
              <w:ind w:left="200"/>
              <w:spacing w:after="0" w:line="149" w:lineRule="exact"/>
              <w:rPr>
                <w:sz w:val="20"/>
                <w:szCs w:val="20"/>
                <w:color w:val="auto"/>
              </w:rPr>
            </w:pPr>
            <w:r>
              <w:rPr>
                <w:rFonts w:ascii="Arial" w:cs="Arial" w:eastAsia="Arial" w:hAnsi="Arial"/>
                <w:sz w:val="14"/>
                <w:szCs w:val="14"/>
                <w:color w:val="auto"/>
              </w:rPr>
              <w:t>Other</w:t>
            </w:r>
          </w:p>
        </w:tc>
        <w:tc>
          <w:tcPr>
            <w:tcW w:w="420" w:type="dxa"/>
            <w:vAlign w:val="bottom"/>
          </w:tcPr>
          <w:p>
            <w:pPr>
              <w:spacing w:after="0"/>
              <w:rPr>
                <w:sz w:val="12"/>
                <w:szCs w:val="12"/>
                <w:color w:val="auto"/>
              </w:rPr>
            </w:pPr>
          </w:p>
        </w:tc>
        <w:tc>
          <w:tcPr>
            <w:tcW w:w="1160" w:type="dxa"/>
            <w:vAlign w:val="bottom"/>
          </w:tcPr>
          <w:p>
            <w:pPr>
              <w:jc w:val="right"/>
              <w:ind w:right="408"/>
              <w:spacing w:after="0" w:line="149" w:lineRule="exact"/>
              <w:rPr>
                <w:sz w:val="20"/>
                <w:szCs w:val="20"/>
                <w:color w:val="auto"/>
              </w:rPr>
            </w:pPr>
            <w:r>
              <w:rPr>
                <w:rFonts w:ascii="Arial" w:cs="Arial" w:eastAsia="Arial" w:hAnsi="Arial"/>
                <w:sz w:val="14"/>
                <w:szCs w:val="14"/>
                <w:color w:val="auto"/>
              </w:rPr>
              <w:t>(40,059)</w:t>
            </w:r>
          </w:p>
        </w:tc>
        <w:tc>
          <w:tcPr>
            <w:tcW w:w="138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(10,412)</w:t>
            </w:r>
          </w:p>
        </w:tc>
      </w:tr>
      <w:tr>
        <w:trPr>
          <w:trHeight w:val="149"/>
        </w:trPr>
        <w:tc>
          <w:tcPr>
            <w:tcW w:w="20" w:type="dxa"/>
            <w:vAlign w:val="bottom"/>
          </w:tcPr>
          <w:p>
            <w:pPr>
              <w:spacing w:after="0"/>
              <w:rPr>
                <w:sz w:val="12"/>
                <w:szCs w:val="12"/>
                <w:color w:val="auto"/>
              </w:rPr>
            </w:pPr>
          </w:p>
        </w:tc>
        <w:tc>
          <w:tcPr>
            <w:tcW w:w="3700" w:type="dxa"/>
            <w:vAlign w:val="bottom"/>
            <w:shd w:val="clear" w:color="auto" w:fill="CCEEFF"/>
          </w:tcPr>
          <w:p>
            <w:pPr>
              <w:spacing w:after="0"/>
              <w:rPr>
                <w:sz w:val="12"/>
                <w:szCs w:val="12"/>
                <w:color w:val="auto"/>
              </w:rPr>
            </w:pPr>
          </w:p>
        </w:tc>
        <w:tc>
          <w:tcPr>
            <w:tcW w:w="474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Net increase in agreements to resell securities</w:t>
            </w:r>
          </w:p>
        </w:tc>
        <w:tc>
          <w:tcPr>
            <w:tcW w:w="420" w:type="dxa"/>
            <w:vAlign w:val="bottom"/>
            <w:shd w:val="clear" w:color="auto" w:fill="CCEEFF"/>
          </w:tcPr>
          <w:p>
            <w:pPr>
              <w:spacing w:after="0"/>
              <w:rPr>
                <w:sz w:val="12"/>
                <w:szCs w:val="12"/>
                <w:color w:val="auto"/>
              </w:rPr>
            </w:pPr>
          </w:p>
        </w:tc>
        <w:tc>
          <w:tcPr>
            <w:tcW w:w="1160" w:type="dxa"/>
            <w:vAlign w:val="bottom"/>
            <w:shd w:val="clear" w:color="auto" w:fill="CCEEFF"/>
          </w:tcPr>
          <w:p>
            <w:pPr>
              <w:jc w:val="right"/>
              <w:ind w:right="448"/>
              <w:spacing w:after="0" w:line="149" w:lineRule="exact"/>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(300,000)</w:t>
            </w:r>
          </w:p>
        </w:tc>
      </w:tr>
      <w:tr>
        <w:trPr>
          <w:trHeight w:val="149"/>
        </w:trPr>
        <w:tc>
          <w:tcPr>
            <w:tcW w:w="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474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Net increase in loans and leases</w:t>
            </w:r>
          </w:p>
        </w:tc>
        <w:tc>
          <w:tcPr>
            <w:tcW w:w="420" w:type="dxa"/>
            <w:vAlign w:val="bottom"/>
          </w:tcPr>
          <w:p>
            <w:pPr>
              <w:spacing w:after="0"/>
              <w:rPr>
                <w:sz w:val="12"/>
                <w:szCs w:val="12"/>
                <w:color w:val="auto"/>
              </w:rPr>
            </w:pPr>
          </w:p>
        </w:tc>
        <w:tc>
          <w:tcPr>
            <w:tcW w:w="1160" w:type="dxa"/>
            <w:vAlign w:val="bottom"/>
          </w:tcPr>
          <w:p>
            <w:pPr>
              <w:jc w:val="right"/>
              <w:ind w:right="408"/>
              <w:spacing w:after="0" w:line="149" w:lineRule="exact"/>
              <w:rPr>
                <w:sz w:val="20"/>
                <w:szCs w:val="20"/>
                <w:color w:val="auto"/>
              </w:rPr>
            </w:pPr>
            <w:r>
              <w:rPr>
                <w:rFonts w:ascii="Arial" w:cs="Arial" w:eastAsia="Arial" w:hAnsi="Arial"/>
                <w:sz w:val="14"/>
                <w:szCs w:val="14"/>
                <w:color w:val="auto"/>
                <w:w w:val="92"/>
              </w:rPr>
              <w:t>(1,271,522)</w:t>
            </w:r>
          </w:p>
        </w:tc>
        <w:tc>
          <w:tcPr>
            <w:tcW w:w="138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(736,635)</w:t>
            </w:r>
          </w:p>
        </w:tc>
      </w:tr>
      <w:tr>
        <w:trPr>
          <w:trHeight w:val="149"/>
        </w:trPr>
        <w:tc>
          <w:tcPr>
            <w:tcW w:w="20" w:type="dxa"/>
            <w:vAlign w:val="bottom"/>
          </w:tcPr>
          <w:p>
            <w:pPr>
              <w:spacing w:after="0"/>
              <w:rPr>
                <w:sz w:val="12"/>
                <w:szCs w:val="12"/>
                <w:color w:val="auto"/>
              </w:rPr>
            </w:pPr>
          </w:p>
        </w:tc>
        <w:tc>
          <w:tcPr>
            <w:tcW w:w="3700" w:type="dxa"/>
            <w:vAlign w:val="bottom"/>
            <w:shd w:val="clear" w:color="auto" w:fill="CCEEFF"/>
          </w:tcPr>
          <w:p>
            <w:pPr>
              <w:spacing w:after="0"/>
              <w:rPr>
                <w:sz w:val="12"/>
                <w:szCs w:val="12"/>
                <w:color w:val="auto"/>
              </w:rPr>
            </w:pPr>
          </w:p>
        </w:tc>
        <w:tc>
          <w:tcPr>
            <w:tcW w:w="474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Other investments, net</w:t>
            </w:r>
          </w:p>
        </w:tc>
        <w:tc>
          <w:tcPr>
            <w:tcW w:w="420" w:type="dxa"/>
            <w:vAlign w:val="bottom"/>
            <w:shd w:val="clear" w:color="auto" w:fill="CCEEFF"/>
          </w:tcPr>
          <w:p>
            <w:pPr>
              <w:spacing w:after="0"/>
              <w:rPr>
                <w:sz w:val="12"/>
                <w:szCs w:val="12"/>
                <w:color w:val="auto"/>
              </w:rPr>
            </w:pPr>
          </w:p>
        </w:tc>
        <w:tc>
          <w:tcPr>
            <w:tcW w:w="1160" w:type="dxa"/>
            <w:vAlign w:val="bottom"/>
            <w:shd w:val="clear" w:color="auto" w:fill="CCEEFF"/>
          </w:tcPr>
          <w:p>
            <w:pPr>
              <w:jc w:val="right"/>
              <w:ind w:right="408"/>
              <w:spacing w:after="0" w:line="149" w:lineRule="exact"/>
              <w:rPr>
                <w:sz w:val="20"/>
                <w:szCs w:val="20"/>
                <w:color w:val="auto"/>
              </w:rPr>
            </w:pPr>
            <w:r>
              <w:rPr>
                <w:rFonts w:ascii="Arial" w:cs="Arial" w:eastAsia="Arial" w:hAnsi="Arial"/>
                <w:sz w:val="14"/>
                <w:szCs w:val="14"/>
                <w:color w:val="auto"/>
              </w:rPr>
              <w:t>(3,506)</w:t>
            </w:r>
          </w:p>
        </w:tc>
        <w:tc>
          <w:tcPr>
            <w:tcW w:w="138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(302,366)</w:t>
            </w:r>
          </w:p>
        </w:tc>
      </w:tr>
      <w:tr>
        <w:trPr>
          <w:trHeight w:val="149"/>
        </w:trPr>
        <w:tc>
          <w:tcPr>
            <w:tcW w:w="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474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Additions to capitalized servicing rights</w:t>
            </w:r>
          </w:p>
        </w:tc>
        <w:tc>
          <w:tcPr>
            <w:tcW w:w="420" w:type="dxa"/>
            <w:vAlign w:val="bottom"/>
          </w:tcPr>
          <w:p>
            <w:pPr>
              <w:spacing w:after="0"/>
              <w:rPr>
                <w:sz w:val="12"/>
                <w:szCs w:val="12"/>
                <w:color w:val="auto"/>
              </w:rPr>
            </w:pPr>
          </w:p>
        </w:tc>
        <w:tc>
          <w:tcPr>
            <w:tcW w:w="1160" w:type="dxa"/>
            <w:vAlign w:val="bottom"/>
          </w:tcPr>
          <w:p>
            <w:pPr>
              <w:jc w:val="right"/>
              <w:ind w:right="408"/>
              <w:spacing w:after="0" w:line="149" w:lineRule="exact"/>
              <w:rPr>
                <w:sz w:val="20"/>
                <w:szCs w:val="20"/>
                <w:color w:val="auto"/>
              </w:rPr>
            </w:pPr>
            <w:r>
              <w:rPr>
                <w:rFonts w:ascii="Arial" w:cs="Arial" w:eastAsia="Arial" w:hAnsi="Arial"/>
                <w:sz w:val="14"/>
                <w:szCs w:val="14"/>
                <w:color w:val="auto"/>
              </w:rPr>
              <w:t>(9,675)</w:t>
            </w:r>
          </w:p>
        </w:tc>
        <w:tc>
          <w:tcPr>
            <w:tcW w:w="138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(14,031)</w:t>
            </w:r>
          </w:p>
        </w:tc>
      </w:tr>
      <w:tr>
        <w:trPr>
          <w:trHeight w:val="149"/>
        </w:trPr>
        <w:tc>
          <w:tcPr>
            <w:tcW w:w="20" w:type="dxa"/>
            <w:vAlign w:val="bottom"/>
          </w:tcPr>
          <w:p>
            <w:pPr>
              <w:spacing w:after="0"/>
              <w:rPr>
                <w:sz w:val="12"/>
                <w:szCs w:val="12"/>
                <w:color w:val="auto"/>
              </w:rPr>
            </w:pPr>
          </w:p>
        </w:tc>
        <w:tc>
          <w:tcPr>
            <w:tcW w:w="3700" w:type="dxa"/>
            <w:vAlign w:val="bottom"/>
            <w:shd w:val="clear" w:color="auto" w:fill="CCEEFF"/>
          </w:tcPr>
          <w:p>
            <w:pPr>
              <w:spacing w:after="0"/>
              <w:rPr>
                <w:sz w:val="12"/>
                <w:szCs w:val="12"/>
                <w:color w:val="auto"/>
              </w:rPr>
            </w:pPr>
          </w:p>
        </w:tc>
        <w:tc>
          <w:tcPr>
            <w:tcW w:w="474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Capital expenditures, net</w:t>
            </w:r>
          </w:p>
        </w:tc>
        <w:tc>
          <w:tcPr>
            <w:tcW w:w="420" w:type="dxa"/>
            <w:vAlign w:val="bottom"/>
            <w:shd w:val="clear" w:color="auto" w:fill="CCEEFF"/>
          </w:tcPr>
          <w:p>
            <w:pPr>
              <w:spacing w:after="0"/>
              <w:rPr>
                <w:sz w:val="12"/>
                <w:szCs w:val="12"/>
                <w:color w:val="auto"/>
              </w:rPr>
            </w:pPr>
          </w:p>
        </w:tc>
        <w:tc>
          <w:tcPr>
            <w:tcW w:w="1160" w:type="dxa"/>
            <w:vAlign w:val="bottom"/>
            <w:shd w:val="clear" w:color="auto" w:fill="CCEEFF"/>
          </w:tcPr>
          <w:p>
            <w:pPr>
              <w:jc w:val="right"/>
              <w:ind w:right="408"/>
              <w:spacing w:after="0" w:line="149" w:lineRule="exact"/>
              <w:rPr>
                <w:sz w:val="20"/>
                <w:szCs w:val="20"/>
                <w:color w:val="auto"/>
              </w:rPr>
            </w:pPr>
            <w:r>
              <w:rPr>
                <w:rFonts w:ascii="Arial" w:cs="Arial" w:eastAsia="Arial" w:hAnsi="Arial"/>
                <w:sz w:val="14"/>
                <w:szCs w:val="14"/>
                <w:color w:val="auto"/>
              </w:rPr>
              <w:t>(8,516)</w:t>
            </w:r>
          </w:p>
        </w:tc>
        <w:tc>
          <w:tcPr>
            <w:tcW w:w="138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(8,915)</w:t>
            </w:r>
          </w:p>
        </w:tc>
      </w:tr>
      <w:tr>
        <w:trPr>
          <w:trHeight w:val="156"/>
        </w:trPr>
        <w:tc>
          <w:tcPr>
            <w:tcW w:w="20" w:type="dxa"/>
            <w:vAlign w:val="bottom"/>
          </w:tcPr>
          <w:p>
            <w:pPr>
              <w:spacing w:after="0"/>
              <w:rPr>
                <w:sz w:val="13"/>
                <w:szCs w:val="13"/>
                <w:color w:val="auto"/>
              </w:rPr>
            </w:pPr>
          </w:p>
        </w:tc>
        <w:tc>
          <w:tcPr>
            <w:tcW w:w="3700" w:type="dxa"/>
            <w:vAlign w:val="bottom"/>
          </w:tcPr>
          <w:p>
            <w:pPr>
              <w:spacing w:after="0"/>
              <w:rPr>
                <w:sz w:val="13"/>
                <w:szCs w:val="13"/>
                <w:color w:val="auto"/>
              </w:rPr>
            </w:pPr>
          </w:p>
        </w:tc>
        <w:tc>
          <w:tcPr>
            <w:tcW w:w="474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Other, net</w:t>
            </w:r>
          </w:p>
        </w:tc>
        <w:tc>
          <w:tcPr>
            <w:tcW w:w="420" w:type="dxa"/>
            <w:vAlign w:val="bottom"/>
          </w:tcPr>
          <w:p>
            <w:pPr>
              <w:spacing w:after="0"/>
              <w:rPr>
                <w:sz w:val="13"/>
                <w:szCs w:val="13"/>
                <w:color w:val="auto"/>
              </w:rPr>
            </w:pPr>
          </w:p>
        </w:tc>
        <w:tc>
          <w:tcPr>
            <w:tcW w:w="1160" w:type="dxa"/>
            <w:vAlign w:val="bottom"/>
          </w:tcPr>
          <w:p>
            <w:pPr>
              <w:jc w:val="right"/>
              <w:ind w:right="408"/>
              <w:spacing w:after="0" w:line="149" w:lineRule="exact"/>
              <w:rPr>
                <w:sz w:val="20"/>
                <w:szCs w:val="20"/>
                <w:color w:val="auto"/>
              </w:rPr>
            </w:pPr>
            <w:r>
              <w:rPr>
                <w:rFonts w:ascii="Arial" w:cs="Arial" w:eastAsia="Arial" w:hAnsi="Arial"/>
                <w:sz w:val="14"/>
                <w:szCs w:val="14"/>
                <w:color w:val="auto"/>
              </w:rPr>
              <w:t>(37,593)</w:t>
            </w:r>
          </w:p>
        </w:tc>
        <w:tc>
          <w:tcPr>
            <w:tcW w:w="1380" w:type="dxa"/>
            <w:vAlign w:val="bottom"/>
          </w:tcPr>
          <w:p>
            <w:pPr>
              <w:jc w:val="right"/>
              <w:ind w:right="188"/>
              <w:spacing w:after="0" w:line="149" w:lineRule="exact"/>
              <w:rPr>
                <w:sz w:val="20"/>
                <w:szCs w:val="20"/>
                <w:color w:val="auto"/>
              </w:rPr>
            </w:pPr>
            <w:r>
              <w:rPr>
                <w:rFonts w:ascii="Arial" w:cs="Arial" w:eastAsia="Arial" w:hAnsi="Arial"/>
                <w:sz w:val="14"/>
                <w:szCs w:val="14"/>
                <w:color w:val="auto"/>
              </w:rPr>
              <w:t>27,113</w:t>
            </w:r>
          </w:p>
        </w:tc>
      </w:tr>
      <w:tr>
        <w:trPr>
          <w:trHeight w:val="149"/>
        </w:trPr>
        <w:tc>
          <w:tcPr>
            <w:tcW w:w="20" w:type="dxa"/>
            <w:vAlign w:val="bottom"/>
          </w:tcPr>
          <w:p>
            <w:pPr>
              <w:spacing w:after="0"/>
              <w:rPr>
                <w:sz w:val="12"/>
                <w:szCs w:val="12"/>
                <w:color w:val="auto"/>
              </w:rPr>
            </w:pPr>
          </w:p>
        </w:tc>
        <w:tc>
          <w:tcPr>
            <w:tcW w:w="3700" w:type="dxa"/>
            <w:vAlign w:val="bottom"/>
            <w:tcBorders>
              <w:bottom w:val="single" w:sz="8" w:color="auto"/>
            </w:tcBorders>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4400" w:type="dxa"/>
            <w:vAlign w:val="bottom"/>
            <w:tcBorders>
              <w:top w:val="single" w:sz="8" w:color="auto"/>
              <w:bottom w:val="single" w:sz="8" w:color="auto"/>
            </w:tcBorders>
            <w:shd w:val="clear" w:color="auto" w:fill="CCEEFF"/>
          </w:tcPr>
          <w:p>
            <w:pPr>
              <w:ind w:left="200"/>
              <w:spacing w:after="0" w:line="149" w:lineRule="exact"/>
              <w:rPr>
                <w:sz w:val="20"/>
                <w:szCs w:val="20"/>
                <w:color w:val="auto"/>
              </w:rPr>
            </w:pPr>
            <w:r>
              <w:rPr>
                <w:rFonts w:ascii="Arial" w:cs="Arial" w:eastAsia="Arial" w:hAnsi="Arial"/>
                <w:sz w:val="14"/>
                <w:szCs w:val="14"/>
                <w:color w:val="auto"/>
              </w:rPr>
              <w:t>Net cash used by investing activities</w:t>
            </w:r>
          </w:p>
        </w:tc>
        <w:tc>
          <w:tcPr>
            <w:tcW w:w="420" w:type="dxa"/>
            <w:vAlign w:val="bottom"/>
            <w:tcBorders>
              <w:top w:val="single" w:sz="8" w:color="auto"/>
              <w:bottom w:val="single" w:sz="8" w:color="auto"/>
            </w:tcBorders>
            <w:shd w:val="clear" w:color="auto" w:fill="CCEEFF"/>
          </w:tcPr>
          <w:p>
            <w:pPr>
              <w:spacing w:after="0"/>
              <w:rPr>
                <w:sz w:val="12"/>
                <w:szCs w:val="12"/>
                <w:color w:val="auto"/>
              </w:rPr>
            </w:pPr>
          </w:p>
        </w:tc>
        <w:tc>
          <w:tcPr>
            <w:tcW w:w="1160" w:type="dxa"/>
            <w:vAlign w:val="bottom"/>
            <w:tcBorders>
              <w:top w:val="single" w:sz="8" w:color="auto"/>
              <w:bottom w:val="single" w:sz="8" w:color="auto"/>
            </w:tcBorders>
            <w:shd w:val="clear" w:color="auto" w:fill="CCEEFF"/>
          </w:tcPr>
          <w:p>
            <w:pPr>
              <w:jc w:val="right"/>
              <w:ind w:right="408"/>
              <w:spacing w:after="0" w:line="149" w:lineRule="exact"/>
              <w:rPr>
                <w:sz w:val="20"/>
                <w:szCs w:val="20"/>
                <w:color w:val="auto"/>
              </w:rPr>
            </w:pPr>
            <w:r>
              <w:rPr>
                <w:rFonts w:ascii="Arial" w:cs="Arial" w:eastAsia="Arial" w:hAnsi="Arial"/>
                <w:sz w:val="14"/>
                <w:szCs w:val="14"/>
                <w:color w:val="auto"/>
                <w:w w:val="92"/>
              </w:rPr>
              <w:t>(1,217,645)</w:t>
            </w:r>
          </w:p>
        </w:tc>
        <w:tc>
          <w:tcPr>
            <w:tcW w:w="1380" w:type="dxa"/>
            <w:vAlign w:val="bottom"/>
            <w:tcBorders>
              <w:top w:val="single" w:sz="8" w:color="auto"/>
              <w:bottom w:val="single" w:sz="8" w:color="auto"/>
            </w:tcBorders>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(1,083,396)</w:t>
            </w:r>
          </w:p>
        </w:tc>
      </w:tr>
      <w:tr>
        <w:trPr>
          <w:trHeight w:val="156"/>
        </w:trPr>
        <w:tc>
          <w:tcPr>
            <w:tcW w:w="20" w:type="dxa"/>
            <w:vAlign w:val="bottom"/>
          </w:tcPr>
          <w:p>
            <w:pPr>
              <w:spacing w:after="0"/>
              <w:rPr>
                <w:sz w:val="13"/>
                <w:szCs w:val="13"/>
                <w:color w:val="auto"/>
              </w:rPr>
            </w:pPr>
          </w:p>
        </w:tc>
        <w:tc>
          <w:tcPr>
            <w:tcW w:w="3700" w:type="dxa"/>
            <w:vAlign w:val="bottom"/>
          </w:tcPr>
          <w:p>
            <w:pPr>
              <w:spacing w:after="0" w:line="155" w:lineRule="exact"/>
              <w:rPr>
                <w:sz w:val="20"/>
                <w:szCs w:val="20"/>
                <w:color w:val="auto"/>
              </w:rPr>
            </w:pPr>
            <w:r>
              <w:rPr>
                <w:rFonts w:ascii="Arial" w:cs="Arial" w:eastAsia="Arial" w:hAnsi="Arial"/>
                <w:sz w:val="14"/>
                <w:szCs w:val="14"/>
                <w:color w:val="auto"/>
              </w:rPr>
              <w:t>Cash flows from financing activities</w:t>
            </w:r>
          </w:p>
        </w:tc>
        <w:tc>
          <w:tcPr>
            <w:tcW w:w="4740" w:type="dxa"/>
            <w:vAlign w:val="bottom"/>
            <w:gridSpan w:val="2"/>
          </w:tcPr>
          <w:p>
            <w:pPr>
              <w:ind w:left="340"/>
              <w:spacing w:after="0" w:line="155" w:lineRule="exact"/>
              <w:rPr>
                <w:sz w:val="20"/>
                <w:szCs w:val="20"/>
                <w:color w:val="auto"/>
              </w:rPr>
            </w:pPr>
            <w:r>
              <w:rPr>
                <w:rFonts w:ascii="Arial" w:cs="Arial" w:eastAsia="Arial" w:hAnsi="Arial"/>
                <w:sz w:val="14"/>
                <w:szCs w:val="14"/>
                <w:color w:val="auto"/>
              </w:rPr>
              <w:t>Net increase (decrease) in deposits</w:t>
            </w:r>
          </w:p>
        </w:tc>
        <w:tc>
          <w:tcPr>
            <w:tcW w:w="420" w:type="dxa"/>
            <w:vAlign w:val="bottom"/>
          </w:tcPr>
          <w:p>
            <w:pPr>
              <w:spacing w:after="0"/>
              <w:rPr>
                <w:sz w:val="13"/>
                <w:szCs w:val="13"/>
                <w:color w:val="auto"/>
              </w:rPr>
            </w:pPr>
          </w:p>
        </w:tc>
        <w:tc>
          <w:tcPr>
            <w:tcW w:w="1160" w:type="dxa"/>
            <w:vAlign w:val="bottom"/>
          </w:tcPr>
          <w:p>
            <w:pPr>
              <w:jc w:val="right"/>
              <w:ind w:right="448"/>
              <w:spacing w:after="0" w:line="155" w:lineRule="exact"/>
              <w:rPr>
                <w:sz w:val="20"/>
                <w:szCs w:val="20"/>
                <w:color w:val="auto"/>
              </w:rPr>
            </w:pPr>
            <w:r>
              <w:rPr>
                <w:rFonts w:ascii="Arial" w:cs="Arial" w:eastAsia="Arial" w:hAnsi="Arial"/>
                <w:sz w:val="14"/>
                <w:szCs w:val="14"/>
                <w:color w:val="auto"/>
              </w:rPr>
              <w:t>267,852</w:t>
            </w:r>
          </w:p>
        </w:tc>
        <w:tc>
          <w:tcPr>
            <w:tcW w:w="1380" w:type="dxa"/>
            <w:vAlign w:val="bottom"/>
          </w:tcPr>
          <w:p>
            <w:pPr>
              <w:jc w:val="right"/>
              <w:ind w:right="148"/>
              <w:spacing w:after="0" w:line="155" w:lineRule="exact"/>
              <w:rPr>
                <w:sz w:val="20"/>
                <w:szCs w:val="20"/>
                <w:color w:val="auto"/>
              </w:rPr>
            </w:pPr>
            <w:r>
              <w:rPr>
                <w:rFonts w:ascii="Arial" w:cs="Arial" w:eastAsia="Arial" w:hAnsi="Arial"/>
                <w:sz w:val="14"/>
                <w:szCs w:val="14"/>
                <w:color w:val="auto"/>
              </w:rPr>
              <w:t>(973,278)</w:t>
            </w:r>
          </w:p>
        </w:tc>
      </w:tr>
      <w:tr>
        <w:trPr>
          <w:trHeight w:val="149"/>
        </w:trPr>
        <w:tc>
          <w:tcPr>
            <w:tcW w:w="20" w:type="dxa"/>
            <w:vAlign w:val="bottom"/>
          </w:tcPr>
          <w:p>
            <w:pPr>
              <w:spacing w:after="0"/>
              <w:rPr>
                <w:sz w:val="12"/>
                <w:szCs w:val="12"/>
                <w:color w:val="auto"/>
              </w:rPr>
            </w:pPr>
          </w:p>
        </w:tc>
        <w:tc>
          <w:tcPr>
            <w:tcW w:w="3700" w:type="dxa"/>
            <w:vAlign w:val="bottom"/>
            <w:shd w:val="clear" w:color="auto" w:fill="CCEEFF"/>
          </w:tcPr>
          <w:p>
            <w:pPr>
              <w:spacing w:after="0"/>
              <w:rPr>
                <w:sz w:val="12"/>
                <w:szCs w:val="12"/>
                <w:color w:val="auto"/>
              </w:rPr>
            </w:pPr>
          </w:p>
        </w:tc>
        <w:tc>
          <w:tcPr>
            <w:tcW w:w="474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Net increase in short-term borrowings</w:t>
            </w:r>
          </w:p>
        </w:tc>
        <w:tc>
          <w:tcPr>
            <w:tcW w:w="420" w:type="dxa"/>
            <w:vAlign w:val="bottom"/>
            <w:shd w:val="clear" w:color="auto" w:fill="CCEEFF"/>
          </w:tcPr>
          <w:p>
            <w:pPr>
              <w:spacing w:after="0"/>
              <w:rPr>
                <w:sz w:val="12"/>
                <w:szCs w:val="12"/>
                <w:color w:val="auto"/>
              </w:rPr>
            </w:pPr>
          </w:p>
        </w:tc>
        <w:tc>
          <w:tcPr>
            <w:tcW w:w="1160" w:type="dxa"/>
            <w:vAlign w:val="bottom"/>
            <w:shd w:val="clear" w:color="auto" w:fill="CCEEFF"/>
          </w:tcPr>
          <w:p>
            <w:pPr>
              <w:jc w:val="right"/>
              <w:ind w:right="448"/>
              <w:spacing w:after="0" w:line="149" w:lineRule="exact"/>
              <w:rPr>
                <w:sz w:val="20"/>
                <w:szCs w:val="20"/>
                <w:color w:val="auto"/>
              </w:rPr>
            </w:pPr>
            <w:r>
              <w:rPr>
                <w:rFonts w:ascii="Arial" w:cs="Arial" w:eastAsia="Arial" w:hAnsi="Arial"/>
                <w:sz w:val="14"/>
                <w:szCs w:val="14"/>
                <w:color w:val="auto"/>
              </w:rPr>
              <w:t>373,623</w:t>
            </w:r>
          </w:p>
        </w:tc>
        <w:tc>
          <w:tcPr>
            <w:tcW w:w="1380" w:type="dxa"/>
            <w:vAlign w:val="bottom"/>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rPr>
              <w:t>954,568</w:t>
            </w:r>
          </w:p>
        </w:tc>
      </w:tr>
      <w:tr>
        <w:trPr>
          <w:trHeight w:val="149"/>
        </w:trPr>
        <w:tc>
          <w:tcPr>
            <w:tcW w:w="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474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Proceeds from long-term borrowings</w:t>
            </w:r>
          </w:p>
        </w:tc>
        <w:tc>
          <w:tcPr>
            <w:tcW w:w="420" w:type="dxa"/>
            <w:vAlign w:val="bottom"/>
          </w:tcPr>
          <w:p>
            <w:pPr>
              <w:spacing w:after="0"/>
              <w:rPr>
                <w:sz w:val="12"/>
                <w:szCs w:val="12"/>
                <w:color w:val="auto"/>
              </w:rPr>
            </w:pPr>
          </w:p>
        </w:tc>
        <w:tc>
          <w:tcPr>
            <w:tcW w:w="1160" w:type="dxa"/>
            <w:vAlign w:val="bottom"/>
          </w:tcPr>
          <w:p>
            <w:pPr>
              <w:jc w:val="right"/>
              <w:ind w:right="448"/>
              <w:spacing w:after="0" w:line="149" w:lineRule="exact"/>
              <w:rPr>
                <w:sz w:val="20"/>
                <w:szCs w:val="20"/>
                <w:color w:val="auto"/>
              </w:rPr>
            </w:pPr>
            <w:r>
              <w:rPr>
                <w:rFonts w:ascii="Arial" w:cs="Arial" w:eastAsia="Arial" w:hAnsi="Arial"/>
                <w:sz w:val="14"/>
                <w:szCs w:val="14"/>
                <w:color w:val="auto"/>
                <w:w w:val="99"/>
              </w:rPr>
              <w:t>1,450,010</w:t>
            </w:r>
          </w:p>
        </w:tc>
        <w:tc>
          <w:tcPr>
            <w:tcW w:w="1380" w:type="dxa"/>
            <w:vAlign w:val="bottom"/>
          </w:tcPr>
          <w:p>
            <w:pPr>
              <w:jc w:val="right"/>
              <w:ind w:right="188"/>
              <w:spacing w:after="0" w:line="149" w:lineRule="exact"/>
              <w:rPr>
                <w:sz w:val="20"/>
                <w:szCs w:val="20"/>
                <w:color w:val="auto"/>
              </w:rPr>
            </w:pPr>
            <w:r>
              <w:rPr>
                <w:rFonts w:ascii="Arial" w:cs="Arial" w:eastAsia="Arial" w:hAnsi="Arial"/>
                <w:sz w:val="14"/>
                <w:szCs w:val="14"/>
                <w:color w:val="auto"/>
              </w:rPr>
              <w:t>800,000</w:t>
            </w:r>
          </w:p>
        </w:tc>
      </w:tr>
      <w:tr>
        <w:trPr>
          <w:trHeight w:val="149"/>
        </w:trPr>
        <w:tc>
          <w:tcPr>
            <w:tcW w:w="20" w:type="dxa"/>
            <w:vAlign w:val="bottom"/>
          </w:tcPr>
          <w:p>
            <w:pPr>
              <w:spacing w:after="0"/>
              <w:rPr>
                <w:sz w:val="12"/>
                <w:szCs w:val="12"/>
                <w:color w:val="auto"/>
              </w:rPr>
            </w:pPr>
          </w:p>
        </w:tc>
        <w:tc>
          <w:tcPr>
            <w:tcW w:w="3700" w:type="dxa"/>
            <w:vAlign w:val="bottom"/>
            <w:shd w:val="clear" w:color="auto" w:fill="CCEEFF"/>
          </w:tcPr>
          <w:p>
            <w:pPr>
              <w:spacing w:after="0"/>
              <w:rPr>
                <w:sz w:val="12"/>
                <w:szCs w:val="12"/>
                <w:color w:val="auto"/>
              </w:rPr>
            </w:pPr>
          </w:p>
        </w:tc>
        <w:tc>
          <w:tcPr>
            <w:tcW w:w="474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Payments on long-term borrowings</w:t>
            </w:r>
          </w:p>
        </w:tc>
        <w:tc>
          <w:tcPr>
            <w:tcW w:w="420" w:type="dxa"/>
            <w:vAlign w:val="bottom"/>
            <w:shd w:val="clear" w:color="auto" w:fill="CCEEFF"/>
          </w:tcPr>
          <w:p>
            <w:pPr>
              <w:spacing w:after="0"/>
              <w:rPr>
                <w:sz w:val="12"/>
                <w:szCs w:val="12"/>
                <w:color w:val="auto"/>
              </w:rPr>
            </w:pPr>
          </w:p>
        </w:tc>
        <w:tc>
          <w:tcPr>
            <w:tcW w:w="1160" w:type="dxa"/>
            <w:vAlign w:val="bottom"/>
            <w:shd w:val="clear" w:color="auto" w:fill="CCEEFF"/>
          </w:tcPr>
          <w:p>
            <w:pPr>
              <w:jc w:val="right"/>
              <w:ind w:right="408"/>
              <w:spacing w:after="0" w:line="149" w:lineRule="exact"/>
              <w:rPr>
                <w:sz w:val="20"/>
                <w:szCs w:val="20"/>
                <w:color w:val="auto"/>
              </w:rPr>
            </w:pPr>
            <w:r>
              <w:rPr>
                <w:rFonts w:ascii="Arial" w:cs="Arial" w:eastAsia="Arial" w:hAnsi="Arial"/>
                <w:sz w:val="14"/>
                <w:szCs w:val="14"/>
                <w:color w:val="auto"/>
                <w:w w:val="92"/>
              </w:rPr>
              <w:t>(1,120,237)</w:t>
            </w:r>
          </w:p>
        </w:tc>
        <w:tc>
          <w:tcPr>
            <w:tcW w:w="138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(27,669)</w:t>
            </w:r>
          </w:p>
        </w:tc>
      </w:tr>
      <w:tr>
        <w:trPr>
          <w:trHeight w:val="149"/>
        </w:trPr>
        <w:tc>
          <w:tcPr>
            <w:tcW w:w="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474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Purchases of treasury stock</w:t>
            </w:r>
          </w:p>
        </w:tc>
        <w:tc>
          <w:tcPr>
            <w:tcW w:w="420" w:type="dxa"/>
            <w:vAlign w:val="bottom"/>
          </w:tcPr>
          <w:p>
            <w:pPr>
              <w:spacing w:after="0"/>
              <w:rPr>
                <w:sz w:val="12"/>
                <w:szCs w:val="12"/>
                <w:color w:val="auto"/>
              </w:rPr>
            </w:pPr>
          </w:p>
        </w:tc>
        <w:tc>
          <w:tcPr>
            <w:tcW w:w="1160" w:type="dxa"/>
            <w:vAlign w:val="bottom"/>
          </w:tcPr>
          <w:p>
            <w:pPr>
              <w:jc w:val="right"/>
              <w:ind w:right="448"/>
              <w:spacing w:after="0" w:line="149" w:lineRule="exact"/>
              <w:rPr>
                <w:sz w:val="20"/>
                <w:szCs w:val="20"/>
                <w:color w:val="auto"/>
              </w:rPr>
            </w:pPr>
            <w:r>
              <w:rPr>
                <w:rFonts w:ascii="Arial" w:cs="Arial" w:eastAsia="Arial" w:hAnsi="Arial"/>
                <w:sz w:val="14"/>
                <w:szCs w:val="14"/>
                <w:color w:val="auto"/>
              </w:rPr>
              <w:t>—</w:t>
            </w:r>
          </w:p>
        </w:tc>
        <w:tc>
          <w:tcPr>
            <w:tcW w:w="138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(207,875)</w:t>
            </w:r>
          </w:p>
        </w:tc>
      </w:tr>
      <w:tr>
        <w:trPr>
          <w:trHeight w:val="149"/>
        </w:trPr>
        <w:tc>
          <w:tcPr>
            <w:tcW w:w="20" w:type="dxa"/>
            <w:vAlign w:val="bottom"/>
          </w:tcPr>
          <w:p>
            <w:pPr>
              <w:spacing w:after="0"/>
              <w:rPr>
                <w:sz w:val="12"/>
                <w:szCs w:val="12"/>
                <w:color w:val="auto"/>
              </w:rPr>
            </w:pPr>
          </w:p>
        </w:tc>
        <w:tc>
          <w:tcPr>
            <w:tcW w:w="3700" w:type="dxa"/>
            <w:vAlign w:val="bottom"/>
            <w:shd w:val="clear" w:color="auto" w:fill="CCEEFF"/>
          </w:tcPr>
          <w:p>
            <w:pPr>
              <w:spacing w:after="0"/>
              <w:rPr>
                <w:sz w:val="12"/>
                <w:szCs w:val="12"/>
                <w:color w:val="auto"/>
              </w:rPr>
            </w:pPr>
          </w:p>
        </w:tc>
        <w:tc>
          <w:tcPr>
            <w:tcW w:w="474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Dividends paid - common</w:t>
            </w:r>
          </w:p>
        </w:tc>
        <w:tc>
          <w:tcPr>
            <w:tcW w:w="420" w:type="dxa"/>
            <w:vAlign w:val="bottom"/>
            <w:shd w:val="clear" w:color="auto" w:fill="CCEEFF"/>
          </w:tcPr>
          <w:p>
            <w:pPr>
              <w:spacing w:after="0"/>
              <w:rPr>
                <w:sz w:val="12"/>
                <w:szCs w:val="12"/>
                <w:color w:val="auto"/>
              </w:rPr>
            </w:pPr>
          </w:p>
        </w:tc>
        <w:tc>
          <w:tcPr>
            <w:tcW w:w="1160" w:type="dxa"/>
            <w:vAlign w:val="bottom"/>
            <w:shd w:val="clear" w:color="auto" w:fill="CCEEFF"/>
          </w:tcPr>
          <w:p>
            <w:pPr>
              <w:jc w:val="right"/>
              <w:ind w:right="408"/>
              <w:spacing w:after="0" w:line="149" w:lineRule="exact"/>
              <w:rPr>
                <w:sz w:val="20"/>
                <w:szCs w:val="20"/>
                <w:color w:val="auto"/>
              </w:rPr>
            </w:pPr>
            <w:r>
              <w:rPr>
                <w:rFonts w:ascii="Arial" w:cs="Arial" w:eastAsia="Arial" w:hAnsi="Arial"/>
                <w:sz w:val="14"/>
                <w:szCs w:val="14"/>
                <w:color w:val="auto"/>
              </w:rPr>
              <w:t>(77,004)</w:t>
            </w:r>
          </w:p>
        </w:tc>
        <w:tc>
          <w:tcPr>
            <w:tcW w:w="138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(65,734)</w:t>
            </w:r>
          </w:p>
        </w:tc>
      </w:tr>
      <w:tr>
        <w:trPr>
          <w:trHeight w:val="156"/>
        </w:trPr>
        <w:tc>
          <w:tcPr>
            <w:tcW w:w="20" w:type="dxa"/>
            <w:vAlign w:val="bottom"/>
          </w:tcPr>
          <w:p>
            <w:pPr>
              <w:spacing w:after="0"/>
              <w:rPr>
                <w:sz w:val="13"/>
                <w:szCs w:val="13"/>
                <w:color w:val="auto"/>
              </w:rPr>
            </w:pPr>
          </w:p>
        </w:tc>
        <w:tc>
          <w:tcPr>
            <w:tcW w:w="3700" w:type="dxa"/>
            <w:vAlign w:val="bottom"/>
          </w:tcPr>
          <w:p>
            <w:pPr>
              <w:spacing w:after="0"/>
              <w:rPr>
                <w:sz w:val="13"/>
                <w:szCs w:val="13"/>
                <w:color w:val="auto"/>
              </w:rPr>
            </w:pPr>
          </w:p>
        </w:tc>
        <w:tc>
          <w:tcPr>
            <w:tcW w:w="474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Other, net</w:t>
            </w:r>
          </w:p>
        </w:tc>
        <w:tc>
          <w:tcPr>
            <w:tcW w:w="420" w:type="dxa"/>
            <w:vAlign w:val="bottom"/>
          </w:tcPr>
          <w:p>
            <w:pPr>
              <w:spacing w:after="0"/>
              <w:rPr>
                <w:sz w:val="13"/>
                <w:szCs w:val="13"/>
                <w:color w:val="auto"/>
              </w:rPr>
            </w:pPr>
          </w:p>
        </w:tc>
        <w:tc>
          <w:tcPr>
            <w:tcW w:w="1160" w:type="dxa"/>
            <w:vAlign w:val="bottom"/>
          </w:tcPr>
          <w:p>
            <w:pPr>
              <w:jc w:val="right"/>
              <w:ind w:right="408"/>
              <w:spacing w:after="0" w:line="149" w:lineRule="exact"/>
              <w:rPr>
                <w:sz w:val="20"/>
                <w:szCs w:val="20"/>
                <w:color w:val="auto"/>
              </w:rPr>
            </w:pPr>
            <w:r>
              <w:rPr>
                <w:rFonts w:ascii="Arial" w:cs="Arial" w:eastAsia="Arial" w:hAnsi="Arial"/>
                <w:sz w:val="14"/>
                <w:szCs w:val="14"/>
                <w:color w:val="auto"/>
              </w:rPr>
              <w:t>(1,137)</w:t>
            </w:r>
          </w:p>
        </w:tc>
        <w:tc>
          <w:tcPr>
            <w:tcW w:w="1380" w:type="dxa"/>
            <w:vAlign w:val="bottom"/>
          </w:tcPr>
          <w:p>
            <w:pPr>
              <w:jc w:val="right"/>
              <w:ind w:right="188"/>
              <w:spacing w:after="0" w:line="149" w:lineRule="exact"/>
              <w:rPr>
                <w:sz w:val="20"/>
                <w:szCs w:val="20"/>
                <w:color w:val="auto"/>
              </w:rPr>
            </w:pPr>
            <w:r>
              <w:rPr>
                <w:rFonts w:ascii="Arial" w:cs="Arial" w:eastAsia="Arial" w:hAnsi="Arial"/>
                <w:sz w:val="14"/>
                <w:szCs w:val="14"/>
                <w:color w:val="auto"/>
              </w:rPr>
              <w:t>34,249</w:t>
            </w:r>
          </w:p>
        </w:tc>
      </w:tr>
      <w:tr>
        <w:trPr>
          <w:trHeight w:val="149"/>
        </w:trPr>
        <w:tc>
          <w:tcPr>
            <w:tcW w:w="20" w:type="dxa"/>
            <w:vAlign w:val="bottom"/>
          </w:tcPr>
          <w:p>
            <w:pPr>
              <w:spacing w:after="0"/>
              <w:rPr>
                <w:sz w:val="12"/>
                <w:szCs w:val="12"/>
                <w:color w:val="auto"/>
              </w:rPr>
            </w:pPr>
          </w:p>
        </w:tc>
        <w:tc>
          <w:tcPr>
            <w:tcW w:w="37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400" w:type="dxa"/>
            <w:vAlign w:val="bottom"/>
            <w:tcBorders>
              <w:top w:val="single" w:sz="8" w:color="auto"/>
              <w:bottom w:val="single" w:sz="8" w:color="auto"/>
            </w:tcBorders>
            <w:shd w:val="clear" w:color="auto" w:fill="CCEEFF"/>
          </w:tcPr>
          <w:p>
            <w:pPr>
              <w:ind w:left="200"/>
              <w:spacing w:after="0" w:line="149" w:lineRule="exact"/>
              <w:rPr>
                <w:sz w:val="20"/>
                <w:szCs w:val="20"/>
                <w:color w:val="auto"/>
              </w:rPr>
            </w:pPr>
            <w:r>
              <w:rPr>
                <w:rFonts w:ascii="Arial" w:cs="Arial" w:eastAsia="Arial" w:hAnsi="Arial"/>
                <w:sz w:val="14"/>
                <w:szCs w:val="14"/>
                <w:color w:val="auto"/>
              </w:rPr>
              <w:t>Net cash provided by financing activities</w:t>
            </w:r>
          </w:p>
        </w:tc>
        <w:tc>
          <w:tcPr>
            <w:tcW w:w="420" w:type="dxa"/>
            <w:vAlign w:val="bottom"/>
            <w:tcBorders>
              <w:top w:val="single" w:sz="8" w:color="auto"/>
              <w:bottom w:val="single" w:sz="8" w:color="auto"/>
            </w:tcBorders>
            <w:shd w:val="clear" w:color="auto" w:fill="CCEEFF"/>
          </w:tcPr>
          <w:p>
            <w:pPr>
              <w:spacing w:after="0"/>
              <w:rPr>
                <w:sz w:val="12"/>
                <w:szCs w:val="12"/>
                <w:color w:val="auto"/>
              </w:rPr>
            </w:pPr>
          </w:p>
        </w:tc>
        <w:tc>
          <w:tcPr>
            <w:tcW w:w="1160" w:type="dxa"/>
            <w:vAlign w:val="bottom"/>
            <w:tcBorders>
              <w:top w:val="single" w:sz="8" w:color="auto"/>
              <w:bottom w:val="single" w:sz="8" w:color="auto"/>
            </w:tcBorders>
            <w:shd w:val="clear" w:color="auto" w:fill="CCEEFF"/>
          </w:tcPr>
          <w:p>
            <w:pPr>
              <w:jc w:val="right"/>
              <w:ind w:right="448"/>
              <w:spacing w:after="0" w:line="149" w:lineRule="exact"/>
              <w:rPr>
                <w:sz w:val="20"/>
                <w:szCs w:val="20"/>
                <w:color w:val="auto"/>
              </w:rPr>
            </w:pPr>
            <w:r>
              <w:rPr>
                <w:rFonts w:ascii="Arial" w:cs="Arial" w:eastAsia="Arial" w:hAnsi="Arial"/>
                <w:sz w:val="14"/>
                <w:szCs w:val="14"/>
                <w:color w:val="auto"/>
              </w:rPr>
              <w:t>893,107</w:t>
            </w:r>
          </w:p>
        </w:tc>
        <w:tc>
          <w:tcPr>
            <w:tcW w:w="1380" w:type="dxa"/>
            <w:vAlign w:val="bottom"/>
            <w:tcBorders>
              <w:top w:val="single" w:sz="8" w:color="auto"/>
              <w:bottom w:val="single" w:sz="8" w:color="auto"/>
            </w:tcBorders>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rPr>
              <w:t>514,261</w:t>
            </w:r>
          </w:p>
        </w:tc>
      </w:tr>
      <w:tr>
        <w:trPr>
          <w:trHeight w:val="156"/>
        </w:trPr>
        <w:tc>
          <w:tcPr>
            <w:tcW w:w="20" w:type="dxa"/>
            <w:vAlign w:val="bottom"/>
          </w:tcPr>
          <w:p>
            <w:pPr>
              <w:spacing w:after="0"/>
              <w:rPr>
                <w:sz w:val="13"/>
                <w:szCs w:val="13"/>
                <w:color w:val="auto"/>
              </w:rPr>
            </w:pPr>
          </w:p>
        </w:tc>
        <w:tc>
          <w:tcPr>
            <w:tcW w:w="3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400" w:type="dxa"/>
            <w:vAlign w:val="bottom"/>
          </w:tcPr>
          <w:p>
            <w:pPr>
              <w:spacing w:after="0" w:line="155" w:lineRule="exact"/>
              <w:rPr>
                <w:sz w:val="20"/>
                <w:szCs w:val="20"/>
                <w:color w:val="auto"/>
              </w:rPr>
            </w:pPr>
            <w:r>
              <w:rPr>
                <w:rFonts w:ascii="Arial" w:cs="Arial" w:eastAsia="Arial" w:hAnsi="Arial"/>
                <w:sz w:val="14"/>
                <w:szCs w:val="14"/>
                <w:color w:val="auto"/>
              </w:rPr>
              <w:t>Net increase (decrease) in cash and cash equivalents</w:t>
            </w:r>
          </w:p>
        </w:tc>
        <w:tc>
          <w:tcPr>
            <w:tcW w:w="420" w:type="dxa"/>
            <w:vAlign w:val="bottom"/>
          </w:tcPr>
          <w:p>
            <w:pPr>
              <w:spacing w:after="0"/>
              <w:rPr>
                <w:sz w:val="13"/>
                <w:szCs w:val="13"/>
                <w:color w:val="auto"/>
              </w:rPr>
            </w:pPr>
          </w:p>
        </w:tc>
        <w:tc>
          <w:tcPr>
            <w:tcW w:w="1160" w:type="dxa"/>
            <w:vAlign w:val="bottom"/>
          </w:tcPr>
          <w:p>
            <w:pPr>
              <w:jc w:val="right"/>
              <w:ind w:right="448"/>
              <w:spacing w:after="0" w:line="155" w:lineRule="exact"/>
              <w:rPr>
                <w:sz w:val="20"/>
                <w:szCs w:val="20"/>
                <w:color w:val="auto"/>
              </w:rPr>
            </w:pPr>
            <w:r>
              <w:rPr>
                <w:rFonts w:ascii="Arial" w:cs="Arial" w:eastAsia="Arial" w:hAnsi="Arial"/>
                <w:sz w:val="14"/>
                <w:szCs w:val="14"/>
                <w:color w:val="auto"/>
              </w:rPr>
              <w:t>8,579</w:t>
            </w:r>
          </w:p>
        </w:tc>
        <w:tc>
          <w:tcPr>
            <w:tcW w:w="1380" w:type="dxa"/>
            <w:vAlign w:val="bottom"/>
          </w:tcPr>
          <w:p>
            <w:pPr>
              <w:jc w:val="right"/>
              <w:ind w:right="148"/>
              <w:spacing w:after="0" w:line="155" w:lineRule="exact"/>
              <w:rPr>
                <w:sz w:val="20"/>
                <w:szCs w:val="20"/>
                <w:color w:val="auto"/>
              </w:rPr>
            </w:pPr>
            <w:r>
              <w:rPr>
                <w:rFonts w:ascii="Arial" w:cs="Arial" w:eastAsia="Arial" w:hAnsi="Arial"/>
                <w:sz w:val="14"/>
                <w:szCs w:val="14"/>
                <w:color w:val="auto"/>
              </w:rPr>
              <w:t>(157,210)</w:t>
            </w:r>
          </w:p>
        </w:tc>
      </w:tr>
      <w:tr>
        <w:trPr>
          <w:trHeight w:val="149"/>
        </w:trPr>
        <w:tc>
          <w:tcPr>
            <w:tcW w:w="20" w:type="dxa"/>
            <w:vAlign w:val="bottom"/>
          </w:tcPr>
          <w:p>
            <w:pPr>
              <w:spacing w:after="0"/>
              <w:rPr>
                <w:sz w:val="12"/>
                <w:szCs w:val="12"/>
                <w:color w:val="auto"/>
              </w:rPr>
            </w:pPr>
          </w:p>
        </w:tc>
        <w:tc>
          <w:tcPr>
            <w:tcW w:w="3700" w:type="dxa"/>
            <w:vAlign w:val="bottom"/>
            <w:shd w:val="clear" w:color="auto" w:fill="CCEEFF"/>
          </w:tcPr>
          <w:p>
            <w:pPr>
              <w:spacing w:after="0"/>
              <w:rPr>
                <w:sz w:val="12"/>
                <w:szCs w:val="12"/>
                <w:color w:val="auto"/>
              </w:rPr>
            </w:pPr>
          </w:p>
        </w:tc>
        <w:tc>
          <w:tcPr>
            <w:tcW w:w="474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Cash and cash equivalents at beginning of period</w:t>
            </w:r>
          </w:p>
        </w:tc>
        <w:tc>
          <w:tcPr>
            <w:tcW w:w="420" w:type="dxa"/>
            <w:vAlign w:val="bottom"/>
            <w:shd w:val="clear" w:color="auto" w:fill="CCEEFF"/>
          </w:tcPr>
          <w:p>
            <w:pPr>
              <w:spacing w:after="0"/>
              <w:rPr>
                <w:sz w:val="12"/>
                <w:szCs w:val="12"/>
                <w:color w:val="auto"/>
              </w:rPr>
            </w:pPr>
          </w:p>
        </w:tc>
        <w:tc>
          <w:tcPr>
            <w:tcW w:w="1160" w:type="dxa"/>
            <w:vAlign w:val="bottom"/>
            <w:shd w:val="clear" w:color="auto" w:fill="CCEEFF"/>
          </w:tcPr>
          <w:p>
            <w:pPr>
              <w:jc w:val="right"/>
              <w:ind w:right="448"/>
              <w:spacing w:after="0" w:line="149" w:lineRule="exact"/>
              <w:rPr>
                <w:sz w:val="20"/>
                <w:szCs w:val="20"/>
                <w:color w:val="auto"/>
              </w:rPr>
            </w:pPr>
            <w:r>
              <w:rPr>
                <w:rFonts w:ascii="Arial" w:cs="Arial" w:eastAsia="Arial" w:hAnsi="Arial"/>
                <w:sz w:val="14"/>
                <w:szCs w:val="14"/>
                <w:color w:val="auto"/>
                <w:w w:val="99"/>
              </w:rPr>
              <w:t>1,767,547</w:t>
            </w:r>
          </w:p>
        </w:tc>
        <w:tc>
          <w:tcPr>
            <w:tcW w:w="1380" w:type="dxa"/>
            <w:vAlign w:val="bottom"/>
            <w:shd w:val="clear" w:color="auto" w:fill="CCEEFF"/>
          </w:tcPr>
          <w:p>
            <w:pPr>
              <w:jc w:val="right"/>
              <w:ind w:right="208"/>
              <w:spacing w:after="0" w:line="149" w:lineRule="exact"/>
              <w:rPr>
                <w:sz w:val="20"/>
                <w:szCs w:val="20"/>
                <w:color w:val="auto"/>
              </w:rPr>
            </w:pPr>
            <w:r>
              <w:rPr>
                <w:rFonts w:ascii="Arial" w:cs="Arial" w:eastAsia="Arial" w:hAnsi="Arial"/>
                <w:sz w:val="14"/>
                <w:szCs w:val="14"/>
                <w:color w:val="auto"/>
              </w:rPr>
              <w:t>1,624,964</w:t>
            </w:r>
          </w:p>
        </w:tc>
      </w:tr>
      <w:tr>
        <w:trPr>
          <w:trHeight w:val="163"/>
        </w:trPr>
        <w:tc>
          <w:tcPr>
            <w:tcW w:w="20" w:type="dxa"/>
            <w:vAlign w:val="bottom"/>
          </w:tcPr>
          <w:p>
            <w:pPr>
              <w:spacing w:after="0"/>
              <w:rPr>
                <w:sz w:val="14"/>
                <w:szCs w:val="14"/>
                <w:color w:val="auto"/>
              </w:rPr>
            </w:pPr>
          </w:p>
        </w:tc>
        <w:tc>
          <w:tcPr>
            <w:tcW w:w="37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44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Cash and cash equivalents at end of period</w:t>
            </w:r>
          </w:p>
        </w:tc>
        <w:tc>
          <w:tcPr>
            <w:tcW w:w="4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tcPr>
          <w:p>
            <w:pPr>
              <w:jc w:val="right"/>
              <w:ind w:right="448"/>
              <w:spacing w:after="0" w:line="155" w:lineRule="exact"/>
              <w:rPr>
                <w:sz w:val="20"/>
                <w:szCs w:val="20"/>
                <w:color w:val="auto"/>
              </w:rPr>
            </w:pPr>
            <w:r>
              <w:rPr>
                <w:rFonts w:ascii="Arial" w:cs="Arial" w:eastAsia="Arial" w:hAnsi="Arial"/>
                <w:sz w:val="14"/>
                <w:szCs w:val="14"/>
                <w:color w:val="auto"/>
                <w:w w:val="99"/>
              </w:rPr>
              <w:t>1,776,126</w:t>
            </w:r>
          </w:p>
        </w:tc>
        <w:tc>
          <w:tcPr>
            <w:tcW w:w="1380" w:type="dxa"/>
            <w:vAlign w:val="bottom"/>
            <w:tcBorders>
              <w:top w:val="single" w:sz="8" w:color="auto"/>
              <w:bottom w:val="single" w:sz="8" w:color="auto"/>
            </w:tcBorders>
          </w:tcPr>
          <w:p>
            <w:pPr>
              <w:jc w:val="right"/>
              <w:ind w:right="208"/>
              <w:spacing w:after="0" w:line="155" w:lineRule="exact"/>
              <w:rPr>
                <w:sz w:val="20"/>
                <w:szCs w:val="20"/>
                <w:color w:val="auto"/>
              </w:rPr>
            </w:pPr>
            <w:r>
              <w:rPr>
                <w:rFonts w:ascii="Arial" w:cs="Arial" w:eastAsia="Arial" w:hAnsi="Arial"/>
                <w:sz w:val="14"/>
                <w:szCs w:val="14"/>
                <w:color w:val="auto"/>
              </w:rPr>
              <w:t>1,467,754</w:t>
            </w:r>
          </w:p>
        </w:tc>
      </w:tr>
      <w:tr>
        <w:trPr>
          <w:trHeight w:val="149"/>
        </w:trPr>
        <w:tc>
          <w:tcPr>
            <w:tcW w:w="20" w:type="dxa"/>
            <w:vAlign w:val="bottom"/>
          </w:tcPr>
          <w:p>
            <w:pPr>
              <w:spacing w:after="0"/>
              <w:rPr>
                <w:sz w:val="12"/>
                <w:szCs w:val="12"/>
                <w:color w:val="auto"/>
              </w:rPr>
            </w:pPr>
          </w:p>
        </w:tc>
        <w:tc>
          <w:tcPr>
            <w:tcW w:w="3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Supplemental disclosure of cash flow information</w:t>
            </w:r>
          </w:p>
        </w:tc>
        <w:tc>
          <w:tcPr>
            <w:tcW w:w="474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Interest received during the period</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448"/>
              <w:spacing w:after="0" w:line="149" w:lineRule="exact"/>
              <w:rPr>
                <w:sz w:val="20"/>
                <w:szCs w:val="20"/>
                <w:color w:val="auto"/>
              </w:rPr>
            </w:pPr>
            <w:r>
              <w:rPr>
                <w:rFonts w:ascii="Arial" w:cs="Arial" w:eastAsia="Arial" w:hAnsi="Arial"/>
                <w:sz w:val="14"/>
                <w:szCs w:val="14"/>
                <w:color w:val="auto"/>
              </w:rPr>
              <w:t>917,644</w:t>
            </w:r>
          </w:p>
        </w:tc>
        <w:tc>
          <w:tcPr>
            <w:tcW w:w="1380" w:type="dxa"/>
            <w:vAlign w:val="bottom"/>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rPr>
              <w:t>870,337</w:t>
            </w:r>
          </w:p>
        </w:tc>
      </w:tr>
      <w:tr>
        <w:trPr>
          <w:trHeight w:val="149"/>
        </w:trPr>
        <w:tc>
          <w:tcPr>
            <w:tcW w:w="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474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Interest paid during the period</w:t>
            </w:r>
          </w:p>
        </w:tc>
        <w:tc>
          <w:tcPr>
            <w:tcW w:w="420" w:type="dxa"/>
            <w:vAlign w:val="bottom"/>
          </w:tcPr>
          <w:p>
            <w:pPr>
              <w:spacing w:after="0"/>
              <w:rPr>
                <w:sz w:val="12"/>
                <w:szCs w:val="12"/>
                <w:color w:val="auto"/>
              </w:rPr>
            </w:pPr>
          </w:p>
        </w:tc>
        <w:tc>
          <w:tcPr>
            <w:tcW w:w="1160" w:type="dxa"/>
            <w:vAlign w:val="bottom"/>
          </w:tcPr>
          <w:p>
            <w:pPr>
              <w:jc w:val="right"/>
              <w:ind w:right="448"/>
              <w:spacing w:after="0" w:line="149" w:lineRule="exact"/>
              <w:rPr>
                <w:sz w:val="20"/>
                <w:szCs w:val="20"/>
                <w:color w:val="auto"/>
              </w:rPr>
            </w:pPr>
            <w:r>
              <w:rPr>
                <w:rFonts w:ascii="Arial" w:cs="Arial" w:eastAsia="Arial" w:hAnsi="Arial"/>
                <w:sz w:val="14"/>
                <w:szCs w:val="14"/>
                <w:color w:val="auto"/>
              </w:rPr>
              <w:t>407,838</w:t>
            </w:r>
          </w:p>
        </w:tc>
        <w:tc>
          <w:tcPr>
            <w:tcW w:w="1380" w:type="dxa"/>
            <w:vAlign w:val="bottom"/>
          </w:tcPr>
          <w:p>
            <w:pPr>
              <w:jc w:val="right"/>
              <w:ind w:right="188"/>
              <w:spacing w:after="0" w:line="149" w:lineRule="exact"/>
              <w:rPr>
                <w:sz w:val="20"/>
                <w:szCs w:val="20"/>
                <w:color w:val="auto"/>
              </w:rPr>
            </w:pPr>
            <w:r>
              <w:rPr>
                <w:rFonts w:ascii="Arial" w:cs="Arial" w:eastAsia="Arial" w:hAnsi="Arial"/>
                <w:sz w:val="14"/>
                <w:szCs w:val="14"/>
                <w:color w:val="auto"/>
              </w:rPr>
              <w:t>400,530</w:t>
            </w:r>
          </w:p>
        </w:tc>
      </w:tr>
      <w:tr>
        <w:trPr>
          <w:trHeight w:val="149"/>
        </w:trPr>
        <w:tc>
          <w:tcPr>
            <w:tcW w:w="20" w:type="dxa"/>
            <w:vAlign w:val="bottom"/>
          </w:tcPr>
          <w:p>
            <w:pPr>
              <w:spacing w:after="0"/>
              <w:rPr>
                <w:sz w:val="12"/>
                <w:szCs w:val="12"/>
                <w:color w:val="auto"/>
              </w:rPr>
            </w:pPr>
          </w:p>
        </w:tc>
        <w:tc>
          <w:tcPr>
            <w:tcW w:w="3700" w:type="dxa"/>
            <w:vAlign w:val="bottom"/>
            <w:tcBorders>
              <w:bottom w:val="single" w:sz="8" w:color="auto"/>
            </w:tcBorders>
            <w:shd w:val="clear" w:color="auto" w:fill="CCEEFF"/>
          </w:tcPr>
          <w:p>
            <w:pPr>
              <w:spacing w:after="0"/>
              <w:rPr>
                <w:sz w:val="12"/>
                <w:szCs w:val="12"/>
                <w:color w:val="auto"/>
              </w:rPr>
            </w:pPr>
          </w:p>
        </w:tc>
        <w:tc>
          <w:tcPr>
            <w:tcW w:w="4740" w:type="dxa"/>
            <w:vAlign w:val="bottom"/>
            <w:tcBorders>
              <w:bottom w:val="single" w:sz="8" w:color="auto"/>
            </w:tcBorders>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Income taxes paid during the period</w:t>
            </w:r>
          </w:p>
        </w:tc>
        <w:tc>
          <w:tcPr>
            <w:tcW w:w="420" w:type="dxa"/>
            <w:vAlign w:val="bottom"/>
            <w:tcBorders>
              <w:bottom w:val="single" w:sz="8" w:color="auto"/>
            </w:tcBorders>
            <w:shd w:val="clear" w:color="auto" w:fill="CCEEFF"/>
          </w:tcPr>
          <w:p>
            <w:pPr>
              <w:spacing w:after="0"/>
              <w:rPr>
                <w:sz w:val="12"/>
                <w:szCs w:val="12"/>
                <w:color w:val="auto"/>
              </w:rPr>
            </w:pPr>
          </w:p>
        </w:tc>
        <w:tc>
          <w:tcPr>
            <w:tcW w:w="1160" w:type="dxa"/>
            <w:vAlign w:val="bottom"/>
            <w:tcBorders>
              <w:bottom w:val="single" w:sz="8" w:color="auto"/>
            </w:tcBorders>
            <w:shd w:val="clear" w:color="auto" w:fill="CCEEFF"/>
          </w:tcPr>
          <w:p>
            <w:pPr>
              <w:jc w:val="right"/>
              <w:ind w:right="448"/>
              <w:spacing w:after="0" w:line="149" w:lineRule="exact"/>
              <w:rPr>
                <w:sz w:val="20"/>
                <w:szCs w:val="20"/>
                <w:color w:val="auto"/>
              </w:rPr>
            </w:pPr>
            <w:r>
              <w:rPr>
                <w:rFonts w:ascii="Arial" w:cs="Arial" w:eastAsia="Arial" w:hAnsi="Arial"/>
                <w:sz w:val="14"/>
                <w:szCs w:val="14"/>
                <w:color w:val="auto"/>
              </w:rPr>
              <w:t>3,696</w:t>
            </w:r>
          </w:p>
        </w:tc>
        <w:tc>
          <w:tcPr>
            <w:tcW w:w="1380" w:type="dxa"/>
            <w:vAlign w:val="bottom"/>
            <w:tcBorders>
              <w:bottom w:val="single" w:sz="8" w:color="auto"/>
            </w:tcBorders>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rPr>
              <w:t>1,403</w:t>
            </w:r>
          </w:p>
        </w:tc>
      </w:tr>
      <w:tr>
        <w:trPr>
          <w:trHeight w:val="137"/>
        </w:trPr>
        <w:tc>
          <w:tcPr>
            <w:tcW w:w="20" w:type="dxa"/>
            <w:vAlign w:val="bottom"/>
          </w:tcPr>
          <w:p>
            <w:pPr>
              <w:spacing w:after="0"/>
              <w:rPr>
                <w:sz w:val="11"/>
                <w:szCs w:val="11"/>
                <w:color w:val="auto"/>
              </w:rPr>
            </w:pPr>
          </w:p>
        </w:tc>
        <w:tc>
          <w:tcPr>
            <w:tcW w:w="3700" w:type="dxa"/>
            <w:vAlign w:val="bottom"/>
          </w:tcPr>
          <w:p>
            <w:pPr>
              <w:spacing w:after="0" w:line="137" w:lineRule="exact"/>
              <w:rPr>
                <w:sz w:val="20"/>
                <w:szCs w:val="20"/>
                <w:color w:val="auto"/>
              </w:rPr>
            </w:pPr>
            <w:r>
              <w:rPr>
                <w:rFonts w:ascii="Arial" w:cs="Arial" w:eastAsia="Arial" w:hAnsi="Arial"/>
                <w:sz w:val="14"/>
                <w:szCs w:val="14"/>
                <w:color w:val="auto"/>
              </w:rPr>
              <w:t>Supplemental schedule of noncash investing and financing</w:t>
            </w:r>
          </w:p>
        </w:tc>
        <w:tc>
          <w:tcPr>
            <w:tcW w:w="4740" w:type="dxa"/>
            <w:vAlign w:val="bottom"/>
            <w:gridSpan w:val="2"/>
          </w:tcPr>
          <w:p>
            <w:pPr>
              <w:ind w:left="340"/>
              <w:spacing w:after="0" w:line="137" w:lineRule="exact"/>
              <w:rPr>
                <w:sz w:val="20"/>
                <w:szCs w:val="20"/>
                <w:color w:val="auto"/>
              </w:rPr>
            </w:pPr>
            <w:r>
              <w:rPr>
                <w:rFonts w:ascii="Arial" w:cs="Arial" w:eastAsia="Arial" w:hAnsi="Arial"/>
                <w:sz w:val="14"/>
                <w:szCs w:val="14"/>
                <w:color w:val="auto"/>
              </w:rPr>
              <w:t>Loans held for sale transferred to loans held for investment</w:t>
            </w:r>
          </w:p>
        </w:tc>
        <w:tc>
          <w:tcPr>
            <w:tcW w:w="420" w:type="dxa"/>
            <w:vAlign w:val="bottom"/>
          </w:tcPr>
          <w:p>
            <w:pPr>
              <w:jc w:val="right"/>
              <w:spacing w:after="0" w:line="137" w:lineRule="exact"/>
              <w:rPr>
                <w:sz w:val="20"/>
                <w:szCs w:val="20"/>
                <w:color w:val="auto"/>
              </w:rPr>
            </w:pPr>
            <w:r>
              <w:rPr>
                <w:rFonts w:ascii="Arial" w:cs="Arial" w:eastAsia="Arial" w:hAnsi="Arial"/>
                <w:sz w:val="14"/>
                <w:szCs w:val="14"/>
                <w:color w:val="auto"/>
              </w:rPr>
              <w:t>$</w:t>
            </w:r>
          </w:p>
        </w:tc>
        <w:tc>
          <w:tcPr>
            <w:tcW w:w="1160" w:type="dxa"/>
            <w:vAlign w:val="bottom"/>
          </w:tcPr>
          <w:p>
            <w:pPr>
              <w:jc w:val="right"/>
              <w:ind w:right="448"/>
              <w:spacing w:after="0" w:line="137" w:lineRule="exact"/>
              <w:rPr>
                <w:sz w:val="20"/>
                <w:szCs w:val="20"/>
                <w:color w:val="auto"/>
              </w:rPr>
            </w:pPr>
            <w:r>
              <w:rPr>
                <w:rFonts w:ascii="Arial" w:cs="Arial" w:eastAsia="Arial" w:hAnsi="Arial"/>
                <w:sz w:val="14"/>
                <w:szCs w:val="14"/>
                <w:color w:val="auto"/>
              </w:rPr>
              <w:t>—</w:t>
            </w:r>
          </w:p>
        </w:tc>
        <w:tc>
          <w:tcPr>
            <w:tcW w:w="1380" w:type="dxa"/>
            <w:vAlign w:val="bottom"/>
          </w:tcPr>
          <w:p>
            <w:pPr>
              <w:jc w:val="right"/>
              <w:ind w:right="188"/>
              <w:spacing w:after="0" w:line="137" w:lineRule="exact"/>
              <w:rPr>
                <w:sz w:val="20"/>
                <w:szCs w:val="20"/>
                <w:color w:val="auto"/>
              </w:rPr>
            </w:pPr>
            <w:r>
              <w:rPr>
                <w:rFonts w:ascii="Arial" w:cs="Arial" w:eastAsia="Arial" w:hAnsi="Arial"/>
                <w:sz w:val="14"/>
                <w:szCs w:val="14"/>
                <w:color w:val="auto"/>
              </w:rPr>
              <w:t>870,759</w:t>
            </w:r>
          </w:p>
        </w:tc>
      </w:tr>
      <w:tr>
        <w:trPr>
          <w:trHeight w:val="167"/>
        </w:trPr>
        <w:tc>
          <w:tcPr>
            <w:tcW w:w="3720" w:type="dxa"/>
            <w:vAlign w:val="bottom"/>
            <w:gridSpan w:val="2"/>
          </w:tcPr>
          <w:p>
            <w:pPr>
              <w:spacing w:after="0"/>
              <w:rPr>
                <w:sz w:val="20"/>
                <w:szCs w:val="20"/>
                <w:color w:val="auto"/>
              </w:rPr>
            </w:pPr>
            <w:r>
              <w:rPr>
                <w:rFonts w:ascii="Arial" w:cs="Arial" w:eastAsia="Arial" w:hAnsi="Arial"/>
                <w:sz w:val="14"/>
                <w:szCs w:val="14"/>
                <w:color w:val="auto"/>
              </w:rPr>
              <w:t>activities</w:t>
            </w:r>
          </w:p>
        </w:tc>
        <w:tc>
          <w:tcPr>
            <w:tcW w:w="34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3700" w:type="dxa"/>
            <w:vAlign w:val="bottom"/>
            <w:shd w:val="clear" w:color="auto" w:fill="CCEEFF"/>
          </w:tcPr>
          <w:p>
            <w:pPr>
              <w:spacing w:after="0"/>
              <w:rPr>
                <w:sz w:val="12"/>
                <w:szCs w:val="12"/>
                <w:color w:val="auto"/>
              </w:rPr>
            </w:pPr>
          </w:p>
        </w:tc>
        <w:tc>
          <w:tcPr>
            <w:tcW w:w="474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Real estate acquired in settlement of loans</w:t>
            </w:r>
          </w:p>
        </w:tc>
        <w:tc>
          <w:tcPr>
            <w:tcW w:w="420" w:type="dxa"/>
            <w:vAlign w:val="bottom"/>
            <w:shd w:val="clear" w:color="auto" w:fill="CCEEFF"/>
          </w:tcPr>
          <w:p>
            <w:pPr>
              <w:spacing w:after="0"/>
              <w:rPr>
                <w:sz w:val="12"/>
                <w:szCs w:val="12"/>
                <w:color w:val="auto"/>
              </w:rPr>
            </w:pPr>
          </w:p>
        </w:tc>
        <w:tc>
          <w:tcPr>
            <w:tcW w:w="1160" w:type="dxa"/>
            <w:vAlign w:val="bottom"/>
            <w:shd w:val="clear" w:color="auto" w:fill="CCEEFF"/>
          </w:tcPr>
          <w:p>
            <w:pPr>
              <w:jc w:val="right"/>
              <w:ind w:right="448"/>
              <w:spacing w:after="0" w:line="149" w:lineRule="exact"/>
              <w:rPr>
                <w:sz w:val="20"/>
                <w:szCs w:val="20"/>
                <w:color w:val="auto"/>
              </w:rPr>
            </w:pPr>
            <w:r>
              <w:rPr>
                <w:rFonts w:ascii="Arial" w:cs="Arial" w:eastAsia="Arial" w:hAnsi="Arial"/>
                <w:sz w:val="14"/>
                <w:szCs w:val="14"/>
                <w:color w:val="auto"/>
              </w:rPr>
              <w:t>20,826</w:t>
            </w:r>
          </w:p>
        </w:tc>
        <w:tc>
          <w:tcPr>
            <w:tcW w:w="1380" w:type="dxa"/>
            <w:vAlign w:val="bottom"/>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rPr>
              <w:t>6,995</w:t>
            </w: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line="62"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3720" w:firstLine="3721"/>
        <w:spacing w:after="0" w:line="378" w:lineRule="auto"/>
        <w:rPr>
          <w:sz w:val="20"/>
          <w:szCs w:val="20"/>
          <w:color w:val="auto"/>
        </w:rPr>
      </w:pPr>
      <w:r>
        <w:rPr>
          <w:rFonts w:ascii="Arial" w:cs="Arial" w:eastAsia="Arial" w:hAnsi="Arial"/>
          <w:sz w:val="17"/>
          <w:szCs w:val="17"/>
          <w:color w:val="auto"/>
        </w:rPr>
        <w:t>M&amp;T BANK CORPORATION AND SUBSIDIARIES CONSOLIDATED STATEMENT OF CHANGES IN STOCKHOLDERS’ EQUITY (Unaudited)</w:t>
      </w:r>
    </w:p>
    <w:tbl>
      <w:tblPr>
        <w:tblLayout w:type="fixed"/>
        <w:tblInd w:w="0" w:type="dxa"/>
        <w:tblCellMar>
          <w:top w:w="0" w:type="dxa"/>
          <w:left w:w="0" w:type="dxa"/>
          <w:bottom w:w="0" w:type="dxa"/>
          <w:right w:w="0" w:type="dxa"/>
        </w:tblCellMar>
      </w:tblPr>
      <w:tr>
        <w:trPr>
          <w:trHeight w:val="150"/>
        </w:trPr>
        <w:tc>
          <w:tcPr>
            <w:tcW w:w="2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320" w:type="dxa"/>
            <w:vAlign w:val="bottom"/>
          </w:tcPr>
          <w:p>
            <w:pPr>
              <w:jc w:val="right"/>
              <w:ind w:right="193"/>
              <w:spacing w:after="0" w:line="150" w:lineRule="exact"/>
              <w:rPr>
                <w:sz w:val="20"/>
                <w:szCs w:val="20"/>
                <w:color w:val="auto"/>
              </w:rPr>
            </w:pPr>
            <w:r>
              <w:rPr>
                <w:rFonts w:ascii="Arial" w:cs="Arial" w:eastAsia="Arial" w:hAnsi="Arial"/>
                <w:sz w:val="14"/>
                <w:szCs w:val="14"/>
                <w:color w:val="auto"/>
              </w:rPr>
              <w:t>Accumulated</w:t>
            </w:r>
          </w:p>
        </w:tc>
        <w:tc>
          <w:tcPr>
            <w:tcW w:w="1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320" w:type="dxa"/>
            <w:vAlign w:val="bottom"/>
          </w:tcPr>
          <w:p>
            <w:pPr>
              <w:jc w:val="right"/>
              <w:ind w:right="193"/>
              <w:spacing w:after="0" w:line="149" w:lineRule="exact"/>
              <w:rPr>
                <w:sz w:val="20"/>
                <w:szCs w:val="20"/>
                <w:color w:val="auto"/>
              </w:rPr>
            </w:pPr>
            <w:r>
              <w:rPr>
                <w:rFonts w:ascii="Arial" w:cs="Arial" w:eastAsia="Arial" w:hAnsi="Arial"/>
                <w:sz w:val="14"/>
                <w:szCs w:val="14"/>
                <w:color w:val="auto"/>
              </w:rPr>
              <w:t>other</w:t>
            </w:r>
          </w:p>
        </w:tc>
        <w:tc>
          <w:tcPr>
            <w:tcW w:w="14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6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Common</w:t>
            </w:r>
          </w:p>
        </w:tc>
        <w:tc>
          <w:tcPr>
            <w:tcW w:w="122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Additional</w:t>
            </w:r>
          </w:p>
        </w:tc>
        <w:tc>
          <w:tcPr>
            <w:tcW w:w="1160" w:type="dxa"/>
            <w:vAlign w:val="bottom"/>
          </w:tcPr>
          <w:p>
            <w:pPr>
              <w:spacing w:after="0"/>
              <w:rPr>
                <w:sz w:val="12"/>
                <w:szCs w:val="12"/>
                <w:color w:val="auto"/>
              </w:rPr>
            </w:pPr>
          </w:p>
        </w:tc>
        <w:tc>
          <w:tcPr>
            <w:tcW w:w="1320" w:type="dxa"/>
            <w:vAlign w:val="bottom"/>
          </w:tcPr>
          <w:p>
            <w:pPr>
              <w:jc w:val="right"/>
              <w:ind w:right="193"/>
              <w:spacing w:after="0" w:line="149" w:lineRule="exact"/>
              <w:rPr>
                <w:sz w:val="20"/>
                <w:szCs w:val="20"/>
                <w:color w:val="auto"/>
              </w:rPr>
            </w:pPr>
            <w:r>
              <w:rPr>
                <w:rFonts w:ascii="Arial" w:cs="Arial" w:eastAsia="Arial" w:hAnsi="Arial"/>
                <w:sz w:val="14"/>
                <w:szCs w:val="14"/>
                <w:color w:val="auto"/>
              </w:rPr>
              <w:t>comprehensive</w:t>
            </w:r>
          </w:p>
        </w:tc>
        <w:tc>
          <w:tcPr>
            <w:tcW w:w="14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jc w:val="right"/>
              <w:ind w:right="151"/>
              <w:spacing w:after="0" w:line="149" w:lineRule="exact"/>
              <w:rPr>
                <w:sz w:val="20"/>
                <w:szCs w:val="20"/>
                <w:color w:val="auto"/>
              </w:rPr>
            </w:pPr>
            <w:r>
              <w:rPr>
                <w:rFonts w:ascii="Arial" w:cs="Arial" w:eastAsia="Arial" w:hAnsi="Arial"/>
                <w:sz w:val="14"/>
                <w:szCs w:val="14"/>
                <w:color w:val="auto"/>
                <w:w w:val="89"/>
              </w:rPr>
              <w:t>Preferred</w:t>
            </w:r>
          </w:p>
        </w:tc>
        <w:tc>
          <w:tcPr>
            <w:tcW w:w="1020" w:type="dxa"/>
            <w:vAlign w:val="bottom"/>
          </w:tcPr>
          <w:p>
            <w:pPr>
              <w:jc w:val="right"/>
              <w:ind w:right="151"/>
              <w:spacing w:after="0" w:line="149" w:lineRule="exact"/>
              <w:rPr>
                <w:sz w:val="20"/>
                <w:szCs w:val="20"/>
                <w:color w:val="auto"/>
              </w:rPr>
            </w:pPr>
            <w:r>
              <w:rPr>
                <w:rFonts w:ascii="Arial" w:cs="Arial" w:eastAsia="Arial" w:hAnsi="Arial"/>
                <w:sz w:val="14"/>
                <w:szCs w:val="14"/>
                <w:color w:val="auto"/>
              </w:rPr>
              <w:t>Common</w:t>
            </w:r>
          </w:p>
        </w:tc>
        <w:tc>
          <w:tcPr>
            <w:tcW w:w="106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stock</w:t>
            </w:r>
          </w:p>
        </w:tc>
        <w:tc>
          <w:tcPr>
            <w:tcW w:w="122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paid-in</w:t>
            </w:r>
          </w:p>
        </w:tc>
        <w:tc>
          <w:tcPr>
            <w:tcW w:w="1160" w:type="dxa"/>
            <w:vAlign w:val="bottom"/>
          </w:tcPr>
          <w:p>
            <w:pPr>
              <w:jc w:val="right"/>
              <w:ind w:right="131"/>
              <w:spacing w:after="0" w:line="149" w:lineRule="exact"/>
              <w:rPr>
                <w:sz w:val="20"/>
                <w:szCs w:val="20"/>
                <w:color w:val="auto"/>
              </w:rPr>
            </w:pPr>
            <w:r>
              <w:rPr>
                <w:rFonts w:ascii="Arial" w:cs="Arial" w:eastAsia="Arial" w:hAnsi="Arial"/>
                <w:sz w:val="14"/>
                <w:szCs w:val="14"/>
                <w:color w:val="auto"/>
              </w:rPr>
              <w:t>Retained</w:t>
            </w:r>
          </w:p>
        </w:tc>
        <w:tc>
          <w:tcPr>
            <w:tcW w:w="1320" w:type="dxa"/>
            <w:vAlign w:val="bottom"/>
          </w:tcPr>
          <w:p>
            <w:pPr>
              <w:jc w:val="right"/>
              <w:ind w:right="193"/>
              <w:spacing w:after="0" w:line="149" w:lineRule="exact"/>
              <w:rPr>
                <w:sz w:val="20"/>
                <w:szCs w:val="20"/>
                <w:color w:val="auto"/>
              </w:rPr>
            </w:pPr>
            <w:r>
              <w:rPr>
                <w:rFonts w:ascii="Arial" w:cs="Arial" w:eastAsia="Arial" w:hAnsi="Arial"/>
                <w:sz w:val="14"/>
                <w:szCs w:val="14"/>
                <w:color w:val="auto"/>
              </w:rPr>
              <w:t>income (loss),</w:t>
            </w:r>
          </w:p>
        </w:tc>
        <w:tc>
          <w:tcPr>
            <w:tcW w:w="1400" w:type="dxa"/>
            <w:vAlign w:val="bottom"/>
          </w:tcPr>
          <w:p>
            <w:pPr>
              <w:jc w:val="right"/>
              <w:ind w:right="311"/>
              <w:spacing w:after="0" w:line="149" w:lineRule="exact"/>
              <w:rPr>
                <w:sz w:val="20"/>
                <w:szCs w:val="20"/>
                <w:color w:val="auto"/>
              </w:rPr>
            </w:pPr>
            <w:r>
              <w:rPr>
                <w:rFonts w:ascii="Arial" w:cs="Arial" w:eastAsia="Arial" w:hAnsi="Arial"/>
                <w:sz w:val="14"/>
                <w:szCs w:val="14"/>
                <w:color w:val="auto"/>
              </w:rPr>
              <w:t>Treasury</w:t>
            </w: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280" w:type="dxa"/>
            <w:vAlign w:val="bottom"/>
            <w:gridSpan w:val="2"/>
          </w:tcPr>
          <w:p>
            <w:pPr>
              <w:spacing w:after="0"/>
              <w:rPr>
                <w:sz w:val="20"/>
                <w:szCs w:val="20"/>
                <w:color w:val="auto"/>
              </w:rPr>
            </w:pPr>
            <w:r>
              <w:rPr>
                <w:rFonts w:ascii="Arial" w:cs="Arial" w:eastAsia="Arial" w:hAnsi="Arial"/>
                <w:sz w:val="14"/>
                <w:szCs w:val="14"/>
                <w:color w:val="auto"/>
              </w:rPr>
              <w:t>In thousands, except per share</w:t>
            </w:r>
          </w:p>
        </w:tc>
        <w:tc>
          <w:tcPr>
            <w:tcW w:w="240" w:type="dxa"/>
            <w:vAlign w:val="bottom"/>
          </w:tcPr>
          <w:p>
            <w:pPr>
              <w:spacing w:after="0"/>
              <w:rPr>
                <w:sz w:val="15"/>
                <w:szCs w:val="15"/>
                <w:color w:val="auto"/>
              </w:rPr>
            </w:pPr>
          </w:p>
        </w:tc>
        <w:tc>
          <w:tcPr>
            <w:tcW w:w="780" w:type="dxa"/>
            <w:vAlign w:val="bottom"/>
          </w:tcPr>
          <w:p>
            <w:pPr>
              <w:jc w:val="right"/>
              <w:ind w:right="151"/>
              <w:spacing w:after="0"/>
              <w:rPr>
                <w:sz w:val="20"/>
                <w:szCs w:val="20"/>
                <w:color w:val="auto"/>
              </w:rPr>
            </w:pPr>
            <w:r>
              <w:rPr>
                <w:rFonts w:ascii="Arial" w:cs="Arial" w:eastAsia="Arial" w:hAnsi="Arial"/>
                <w:sz w:val="14"/>
                <w:szCs w:val="14"/>
                <w:color w:val="auto"/>
              </w:rPr>
              <w:t>stock</w:t>
            </w:r>
          </w:p>
        </w:tc>
        <w:tc>
          <w:tcPr>
            <w:tcW w:w="1020" w:type="dxa"/>
            <w:vAlign w:val="bottom"/>
          </w:tcPr>
          <w:p>
            <w:pPr>
              <w:jc w:val="right"/>
              <w:ind w:right="151"/>
              <w:spacing w:after="0"/>
              <w:rPr>
                <w:sz w:val="20"/>
                <w:szCs w:val="20"/>
                <w:color w:val="auto"/>
              </w:rPr>
            </w:pPr>
            <w:r>
              <w:rPr>
                <w:rFonts w:ascii="Arial" w:cs="Arial" w:eastAsia="Arial" w:hAnsi="Arial"/>
                <w:sz w:val="14"/>
                <w:szCs w:val="14"/>
                <w:color w:val="auto"/>
              </w:rPr>
              <w:t>stock</w:t>
            </w:r>
          </w:p>
        </w:tc>
        <w:tc>
          <w:tcPr>
            <w:tcW w:w="1060" w:type="dxa"/>
            <w:vAlign w:val="bottom"/>
          </w:tcPr>
          <w:p>
            <w:pPr>
              <w:jc w:val="right"/>
              <w:ind w:right="212"/>
              <w:spacing w:after="0"/>
              <w:rPr>
                <w:sz w:val="20"/>
                <w:szCs w:val="20"/>
                <w:color w:val="auto"/>
              </w:rPr>
            </w:pPr>
            <w:r>
              <w:rPr>
                <w:rFonts w:ascii="Arial" w:cs="Arial" w:eastAsia="Arial" w:hAnsi="Arial"/>
                <w:sz w:val="14"/>
                <w:szCs w:val="14"/>
                <w:color w:val="auto"/>
              </w:rPr>
              <w:t>issuable</w:t>
            </w:r>
          </w:p>
        </w:tc>
        <w:tc>
          <w:tcPr>
            <w:tcW w:w="1220" w:type="dxa"/>
            <w:vAlign w:val="bottom"/>
          </w:tcPr>
          <w:p>
            <w:pPr>
              <w:jc w:val="right"/>
              <w:ind w:right="192"/>
              <w:spacing w:after="0"/>
              <w:rPr>
                <w:sz w:val="20"/>
                <w:szCs w:val="20"/>
                <w:color w:val="auto"/>
              </w:rPr>
            </w:pPr>
            <w:r>
              <w:rPr>
                <w:rFonts w:ascii="Arial" w:cs="Arial" w:eastAsia="Arial" w:hAnsi="Arial"/>
                <w:sz w:val="14"/>
                <w:szCs w:val="14"/>
                <w:color w:val="auto"/>
              </w:rPr>
              <w:t>capital</w:t>
            </w:r>
          </w:p>
        </w:tc>
        <w:tc>
          <w:tcPr>
            <w:tcW w:w="1160" w:type="dxa"/>
            <w:vAlign w:val="bottom"/>
          </w:tcPr>
          <w:p>
            <w:pPr>
              <w:jc w:val="right"/>
              <w:ind w:right="131"/>
              <w:spacing w:after="0"/>
              <w:rPr>
                <w:sz w:val="20"/>
                <w:szCs w:val="20"/>
                <w:color w:val="auto"/>
              </w:rPr>
            </w:pPr>
            <w:r>
              <w:rPr>
                <w:rFonts w:ascii="Arial" w:cs="Arial" w:eastAsia="Arial" w:hAnsi="Arial"/>
                <w:sz w:val="14"/>
                <w:szCs w:val="14"/>
                <w:color w:val="auto"/>
              </w:rPr>
              <w:t>earnings</w:t>
            </w:r>
          </w:p>
        </w:tc>
        <w:tc>
          <w:tcPr>
            <w:tcW w:w="1320" w:type="dxa"/>
            <w:vAlign w:val="bottom"/>
          </w:tcPr>
          <w:p>
            <w:pPr>
              <w:jc w:val="right"/>
              <w:ind w:right="193"/>
              <w:spacing w:after="0"/>
              <w:rPr>
                <w:sz w:val="20"/>
                <w:szCs w:val="20"/>
                <w:color w:val="auto"/>
              </w:rPr>
            </w:pPr>
            <w:r>
              <w:rPr>
                <w:rFonts w:ascii="Arial" w:cs="Arial" w:eastAsia="Arial" w:hAnsi="Arial"/>
                <w:sz w:val="14"/>
                <w:szCs w:val="14"/>
                <w:color w:val="auto"/>
              </w:rPr>
              <w:t>net</w:t>
            </w:r>
          </w:p>
        </w:tc>
        <w:tc>
          <w:tcPr>
            <w:tcW w:w="1400" w:type="dxa"/>
            <w:vAlign w:val="bottom"/>
          </w:tcPr>
          <w:p>
            <w:pPr>
              <w:jc w:val="right"/>
              <w:ind w:right="311"/>
              <w:spacing w:after="0"/>
              <w:rPr>
                <w:sz w:val="20"/>
                <w:szCs w:val="20"/>
                <w:color w:val="auto"/>
              </w:rPr>
            </w:pPr>
            <w:r>
              <w:rPr>
                <w:rFonts w:ascii="Arial" w:cs="Arial" w:eastAsia="Arial" w:hAnsi="Arial"/>
                <w:sz w:val="14"/>
                <w:szCs w:val="14"/>
                <w:color w:val="auto"/>
              </w:rPr>
              <w:t>stock</w:t>
            </w: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2007</w:t>
            </w:r>
          </w:p>
        </w:tc>
        <w:tc>
          <w:tcPr>
            <w:tcW w:w="2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tcPr>
          <w:p>
            <w:pPr>
              <w:spacing w:after="0"/>
              <w:rPr>
                <w:sz w:val="20"/>
                <w:szCs w:val="20"/>
                <w:color w:val="auto"/>
              </w:rPr>
            </w:pPr>
            <w:r>
              <w:rPr>
                <w:rFonts w:ascii="Arial" w:cs="Arial" w:eastAsia="Arial" w:hAnsi="Arial"/>
                <w:sz w:val="18"/>
                <w:szCs w:val="18"/>
                <w:color w:val="auto"/>
              </w:rPr>
              <w:t>Balance - January 1, 2007</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51"/>
              <w:spacing w:after="0"/>
              <w:rPr>
                <w:sz w:val="20"/>
                <w:szCs w:val="20"/>
                <w:color w:val="auto"/>
              </w:rPr>
            </w:pPr>
            <w:r>
              <w:rPr>
                <w:rFonts w:ascii="Arial" w:cs="Arial" w:eastAsia="Arial" w:hAnsi="Arial"/>
                <w:sz w:val="18"/>
                <w:szCs w:val="18"/>
                <w:color w:val="auto"/>
              </w:rPr>
              <w:t>60,198</w:t>
            </w:r>
          </w:p>
        </w:tc>
        <w:tc>
          <w:tcPr>
            <w:tcW w:w="1060" w:type="dxa"/>
            <w:vAlign w:val="bottom"/>
          </w:tcPr>
          <w:p>
            <w:pPr>
              <w:jc w:val="right"/>
              <w:ind w:right="212"/>
              <w:spacing w:after="0"/>
              <w:rPr>
                <w:sz w:val="20"/>
                <w:szCs w:val="20"/>
                <w:color w:val="auto"/>
              </w:rPr>
            </w:pPr>
            <w:r>
              <w:rPr>
                <w:rFonts w:ascii="Arial" w:cs="Arial" w:eastAsia="Arial" w:hAnsi="Arial"/>
                <w:sz w:val="18"/>
                <w:szCs w:val="18"/>
                <w:color w:val="auto"/>
              </w:rPr>
              <w:t>5,060</w:t>
            </w:r>
          </w:p>
        </w:tc>
        <w:tc>
          <w:tcPr>
            <w:tcW w:w="1220" w:type="dxa"/>
            <w:vAlign w:val="bottom"/>
          </w:tcPr>
          <w:p>
            <w:pPr>
              <w:jc w:val="right"/>
              <w:ind w:right="192"/>
              <w:spacing w:after="0"/>
              <w:rPr>
                <w:sz w:val="20"/>
                <w:szCs w:val="20"/>
                <w:color w:val="auto"/>
              </w:rPr>
            </w:pPr>
            <w:r>
              <w:rPr>
                <w:rFonts w:ascii="Arial" w:cs="Arial" w:eastAsia="Arial" w:hAnsi="Arial"/>
                <w:sz w:val="18"/>
                <w:szCs w:val="18"/>
                <w:color w:val="auto"/>
              </w:rPr>
              <w:t>2,889,449</w:t>
            </w: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4,443,441</w:t>
            </w:r>
          </w:p>
        </w:tc>
        <w:tc>
          <w:tcPr>
            <w:tcW w:w="1320" w:type="dxa"/>
            <w:vAlign w:val="bottom"/>
          </w:tcPr>
          <w:p>
            <w:pPr>
              <w:jc w:val="right"/>
              <w:ind w:right="133"/>
              <w:spacing w:after="0"/>
              <w:rPr>
                <w:sz w:val="20"/>
                <w:szCs w:val="20"/>
                <w:color w:val="auto"/>
              </w:rPr>
            </w:pPr>
            <w:r>
              <w:rPr>
                <w:rFonts w:ascii="Arial" w:cs="Arial" w:eastAsia="Arial" w:hAnsi="Arial"/>
                <w:sz w:val="18"/>
                <w:szCs w:val="18"/>
                <w:color w:val="auto"/>
              </w:rPr>
              <w:t>(53,574)</w:t>
            </w:r>
          </w:p>
        </w:tc>
        <w:tc>
          <w:tcPr>
            <w:tcW w:w="1400" w:type="dxa"/>
            <w:vAlign w:val="bottom"/>
          </w:tcPr>
          <w:p>
            <w:pPr>
              <w:jc w:val="right"/>
              <w:ind w:right="251"/>
              <w:spacing w:after="0"/>
              <w:rPr>
                <w:sz w:val="20"/>
                <w:szCs w:val="20"/>
                <w:color w:val="auto"/>
              </w:rPr>
            </w:pPr>
            <w:r>
              <w:rPr>
                <w:rFonts w:ascii="Arial" w:cs="Arial" w:eastAsia="Arial" w:hAnsi="Arial"/>
                <w:sz w:val="18"/>
                <w:szCs w:val="18"/>
                <w:color w:val="auto"/>
              </w:rPr>
              <w:t>(1,063,479)</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6,281,095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240" w:type="dxa"/>
            <w:vAlign w:val="bottom"/>
          </w:tcPr>
          <w:p>
            <w:pPr>
              <w:spacing w:after="0"/>
              <w:rPr>
                <w:sz w:val="18"/>
                <w:szCs w:val="18"/>
                <w:color w:val="auto"/>
              </w:rPr>
            </w:pPr>
          </w:p>
        </w:tc>
        <w:tc>
          <w:tcPr>
            <w:tcW w:w="78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175,973</w:t>
            </w:r>
          </w:p>
        </w:tc>
        <w:tc>
          <w:tcPr>
            <w:tcW w:w="1320" w:type="dxa"/>
            <w:vAlign w:val="bottom"/>
          </w:tcPr>
          <w:p>
            <w:pPr>
              <w:jc w:val="right"/>
              <w:ind w:right="193"/>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11"/>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175,973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6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Other comprehensive</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income, net of tax and</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reclassification</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adjustments:</w:t>
            </w: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60" w:type="dxa"/>
            <w:vAlign w:val="bottom"/>
          </w:tcPr>
          <w:p>
            <w:pPr>
              <w:ind w:left="400"/>
              <w:spacing w:after="0" w:line="201" w:lineRule="exact"/>
              <w:rPr>
                <w:sz w:val="20"/>
                <w:szCs w:val="20"/>
                <w:color w:val="auto"/>
              </w:rPr>
            </w:pPr>
            <w:r>
              <w:rPr>
                <w:rFonts w:ascii="Arial" w:cs="Arial" w:eastAsia="Arial" w:hAnsi="Arial"/>
                <w:sz w:val="18"/>
                <w:szCs w:val="18"/>
                <w:color w:val="auto"/>
              </w:rPr>
              <w:t>Unrealized gains on</w:t>
            </w: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260" w:type="dxa"/>
            <w:vAlign w:val="bottom"/>
          </w:tcPr>
          <w:p>
            <w:pPr>
              <w:ind w:left="600"/>
              <w:spacing w:after="0"/>
              <w:rPr>
                <w:sz w:val="20"/>
                <w:szCs w:val="20"/>
                <w:color w:val="auto"/>
              </w:rPr>
            </w:pPr>
            <w:r>
              <w:rPr>
                <w:rFonts w:ascii="Arial" w:cs="Arial" w:eastAsia="Arial" w:hAnsi="Arial"/>
                <w:sz w:val="18"/>
                <w:szCs w:val="18"/>
                <w:color w:val="auto"/>
                <w:w w:val="97"/>
              </w:rPr>
              <w:t>investment securities</w:t>
            </w:r>
          </w:p>
        </w:tc>
        <w:tc>
          <w:tcPr>
            <w:tcW w:w="240" w:type="dxa"/>
            <w:vAlign w:val="bottom"/>
          </w:tcPr>
          <w:p>
            <w:pPr>
              <w:spacing w:after="0"/>
              <w:rPr>
                <w:sz w:val="20"/>
                <w:szCs w:val="20"/>
                <w:color w:val="auto"/>
              </w:rPr>
            </w:pPr>
          </w:p>
        </w:tc>
        <w:tc>
          <w:tcPr>
            <w:tcW w:w="78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93"/>
              <w:spacing w:after="0"/>
              <w:rPr>
                <w:sz w:val="20"/>
                <w:szCs w:val="20"/>
                <w:color w:val="auto"/>
              </w:rPr>
            </w:pPr>
            <w:r>
              <w:rPr>
                <w:rFonts w:ascii="Arial" w:cs="Arial" w:eastAsia="Arial" w:hAnsi="Arial"/>
                <w:sz w:val="18"/>
                <w:szCs w:val="18"/>
                <w:color w:val="auto"/>
              </w:rPr>
              <w:t>17,407</w:t>
            </w:r>
          </w:p>
        </w:tc>
        <w:tc>
          <w:tcPr>
            <w:tcW w:w="1400" w:type="dxa"/>
            <w:vAlign w:val="bottom"/>
          </w:tcPr>
          <w:p>
            <w:pPr>
              <w:jc w:val="right"/>
              <w:ind w:right="311"/>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17,407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193,380</w:t>
            </w:r>
          </w:p>
        </w:tc>
        <w:tc>
          <w:tcPr>
            <w:tcW w:w="0" w:type="dxa"/>
            <w:vAlign w:val="bottom"/>
          </w:tcPr>
          <w:p>
            <w:pPr>
              <w:spacing w:after="0"/>
              <w:rPr>
                <w:sz w:val="1"/>
                <w:szCs w:val="1"/>
                <w:color w:val="auto"/>
              </w:rPr>
            </w:pPr>
          </w:p>
        </w:tc>
      </w:tr>
      <w:tr>
        <w:trPr>
          <w:trHeight w:val="432"/>
        </w:trPr>
        <w:tc>
          <w:tcPr>
            <w:tcW w:w="2280" w:type="dxa"/>
            <w:vAlign w:val="bottom"/>
            <w:gridSpan w:val="2"/>
          </w:tcPr>
          <w:p>
            <w:pPr>
              <w:spacing w:after="0"/>
              <w:rPr>
                <w:sz w:val="20"/>
                <w:szCs w:val="20"/>
                <w:color w:val="auto"/>
              </w:rPr>
            </w:pPr>
            <w:r>
              <w:rPr>
                <w:rFonts w:ascii="Arial" w:cs="Arial" w:eastAsia="Arial" w:hAnsi="Arial"/>
                <w:sz w:val="18"/>
                <w:szCs w:val="18"/>
                <w:color w:val="auto"/>
              </w:rPr>
              <w:t>Purchases of treasury stock</w:t>
            </w:r>
          </w:p>
        </w:tc>
        <w:tc>
          <w:tcPr>
            <w:tcW w:w="240" w:type="dxa"/>
            <w:vAlign w:val="bottom"/>
          </w:tcPr>
          <w:p>
            <w:pPr>
              <w:spacing w:after="0"/>
              <w:rPr>
                <w:sz w:val="24"/>
                <w:szCs w:val="24"/>
                <w:color w:val="auto"/>
              </w:rPr>
            </w:pPr>
          </w:p>
        </w:tc>
        <w:tc>
          <w:tcPr>
            <w:tcW w:w="78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93"/>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251"/>
              <w:spacing w:after="0"/>
              <w:rPr>
                <w:sz w:val="20"/>
                <w:szCs w:val="20"/>
                <w:color w:val="auto"/>
              </w:rPr>
            </w:pPr>
            <w:r>
              <w:rPr>
                <w:rFonts w:ascii="Arial" w:cs="Arial" w:eastAsia="Arial" w:hAnsi="Arial"/>
                <w:sz w:val="18"/>
                <w:szCs w:val="18"/>
                <w:color w:val="auto"/>
              </w:rPr>
              <w:t>(207,875)</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(207,875)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Stock-based compensation</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plans:</w:t>
            </w: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60" w:type="dxa"/>
            <w:vAlign w:val="bottom"/>
          </w:tcPr>
          <w:p>
            <w:pPr>
              <w:ind w:left="200"/>
              <w:spacing w:after="0" w:line="201" w:lineRule="exact"/>
              <w:rPr>
                <w:sz w:val="20"/>
                <w:szCs w:val="20"/>
                <w:color w:val="auto"/>
              </w:rPr>
            </w:pPr>
            <w:r>
              <w:rPr>
                <w:rFonts w:ascii="Arial" w:cs="Arial" w:eastAsia="Arial" w:hAnsi="Arial"/>
                <w:sz w:val="18"/>
                <w:szCs w:val="18"/>
                <w:color w:val="auto"/>
                <w:w w:val="95"/>
              </w:rPr>
              <w:t>Stock option and purchase</w:t>
            </w: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60" w:type="dxa"/>
            <w:vAlign w:val="bottom"/>
          </w:tcPr>
          <w:p>
            <w:pPr>
              <w:ind w:left="400"/>
              <w:spacing w:after="0"/>
              <w:rPr>
                <w:sz w:val="20"/>
                <w:szCs w:val="20"/>
                <w:color w:val="auto"/>
              </w:rPr>
            </w:pPr>
            <w:r>
              <w:rPr>
                <w:rFonts w:ascii="Arial" w:cs="Arial" w:eastAsia="Arial" w:hAnsi="Arial"/>
                <w:sz w:val="18"/>
                <w:szCs w:val="18"/>
                <w:color w:val="auto"/>
              </w:rPr>
              <w:t>plans:</w:t>
            </w: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shd w:val="clear" w:color="auto" w:fill="CCEEFF"/>
          </w:tcPr>
          <w:p>
            <w:pPr>
              <w:ind w:left="400"/>
              <w:spacing w:after="0"/>
              <w:rPr>
                <w:sz w:val="20"/>
                <w:szCs w:val="20"/>
                <w:color w:val="auto"/>
              </w:rPr>
            </w:pPr>
            <w:r>
              <w:rPr>
                <w:rFonts w:ascii="Arial" w:cs="Arial" w:eastAsia="Arial" w:hAnsi="Arial"/>
                <w:sz w:val="18"/>
                <w:szCs w:val="18"/>
                <w:color w:val="auto"/>
                <w:w w:val="97"/>
              </w:rPr>
              <w:t>Compensation expense</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18,811</w:t>
            </w:r>
          </w:p>
        </w:tc>
        <w:tc>
          <w:tcPr>
            <w:tcW w:w="11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tcPr>
          <w:p>
            <w:pPr>
              <w:ind w:left="400"/>
              <w:spacing w:after="0"/>
              <w:rPr>
                <w:sz w:val="20"/>
                <w:szCs w:val="20"/>
                <w:color w:val="auto"/>
              </w:rPr>
            </w:pPr>
            <w:r>
              <w:rPr>
                <w:rFonts w:ascii="Arial" w:cs="Arial" w:eastAsia="Arial" w:hAnsi="Arial"/>
                <w:sz w:val="18"/>
                <w:szCs w:val="18"/>
                <w:color w:val="auto"/>
              </w:rPr>
              <w:t>Exercises</w:t>
            </w:r>
          </w:p>
        </w:tc>
        <w:tc>
          <w:tcPr>
            <w:tcW w:w="240" w:type="dxa"/>
            <w:vAlign w:val="bottom"/>
          </w:tcPr>
          <w:p>
            <w:pPr>
              <w:spacing w:after="0"/>
              <w:rPr>
                <w:sz w:val="18"/>
                <w:szCs w:val="18"/>
                <w:color w:val="auto"/>
              </w:rPr>
            </w:pPr>
          </w:p>
        </w:tc>
        <w:tc>
          <w:tcPr>
            <w:tcW w:w="78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32"/>
              <w:spacing w:after="0"/>
              <w:rPr>
                <w:sz w:val="20"/>
                <w:szCs w:val="20"/>
                <w:color w:val="auto"/>
              </w:rPr>
            </w:pPr>
            <w:r>
              <w:rPr>
                <w:rFonts w:ascii="Arial" w:cs="Arial" w:eastAsia="Arial" w:hAnsi="Arial"/>
                <w:sz w:val="18"/>
                <w:szCs w:val="18"/>
                <w:color w:val="auto"/>
              </w:rPr>
              <w:t>(20,264)</w:t>
            </w: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93"/>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11"/>
              <w:spacing w:after="0"/>
              <w:rPr>
                <w:sz w:val="20"/>
                <w:szCs w:val="20"/>
                <w:color w:val="auto"/>
              </w:rPr>
            </w:pPr>
            <w:r>
              <w:rPr>
                <w:rFonts w:ascii="Arial" w:cs="Arial" w:eastAsia="Arial" w:hAnsi="Arial"/>
                <w:sz w:val="18"/>
                <w:szCs w:val="18"/>
                <w:color w:val="auto"/>
              </w:rPr>
              <w:t>53,497</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33,233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Directors’ stock plan</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47</w:t>
            </w:r>
          </w:p>
        </w:tc>
        <w:tc>
          <w:tcPr>
            <w:tcW w:w="11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rPr>
              <w:t>280</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60" w:type="dxa"/>
            <w:vAlign w:val="bottom"/>
          </w:tcPr>
          <w:p>
            <w:pPr>
              <w:ind w:left="200"/>
              <w:spacing w:after="0" w:line="201" w:lineRule="exact"/>
              <w:rPr>
                <w:sz w:val="20"/>
                <w:szCs w:val="20"/>
                <w:color w:val="auto"/>
              </w:rPr>
            </w:pPr>
            <w:r>
              <w:rPr>
                <w:rFonts w:ascii="Arial" w:cs="Arial" w:eastAsia="Arial" w:hAnsi="Arial"/>
                <w:sz w:val="18"/>
                <w:szCs w:val="18"/>
                <w:color w:val="auto"/>
              </w:rPr>
              <w:t>Deferred compensation</w:t>
            </w: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tcPr>
          <w:p>
            <w:pPr>
              <w:ind w:left="400"/>
              <w:spacing w:after="0"/>
              <w:rPr>
                <w:sz w:val="20"/>
                <w:szCs w:val="20"/>
                <w:color w:val="auto"/>
              </w:rPr>
            </w:pPr>
            <w:r>
              <w:rPr>
                <w:rFonts w:ascii="Arial" w:cs="Arial" w:eastAsia="Arial" w:hAnsi="Arial"/>
                <w:sz w:val="18"/>
                <w:szCs w:val="18"/>
                <w:color w:val="auto"/>
              </w:rPr>
              <w:t>plans, net, including</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60" w:type="dxa"/>
            <w:vAlign w:val="bottom"/>
          </w:tcPr>
          <w:p>
            <w:pPr>
              <w:ind w:left="400"/>
              <w:spacing w:after="0"/>
              <w:rPr>
                <w:sz w:val="20"/>
                <w:szCs w:val="20"/>
                <w:color w:val="auto"/>
              </w:rPr>
            </w:pPr>
            <w:r>
              <w:rPr>
                <w:rFonts w:ascii="Arial" w:cs="Arial" w:eastAsia="Arial" w:hAnsi="Arial"/>
                <w:sz w:val="18"/>
                <w:szCs w:val="18"/>
                <w:color w:val="auto"/>
              </w:rPr>
              <w:t>dividend equivalents</w:t>
            </w:r>
          </w:p>
        </w:tc>
        <w:tc>
          <w:tcPr>
            <w:tcW w:w="240" w:type="dxa"/>
            <w:vAlign w:val="bottom"/>
          </w:tcPr>
          <w:p>
            <w:pPr>
              <w:spacing w:after="0"/>
              <w:rPr>
                <w:sz w:val="20"/>
                <w:szCs w:val="20"/>
                <w:color w:val="auto"/>
              </w:rPr>
            </w:pPr>
          </w:p>
        </w:tc>
        <w:tc>
          <w:tcPr>
            <w:tcW w:w="78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52"/>
              <w:spacing w:after="0"/>
              <w:rPr>
                <w:sz w:val="20"/>
                <w:szCs w:val="20"/>
                <w:color w:val="auto"/>
              </w:rPr>
            </w:pPr>
            <w:r>
              <w:rPr>
                <w:rFonts w:ascii="Arial" w:cs="Arial" w:eastAsia="Arial" w:hAnsi="Arial"/>
                <w:sz w:val="18"/>
                <w:szCs w:val="18"/>
                <w:color w:val="auto"/>
              </w:rPr>
              <w:t>(321)</w:t>
            </w:r>
          </w:p>
        </w:tc>
        <w:tc>
          <w:tcPr>
            <w:tcW w:w="1220" w:type="dxa"/>
            <w:vAlign w:val="bottom"/>
          </w:tcPr>
          <w:p>
            <w:pPr>
              <w:jc w:val="right"/>
              <w:ind w:right="132"/>
              <w:spacing w:after="0"/>
              <w:rPr>
                <w:sz w:val="20"/>
                <w:szCs w:val="20"/>
                <w:color w:val="auto"/>
              </w:rPr>
            </w:pPr>
            <w:r>
              <w:rPr>
                <w:rFonts w:ascii="Arial" w:cs="Arial" w:eastAsia="Arial" w:hAnsi="Arial"/>
                <w:sz w:val="18"/>
                <w:szCs w:val="18"/>
                <w:color w:val="auto"/>
              </w:rPr>
              <w:t>(420)</w:t>
            </w: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(50)</w:t>
            </w:r>
          </w:p>
        </w:tc>
        <w:tc>
          <w:tcPr>
            <w:tcW w:w="1320" w:type="dxa"/>
            <w:vAlign w:val="bottom"/>
          </w:tcPr>
          <w:p>
            <w:pPr>
              <w:jc w:val="right"/>
              <w:ind w:right="193"/>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11"/>
              <w:spacing w:after="0"/>
              <w:rPr>
                <w:sz w:val="20"/>
                <w:szCs w:val="20"/>
                <w:color w:val="auto"/>
              </w:rPr>
            </w:pPr>
            <w:r>
              <w:rPr>
                <w:rFonts w:ascii="Arial" w:cs="Arial" w:eastAsia="Arial" w:hAnsi="Arial"/>
                <w:sz w:val="18"/>
                <w:szCs w:val="18"/>
                <w:color w:val="auto"/>
              </w:rPr>
              <w:t>738</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Common stock cash</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dividends - $0.60 per</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6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share</w:t>
            </w:r>
          </w:p>
        </w:tc>
        <w:tc>
          <w:tcPr>
            <w:tcW w:w="24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(65,734)</w:t>
            </w:r>
          </w:p>
        </w:tc>
        <w:tc>
          <w:tcPr>
            <w:tcW w:w="1320" w:type="dxa"/>
            <w:vAlign w:val="bottom"/>
            <w:tcBorders>
              <w:bottom w:val="single" w:sz="8" w:color="auto"/>
            </w:tcBorders>
            <w:shd w:val="clear" w:color="auto" w:fill="CCEEFF"/>
          </w:tcPr>
          <w:p>
            <w:pPr>
              <w:jc w:val="right"/>
              <w:ind w:right="193"/>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CCEEFF"/>
          </w:tcPr>
          <w:p>
            <w:pPr>
              <w:jc w:val="right"/>
              <w:ind w:right="311"/>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(65,734)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Balance - March 31, 2007</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60,198</w:t>
            </w:r>
          </w:p>
        </w:tc>
        <w:tc>
          <w:tcPr>
            <w:tcW w:w="106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4,739</w:t>
            </w:r>
          </w:p>
        </w:tc>
        <w:tc>
          <w:tcPr>
            <w:tcW w:w="122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2,887,623</w:t>
            </w:r>
          </w:p>
        </w:tc>
        <w:tc>
          <w:tcPr>
            <w:tcW w:w="116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4,553,630</w:t>
            </w:r>
          </w:p>
        </w:tc>
        <w:tc>
          <w:tcPr>
            <w:tcW w:w="132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(36,167)</w:t>
            </w:r>
          </w:p>
        </w:tc>
        <w:tc>
          <w:tcPr>
            <w:tcW w:w="140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color w:val="auto"/>
              </w:rPr>
              <w:t>(1,216,839)</w:t>
            </w:r>
          </w:p>
        </w:tc>
        <w:tc>
          <w:tcPr>
            <w:tcW w:w="9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6,253,184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2008</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tcPr>
          <w:p>
            <w:pPr>
              <w:spacing w:after="0"/>
              <w:rPr>
                <w:sz w:val="20"/>
                <w:szCs w:val="20"/>
                <w:color w:val="auto"/>
              </w:rPr>
            </w:pPr>
            <w:r>
              <w:rPr>
                <w:rFonts w:ascii="Arial" w:cs="Arial" w:eastAsia="Arial" w:hAnsi="Arial"/>
                <w:sz w:val="18"/>
                <w:szCs w:val="18"/>
                <w:color w:val="auto"/>
              </w:rPr>
              <w:t>Balance - January 1, 2008</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51"/>
              <w:spacing w:after="0"/>
              <w:rPr>
                <w:sz w:val="20"/>
                <w:szCs w:val="20"/>
                <w:color w:val="auto"/>
              </w:rPr>
            </w:pPr>
            <w:r>
              <w:rPr>
                <w:rFonts w:ascii="Arial" w:cs="Arial" w:eastAsia="Arial" w:hAnsi="Arial"/>
                <w:sz w:val="18"/>
                <w:szCs w:val="18"/>
                <w:color w:val="auto"/>
              </w:rPr>
              <w:t>60,198</w:t>
            </w:r>
          </w:p>
        </w:tc>
        <w:tc>
          <w:tcPr>
            <w:tcW w:w="1060" w:type="dxa"/>
            <w:vAlign w:val="bottom"/>
          </w:tcPr>
          <w:p>
            <w:pPr>
              <w:jc w:val="right"/>
              <w:ind w:right="212"/>
              <w:spacing w:after="0"/>
              <w:rPr>
                <w:sz w:val="20"/>
                <w:szCs w:val="20"/>
                <w:color w:val="auto"/>
              </w:rPr>
            </w:pPr>
            <w:r>
              <w:rPr>
                <w:rFonts w:ascii="Arial" w:cs="Arial" w:eastAsia="Arial" w:hAnsi="Arial"/>
                <w:sz w:val="18"/>
                <w:szCs w:val="18"/>
                <w:color w:val="auto"/>
              </w:rPr>
              <w:t>4,776</w:t>
            </w:r>
          </w:p>
        </w:tc>
        <w:tc>
          <w:tcPr>
            <w:tcW w:w="1220" w:type="dxa"/>
            <w:vAlign w:val="bottom"/>
          </w:tcPr>
          <w:p>
            <w:pPr>
              <w:jc w:val="right"/>
              <w:ind w:right="192"/>
              <w:spacing w:after="0"/>
              <w:rPr>
                <w:sz w:val="20"/>
                <w:szCs w:val="20"/>
                <w:color w:val="auto"/>
              </w:rPr>
            </w:pPr>
            <w:r>
              <w:rPr>
                <w:rFonts w:ascii="Arial" w:cs="Arial" w:eastAsia="Arial" w:hAnsi="Arial"/>
                <w:sz w:val="18"/>
                <w:szCs w:val="18"/>
                <w:color w:val="auto"/>
              </w:rPr>
              <w:t>2,848,752</w:t>
            </w: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4,815,585</w:t>
            </w:r>
          </w:p>
        </w:tc>
        <w:tc>
          <w:tcPr>
            <w:tcW w:w="1320" w:type="dxa"/>
            <w:vAlign w:val="bottom"/>
          </w:tcPr>
          <w:p>
            <w:pPr>
              <w:jc w:val="right"/>
              <w:ind w:right="133"/>
              <w:spacing w:after="0"/>
              <w:rPr>
                <w:sz w:val="20"/>
                <w:szCs w:val="20"/>
                <w:color w:val="auto"/>
              </w:rPr>
            </w:pPr>
            <w:r>
              <w:rPr>
                <w:rFonts w:ascii="Arial" w:cs="Arial" w:eastAsia="Arial" w:hAnsi="Arial"/>
                <w:sz w:val="18"/>
                <w:szCs w:val="18"/>
                <w:color w:val="auto"/>
              </w:rPr>
              <w:t>(114,822)</w:t>
            </w:r>
          </w:p>
        </w:tc>
        <w:tc>
          <w:tcPr>
            <w:tcW w:w="1400" w:type="dxa"/>
            <w:vAlign w:val="bottom"/>
          </w:tcPr>
          <w:p>
            <w:pPr>
              <w:jc w:val="right"/>
              <w:ind w:right="251"/>
              <w:spacing w:after="0"/>
              <w:rPr>
                <w:sz w:val="20"/>
                <w:szCs w:val="20"/>
                <w:color w:val="auto"/>
              </w:rPr>
            </w:pPr>
            <w:r>
              <w:rPr>
                <w:rFonts w:ascii="Arial" w:cs="Arial" w:eastAsia="Arial" w:hAnsi="Arial"/>
                <w:sz w:val="18"/>
                <w:szCs w:val="18"/>
                <w:color w:val="auto"/>
              </w:rPr>
              <w:t>(1,129,233)</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6,485,256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240" w:type="dxa"/>
            <w:vAlign w:val="bottom"/>
          </w:tcPr>
          <w:p>
            <w:pPr>
              <w:spacing w:after="0"/>
              <w:rPr>
                <w:sz w:val="18"/>
                <w:szCs w:val="18"/>
                <w:color w:val="auto"/>
              </w:rPr>
            </w:pPr>
          </w:p>
        </w:tc>
        <w:tc>
          <w:tcPr>
            <w:tcW w:w="78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202,196</w:t>
            </w:r>
          </w:p>
        </w:tc>
        <w:tc>
          <w:tcPr>
            <w:tcW w:w="1320" w:type="dxa"/>
            <w:vAlign w:val="bottom"/>
          </w:tcPr>
          <w:p>
            <w:pPr>
              <w:jc w:val="right"/>
              <w:ind w:right="193"/>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11"/>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202,196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6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Other comprehensive</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income, net of tax and</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reclassification</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adjustments:</w:t>
            </w: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60" w:type="dxa"/>
            <w:vAlign w:val="bottom"/>
          </w:tcPr>
          <w:p>
            <w:pPr>
              <w:ind w:left="400"/>
              <w:spacing w:after="0" w:line="201" w:lineRule="exact"/>
              <w:rPr>
                <w:sz w:val="20"/>
                <w:szCs w:val="20"/>
                <w:color w:val="auto"/>
              </w:rPr>
            </w:pPr>
            <w:r>
              <w:rPr>
                <w:rFonts w:ascii="Arial" w:cs="Arial" w:eastAsia="Arial" w:hAnsi="Arial"/>
                <w:sz w:val="18"/>
                <w:szCs w:val="18"/>
                <w:color w:val="auto"/>
              </w:rPr>
              <w:t>Unrealized losses on</w:t>
            </w: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60" w:type="dxa"/>
            <w:vAlign w:val="bottom"/>
          </w:tcPr>
          <w:p>
            <w:pPr>
              <w:ind w:left="600"/>
              <w:spacing w:after="0"/>
              <w:rPr>
                <w:sz w:val="20"/>
                <w:szCs w:val="20"/>
                <w:color w:val="auto"/>
              </w:rPr>
            </w:pPr>
            <w:r>
              <w:rPr>
                <w:rFonts w:ascii="Arial" w:cs="Arial" w:eastAsia="Arial" w:hAnsi="Arial"/>
                <w:sz w:val="18"/>
                <w:szCs w:val="18"/>
                <w:color w:val="auto"/>
                <w:w w:val="97"/>
              </w:rPr>
              <w:t>investment securities</w:t>
            </w:r>
          </w:p>
        </w:tc>
        <w:tc>
          <w:tcPr>
            <w:tcW w:w="240" w:type="dxa"/>
            <w:vAlign w:val="bottom"/>
          </w:tcPr>
          <w:p>
            <w:pPr>
              <w:spacing w:after="0"/>
              <w:rPr>
                <w:sz w:val="20"/>
                <w:szCs w:val="20"/>
                <w:color w:val="auto"/>
              </w:rPr>
            </w:pPr>
          </w:p>
        </w:tc>
        <w:tc>
          <w:tcPr>
            <w:tcW w:w="78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33"/>
              <w:spacing w:after="0"/>
              <w:rPr>
                <w:sz w:val="20"/>
                <w:szCs w:val="20"/>
                <w:color w:val="auto"/>
              </w:rPr>
            </w:pPr>
            <w:r>
              <w:rPr>
                <w:rFonts w:ascii="Arial" w:cs="Arial" w:eastAsia="Arial" w:hAnsi="Arial"/>
                <w:sz w:val="18"/>
                <w:szCs w:val="18"/>
                <w:color w:val="auto"/>
              </w:rPr>
              <w:t>(134,813)</w:t>
            </w:r>
          </w:p>
        </w:tc>
        <w:tc>
          <w:tcPr>
            <w:tcW w:w="1400" w:type="dxa"/>
            <w:vAlign w:val="bottom"/>
          </w:tcPr>
          <w:p>
            <w:pPr>
              <w:jc w:val="right"/>
              <w:ind w:right="311"/>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(134,813)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60" w:type="dxa"/>
            <w:vAlign w:val="bottom"/>
            <w:shd w:val="clear" w:color="auto" w:fill="CCEEFF"/>
          </w:tcPr>
          <w:p>
            <w:pPr>
              <w:ind w:left="400"/>
              <w:spacing w:after="0" w:line="201" w:lineRule="exact"/>
              <w:rPr>
                <w:sz w:val="20"/>
                <w:szCs w:val="20"/>
                <w:color w:val="auto"/>
              </w:rPr>
            </w:pPr>
            <w:r>
              <w:rPr>
                <w:rFonts w:ascii="Arial" w:cs="Arial" w:eastAsia="Arial" w:hAnsi="Arial"/>
                <w:sz w:val="18"/>
                <w:szCs w:val="18"/>
                <w:color w:val="auto"/>
              </w:rPr>
              <w:t>Defined benefit plans</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liability adjustment</w:t>
            </w: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(205)</w:t>
            </w:r>
          </w:p>
        </w:tc>
        <w:tc>
          <w:tcPr>
            <w:tcW w:w="140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60" w:type="dxa"/>
            <w:vAlign w:val="bottom"/>
          </w:tcPr>
          <w:p>
            <w:pPr>
              <w:ind w:left="400"/>
              <w:spacing w:after="0" w:line="201" w:lineRule="exact"/>
              <w:rPr>
                <w:sz w:val="20"/>
                <w:szCs w:val="20"/>
                <w:color w:val="auto"/>
              </w:rPr>
            </w:pPr>
            <w:r>
              <w:rPr>
                <w:rFonts w:ascii="Arial" w:cs="Arial" w:eastAsia="Arial" w:hAnsi="Arial"/>
                <w:sz w:val="18"/>
                <w:szCs w:val="18"/>
                <w:color w:val="auto"/>
              </w:rPr>
              <w:t>Unrealized losses on</w:t>
            </w: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60" w:type="dxa"/>
            <w:vAlign w:val="bottom"/>
          </w:tcPr>
          <w:p>
            <w:pPr>
              <w:ind w:left="600"/>
              <w:spacing w:after="0"/>
              <w:rPr>
                <w:sz w:val="20"/>
                <w:szCs w:val="20"/>
                <w:color w:val="auto"/>
              </w:rPr>
            </w:pPr>
            <w:r>
              <w:rPr>
                <w:rFonts w:ascii="Arial" w:cs="Arial" w:eastAsia="Arial" w:hAnsi="Arial"/>
                <w:sz w:val="18"/>
                <w:szCs w:val="18"/>
                <w:color w:val="auto"/>
              </w:rPr>
              <w:t>cash flow hedges</w:t>
            </w:r>
          </w:p>
        </w:tc>
        <w:tc>
          <w:tcPr>
            <w:tcW w:w="240" w:type="dxa"/>
            <w:vAlign w:val="bottom"/>
          </w:tcPr>
          <w:p>
            <w:pPr>
              <w:spacing w:after="0"/>
              <w:rPr>
                <w:sz w:val="20"/>
                <w:szCs w:val="20"/>
                <w:color w:val="auto"/>
              </w:rPr>
            </w:pPr>
          </w:p>
        </w:tc>
        <w:tc>
          <w:tcPr>
            <w:tcW w:w="78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33"/>
              <w:spacing w:after="0"/>
              <w:rPr>
                <w:sz w:val="20"/>
                <w:szCs w:val="20"/>
                <w:color w:val="auto"/>
              </w:rPr>
            </w:pPr>
            <w:r>
              <w:rPr>
                <w:rFonts w:ascii="Arial" w:cs="Arial" w:eastAsia="Arial" w:hAnsi="Arial"/>
                <w:sz w:val="18"/>
                <w:szCs w:val="18"/>
                <w:color w:val="auto"/>
              </w:rPr>
              <w:t>(12,338)</w:t>
            </w:r>
          </w:p>
        </w:tc>
        <w:tc>
          <w:tcPr>
            <w:tcW w:w="1400" w:type="dxa"/>
            <w:vAlign w:val="bottom"/>
          </w:tcPr>
          <w:p>
            <w:pPr>
              <w:jc w:val="right"/>
              <w:ind w:right="311"/>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(12,338)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60" w:type="dxa"/>
            <w:vAlign w:val="bottom"/>
            <w:shd w:val="clear" w:color="auto" w:fill="CCEEFF"/>
          </w:tcPr>
          <w:p>
            <w:pPr>
              <w:ind w:left="400"/>
              <w:spacing w:after="0" w:line="201" w:lineRule="exact"/>
              <w:rPr>
                <w:sz w:val="20"/>
                <w:szCs w:val="20"/>
                <w:color w:val="auto"/>
              </w:rPr>
            </w:pPr>
            <w:r>
              <w:rPr>
                <w:rFonts w:ascii="Arial" w:cs="Arial" w:eastAsia="Arial" w:hAnsi="Arial"/>
                <w:sz w:val="18"/>
                <w:szCs w:val="18"/>
                <w:color w:val="auto"/>
              </w:rPr>
              <w:t>Reclassification of</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losses from</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shd w:val="clear" w:color="auto" w:fill="CCEEFF"/>
          </w:tcPr>
          <w:p>
            <w:pPr>
              <w:ind w:left="600"/>
              <w:spacing w:after="0"/>
              <w:rPr>
                <w:sz w:val="20"/>
                <w:szCs w:val="20"/>
                <w:color w:val="auto"/>
              </w:rPr>
            </w:pPr>
            <w:r>
              <w:rPr>
                <w:rFonts w:ascii="Arial" w:cs="Arial" w:eastAsia="Arial" w:hAnsi="Arial"/>
                <w:sz w:val="18"/>
                <w:szCs w:val="18"/>
                <w:color w:val="auto"/>
                <w:w w:val="99"/>
              </w:rPr>
              <w:t>terminated cash flow</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60" w:type="dxa"/>
            <w:vAlign w:val="bottom"/>
            <w:shd w:val="clear" w:color="auto" w:fill="CCEEFF"/>
          </w:tcPr>
          <w:p>
            <w:pPr>
              <w:ind w:left="600"/>
              <w:spacing w:after="0"/>
              <w:rPr>
                <w:sz w:val="20"/>
                <w:szCs w:val="20"/>
                <w:color w:val="auto"/>
              </w:rPr>
            </w:pPr>
            <w:r>
              <w:rPr>
                <w:rFonts w:ascii="Arial" w:cs="Arial" w:eastAsia="Arial" w:hAnsi="Arial"/>
                <w:sz w:val="18"/>
                <w:szCs w:val="18"/>
                <w:color w:val="auto"/>
                <w:w w:val="95"/>
              </w:rPr>
              <w:t>hedges to net income</w:t>
            </w: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2,694</w:t>
            </w:r>
          </w:p>
        </w:tc>
        <w:tc>
          <w:tcPr>
            <w:tcW w:w="140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2,694</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57,534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2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2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Stock-based compensation</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plans:</w:t>
            </w: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60" w:type="dxa"/>
            <w:vAlign w:val="bottom"/>
          </w:tcPr>
          <w:p>
            <w:pPr>
              <w:ind w:left="200"/>
              <w:spacing w:after="0" w:line="201" w:lineRule="exact"/>
              <w:rPr>
                <w:sz w:val="20"/>
                <w:szCs w:val="20"/>
                <w:color w:val="auto"/>
              </w:rPr>
            </w:pPr>
            <w:r>
              <w:rPr>
                <w:rFonts w:ascii="Arial" w:cs="Arial" w:eastAsia="Arial" w:hAnsi="Arial"/>
                <w:sz w:val="18"/>
                <w:szCs w:val="18"/>
                <w:color w:val="auto"/>
                <w:w w:val="95"/>
              </w:rPr>
              <w:t>Stock option and purchase</w:t>
            </w: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60" w:type="dxa"/>
            <w:vAlign w:val="bottom"/>
          </w:tcPr>
          <w:p>
            <w:pPr>
              <w:ind w:left="400"/>
              <w:spacing w:after="0"/>
              <w:rPr>
                <w:sz w:val="20"/>
                <w:szCs w:val="20"/>
                <w:color w:val="auto"/>
              </w:rPr>
            </w:pPr>
            <w:r>
              <w:rPr>
                <w:rFonts w:ascii="Arial" w:cs="Arial" w:eastAsia="Arial" w:hAnsi="Arial"/>
                <w:sz w:val="18"/>
                <w:szCs w:val="18"/>
                <w:color w:val="auto"/>
              </w:rPr>
              <w:t>plans:</w:t>
            </w: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shd w:val="clear" w:color="auto" w:fill="CCEEFF"/>
          </w:tcPr>
          <w:p>
            <w:pPr>
              <w:ind w:left="400"/>
              <w:spacing w:after="0"/>
              <w:rPr>
                <w:sz w:val="20"/>
                <w:szCs w:val="20"/>
                <w:color w:val="auto"/>
              </w:rPr>
            </w:pPr>
            <w:r>
              <w:rPr>
                <w:rFonts w:ascii="Arial" w:cs="Arial" w:eastAsia="Arial" w:hAnsi="Arial"/>
                <w:sz w:val="18"/>
                <w:szCs w:val="18"/>
                <w:color w:val="auto"/>
                <w:w w:val="97"/>
              </w:rPr>
              <w:t>Compensation expense</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14,449</w:t>
            </w:r>
          </w:p>
        </w:tc>
        <w:tc>
          <w:tcPr>
            <w:tcW w:w="11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rPr>
              <w:t>4,032</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tcPr>
          <w:p>
            <w:pPr>
              <w:ind w:left="400"/>
              <w:spacing w:after="0"/>
              <w:rPr>
                <w:sz w:val="20"/>
                <w:szCs w:val="20"/>
                <w:color w:val="auto"/>
              </w:rPr>
            </w:pPr>
            <w:r>
              <w:rPr>
                <w:rFonts w:ascii="Arial" w:cs="Arial" w:eastAsia="Arial" w:hAnsi="Arial"/>
                <w:sz w:val="18"/>
                <w:szCs w:val="18"/>
                <w:color w:val="auto"/>
              </w:rPr>
              <w:t>Exercises</w:t>
            </w:r>
          </w:p>
        </w:tc>
        <w:tc>
          <w:tcPr>
            <w:tcW w:w="240" w:type="dxa"/>
            <w:vAlign w:val="bottom"/>
          </w:tcPr>
          <w:p>
            <w:pPr>
              <w:spacing w:after="0"/>
              <w:rPr>
                <w:sz w:val="18"/>
                <w:szCs w:val="18"/>
                <w:color w:val="auto"/>
              </w:rPr>
            </w:pPr>
          </w:p>
        </w:tc>
        <w:tc>
          <w:tcPr>
            <w:tcW w:w="78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32"/>
              <w:spacing w:after="0"/>
              <w:rPr>
                <w:sz w:val="20"/>
                <w:szCs w:val="20"/>
                <w:color w:val="auto"/>
              </w:rPr>
            </w:pPr>
            <w:r>
              <w:rPr>
                <w:rFonts w:ascii="Arial" w:cs="Arial" w:eastAsia="Arial" w:hAnsi="Arial"/>
                <w:sz w:val="18"/>
                <w:szCs w:val="18"/>
                <w:color w:val="auto"/>
              </w:rPr>
              <w:t>(13,397)</w:t>
            </w: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93"/>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11"/>
              <w:spacing w:after="0"/>
              <w:rPr>
                <w:sz w:val="20"/>
                <w:szCs w:val="20"/>
                <w:color w:val="auto"/>
              </w:rPr>
            </w:pPr>
            <w:r>
              <w:rPr>
                <w:rFonts w:ascii="Arial" w:cs="Arial" w:eastAsia="Arial" w:hAnsi="Arial"/>
                <w:sz w:val="18"/>
                <w:szCs w:val="18"/>
                <w:color w:val="auto"/>
              </w:rPr>
              <w:t>16,711</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3,314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Directors’ stock plan</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(101)</w:t>
            </w:r>
          </w:p>
        </w:tc>
        <w:tc>
          <w:tcPr>
            <w:tcW w:w="11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rPr>
              <w:t>427</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60" w:type="dxa"/>
            <w:vAlign w:val="bottom"/>
          </w:tcPr>
          <w:p>
            <w:pPr>
              <w:ind w:left="200"/>
              <w:spacing w:after="0" w:line="201" w:lineRule="exact"/>
              <w:rPr>
                <w:sz w:val="20"/>
                <w:szCs w:val="20"/>
                <w:color w:val="auto"/>
              </w:rPr>
            </w:pPr>
            <w:r>
              <w:rPr>
                <w:rFonts w:ascii="Arial" w:cs="Arial" w:eastAsia="Arial" w:hAnsi="Arial"/>
                <w:sz w:val="18"/>
                <w:szCs w:val="18"/>
                <w:color w:val="auto"/>
              </w:rPr>
              <w:t>Deferred compensation</w:t>
            </w: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tcPr>
          <w:p>
            <w:pPr>
              <w:ind w:left="400"/>
              <w:spacing w:after="0"/>
              <w:rPr>
                <w:sz w:val="20"/>
                <w:szCs w:val="20"/>
                <w:color w:val="auto"/>
              </w:rPr>
            </w:pPr>
            <w:r>
              <w:rPr>
                <w:rFonts w:ascii="Arial" w:cs="Arial" w:eastAsia="Arial" w:hAnsi="Arial"/>
                <w:sz w:val="18"/>
                <w:szCs w:val="18"/>
                <w:color w:val="auto"/>
              </w:rPr>
              <w:t>plans, net, including</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60" w:type="dxa"/>
            <w:vAlign w:val="bottom"/>
          </w:tcPr>
          <w:p>
            <w:pPr>
              <w:ind w:left="400"/>
              <w:spacing w:after="0"/>
              <w:rPr>
                <w:sz w:val="20"/>
                <w:szCs w:val="20"/>
                <w:color w:val="auto"/>
              </w:rPr>
            </w:pPr>
            <w:r>
              <w:rPr>
                <w:rFonts w:ascii="Arial" w:cs="Arial" w:eastAsia="Arial" w:hAnsi="Arial"/>
                <w:sz w:val="18"/>
                <w:szCs w:val="18"/>
                <w:color w:val="auto"/>
              </w:rPr>
              <w:t>dividend equivalents</w:t>
            </w:r>
          </w:p>
        </w:tc>
        <w:tc>
          <w:tcPr>
            <w:tcW w:w="240" w:type="dxa"/>
            <w:vAlign w:val="bottom"/>
          </w:tcPr>
          <w:p>
            <w:pPr>
              <w:spacing w:after="0"/>
              <w:rPr>
                <w:sz w:val="20"/>
                <w:szCs w:val="20"/>
                <w:color w:val="auto"/>
              </w:rPr>
            </w:pPr>
          </w:p>
        </w:tc>
        <w:tc>
          <w:tcPr>
            <w:tcW w:w="78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52"/>
              <w:spacing w:after="0"/>
              <w:rPr>
                <w:sz w:val="20"/>
                <w:szCs w:val="20"/>
                <w:color w:val="auto"/>
              </w:rPr>
            </w:pPr>
            <w:r>
              <w:rPr>
                <w:rFonts w:ascii="Arial" w:cs="Arial" w:eastAsia="Arial" w:hAnsi="Arial"/>
                <w:sz w:val="18"/>
                <w:szCs w:val="18"/>
                <w:color w:val="auto"/>
              </w:rPr>
              <w:t>(247)</w:t>
            </w:r>
          </w:p>
        </w:tc>
        <w:tc>
          <w:tcPr>
            <w:tcW w:w="1220" w:type="dxa"/>
            <w:vAlign w:val="bottom"/>
          </w:tcPr>
          <w:p>
            <w:pPr>
              <w:jc w:val="right"/>
              <w:ind w:right="132"/>
              <w:spacing w:after="0"/>
              <w:rPr>
                <w:sz w:val="20"/>
                <w:szCs w:val="20"/>
                <w:color w:val="auto"/>
              </w:rPr>
            </w:pPr>
            <w:r>
              <w:rPr>
                <w:rFonts w:ascii="Arial" w:cs="Arial" w:eastAsia="Arial" w:hAnsi="Arial"/>
                <w:sz w:val="18"/>
                <w:szCs w:val="18"/>
                <w:color w:val="auto"/>
              </w:rPr>
              <w:t>(383)</w:t>
            </w: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(54)</w:t>
            </w:r>
          </w:p>
        </w:tc>
        <w:tc>
          <w:tcPr>
            <w:tcW w:w="1320" w:type="dxa"/>
            <w:vAlign w:val="bottom"/>
          </w:tcPr>
          <w:p>
            <w:pPr>
              <w:jc w:val="right"/>
              <w:ind w:right="193"/>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11"/>
              <w:spacing w:after="0"/>
              <w:rPr>
                <w:sz w:val="20"/>
                <w:szCs w:val="20"/>
                <w:color w:val="auto"/>
              </w:rPr>
            </w:pPr>
            <w:r>
              <w:rPr>
                <w:rFonts w:ascii="Arial" w:cs="Arial" w:eastAsia="Arial" w:hAnsi="Arial"/>
                <w:sz w:val="18"/>
                <w:szCs w:val="18"/>
                <w:color w:val="auto"/>
              </w:rPr>
              <w:t>739</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Common stock cash</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dividends - $0.70 per</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6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share</w:t>
            </w:r>
          </w:p>
        </w:tc>
        <w:tc>
          <w:tcPr>
            <w:tcW w:w="24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(77,004)</w:t>
            </w:r>
          </w:p>
        </w:tc>
        <w:tc>
          <w:tcPr>
            <w:tcW w:w="1320" w:type="dxa"/>
            <w:vAlign w:val="bottom"/>
            <w:tcBorders>
              <w:bottom w:val="single" w:sz="8" w:color="auto"/>
            </w:tcBorders>
            <w:shd w:val="clear" w:color="auto" w:fill="CCEEFF"/>
          </w:tcPr>
          <w:p>
            <w:pPr>
              <w:jc w:val="right"/>
              <w:ind w:right="193"/>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CCEEFF"/>
          </w:tcPr>
          <w:p>
            <w:pPr>
              <w:jc w:val="right"/>
              <w:ind w:right="311"/>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(77,004)</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Balance - March 31, 2008</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60,198</w:t>
            </w:r>
          </w:p>
        </w:tc>
        <w:tc>
          <w:tcPr>
            <w:tcW w:w="106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4,529</w:t>
            </w:r>
          </w:p>
        </w:tc>
        <w:tc>
          <w:tcPr>
            <w:tcW w:w="122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2,849,320</w:t>
            </w:r>
          </w:p>
        </w:tc>
        <w:tc>
          <w:tcPr>
            <w:tcW w:w="116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4,940,723</w:t>
            </w:r>
          </w:p>
        </w:tc>
        <w:tc>
          <w:tcPr>
            <w:tcW w:w="132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(259,484)</w:t>
            </w:r>
          </w:p>
        </w:tc>
        <w:tc>
          <w:tcPr>
            <w:tcW w:w="140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color w:val="auto"/>
              </w:rPr>
              <w:t>(1,107,324)</w:t>
            </w:r>
          </w:p>
        </w:tc>
        <w:tc>
          <w:tcPr>
            <w:tcW w:w="9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6,487,962</w:t>
            </w:r>
          </w:p>
        </w:tc>
        <w:tc>
          <w:tcPr>
            <w:tcW w:w="0" w:type="dxa"/>
            <w:vAlign w:val="bottom"/>
          </w:tcPr>
          <w:p>
            <w:pPr>
              <w:spacing w:after="0"/>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CONSOLIDATED SUMMARY OF CHANGES IN ALLOWANCE FOR CREDIT LOSSES (Unaudited)</w:t>
      </w:r>
    </w:p>
    <w:p>
      <w:pPr>
        <w:sectPr>
          <w:pgSz w:w="11900" w:h="16900" w:orient="portrait"/>
          <w:cols w:equalWidth="0" w:num="1">
            <w:col w:w="11420"/>
          </w:cols>
          <w:pgMar w:left="240" w:top="419" w:right="239" w:bottom="0" w:gutter="0" w:footer="0" w:header="0"/>
        </w:sect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40" w:type="dxa"/>
            <w:vAlign w:val="bottom"/>
          </w:tcPr>
          <w:p>
            <w:pPr>
              <w:spacing w:after="0"/>
              <w:rPr>
                <w:sz w:val="13"/>
                <w:szCs w:val="13"/>
                <w:color w:val="auto"/>
              </w:rPr>
            </w:pPr>
          </w:p>
        </w:tc>
        <w:tc>
          <w:tcPr>
            <w:tcW w:w="6280" w:type="dxa"/>
            <w:vAlign w:val="bottom"/>
            <w:gridSpan w:val="2"/>
          </w:tcPr>
          <w:p>
            <w:pPr>
              <w:jc w:val="right"/>
              <w:ind w:right="28"/>
              <w:spacing w:after="0"/>
              <w:rPr>
                <w:sz w:val="20"/>
                <w:szCs w:val="20"/>
                <w:color w:val="auto"/>
              </w:rPr>
            </w:pPr>
            <w:r>
              <w:rPr>
                <w:rFonts w:ascii="Arial" w:cs="Arial" w:eastAsia="Arial" w:hAnsi="Arial"/>
                <w:sz w:val="14"/>
                <w:szCs w:val="14"/>
                <w:color w:val="auto"/>
              </w:rPr>
              <w:t>Three months ended March 31</w:t>
            </w:r>
          </w:p>
        </w:tc>
      </w:tr>
      <w:tr>
        <w:trPr>
          <w:trHeight w:val="167"/>
        </w:trPr>
        <w:tc>
          <w:tcPr>
            <w:tcW w:w="51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thousands</w:t>
            </w:r>
          </w:p>
        </w:tc>
        <w:tc>
          <w:tcPr>
            <w:tcW w:w="53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color w:val="auto"/>
              </w:rPr>
              <w:t>2008</w:t>
            </w: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2007</w:t>
            </w:r>
          </w:p>
        </w:tc>
      </w:tr>
      <w:tr>
        <w:trPr>
          <w:trHeight w:val="20"/>
        </w:trPr>
        <w:tc>
          <w:tcPr>
            <w:tcW w:w="5140" w:type="dxa"/>
            <w:vAlign w:val="bottom"/>
            <w:tcBorders>
              <w:bottom w:val="single" w:sz="8" w:color="CCEEFF"/>
            </w:tcBorders>
          </w:tcPr>
          <w:p>
            <w:pPr>
              <w:spacing w:after="0" w:line="20" w:lineRule="exact"/>
              <w:rPr>
                <w:sz w:val="1"/>
                <w:szCs w:val="1"/>
                <w:color w:val="auto"/>
              </w:rPr>
            </w:pPr>
          </w:p>
        </w:tc>
        <w:tc>
          <w:tcPr>
            <w:tcW w:w="534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r>
    </w:tbl>
    <w:p>
      <w:pPr>
        <w:sectPr>
          <w:pgSz w:w="11900" w:h="16900" w:orient="portrait"/>
          <w:cols w:equalWidth="0" w:num="1">
            <w:col w:w="11420"/>
          </w:cols>
          <w:pgMar w:left="240" w:top="419" w:right="239" w:bottom="0" w:gutter="0" w:footer="0" w:header="0"/>
          <w:type w:val="continuous"/>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65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$ 759,439</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$ 649,948</w:t>
            </w: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Provision for credit losses</w:t>
            </w:r>
          </w:p>
        </w:tc>
        <w:tc>
          <w:tcPr>
            <w:tcW w:w="6560" w:type="dxa"/>
            <w:vAlign w:val="bottom"/>
          </w:tcPr>
          <w:p>
            <w:pPr>
              <w:jc w:val="right"/>
              <w:ind w:right="270"/>
              <w:spacing w:after="0"/>
              <w:rPr>
                <w:sz w:val="20"/>
                <w:szCs w:val="20"/>
                <w:color w:val="auto"/>
              </w:rPr>
            </w:pPr>
            <w:r>
              <w:rPr>
                <w:rFonts w:ascii="Arial" w:cs="Arial" w:eastAsia="Arial" w:hAnsi="Arial"/>
                <w:sz w:val="18"/>
                <w:szCs w:val="18"/>
                <w:color w:val="auto"/>
              </w:rPr>
              <w:t>60,000</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27,000</w:t>
            </w: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Net charge-offs</w:t>
            </w:r>
          </w:p>
        </w:tc>
        <w:tc>
          <w:tcPr>
            <w:tcW w:w="65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20" w:type="dxa"/>
            <w:vAlign w:val="bottom"/>
          </w:tcPr>
          <w:p>
            <w:pPr>
              <w:ind w:left="200"/>
              <w:spacing w:after="0"/>
              <w:rPr>
                <w:sz w:val="20"/>
                <w:szCs w:val="20"/>
                <w:color w:val="auto"/>
              </w:rPr>
            </w:pPr>
            <w:r>
              <w:rPr>
                <w:rFonts w:ascii="Arial" w:cs="Arial" w:eastAsia="Arial" w:hAnsi="Arial"/>
                <w:sz w:val="18"/>
                <w:szCs w:val="18"/>
                <w:color w:val="auto"/>
              </w:rPr>
              <w:t>Charge-offs</w:t>
            </w:r>
          </w:p>
        </w:tc>
        <w:tc>
          <w:tcPr>
            <w:tcW w:w="6560" w:type="dxa"/>
            <w:vAlign w:val="bottom"/>
          </w:tcPr>
          <w:p>
            <w:pPr>
              <w:jc w:val="right"/>
              <w:ind w:right="210"/>
              <w:spacing w:after="0"/>
              <w:rPr>
                <w:sz w:val="20"/>
                <w:szCs w:val="20"/>
                <w:color w:val="auto"/>
              </w:rPr>
            </w:pPr>
            <w:r>
              <w:rPr>
                <w:rFonts w:ascii="Arial" w:cs="Arial" w:eastAsia="Arial" w:hAnsi="Arial"/>
                <w:sz w:val="18"/>
                <w:szCs w:val="18"/>
                <w:color w:val="auto"/>
              </w:rPr>
              <w:t>(55,806)</w:t>
            </w:r>
          </w:p>
        </w:tc>
        <w:tc>
          <w:tcPr>
            <w:tcW w:w="1120" w:type="dxa"/>
            <w:vAlign w:val="bottom"/>
          </w:tcPr>
          <w:p>
            <w:pPr>
              <w:jc w:val="right"/>
              <w:spacing w:after="0"/>
              <w:rPr>
                <w:sz w:val="20"/>
                <w:szCs w:val="20"/>
                <w:color w:val="auto"/>
              </w:rPr>
            </w:pPr>
            <w:r>
              <w:rPr>
                <w:rFonts w:ascii="Arial" w:cs="Arial" w:eastAsia="Arial" w:hAnsi="Arial"/>
                <w:sz w:val="18"/>
                <w:szCs w:val="18"/>
                <w:color w:val="auto"/>
              </w:rPr>
              <w:t>(24,507)</w:t>
            </w:r>
          </w:p>
        </w:tc>
      </w:tr>
      <w:tr>
        <w:trPr>
          <w:trHeight w:val="216"/>
        </w:trPr>
        <w:tc>
          <w:tcPr>
            <w:tcW w:w="20" w:type="dxa"/>
            <w:vAlign w:val="bottom"/>
          </w:tcPr>
          <w:p>
            <w:pPr>
              <w:spacing w:after="0"/>
              <w:rPr>
                <w:sz w:val="18"/>
                <w:szCs w:val="18"/>
                <w:color w:val="auto"/>
              </w:rPr>
            </w:pPr>
          </w:p>
        </w:tc>
        <w:tc>
          <w:tcPr>
            <w:tcW w:w="372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Recoveries</w:t>
            </w:r>
          </w:p>
        </w:tc>
        <w:tc>
          <w:tcPr>
            <w:tcW w:w="65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9,991</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7,316</w:t>
            </w:r>
          </w:p>
        </w:tc>
      </w:tr>
      <w:tr>
        <w:trPr>
          <w:trHeight w:val="230"/>
        </w:trPr>
        <w:tc>
          <w:tcPr>
            <w:tcW w:w="20" w:type="dxa"/>
            <w:vAlign w:val="bottom"/>
          </w:tcPr>
          <w:p>
            <w:pPr>
              <w:spacing w:after="0"/>
              <w:rPr>
                <w:sz w:val="20"/>
                <w:szCs w:val="20"/>
                <w:color w:val="auto"/>
              </w:rPr>
            </w:pPr>
          </w:p>
        </w:tc>
        <w:tc>
          <w:tcPr>
            <w:tcW w:w="372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Total net charge-offs</w:t>
            </w:r>
          </w:p>
        </w:tc>
        <w:tc>
          <w:tcPr>
            <w:tcW w:w="65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(45,815)</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(17,191)</w:t>
            </w:r>
          </w:p>
        </w:tc>
      </w:tr>
      <w:tr>
        <w:trPr>
          <w:trHeight w:val="216"/>
        </w:trPr>
        <w:tc>
          <w:tcPr>
            <w:tcW w:w="20" w:type="dxa"/>
            <w:vAlign w:val="bottom"/>
          </w:tcPr>
          <w:p>
            <w:pPr>
              <w:spacing w:after="0"/>
              <w:rPr>
                <w:sz w:val="18"/>
                <w:szCs w:val="18"/>
                <w:color w:val="auto"/>
              </w:rPr>
            </w:pPr>
          </w:p>
        </w:tc>
        <w:tc>
          <w:tcPr>
            <w:tcW w:w="37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65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$ 773,624</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659,757</w:t>
            </w:r>
          </w:p>
        </w:tc>
      </w:tr>
      <w:tr>
        <w:trPr>
          <w:trHeight w:val="412"/>
        </w:trPr>
        <w:tc>
          <w:tcPr>
            <w:tcW w:w="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6560" w:type="dxa"/>
            <w:vAlign w:val="bottom"/>
          </w:tcPr>
          <w:p>
            <w:pPr>
              <w:jc w:val="right"/>
              <w:ind w:right="4350"/>
              <w:spacing w:after="0"/>
              <w:rPr>
                <w:sz w:val="20"/>
                <w:szCs w:val="20"/>
                <w:color w:val="auto"/>
              </w:rPr>
            </w:pPr>
            <w:r>
              <w:rPr>
                <w:rFonts w:ascii="Arial" w:cs="Arial" w:eastAsia="Arial" w:hAnsi="Arial"/>
                <w:sz w:val="18"/>
                <w:szCs w:val="18"/>
                <w:color w:val="auto"/>
              </w:rPr>
              <w:t>- 6 -</w:t>
            </w:r>
          </w:p>
        </w:tc>
        <w:tc>
          <w:tcPr>
            <w:tcW w:w="1120" w:type="dxa"/>
            <w:vAlign w:val="bottom"/>
          </w:tcPr>
          <w:p>
            <w:pPr>
              <w:spacing w:after="0"/>
              <w:rPr>
                <w:sz w:val="24"/>
                <w:szCs w:val="24"/>
                <w:color w:val="auto"/>
              </w:rPr>
            </w:pPr>
          </w:p>
        </w:tc>
      </w:tr>
      <w:tr>
        <w:trPr>
          <w:trHeight w:val="226"/>
        </w:trPr>
        <w:tc>
          <w:tcPr>
            <w:tcW w:w="20" w:type="dxa"/>
            <w:vAlign w:val="bottom"/>
          </w:tcPr>
          <w:p>
            <w:pPr>
              <w:spacing w:after="0"/>
              <w:rPr>
                <w:sz w:val="19"/>
                <w:szCs w:val="19"/>
                <w:color w:val="auto"/>
              </w:rPr>
            </w:pPr>
          </w:p>
        </w:tc>
        <w:tc>
          <w:tcPr>
            <w:tcW w:w="3720" w:type="dxa"/>
            <w:vAlign w:val="bottom"/>
            <w:tcBorders>
              <w:bottom w:val="single" w:sz="8" w:color="808080"/>
            </w:tcBorders>
          </w:tcPr>
          <w:p>
            <w:pPr>
              <w:spacing w:after="0"/>
              <w:rPr>
                <w:sz w:val="19"/>
                <w:szCs w:val="19"/>
                <w:color w:val="auto"/>
              </w:rPr>
            </w:pPr>
          </w:p>
        </w:tc>
        <w:tc>
          <w:tcPr>
            <w:tcW w:w="6560" w:type="dxa"/>
            <w:vAlign w:val="bottom"/>
            <w:tcBorders>
              <w:bottom w:val="single" w:sz="8" w:color="808080"/>
            </w:tcBorders>
          </w:tcPr>
          <w:p>
            <w:pPr>
              <w:spacing w:after="0"/>
              <w:rPr>
                <w:sz w:val="19"/>
                <w:szCs w:val="19"/>
                <w:color w:val="auto"/>
              </w:rPr>
            </w:pPr>
          </w:p>
        </w:tc>
        <w:tc>
          <w:tcPr>
            <w:tcW w:w="11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Significant accounting policies</w:t>
      </w:r>
    </w:p>
    <w:p>
      <w:pPr>
        <w:spacing w:after="0" w:line="121" w:lineRule="exact"/>
        <w:rPr>
          <w:sz w:val="20"/>
          <w:szCs w:val="20"/>
          <w:color w:val="auto"/>
        </w:rPr>
      </w:pPr>
    </w:p>
    <w:p>
      <w:pPr>
        <w:ind w:right="340"/>
        <w:spacing w:after="0" w:line="286" w:lineRule="auto"/>
        <w:rPr>
          <w:sz w:val="20"/>
          <w:szCs w:val="20"/>
          <w:color w:val="auto"/>
        </w:rPr>
      </w:pPr>
      <w:r>
        <w:rPr>
          <w:rFonts w:ascii="Arial" w:cs="Arial" w:eastAsia="Arial" w:hAnsi="Arial"/>
          <w:sz w:val="17"/>
          <w:szCs w:val="17"/>
          <w:color w:val="auto"/>
        </w:rPr>
        <w:t>The consolidated financial statements of M&amp;T Bank Corporation (“M&amp;T”) and subsidiaries (“the Company”) were compiled in accordance with the accounting policies set forth in note 1 of Notes to Financial Statements included in the Company’s 2007 Annual Report, except as described below. In the opinion of management, all adjustments necessary for a fair presentation have been made and were all of a normal recurring nature.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Earnings per share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computations of basic earnings per share follow:</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0" w:type="dxa"/>
            <w:vAlign w:val="bottom"/>
            <w:gridSpan w:val="2"/>
          </w:tcPr>
          <w:p>
            <w:pPr>
              <w:jc w:val="center"/>
              <w:spacing w:after="0"/>
              <w:rPr>
                <w:sz w:val="20"/>
                <w:szCs w:val="20"/>
                <w:color w:val="auto"/>
              </w:rPr>
            </w:pPr>
            <w:r>
              <w:rPr>
                <w:rFonts w:ascii="Arial" w:cs="Arial" w:eastAsia="Arial" w:hAnsi="Arial"/>
                <w:sz w:val="14"/>
                <w:szCs w:val="14"/>
                <w:color w:val="auto"/>
                <w:w w:val="89"/>
              </w:rPr>
              <w:t>Three months ended</w:t>
            </w: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320" w:type="dxa"/>
            <w:vAlign w:val="bottom"/>
          </w:tcPr>
          <w:p>
            <w:pPr>
              <w:spacing w:after="0"/>
              <w:rPr>
                <w:sz w:val="15"/>
                <w:szCs w:val="15"/>
                <w:color w:val="auto"/>
              </w:rPr>
            </w:pPr>
          </w:p>
        </w:tc>
        <w:tc>
          <w:tcPr>
            <w:tcW w:w="940" w:type="dxa"/>
            <w:vAlign w:val="bottom"/>
            <w:gridSpan w:val="2"/>
            <w:vMerge w:val="restart"/>
          </w:tcPr>
          <w:p>
            <w:pPr>
              <w:jc w:val="right"/>
              <w:ind w:right="235"/>
              <w:spacing w:after="0"/>
              <w:rPr>
                <w:sz w:val="20"/>
                <w:szCs w:val="20"/>
                <w:color w:val="auto"/>
              </w:rPr>
            </w:pPr>
            <w:r>
              <w:rPr>
                <w:rFonts w:ascii="Arial" w:cs="Arial" w:eastAsia="Arial" w:hAnsi="Arial"/>
                <w:sz w:val="14"/>
                <w:szCs w:val="14"/>
                <w:color w:val="auto"/>
              </w:rPr>
              <w:t>2008</w:t>
            </w:r>
          </w:p>
        </w:tc>
        <w:tc>
          <w:tcPr>
            <w:tcW w:w="1200" w:type="dxa"/>
            <w:vAlign w:val="bottom"/>
            <w:gridSpan w:val="2"/>
          </w:tcPr>
          <w:p>
            <w:pPr>
              <w:jc w:val="center"/>
              <w:spacing w:after="0"/>
              <w:rPr>
                <w:sz w:val="20"/>
                <w:szCs w:val="20"/>
                <w:color w:val="auto"/>
              </w:rPr>
            </w:pPr>
            <w:r>
              <w:rPr>
                <w:rFonts w:ascii="Arial" w:cs="Arial" w:eastAsia="Arial" w:hAnsi="Arial"/>
                <w:sz w:val="14"/>
                <w:szCs w:val="14"/>
                <w:color w:val="auto"/>
                <w:w w:val="95"/>
              </w:rPr>
              <w:t>March 31</w:t>
            </w:r>
          </w:p>
        </w:tc>
        <w:tc>
          <w:tcPr>
            <w:tcW w:w="620" w:type="dxa"/>
            <w:vAlign w:val="bottom"/>
            <w:vMerge w:val="restart"/>
          </w:tcPr>
          <w:p>
            <w:pPr>
              <w:jc w:val="right"/>
              <w:ind w:right="234"/>
              <w:spacing w:after="0"/>
              <w:rPr>
                <w:sz w:val="20"/>
                <w:szCs w:val="20"/>
                <w:color w:val="auto"/>
              </w:rPr>
            </w:pPr>
            <w:r>
              <w:rPr>
                <w:rFonts w:ascii="Arial" w:cs="Arial" w:eastAsia="Arial" w:hAnsi="Arial"/>
                <w:sz w:val="14"/>
                <w:szCs w:val="14"/>
                <w:color w:val="auto"/>
                <w:w w:val="89"/>
              </w:rPr>
              <w:t>2007</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320" w:type="dxa"/>
            <w:vAlign w:val="bottom"/>
          </w:tcPr>
          <w:p>
            <w:pPr>
              <w:spacing w:after="0"/>
              <w:rPr>
                <w:sz w:val="11"/>
                <w:szCs w:val="11"/>
                <w:color w:val="auto"/>
              </w:rPr>
            </w:pPr>
          </w:p>
        </w:tc>
        <w:tc>
          <w:tcPr>
            <w:tcW w:w="940" w:type="dxa"/>
            <w:vAlign w:val="bottom"/>
            <w:tcBorders>
              <w:bottom w:val="single" w:sz="8" w:color="auto"/>
            </w:tcBorders>
            <w:gridSpan w:val="2"/>
            <w:vMerge w:val="continue"/>
          </w:tcPr>
          <w:p>
            <w:pPr>
              <w:spacing w:after="0"/>
              <w:rPr>
                <w:sz w:val="11"/>
                <w:szCs w:val="11"/>
                <w:color w:val="auto"/>
              </w:rPr>
            </w:pPr>
          </w:p>
        </w:tc>
        <w:tc>
          <w:tcPr>
            <w:tcW w:w="900" w:type="dxa"/>
            <w:vAlign w:val="bottom"/>
            <w:vMerge w:val="restart"/>
          </w:tcPr>
          <w:p>
            <w:pPr>
              <w:jc w:val="center"/>
              <w:spacing w:after="0"/>
              <w:rPr>
                <w:sz w:val="20"/>
                <w:szCs w:val="20"/>
                <w:color w:val="auto"/>
              </w:rPr>
            </w:pPr>
            <w:r>
              <w:rPr>
                <w:rFonts w:ascii="Arial" w:cs="Arial" w:eastAsia="Arial" w:hAnsi="Arial"/>
                <w:sz w:val="14"/>
                <w:szCs w:val="14"/>
                <w:color w:val="auto"/>
                <w:w w:val="79"/>
              </w:rPr>
              <w:t>thousands, except</w:t>
            </w:r>
          </w:p>
        </w:tc>
        <w:tc>
          <w:tcPr>
            <w:tcW w:w="3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vMerge w:val="continue"/>
          </w:tcPr>
          <w:p>
            <w:pPr>
              <w:spacing w:after="0"/>
              <w:rPr>
                <w:sz w:val="11"/>
                <w:szCs w:val="11"/>
                <w:color w:val="auto"/>
              </w:rPr>
            </w:pP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jc w:val="right"/>
              <w:ind w:right="75"/>
              <w:spacing w:after="0" w:line="142" w:lineRule="exact"/>
              <w:rPr>
                <w:sz w:val="20"/>
                <w:szCs w:val="20"/>
                <w:color w:val="auto"/>
              </w:rPr>
            </w:pPr>
            <w:r>
              <w:rPr>
                <w:rFonts w:ascii="Arial" w:cs="Arial" w:eastAsia="Arial" w:hAnsi="Arial"/>
                <w:sz w:val="14"/>
                <w:szCs w:val="14"/>
                <w:color w:val="auto"/>
              </w:rPr>
              <w:t>(in</w:t>
            </w:r>
          </w:p>
        </w:tc>
        <w:tc>
          <w:tcPr>
            <w:tcW w:w="900" w:type="dxa"/>
            <w:vAlign w:val="bottom"/>
            <w:vMerge w:val="continue"/>
          </w:tcPr>
          <w:p>
            <w:pPr>
              <w:spacing w:after="0"/>
              <w:rPr>
                <w:sz w:val="12"/>
                <w:szCs w:val="12"/>
                <w:color w:val="auto"/>
              </w:rPr>
            </w:pPr>
          </w:p>
        </w:tc>
        <w:tc>
          <w:tcPr>
            <w:tcW w:w="920" w:type="dxa"/>
            <w:vAlign w:val="bottom"/>
            <w:gridSpan w:val="2"/>
          </w:tcPr>
          <w:p>
            <w:pPr>
              <w:jc w:val="right"/>
              <w:ind w:right="214"/>
              <w:spacing w:after="0" w:line="142" w:lineRule="exact"/>
              <w:rPr>
                <w:sz w:val="20"/>
                <w:szCs w:val="20"/>
                <w:color w:val="auto"/>
              </w:rPr>
            </w:pPr>
            <w:r>
              <w:rPr>
                <w:rFonts w:ascii="Arial" w:cs="Arial" w:eastAsia="Arial" w:hAnsi="Arial"/>
                <w:sz w:val="14"/>
                <w:szCs w:val="14"/>
                <w:color w:val="auto"/>
                <w:w w:val="93"/>
              </w:rPr>
              <w:t>per share)</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Income available to common stockholders</w:t>
            </w: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32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202,196</w:t>
            </w: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w w:val="92"/>
              </w:rPr>
              <w:t>175,973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shares outstanding (including common stock issuable)</w:t>
            </w:r>
          </w:p>
        </w:tc>
        <w:tc>
          <w:tcPr>
            <w:tcW w:w="3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28"/>
              <w:spacing w:after="0"/>
              <w:rPr>
                <w:sz w:val="20"/>
                <w:szCs w:val="20"/>
                <w:color w:val="auto"/>
              </w:rPr>
            </w:pPr>
            <w:r>
              <w:rPr>
                <w:rFonts w:ascii="Arial" w:cs="Arial" w:eastAsia="Arial" w:hAnsi="Arial"/>
                <w:sz w:val="18"/>
                <w:szCs w:val="18"/>
                <w:color w:val="auto"/>
                <w:w w:val="89"/>
              </w:rPr>
              <w:t>110,017</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2"/>
              </w:rPr>
              <w:t>109,694</w:t>
            </w:r>
          </w:p>
        </w:tc>
        <w:tc>
          <w:tcPr>
            <w:tcW w:w="0" w:type="dxa"/>
            <w:vAlign w:val="bottom"/>
          </w:tcPr>
          <w:p>
            <w:pPr>
              <w:spacing w:after="0"/>
              <w:rPr>
                <w:sz w:val="1"/>
                <w:szCs w:val="1"/>
                <w:color w:val="auto"/>
              </w:rPr>
            </w:pPr>
          </w:p>
        </w:tc>
      </w:tr>
      <w:tr>
        <w:trPr>
          <w:trHeight w:val="432"/>
        </w:trPr>
        <w:tc>
          <w:tcPr>
            <w:tcW w:w="8340" w:type="dxa"/>
            <w:vAlign w:val="bottom"/>
            <w:gridSpan w:val="2"/>
          </w:tcPr>
          <w:p>
            <w:pPr>
              <w:spacing w:after="0"/>
              <w:rPr>
                <w:sz w:val="20"/>
                <w:szCs w:val="20"/>
                <w:color w:val="auto"/>
              </w:rPr>
            </w:pPr>
            <w:r>
              <w:rPr>
                <w:rFonts w:ascii="Arial" w:cs="Arial" w:eastAsia="Arial" w:hAnsi="Arial"/>
                <w:sz w:val="18"/>
                <w:szCs w:val="18"/>
                <w:color w:val="auto"/>
              </w:rPr>
              <w:t>Basic earnings per share</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828"/>
              <w:spacing w:after="0"/>
              <w:rPr>
                <w:sz w:val="20"/>
                <w:szCs w:val="20"/>
                <w:color w:val="auto"/>
              </w:rPr>
            </w:pPr>
            <w:r>
              <w:rPr>
                <w:rFonts w:ascii="Arial" w:cs="Arial" w:eastAsia="Arial" w:hAnsi="Arial"/>
                <w:sz w:val="18"/>
                <w:szCs w:val="18"/>
                <w:color w:val="auto"/>
              </w:rPr>
              <w:t>1.84</w:t>
            </w:r>
          </w:p>
        </w:tc>
        <w:tc>
          <w:tcPr>
            <w:tcW w:w="300" w:type="dxa"/>
            <w:vAlign w:val="bottom"/>
          </w:tcPr>
          <w:p>
            <w:pPr>
              <w:spacing w:after="0"/>
              <w:rPr>
                <w:sz w:val="24"/>
                <w:szCs w:val="24"/>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338"/>
        </w:trPr>
        <w:tc>
          <w:tcPr>
            <w:tcW w:w="20" w:type="dxa"/>
            <w:vAlign w:val="bottom"/>
          </w:tcPr>
          <w:p>
            <w:pPr>
              <w:spacing w:after="0"/>
              <w:rPr>
                <w:sz w:val="24"/>
                <w:szCs w:val="24"/>
                <w:color w:val="auto"/>
              </w:rPr>
            </w:pPr>
          </w:p>
        </w:tc>
        <w:tc>
          <w:tcPr>
            <w:tcW w:w="8320" w:type="dxa"/>
            <w:vAlign w:val="bottom"/>
          </w:tcPr>
          <w:p>
            <w:pPr>
              <w:ind w:left="200"/>
              <w:spacing w:after="0"/>
              <w:rPr>
                <w:sz w:val="20"/>
                <w:szCs w:val="20"/>
                <w:color w:val="auto"/>
              </w:rPr>
            </w:pPr>
            <w:r>
              <w:rPr>
                <w:rFonts w:ascii="Arial" w:cs="Arial" w:eastAsia="Arial" w:hAnsi="Arial"/>
                <w:sz w:val="18"/>
                <w:szCs w:val="18"/>
                <w:color w:val="auto"/>
              </w:rPr>
              <w:t>The computations of diluted earnings per share follow:</w:t>
            </w:r>
          </w:p>
        </w:tc>
        <w:tc>
          <w:tcPr>
            <w:tcW w:w="340" w:type="dxa"/>
            <w:vAlign w:val="bottom"/>
          </w:tcPr>
          <w:p>
            <w:pPr>
              <w:spacing w:after="0"/>
              <w:rPr>
                <w:sz w:val="24"/>
                <w:szCs w:val="24"/>
                <w:color w:val="auto"/>
              </w:rPr>
            </w:pPr>
          </w:p>
        </w:tc>
        <w:tc>
          <w:tcPr>
            <w:tcW w:w="1800" w:type="dxa"/>
            <w:vAlign w:val="bottom"/>
            <w:gridSpan w:val="3"/>
            <w:vMerge w:val="restart"/>
          </w:tcPr>
          <w:p>
            <w:pPr>
              <w:jc w:val="center"/>
              <w:ind w:left="215"/>
              <w:spacing w:after="0"/>
              <w:rPr>
                <w:sz w:val="20"/>
                <w:szCs w:val="20"/>
                <w:color w:val="auto"/>
              </w:rPr>
            </w:pPr>
            <w:r>
              <w:rPr>
                <w:rFonts w:ascii="Arial" w:cs="Arial" w:eastAsia="Arial" w:hAnsi="Arial"/>
                <w:sz w:val="14"/>
                <w:szCs w:val="14"/>
                <w:color w:val="auto"/>
                <w:w w:val="91"/>
              </w:rPr>
              <w:t>Three months ended</w:t>
            </w: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0" w:type="dxa"/>
            <w:vAlign w:val="bottom"/>
            <w:gridSpan w:val="3"/>
            <w:vMerge w:val="continue"/>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320" w:type="dxa"/>
            <w:vAlign w:val="bottom"/>
          </w:tcPr>
          <w:p>
            <w:pPr>
              <w:spacing w:after="0"/>
              <w:rPr>
                <w:sz w:val="15"/>
                <w:szCs w:val="15"/>
                <w:color w:val="auto"/>
              </w:rPr>
            </w:pPr>
          </w:p>
        </w:tc>
        <w:tc>
          <w:tcPr>
            <w:tcW w:w="940" w:type="dxa"/>
            <w:vAlign w:val="bottom"/>
            <w:gridSpan w:val="2"/>
            <w:vMerge w:val="restart"/>
          </w:tcPr>
          <w:p>
            <w:pPr>
              <w:jc w:val="right"/>
              <w:ind w:right="235"/>
              <w:spacing w:after="0"/>
              <w:rPr>
                <w:sz w:val="20"/>
                <w:szCs w:val="20"/>
                <w:color w:val="auto"/>
              </w:rPr>
            </w:pPr>
            <w:r>
              <w:rPr>
                <w:rFonts w:ascii="Arial" w:cs="Arial" w:eastAsia="Arial" w:hAnsi="Arial"/>
                <w:sz w:val="14"/>
                <w:szCs w:val="14"/>
                <w:color w:val="auto"/>
              </w:rPr>
              <w:t>2008</w:t>
            </w:r>
          </w:p>
        </w:tc>
        <w:tc>
          <w:tcPr>
            <w:tcW w:w="1200" w:type="dxa"/>
            <w:vAlign w:val="bottom"/>
            <w:gridSpan w:val="2"/>
          </w:tcPr>
          <w:p>
            <w:pPr>
              <w:jc w:val="center"/>
              <w:ind w:right="248"/>
              <w:spacing w:after="0"/>
              <w:rPr>
                <w:sz w:val="20"/>
                <w:szCs w:val="20"/>
                <w:color w:val="auto"/>
              </w:rPr>
            </w:pPr>
            <w:r>
              <w:rPr>
                <w:rFonts w:ascii="Arial" w:cs="Arial" w:eastAsia="Arial" w:hAnsi="Arial"/>
                <w:sz w:val="14"/>
                <w:szCs w:val="14"/>
                <w:color w:val="auto"/>
                <w:w w:val="95"/>
              </w:rPr>
              <w:t>March 31</w:t>
            </w:r>
          </w:p>
        </w:tc>
        <w:tc>
          <w:tcPr>
            <w:tcW w:w="620" w:type="dxa"/>
            <w:vAlign w:val="bottom"/>
            <w:vMerge w:val="restart"/>
          </w:tcPr>
          <w:p>
            <w:pPr>
              <w:jc w:val="right"/>
              <w:ind w:right="234"/>
              <w:spacing w:after="0"/>
              <w:rPr>
                <w:sz w:val="20"/>
                <w:szCs w:val="20"/>
                <w:color w:val="auto"/>
              </w:rPr>
            </w:pPr>
            <w:r>
              <w:rPr>
                <w:rFonts w:ascii="Arial" w:cs="Arial" w:eastAsia="Arial" w:hAnsi="Arial"/>
                <w:sz w:val="14"/>
                <w:szCs w:val="14"/>
                <w:color w:val="auto"/>
                <w:w w:val="89"/>
              </w:rPr>
              <w:t>2007</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320" w:type="dxa"/>
            <w:vAlign w:val="bottom"/>
          </w:tcPr>
          <w:p>
            <w:pPr>
              <w:spacing w:after="0"/>
              <w:rPr>
                <w:sz w:val="11"/>
                <w:szCs w:val="11"/>
                <w:color w:val="auto"/>
              </w:rPr>
            </w:pPr>
          </w:p>
        </w:tc>
        <w:tc>
          <w:tcPr>
            <w:tcW w:w="940" w:type="dxa"/>
            <w:vAlign w:val="bottom"/>
            <w:tcBorders>
              <w:bottom w:val="single" w:sz="8" w:color="auto"/>
            </w:tcBorders>
            <w:gridSpan w:val="2"/>
            <w:vMerge w:val="continue"/>
          </w:tcPr>
          <w:p>
            <w:pPr>
              <w:spacing w:after="0"/>
              <w:rPr>
                <w:sz w:val="11"/>
                <w:szCs w:val="11"/>
                <w:color w:val="auto"/>
              </w:rPr>
            </w:pPr>
          </w:p>
        </w:tc>
        <w:tc>
          <w:tcPr>
            <w:tcW w:w="90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vMerge w:val="continue"/>
          </w:tcPr>
          <w:p>
            <w:pPr>
              <w:spacing w:after="0"/>
              <w:rPr>
                <w:sz w:val="11"/>
                <w:szCs w:val="11"/>
                <w:color w:val="auto"/>
              </w:rPr>
            </w:pP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740" w:type="dxa"/>
            <w:vAlign w:val="bottom"/>
            <w:gridSpan w:val="5"/>
          </w:tcPr>
          <w:p>
            <w:pPr>
              <w:jc w:val="center"/>
              <w:ind w:right="640"/>
              <w:spacing w:after="0" w:line="142" w:lineRule="exact"/>
              <w:rPr>
                <w:sz w:val="20"/>
                <w:szCs w:val="20"/>
                <w:color w:val="auto"/>
              </w:rPr>
            </w:pPr>
            <w:r>
              <w:rPr>
                <w:rFonts w:ascii="Arial" w:cs="Arial" w:eastAsia="Arial" w:hAnsi="Arial"/>
                <w:sz w:val="14"/>
                <w:szCs w:val="14"/>
                <w:color w:val="auto"/>
                <w:w w:val="90"/>
              </w:rPr>
              <w:t>(in thousands, except per share)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Income available to common stockholders</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202,196</w:t>
            </w: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2"/>
              </w:rPr>
              <w:t>175,973</w:t>
            </w:r>
          </w:p>
        </w:tc>
        <w:tc>
          <w:tcPr>
            <w:tcW w:w="0" w:type="dxa"/>
            <w:vAlign w:val="bottom"/>
          </w:tcPr>
          <w:p>
            <w:pPr>
              <w:spacing w:after="0"/>
              <w:rPr>
                <w:sz w:val="1"/>
                <w:szCs w:val="1"/>
                <w:color w:val="auto"/>
              </w:rPr>
            </w:pPr>
          </w:p>
        </w:tc>
      </w:tr>
      <w:tr>
        <w:trPr>
          <w:trHeight w:val="432"/>
        </w:trPr>
        <w:tc>
          <w:tcPr>
            <w:tcW w:w="8340" w:type="dxa"/>
            <w:vAlign w:val="bottom"/>
            <w:gridSpan w:val="2"/>
          </w:tcPr>
          <w:p>
            <w:pPr>
              <w:spacing w:after="0"/>
              <w:rPr>
                <w:sz w:val="20"/>
                <w:szCs w:val="20"/>
                <w:color w:val="auto"/>
              </w:rPr>
            </w:pPr>
            <w:r>
              <w:rPr>
                <w:rFonts w:ascii="Arial" w:cs="Arial" w:eastAsia="Arial" w:hAnsi="Arial"/>
                <w:sz w:val="18"/>
                <w:szCs w:val="18"/>
                <w:color w:val="auto"/>
              </w:rPr>
              <w:t>Weighted-average shares outstanding</w:t>
            </w:r>
          </w:p>
        </w:tc>
        <w:tc>
          <w:tcPr>
            <w:tcW w:w="340" w:type="dxa"/>
            <w:vAlign w:val="bottom"/>
          </w:tcPr>
          <w:p>
            <w:pPr>
              <w:spacing w:after="0"/>
              <w:rPr>
                <w:sz w:val="24"/>
                <w:szCs w:val="24"/>
                <w:color w:val="auto"/>
              </w:rPr>
            </w:pPr>
          </w:p>
        </w:tc>
        <w:tc>
          <w:tcPr>
            <w:tcW w:w="1500" w:type="dxa"/>
            <w:vAlign w:val="bottom"/>
            <w:gridSpan w:val="2"/>
          </w:tcPr>
          <w:p>
            <w:pPr>
              <w:jc w:val="right"/>
              <w:ind w:right="828"/>
              <w:spacing w:after="0"/>
              <w:rPr>
                <w:sz w:val="20"/>
                <w:szCs w:val="20"/>
                <w:color w:val="auto"/>
              </w:rPr>
            </w:pPr>
            <w:r>
              <w:rPr>
                <w:rFonts w:ascii="Arial" w:cs="Arial" w:eastAsia="Arial" w:hAnsi="Arial"/>
                <w:sz w:val="18"/>
                <w:szCs w:val="18"/>
                <w:color w:val="auto"/>
                <w:w w:val="89"/>
              </w:rPr>
              <w:t>110,017</w:t>
            </w:r>
          </w:p>
        </w:tc>
        <w:tc>
          <w:tcPr>
            <w:tcW w:w="300" w:type="dxa"/>
            <w:vAlign w:val="bottom"/>
          </w:tcPr>
          <w:p>
            <w:pPr>
              <w:spacing w:after="0"/>
              <w:rPr>
                <w:sz w:val="24"/>
                <w:szCs w:val="24"/>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w w:val="92"/>
              </w:rPr>
              <w:t>109,694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Plus: incremental shares from assumed conversion of stock-based compensation awards</w:t>
            </w: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w:t>
            </w: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2,493</w:t>
            </w:r>
          </w:p>
        </w:tc>
        <w:tc>
          <w:tcPr>
            <w:tcW w:w="0" w:type="dxa"/>
            <w:vAlign w:val="bottom"/>
          </w:tcPr>
          <w:p>
            <w:pPr>
              <w:spacing w:after="0"/>
              <w:rPr>
                <w:sz w:val="1"/>
                <w:szCs w:val="1"/>
                <w:color w:val="auto"/>
              </w:rPr>
            </w:pPr>
          </w:p>
        </w:tc>
      </w:tr>
      <w:tr>
        <w:trPr>
          <w:trHeight w:val="20"/>
        </w:trPr>
        <w:tc>
          <w:tcPr>
            <w:tcW w:w="8340" w:type="dxa"/>
            <w:vAlign w:val="bottom"/>
            <w:gridSpan w:val="2"/>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8340" w:type="dxa"/>
            <w:vAlign w:val="bottom"/>
            <w:gridSpan w:val="2"/>
          </w:tcPr>
          <w:p>
            <w:pPr>
              <w:spacing w:after="0"/>
              <w:rPr>
                <w:sz w:val="20"/>
                <w:szCs w:val="20"/>
                <w:color w:val="auto"/>
              </w:rPr>
            </w:pPr>
            <w:r>
              <w:rPr>
                <w:rFonts w:ascii="Arial" w:cs="Arial" w:eastAsia="Arial" w:hAnsi="Arial"/>
                <w:sz w:val="18"/>
                <w:szCs w:val="18"/>
                <w:color w:val="auto"/>
              </w:rPr>
              <w:t>Adjusted weighted-average shares outstanding</w:t>
            </w:r>
          </w:p>
        </w:tc>
        <w:tc>
          <w:tcPr>
            <w:tcW w:w="3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110,967</w:t>
            </w: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w w:val="92"/>
              </w:rPr>
              <w:t>112,187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828"/>
              <w:spacing w:after="0"/>
              <w:rPr>
                <w:sz w:val="20"/>
                <w:szCs w:val="20"/>
                <w:color w:val="auto"/>
              </w:rPr>
            </w:pPr>
            <w:r>
              <w:rPr>
                <w:rFonts w:ascii="Arial" w:cs="Arial" w:eastAsia="Arial" w:hAnsi="Arial"/>
                <w:sz w:val="18"/>
                <w:szCs w:val="18"/>
                <w:color w:val="auto"/>
              </w:rPr>
              <w:t>1.82</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820" w:firstLine="225"/>
        <w:spacing w:after="0" w:line="342" w:lineRule="auto"/>
        <w:rPr>
          <w:sz w:val="20"/>
          <w:szCs w:val="20"/>
          <w:color w:val="auto"/>
        </w:rPr>
      </w:pPr>
      <w:r>
        <w:rPr>
          <w:rFonts w:ascii="Arial" w:cs="Arial" w:eastAsia="Arial" w:hAnsi="Arial"/>
          <w:sz w:val="16"/>
          <w:szCs w:val="16"/>
          <w:color w:val="auto"/>
        </w:rPr>
        <w:t>Options to purchase approximately 8.6 million and 3.0 million common shares during the three-month periods ended March 31, 2008 and 2007, respectively, were not included in the computations of diluted earnings per share because the effect on those periods would have been antidilutive.</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Comprehensive income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displays the components of other comprehensive income: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20" w:type="dxa"/>
            <w:vAlign w:val="bottom"/>
            <w:gridSpan w:val="14"/>
          </w:tcPr>
          <w:p>
            <w:pPr>
              <w:jc w:val="center"/>
              <w:ind w:right="340"/>
              <w:spacing w:after="0"/>
              <w:rPr>
                <w:sz w:val="20"/>
                <w:szCs w:val="20"/>
                <w:color w:val="auto"/>
              </w:rPr>
            </w:pPr>
            <w:r>
              <w:rPr>
                <w:rFonts w:ascii="Arial" w:cs="Arial" w:eastAsia="Arial" w:hAnsi="Arial"/>
                <w:sz w:val="14"/>
                <w:szCs w:val="14"/>
                <w:color w:val="auto"/>
                <w:w w:val="92"/>
              </w:rPr>
              <w:t>Three months ended March 31, 2008</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3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40" w:type="dxa"/>
            <w:vAlign w:val="bottom"/>
            <w:tcBorders>
              <w:top w:val="single" w:sz="8" w:color="auto"/>
            </w:tcBorders>
            <w:gridSpan w:val="5"/>
          </w:tcPr>
          <w:p>
            <w:pPr>
              <w:jc w:val="center"/>
              <w:ind w:right="380"/>
              <w:spacing w:after="0" w:line="123" w:lineRule="exact"/>
              <w:rPr>
                <w:sz w:val="20"/>
                <w:szCs w:val="20"/>
                <w:color w:val="auto"/>
              </w:rPr>
            </w:pPr>
            <w:r>
              <w:rPr>
                <w:rFonts w:ascii="Arial" w:cs="Arial" w:eastAsia="Arial" w:hAnsi="Arial"/>
                <w:sz w:val="14"/>
                <w:szCs w:val="14"/>
                <w:color w:val="auto"/>
                <w:w w:val="95"/>
              </w:rPr>
              <w:t>Before-tax</w:t>
            </w:r>
          </w:p>
        </w:tc>
        <w:tc>
          <w:tcPr>
            <w:tcW w:w="30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240" w:type="dxa"/>
            <w:vAlign w:val="bottom"/>
            <w:tcBorders>
              <w:top w:val="single" w:sz="8" w:color="auto"/>
            </w:tcBorders>
            <w:gridSpan w:val="3"/>
          </w:tcPr>
          <w:p>
            <w:pPr>
              <w:jc w:val="center"/>
              <w:ind w:right="720"/>
              <w:spacing w:after="0" w:line="123" w:lineRule="exact"/>
              <w:rPr>
                <w:sz w:val="20"/>
                <w:szCs w:val="20"/>
                <w:color w:val="auto"/>
              </w:rPr>
            </w:pPr>
            <w:r>
              <w:rPr>
                <w:rFonts w:ascii="Arial" w:cs="Arial" w:eastAsia="Arial" w:hAnsi="Arial"/>
                <w:sz w:val="14"/>
                <w:szCs w:val="14"/>
                <w:color w:val="auto"/>
                <w:w w:val="95"/>
              </w:rPr>
              <w:t>Income</w:t>
            </w:r>
          </w:p>
        </w:tc>
        <w:tc>
          <w:tcPr>
            <w:tcW w:w="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89"/>
              </w:rPr>
              <w:t>amount</w:t>
            </w:r>
          </w:p>
        </w:tc>
        <w:tc>
          <w:tcPr>
            <w:tcW w:w="380" w:type="dxa"/>
            <w:vAlign w:val="bottom"/>
            <w:gridSpan w:val="2"/>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taxes</w:t>
            </w:r>
          </w:p>
        </w:tc>
        <w:tc>
          <w:tcPr>
            <w:tcW w:w="68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Net</w:t>
            </w:r>
          </w:p>
        </w:tc>
        <w:tc>
          <w:tcPr>
            <w:tcW w:w="1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gridSpan w:val="4"/>
          </w:tcPr>
          <w:p>
            <w:pPr>
              <w:jc w:val="center"/>
              <w:ind w:left="151"/>
              <w:spacing w:after="0" w:line="142" w:lineRule="exact"/>
              <w:rPr>
                <w:sz w:val="20"/>
                <w:szCs w:val="20"/>
                <w:color w:val="auto"/>
              </w:rPr>
            </w:pPr>
            <w:r>
              <w:rPr>
                <w:rFonts w:ascii="Arial" w:cs="Arial" w:eastAsia="Arial" w:hAnsi="Arial"/>
                <w:sz w:val="14"/>
                <w:szCs w:val="14"/>
                <w:color w:val="auto"/>
                <w:w w:val="83"/>
              </w:rPr>
              <w:t>(in thousands)</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Unrealized losses on investment securities:</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tcBorders>
              <w:left w:val="single" w:sz="8" w:color="CCEEFF"/>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rPr>
              <w:t>Unrealized holding losses during period</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gridSpan w:val="4"/>
          </w:tcPr>
          <w:p>
            <w:pPr>
              <w:jc w:val="right"/>
              <w:spacing w:after="0"/>
              <w:rPr>
                <w:sz w:val="20"/>
                <w:szCs w:val="20"/>
                <w:color w:val="auto"/>
              </w:rPr>
            </w:pPr>
            <w:r>
              <w:rPr>
                <w:rFonts w:ascii="Arial" w:cs="Arial" w:eastAsia="Arial" w:hAnsi="Arial"/>
                <w:sz w:val="18"/>
                <w:szCs w:val="18"/>
                <w:color w:val="auto"/>
                <w:w w:val="80"/>
              </w:rPr>
              <w:t>$ (171,672)</w:t>
            </w:r>
          </w:p>
        </w:tc>
        <w:tc>
          <w:tcPr>
            <w:tcW w:w="260" w:type="dxa"/>
            <w:vAlign w:val="bottom"/>
          </w:tcPr>
          <w:p>
            <w:pPr>
              <w:spacing w:after="0"/>
              <w:rPr>
                <w:sz w:val="18"/>
                <w:szCs w:val="18"/>
                <w:color w:val="auto"/>
              </w:rPr>
            </w:pPr>
          </w:p>
        </w:tc>
        <w:tc>
          <w:tcPr>
            <w:tcW w:w="1100" w:type="dxa"/>
            <w:vAlign w:val="bottom"/>
            <w:gridSpan w:val="5"/>
          </w:tcPr>
          <w:p>
            <w:pPr>
              <w:jc w:val="right"/>
              <w:ind w:right="80"/>
              <w:spacing w:after="0"/>
              <w:rPr>
                <w:sz w:val="20"/>
                <w:szCs w:val="20"/>
                <w:color w:val="auto"/>
              </w:rPr>
            </w:pPr>
            <w:r>
              <w:rPr>
                <w:rFonts w:ascii="Arial" w:cs="Arial" w:eastAsia="Arial" w:hAnsi="Arial"/>
                <w:sz w:val="18"/>
                <w:szCs w:val="18"/>
                <w:color w:val="auto"/>
              </w:rPr>
              <w:t>57,245</w:t>
            </w:r>
          </w:p>
        </w:tc>
        <w:tc>
          <w:tcPr>
            <w:tcW w:w="560" w:type="dxa"/>
            <w:vAlign w:val="bottom"/>
          </w:tcPr>
          <w:p>
            <w:pPr>
              <w:spacing w:after="0"/>
              <w:rPr>
                <w:sz w:val="18"/>
                <w:szCs w:val="18"/>
                <w:color w:val="auto"/>
              </w:rPr>
            </w:pPr>
          </w:p>
        </w:tc>
        <w:tc>
          <w:tcPr>
            <w:tcW w:w="860" w:type="dxa"/>
            <w:vAlign w:val="bottom"/>
            <w:gridSpan w:val="4"/>
          </w:tcPr>
          <w:p>
            <w:pPr>
              <w:jc w:val="right"/>
              <w:spacing w:after="0"/>
              <w:rPr>
                <w:sz w:val="20"/>
                <w:szCs w:val="20"/>
                <w:color w:val="auto"/>
              </w:rPr>
            </w:pPr>
            <w:r>
              <w:rPr>
                <w:rFonts w:ascii="Arial" w:cs="Arial" w:eastAsia="Arial" w:hAnsi="Arial"/>
                <w:sz w:val="18"/>
                <w:szCs w:val="18"/>
                <w:color w:val="auto"/>
              </w:rPr>
              <w:t>(114,427)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9"/>
              </w:rPr>
              <w:t>Less: reclassification adjustment for gains realized in net income</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33,447</w:t>
            </w:r>
          </w:p>
        </w:tc>
        <w:tc>
          <w:tcPr>
            <w:tcW w:w="26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(13,061)</w:t>
            </w:r>
          </w:p>
        </w:tc>
        <w:tc>
          <w:tcPr>
            <w:tcW w:w="56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20,386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88"/>
              </w:rPr>
              <w:t>(205,119)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70,306</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5"/>
              </w:rPr>
              <w:t>(134,813)</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Cash flow hedges:</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tcBorders>
              <w:left w:val="single" w:sz="8" w:color="CCEEFF"/>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rPr>
              <w:t>Unrealized losses on cash flow hedges</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gridSpan w:val="4"/>
          </w:tcPr>
          <w:p>
            <w:pPr>
              <w:jc w:val="right"/>
              <w:spacing w:after="0"/>
              <w:rPr>
                <w:sz w:val="20"/>
                <w:szCs w:val="20"/>
                <w:color w:val="auto"/>
              </w:rPr>
            </w:pPr>
            <w:r>
              <w:rPr>
                <w:rFonts w:ascii="Arial" w:cs="Arial" w:eastAsia="Arial" w:hAnsi="Arial"/>
                <w:sz w:val="18"/>
                <w:szCs w:val="18"/>
                <w:color w:val="auto"/>
              </w:rPr>
              <w:t>(20,225)</w:t>
            </w:r>
          </w:p>
        </w:tc>
        <w:tc>
          <w:tcPr>
            <w:tcW w:w="260" w:type="dxa"/>
            <w:vAlign w:val="bottom"/>
          </w:tcPr>
          <w:p>
            <w:pPr>
              <w:spacing w:after="0"/>
              <w:rPr>
                <w:sz w:val="18"/>
                <w:szCs w:val="18"/>
                <w:color w:val="auto"/>
              </w:rPr>
            </w:pPr>
          </w:p>
        </w:tc>
        <w:tc>
          <w:tcPr>
            <w:tcW w:w="1100" w:type="dxa"/>
            <w:vAlign w:val="bottom"/>
            <w:gridSpan w:val="5"/>
          </w:tcPr>
          <w:p>
            <w:pPr>
              <w:jc w:val="right"/>
              <w:ind w:right="80"/>
              <w:spacing w:after="0"/>
              <w:rPr>
                <w:sz w:val="20"/>
                <w:szCs w:val="20"/>
                <w:color w:val="auto"/>
              </w:rPr>
            </w:pPr>
            <w:r>
              <w:rPr>
                <w:rFonts w:ascii="Arial" w:cs="Arial" w:eastAsia="Arial" w:hAnsi="Arial"/>
                <w:sz w:val="18"/>
                <w:szCs w:val="18"/>
                <w:color w:val="auto"/>
              </w:rPr>
              <w:t>7,887</w:t>
            </w:r>
          </w:p>
        </w:tc>
        <w:tc>
          <w:tcPr>
            <w:tcW w:w="560" w:type="dxa"/>
            <w:vAlign w:val="bottom"/>
          </w:tcPr>
          <w:p>
            <w:pPr>
              <w:spacing w:after="0"/>
              <w:rPr>
                <w:sz w:val="18"/>
                <w:szCs w:val="18"/>
                <w:color w:val="auto"/>
              </w:rPr>
            </w:pPr>
          </w:p>
        </w:tc>
        <w:tc>
          <w:tcPr>
            <w:tcW w:w="860" w:type="dxa"/>
            <w:vAlign w:val="bottom"/>
            <w:gridSpan w:val="4"/>
          </w:tcPr>
          <w:p>
            <w:pPr>
              <w:jc w:val="right"/>
              <w:spacing w:after="0"/>
              <w:rPr>
                <w:sz w:val="20"/>
                <w:szCs w:val="20"/>
                <w:color w:val="auto"/>
              </w:rPr>
            </w:pPr>
            <w:r>
              <w:rPr>
                <w:rFonts w:ascii="Arial" w:cs="Arial" w:eastAsia="Arial" w:hAnsi="Arial"/>
                <w:sz w:val="18"/>
                <w:szCs w:val="18"/>
                <w:color w:val="auto"/>
              </w:rPr>
              <w:t>(12,338)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3"/>
              </w:rPr>
              <w:t>Reclassification of losses on terminated cash flow hedges to income</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4,419</w:t>
            </w:r>
          </w:p>
        </w:tc>
        <w:tc>
          <w:tcPr>
            <w:tcW w:w="26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(1,725)</w:t>
            </w:r>
          </w:p>
        </w:tc>
        <w:tc>
          <w:tcPr>
            <w:tcW w:w="56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2,694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(15,806)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6,162</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(9,644)</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Defined benefit plans liability adjustment</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26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131</w:t>
            </w:r>
          </w:p>
        </w:tc>
        <w:tc>
          <w:tcPr>
            <w:tcW w:w="56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80" w:type="dxa"/>
            <w:vAlign w:val="bottom"/>
            <w:gridSpan w:val="4"/>
          </w:tcPr>
          <w:p>
            <w:pPr>
              <w:jc w:val="right"/>
              <w:spacing w:after="0"/>
              <w:rPr>
                <w:sz w:val="20"/>
                <w:szCs w:val="20"/>
                <w:color w:val="auto"/>
              </w:rPr>
            </w:pPr>
            <w:r>
              <w:rPr>
                <w:rFonts w:ascii="Arial" w:cs="Arial" w:eastAsia="Arial" w:hAnsi="Arial"/>
                <w:sz w:val="18"/>
                <w:szCs w:val="18"/>
                <w:u w:val="single" w:color="auto"/>
                <w:color w:val="auto"/>
                <w:w w:val="80"/>
              </w:rPr>
              <w:t>$</w:t>
            </w:r>
            <w:r>
              <w:rPr>
                <w:rFonts w:ascii="Arial" w:cs="Arial" w:eastAsia="Arial" w:hAnsi="Arial"/>
                <w:sz w:val="18"/>
                <w:szCs w:val="18"/>
                <w:color w:val="auto"/>
                <w:w w:val="80"/>
              </w:rPr>
              <w:t xml:space="preserve"> (221,261)</w:t>
            </w:r>
          </w:p>
        </w:tc>
        <w:tc>
          <w:tcPr>
            <w:tcW w:w="260" w:type="dxa"/>
            <w:vAlign w:val="bottom"/>
          </w:tcPr>
          <w:p>
            <w:pPr>
              <w:spacing w:after="0"/>
              <w:rPr>
                <w:sz w:val="24"/>
                <w:szCs w:val="24"/>
                <w:color w:val="auto"/>
              </w:rPr>
            </w:pPr>
          </w:p>
        </w:tc>
        <w:tc>
          <w:tcPr>
            <w:tcW w:w="1100" w:type="dxa"/>
            <w:vAlign w:val="bottom"/>
            <w:gridSpan w:val="5"/>
          </w:tcPr>
          <w:p>
            <w:pPr>
              <w:jc w:val="right"/>
              <w:ind w:right="80"/>
              <w:spacing w:after="0"/>
              <w:rPr>
                <w:sz w:val="20"/>
                <w:szCs w:val="20"/>
                <w:color w:val="auto"/>
              </w:rPr>
            </w:pPr>
            <w:r>
              <w:rPr>
                <w:rFonts w:ascii="Arial" w:cs="Arial" w:eastAsia="Arial" w:hAnsi="Arial"/>
                <w:sz w:val="18"/>
                <w:szCs w:val="18"/>
                <w:color w:val="auto"/>
              </w:rPr>
              <w:t>76,599</w:t>
            </w:r>
          </w:p>
        </w:tc>
        <w:tc>
          <w:tcPr>
            <w:tcW w:w="560" w:type="dxa"/>
            <w:vAlign w:val="bottom"/>
          </w:tcPr>
          <w:p>
            <w:pPr>
              <w:spacing w:after="0"/>
              <w:rPr>
                <w:sz w:val="24"/>
                <w:szCs w:val="24"/>
                <w:color w:val="auto"/>
              </w:rPr>
            </w:pPr>
          </w:p>
        </w:tc>
        <w:tc>
          <w:tcPr>
            <w:tcW w:w="860" w:type="dxa"/>
            <w:vAlign w:val="bottom"/>
            <w:gridSpan w:val="4"/>
          </w:tcPr>
          <w:p>
            <w:pPr>
              <w:jc w:val="right"/>
              <w:spacing w:after="0"/>
              <w:rPr>
                <w:sz w:val="20"/>
                <w:szCs w:val="20"/>
                <w:color w:val="auto"/>
              </w:rPr>
            </w:pPr>
            <w:r>
              <w:rPr>
                <w:rFonts w:ascii="Arial" w:cs="Arial" w:eastAsia="Arial" w:hAnsi="Arial"/>
                <w:sz w:val="18"/>
                <w:szCs w:val="18"/>
                <w:color w:val="auto"/>
              </w:rPr>
              <w:t>(144,662)</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940" w:type="dxa"/>
            <w:vAlign w:val="bottom"/>
            <w:gridSpan w:val="13"/>
          </w:tcPr>
          <w:p>
            <w:pPr>
              <w:jc w:val="center"/>
              <w:ind w:right="700"/>
              <w:spacing w:after="0"/>
              <w:rPr>
                <w:sz w:val="20"/>
                <w:szCs w:val="20"/>
                <w:color w:val="auto"/>
              </w:rPr>
            </w:pPr>
            <w:r>
              <w:rPr>
                <w:rFonts w:ascii="Arial" w:cs="Arial" w:eastAsia="Arial" w:hAnsi="Arial"/>
                <w:sz w:val="14"/>
                <w:szCs w:val="14"/>
                <w:color w:val="auto"/>
                <w:w w:val="92"/>
              </w:rPr>
              <w:t>Three months ended March 31, 2007</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3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Borders>
              <w:top w:val="single" w:sz="8" w:color="auto"/>
            </w:tcBorders>
            <w:gridSpan w:val="4"/>
          </w:tcPr>
          <w:p>
            <w:pPr>
              <w:ind w:left="40"/>
              <w:spacing w:after="0" w:line="123" w:lineRule="exact"/>
              <w:rPr>
                <w:sz w:val="20"/>
                <w:szCs w:val="20"/>
                <w:color w:val="auto"/>
              </w:rPr>
            </w:pPr>
            <w:r>
              <w:rPr>
                <w:rFonts w:ascii="Arial" w:cs="Arial" w:eastAsia="Arial" w:hAnsi="Arial"/>
                <w:sz w:val="14"/>
                <w:szCs w:val="14"/>
                <w:color w:val="auto"/>
              </w:rPr>
              <w:t>Before-tax</w:t>
            </w:r>
          </w:p>
        </w:tc>
        <w:tc>
          <w:tcPr>
            <w:tcW w:w="30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240" w:type="dxa"/>
            <w:vAlign w:val="bottom"/>
            <w:tcBorders>
              <w:top w:val="single" w:sz="8" w:color="auto"/>
            </w:tcBorders>
            <w:gridSpan w:val="3"/>
          </w:tcPr>
          <w:p>
            <w:pPr>
              <w:jc w:val="center"/>
              <w:ind w:right="560"/>
              <w:spacing w:after="0" w:line="123" w:lineRule="exact"/>
              <w:rPr>
                <w:sz w:val="20"/>
                <w:szCs w:val="20"/>
                <w:color w:val="auto"/>
              </w:rPr>
            </w:pPr>
            <w:r>
              <w:rPr>
                <w:rFonts w:ascii="Arial" w:cs="Arial" w:eastAsia="Arial" w:hAnsi="Arial"/>
                <w:sz w:val="14"/>
                <w:szCs w:val="14"/>
                <w:color w:val="auto"/>
                <w:w w:val="95"/>
              </w:rPr>
              <w:t>Income</w:t>
            </w:r>
          </w:p>
        </w:tc>
        <w:tc>
          <w:tcPr>
            <w:tcW w:w="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gridSpan w:val="2"/>
          </w:tcPr>
          <w:p>
            <w:pPr>
              <w:jc w:val="right"/>
              <w:ind w:right="68"/>
              <w:spacing w:after="0"/>
              <w:rPr>
                <w:sz w:val="20"/>
                <w:szCs w:val="20"/>
                <w:color w:val="auto"/>
              </w:rPr>
            </w:pPr>
            <w:r>
              <w:rPr>
                <w:rFonts w:ascii="Arial" w:cs="Arial" w:eastAsia="Arial" w:hAnsi="Arial"/>
                <w:sz w:val="14"/>
                <w:szCs w:val="14"/>
                <w:color w:val="auto"/>
                <w:w w:val="94"/>
              </w:rPr>
              <w:t>amount</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89"/>
              </w:rPr>
              <w:t>taxes</w:t>
            </w: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Net</w:t>
            </w:r>
          </w:p>
        </w:tc>
        <w:tc>
          <w:tcPr>
            <w:tcW w:w="1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gridSpan w:val="4"/>
          </w:tcPr>
          <w:p>
            <w:pPr>
              <w:jc w:val="right"/>
              <w:spacing w:after="0" w:line="142" w:lineRule="exact"/>
              <w:rPr>
                <w:sz w:val="20"/>
                <w:szCs w:val="20"/>
                <w:color w:val="auto"/>
              </w:rPr>
            </w:pPr>
            <w:r>
              <w:rPr>
                <w:rFonts w:ascii="Arial" w:cs="Arial" w:eastAsia="Arial" w:hAnsi="Arial"/>
                <w:sz w:val="14"/>
                <w:szCs w:val="14"/>
                <w:color w:val="auto"/>
                <w:w w:val="87"/>
              </w:rPr>
              <w:t>(in thousands)</w:t>
            </w: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Unrealized gains on investment securities:</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tcBorders>
              <w:left w:val="single" w:sz="8" w:color="CCEEFF"/>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rPr>
              <w:t>Unrealized holding gains during period</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3"/>
          </w:tcPr>
          <w:p>
            <w:pPr>
              <w:jc w:val="right"/>
              <w:ind w:right="260"/>
              <w:spacing w:after="0"/>
              <w:rPr>
                <w:sz w:val="20"/>
                <w:szCs w:val="20"/>
                <w:color w:val="auto"/>
              </w:rPr>
            </w:pPr>
            <w:r>
              <w:rPr>
                <w:rFonts w:ascii="Arial" w:cs="Arial" w:eastAsia="Arial" w:hAnsi="Arial"/>
                <w:sz w:val="18"/>
                <w:szCs w:val="18"/>
                <w:color w:val="auto"/>
              </w:rPr>
              <w:t>27,815</w:t>
            </w:r>
          </w:p>
        </w:tc>
        <w:tc>
          <w:tcPr>
            <w:tcW w:w="1660" w:type="dxa"/>
            <w:vAlign w:val="bottom"/>
            <w:gridSpan w:val="6"/>
          </w:tcPr>
          <w:p>
            <w:pPr>
              <w:jc w:val="right"/>
              <w:ind w:right="500"/>
              <w:spacing w:after="0"/>
              <w:rPr>
                <w:sz w:val="20"/>
                <w:szCs w:val="20"/>
                <w:color w:val="auto"/>
              </w:rPr>
            </w:pPr>
            <w:r>
              <w:rPr>
                <w:rFonts w:ascii="Arial" w:cs="Arial" w:eastAsia="Arial" w:hAnsi="Arial"/>
                <w:sz w:val="18"/>
                <w:szCs w:val="18"/>
                <w:color w:val="auto"/>
              </w:rPr>
              <w:t>(9,751)</w:t>
            </w:r>
          </w:p>
        </w:tc>
        <w:tc>
          <w:tcPr>
            <w:tcW w:w="860" w:type="dxa"/>
            <w:vAlign w:val="bottom"/>
            <w:gridSpan w:val="4"/>
          </w:tcPr>
          <w:p>
            <w:pPr>
              <w:jc w:val="right"/>
              <w:ind w:right="60"/>
              <w:spacing w:after="0"/>
              <w:rPr>
                <w:sz w:val="20"/>
                <w:szCs w:val="20"/>
                <w:color w:val="auto"/>
              </w:rPr>
            </w:pPr>
            <w:r>
              <w:rPr>
                <w:rFonts w:ascii="Arial" w:cs="Arial" w:eastAsia="Arial" w:hAnsi="Arial"/>
                <w:sz w:val="18"/>
                <w:szCs w:val="18"/>
                <w:color w:val="auto"/>
              </w:rPr>
              <w:t>18,064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9"/>
              </w:rPr>
              <w:t>Less: reclassification adjustment for gains realized in net income</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1,063</w:t>
            </w:r>
          </w:p>
        </w:tc>
        <w:tc>
          <w:tcPr>
            <w:tcW w:w="260" w:type="dxa"/>
            <w:vAlign w:val="bottom"/>
            <w:shd w:val="clear" w:color="auto" w:fill="CCEEFF"/>
          </w:tcPr>
          <w:p>
            <w:pPr>
              <w:spacing w:after="0"/>
              <w:rPr>
                <w:sz w:val="18"/>
                <w:szCs w:val="18"/>
                <w:color w:val="auto"/>
              </w:rPr>
            </w:pPr>
          </w:p>
        </w:tc>
        <w:tc>
          <w:tcPr>
            <w:tcW w:w="420" w:type="dxa"/>
            <w:vAlign w:val="bottom"/>
            <w:gridSpan w:val="3"/>
            <w:shd w:val="clear" w:color="auto" w:fill="CCEEFF"/>
          </w:tcPr>
          <w:p>
            <w:pPr>
              <w:spacing w:after="0"/>
              <w:rPr>
                <w:sz w:val="18"/>
                <w:szCs w:val="18"/>
                <w:color w:val="auto"/>
              </w:rPr>
            </w:pPr>
          </w:p>
        </w:tc>
        <w:tc>
          <w:tcPr>
            <w:tcW w:w="12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(406)</w:t>
            </w:r>
          </w:p>
        </w:tc>
        <w:tc>
          <w:tcPr>
            <w:tcW w:w="8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657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3"/>
          </w:tcPr>
          <w:p>
            <w:pPr>
              <w:jc w:val="right"/>
              <w:ind w:right="260"/>
              <w:spacing w:after="0"/>
              <w:rPr>
                <w:sz w:val="20"/>
                <w:szCs w:val="20"/>
                <w:color w:val="auto"/>
              </w:rPr>
            </w:pPr>
            <w:r>
              <w:rPr>
                <w:rFonts w:ascii="Arial" w:cs="Arial" w:eastAsia="Arial" w:hAnsi="Arial"/>
                <w:sz w:val="18"/>
                <w:szCs w:val="18"/>
                <w:color w:val="auto"/>
              </w:rPr>
              <w:t>26,752</w:t>
            </w:r>
          </w:p>
        </w:tc>
        <w:tc>
          <w:tcPr>
            <w:tcW w:w="1660" w:type="dxa"/>
            <w:vAlign w:val="bottom"/>
            <w:gridSpan w:val="6"/>
          </w:tcPr>
          <w:p>
            <w:pPr>
              <w:jc w:val="right"/>
              <w:ind w:right="500"/>
              <w:spacing w:after="0"/>
              <w:rPr>
                <w:sz w:val="20"/>
                <w:szCs w:val="20"/>
                <w:color w:val="auto"/>
              </w:rPr>
            </w:pPr>
            <w:r>
              <w:rPr>
                <w:rFonts w:ascii="Arial" w:cs="Arial" w:eastAsia="Arial" w:hAnsi="Arial"/>
                <w:sz w:val="18"/>
                <w:szCs w:val="18"/>
                <w:color w:val="auto"/>
              </w:rPr>
              <w:t>(9,345)</w:t>
            </w:r>
          </w:p>
        </w:tc>
        <w:tc>
          <w:tcPr>
            <w:tcW w:w="860" w:type="dxa"/>
            <w:vAlign w:val="bottom"/>
            <w:gridSpan w:val="4"/>
          </w:tcPr>
          <w:p>
            <w:pPr>
              <w:jc w:val="right"/>
              <w:ind w:right="60"/>
              <w:spacing w:after="0"/>
              <w:rPr>
                <w:sz w:val="20"/>
                <w:szCs w:val="20"/>
                <w:color w:val="auto"/>
              </w:rPr>
            </w:pPr>
            <w:r>
              <w:rPr>
                <w:rFonts w:ascii="Arial" w:cs="Arial" w:eastAsia="Arial" w:hAnsi="Arial"/>
                <w:sz w:val="18"/>
                <w:szCs w:val="18"/>
                <w:color w:val="auto"/>
              </w:rPr>
              <w:t>17,407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0" w:type="dxa"/>
            <w:vAlign w:val="bottom"/>
            <w:gridSpan w:val="5"/>
            <w:vMerge w:val="restart"/>
          </w:tcPr>
          <w:p>
            <w:pPr>
              <w:ind w:left="200"/>
              <w:spacing w:after="0"/>
              <w:rPr>
                <w:sz w:val="20"/>
                <w:szCs w:val="20"/>
                <w:color w:val="auto"/>
              </w:rPr>
            </w:pPr>
            <w:r>
              <w:rPr>
                <w:rFonts w:ascii="Arial" w:cs="Arial" w:eastAsia="Arial" w:hAnsi="Arial"/>
                <w:sz w:val="18"/>
                <w:szCs w:val="18"/>
                <w:color w:val="auto"/>
                <w:w w:val="92"/>
              </w:rPr>
              <w:t>Accumulated other comprehensive income (loss), net consisted of unrealized gains (losses) as follows:</w:t>
            </w: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7800" w:type="dxa"/>
            <w:vAlign w:val="bottom"/>
            <w:gridSpan w:val="5"/>
            <w:vMerge w:val="continue"/>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gridSpan w:val="3"/>
          </w:tcPr>
          <w:p>
            <w:pPr>
              <w:jc w:val="center"/>
              <w:ind w:right="560"/>
              <w:spacing w:after="0"/>
              <w:rPr>
                <w:sz w:val="20"/>
                <w:szCs w:val="20"/>
                <w:color w:val="auto"/>
              </w:rPr>
            </w:pPr>
            <w:r>
              <w:rPr>
                <w:rFonts w:ascii="Arial" w:cs="Arial" w:eastAsia="Arial" w:hAnsi="Arial"/>
                <w:sz w:val="14"/>
                <w:szCs w:val="14"/>
                <w:color w:val="auto"/>
                <w:w w:val="91"/>
              </w:rPr>
              <w:t>Cash</w:t>
            </w: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20" w:type="dxa"/>
            <w:vAlign w:val="bottom"/>
            <w:gridSpan w:val="4"/>
          </w:tcPr>
          <w:p>
            <w:pPr>
              <w:jc w:val="center"/>
              <w:ind w:right="700"/>
              <w:spacing w:after="0"/>
              <w:rPr>
                <w:sz w:val="20"/>
                <w:szCs w:val="20"/>
                <w:color w:val="auto"/>
              </w:rPr>
            </w:pPr>
            <w:r>
              <w:rPr>
                <w:rFonts w:ascii="Arial" w:cs="Arial" w:eastAsia="Arial" w:hAnsi="Arial"/>
                <w:sz w:val="14"/>
                <w:szCs w:val="14"/>
                <w:color w:val="auto"/>
                <w:w w:val="95"/>
              </w:rPr>
              <w:t>Defined</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40" w:type="dxa"/>
            <w:vAlign w:val="bottom"/>
            <w:gridSpan w:val="3"/>
          </w:tcPr>
          <w:p>
            <w:pPr>
              <w:jc w:val="right"/>
              <w:ind w:right="740"/>
              <w:spacing w:after="0" w:line="149" w:lineRule="exact"/>
              <w:rPr>
                <w:sz w:val="20"/>
                <w:szCs w:val="20"/>
                <w:color w:val="auto"/>
              </w:rPr>
            </w:pPr>
            <w:r>
              <w:rPr>
                <w:rFonts w:ascii="Arial" w:cs="Arial" w:eastAsia="Arial" w:hAnsi="Arial"/>
                <w:sz w:val="14"/>
                <w:szCs w:val="14"/>
                <w:color w:val="auto"/>
                <w:w w:val="99"/>
              </w:rPr>
              <w:t>Investment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3"/>
          </w:tcPr>
          <w:p>
            <w:pPr>
              <w:jc w:val="center"/>
              <w:ind w:right="560"/>
              <w:spacing w:after="0" w:line="149" w:lineRule="exact"/>
              <w:rPr>
                <w:sz w:val="20"/>
                <w:szCs w:val="20"/>
                <w:color w:val="auto"/>
              </w:rPr>
            </w:pPr>
            <w:r>
              <w:rPr>
                <w:rFonts w:ascii="Arial" w:cs="Arial" w:eastAsia="Arial" w:hAnsi="Arial"/>
                <w:sz w:val="14"/>
                <w:szCs w:val="14"/>
                <w:color w:val="auto"/>
              </w:rPr>
              <w:t>flow</w:t>
            </w: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3"/>
          </w:tcPr>
          <w:p>
            <w:pPr>
              <w:jc w:val="center"/>
              <w:ind w:right="800"/>
              <w:spacing w:after="0" w:line="149" w:lineRule="exact"/>
              <w:rPr>
                <w:sz w:val="20"/>
                <w:szCs w:val="20"/>
                <w:color w:val="auto"/>
              </w:rPr>
            </w:pPr>
            <w:r>
              <w:rPr>
                <w:rFonts w:ascii="Arial" w:cs="Arial" w:eastAsia="Arial" w:hAnsi="Arial"/>
                <w:sz w:val="14"/>
                <w:szCs w:val="14"/>
                <w:color w:val="auto"/>
                <w:w w:val="95"/>
              </w:rPr>
              <w:t>benefit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color w:val="auto"/>
                <w:w w:val="91"/>
              </w:rPr>
              <w:t>securities</w:t>
            </w:r>
          </w:p>
        </w:tc>
        <w:tc>
          <w:tcPr>
            <w:tcW w:w="6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87"/>
              </w:rPr>
              <w:t>hedges</w:t>
            </w:r>
          </w:p>
        </w:tc>
        <w:tc>
          <w:tcPr>
            <w:tcW w:w="380" w:type="dxa"/>
            <w:vAlign w:val="bottom"/>
            <w:gridSpan w:val="2"/>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center"/>
              <w:ind w:right="24"/>
              <w:spacing w:after="0"/>
              <w:rPr>
                <w:sz w:val="20"/>
                <w:szCs w:val="20"/>
                <w:color w:val="auto"/>
              </w:rPr>
            </w:pPr>
            <w:r>
              <w:rPr>
                <w:rFonts w:ascii="Arial" w:cs="Arial" w:eastAsia="Arial" w:hAnsi="Arial"/>
                <w:sz w:val="14"/>
                <w:szCs w:val="14"/>
                <w:color w:val="auto"/>
                <w:w w:val="89"/>
              </w:rPr>
              <w:t>plans</w:t>
            </w:r>
          </w:p>
        </w:tc>
        <w:tc>
          <w:tcPr>
            <w:tcW w:w="12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4"/>
          </w:tcPr>
          <w:p>
            <w:pPr>
              <w:jc w:val="right"/>
              <w:ind w:right="560"/>
              <w:spacing w:after="0"/>
              <w:rPr>
                <w:sz w:val="20"/>
                <w:szCs w:val="20"/>
                <w:color w:val="auto"/>
              </w:rPr>
            </w:pPr>
            <w:r>
              <w:rPr>
                <w:rFonts w:ascii="Arial" w:cs="Arial" w:eastAsia="Arial" w:hAnsi="Arial"/>
                <w:sz w:val="14"/>
                <w:szCs w:val="14"/>
                <w:color w:val="auto"/>
                <w:w w:val="89"/>
              </w:rPr>
              <w:t>Total</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20" w:type="dxa"/>
            <w:vAlign w:val="bottom"/>
            <w:gridSpan w:val="9"/>
          </w:tcPr>
          <w:p>
            <w:pPr>
              <w:jc w:val="right"/>
              <w:ind w:right="1280"/>
              <w:spacing w:after="0" w:line="142" w:lineRule="exact"/>
              <w:rPr>
                <w:sz w:val="20"/>
                <w:szCs w:val="20"/>
                <w:color w:val="auto"/>
              </w:rPr>
            </w:pPr>
            <w:r>
              <w:rPr>
                <w:rFonts w:ascii="Arial" w:cs="Arial" w:eastAsia="Arial" w:hAnsi="Arial"/>
                <w:sz w:val="14"/>
                <w:szCs w:val="14"/>
                <w:color w:val="auto"/>
              </w:rPr>
              <w:t>(in thousands)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Balance - January 1, 2008</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right w:val="single" w:sz="8" w:color="CCEEFF"/>
            </w:tcBorders>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(59,406)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(8,931)</w:t>
            </w:r>
          </w:p>
        </w:tc>
        <w:tc>
          <w:tcPr>
            <w:tcW w:w="26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(46,485)</w:t>
            </w:r>
          </w:p>
        </w:tc>
        <w:tc>
          <w:tcPr>
            <w:tcW w:w="56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(114,822)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5340" w:type="dxa"/>
            <w:vAlign w:val="bottom"/>
            <w:gridSpan w:val="2"/>
          </w:tcPr>
          <w:p>
            <w:pPr>
              <w:spacing w:after="0"/>
              <w:rPr>
                <w:sz w:val="20"/>
                <w:szCs w:val="20"/>
                <w:color w:val="auto"/>
              </w:rPr>
            </w:pPr>
            <w:r>
              <w:rPr>
                <w:rFonts w:ascii="Arial" w:cs="Arial" w:eastAsia="Arial" w:hAnsi="Arial"/>
                <w:sz w:val="18"/>
                <w:szCs w:val="18"/>
                <w:color w:val="auto"/>
              </w:rPr>
              <w:t>Net gain (loss) during period</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w w:val="90"/>
              </w:rPr>
              <w:t>(134,813)</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91"/>
              </w:rPr>
              <w:t>(9,644)</w:t>
            </w:r>
          </w:p>
        </w:tc>
        <w:tc>
          <w:tcPr>
            <w:tcW w:w="260" w:type="dxa"/>
            <w:vAlign w:val="bottom"/>
          </w:tcPr>
          <w:p>
            <w:pPr>
              <w:spacing w:after="0"/>
              <w:rPr>
                <w:sz w:val="24"/>
                <w:szCs w:val="24"/>
                <w:color w:val="auto"/>
              </w:rPr>
            </w:pPr>
          </w:p>
        </w:tc>
        <w:tc>
          <w:tcPr>
            <w:tcW w:w="1100" w:type="dxa"/>
            <w:vAlign w:val="bottom"/>
            <w:gridSpan w:val="5"/>
          </w:tcPr>
          <w:p>
            <w:pPr>
              <w:jc w:val="right"/>
              <w:ind w:right="60"/>
              <w:spacing w:after="0"/>
              <w:rPr>
                <w:sz w:val="20"/>
                <w:szCs w:val="20"/>
                <w:color w:val="auto"/>
              </w:rPr>
            </w:pPr>
            <w:r>
              <w:rPr>
                <w:rFonts w:ascii="Arial" w:cs="Arial" w:eastAsia="Arial" w:hAnsi="Arial"/>
                <w:sz w:val="18"/>
                <w:szCs w:val="18"/>
                <w:color w:val="auto"/>
              </w:rPr>
              <w:t>(205)</w:t>
            </w:r>
          </w:p>
        </w:tc>
        <w:tc>
          <w:tcPr>
            <w:tcW w:w="560" w:type="dxa"/>
            <w:vAlign w:val="bottom"/>
          </w:tcPr>
          <w:p>
            <w:pPr>
              <w:spacing w:after="0"/>
              <w:rPr>
                <w:sz w:val="24"/>
                <w:szCs w:val="24"/>
                <w:color w:val="auto"/>
              </w:rPr>
            </w:pPr>
          </w:p>
        </w:tc>
        <w:tc>
          <w:tcPr>
            <w:tcW w:w="860" w:type="dxa"/>
            <w:vAlign w:val="bottom"/>
            <w:gridSpan w:val="4"/>
          </w:tcPr>
          <w:p>
            <w:pPr>
              <w:jc w:val="right"/>
              <w:ind w:right="40"/>
              <w:spacing w:after="0"/>
              <w:rPr>
                <w:sz w:val="20"/>
                <w:szCs w:val="20"/>
                <w:color w:val="auto"/>
              </w:rPr>
            </w:pPr>
            <w:r>
              <w:rPr>
                <w:rFonts w:ascii="Arial" w:cs="Arial" w:eastAsia="Arial" w:hAnsi="Arial"/>
                <w:sz w:val="18"/>
                <w:szCs w:val="18"/>
                <w:color w:val="auto"/>
              </w:rPr>
              <w:t>(144,662)</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Balance - March 31, 2008</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1340" w:type="dxa"/>
            <w:vAlign w:val="bottom"/>
            <w:tcBorders>
              <w:right w:val="single" w:sz="8" w:color="CCEEFF"/>
            </w:tcBorders>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0"/>
              </w:rPr>
              <w:t>(194,219)</w:t>
            </w:r>
          </w:p>
        </w:tc>
        <w:tc>
          <w:tcPr>
            <w:tcW w:w="7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(18,575)</w:t>
            </w:r>
          </w:p>
        </w:tc>
        <w:tc>
          <w:tcPr>
            <w:tcW w:w="26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(46,690)</w:t>
            </w:r>
          </w:p>
        </w:tc>
        <w:tc>
          <w:tcPr>
            <w:tcW w:w="56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(259,484)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4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340" w:type="dxa"/>
            <w:vAlign w:val="bottom"/>
            <w:gridSpan w:val="2"/>
          </w:tcPr>
          <w:p>
            <w:pPr>
              <w:spacing w:after="0"/>
              <w:rPr>
                <w:sz w:val="20"/>
                <w:szCs w:val="20"/>
                <w:color w:val="auto"/>
              </w:rPr>
            </w:pPr>
            <w:r>
              <w:rPr>
                <w:rFonts w:ascii="Arial" w:cs="Arial" w:eastAsia="Arial" w:hAnsi="Arial"/>
                <w:sz w:val="18"/>
                <w:szCs w:val="18"/>
                <w:color w:val="auto"/>
              </w:rPr>
              <w:t>Balance - January 1, 2007</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rPr>
              <w:t>(25,311)</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1100" w:type="dxa"/>
            <w:vAlign w:val="bottom"/>
            <w:gridSpan w:val="5"/>
          </w:tcPr>
          <w:p>
            <w:pPr>
              <w:jc w:val="right"/>
              <w:ind w:right="60"/>
              <w:spacing w:after="0"/>
              <w:rPr>
                <w:sz w:val="20"/>
                <w:szCs w:val="20"/>
                <w:color w:val="auto"/>
              </w:rPr>
            </w:pPr>
            <w:r>
              <w:rPr>
                <w:rFonts w:ascii="Arial" w:cs="Arial" w:eastAsia="Arial" w:hAnsi="Arial"/>
                <w:sz w:val="18"/>
                <w:szCs w:val="18"/>
                <w:color w:val="auto"/>
              </w:rPr>
              <w:t>(28,263)</w:t>
            </w:r>
          </w:p>
        </w:tc>
        <w:tc>
          <w:tcPr>
            <w:tcW w:w="560" w:type="dxa"/>
            <w:vAlign w:val="bottom"/>
          </w:tcPr>
          <w:p>
            <w:pPr>
              <w:spacing w:after="0"/>
              <w:rPr>
                <w:sz w:val="24"/>
                <w:szCs w:val="24"/>
                <w:color w:val="auto"/>
              </w:rPr>
            </w:pPr>
          </w:p>
        </w:tc>
        <w:tc>
          <w:tcPr>
            <w:tcW w:w="860" w:type="dxa"/>
            <w:vAlign w:val="bottom"/>
            <w:gridSpan w:val="4"/>
          </w:tcPr>
          <w:p>
            <w:pPr>
              <w:jc w:val="right"/>
              <w:ind w:right="40"/>
              <w:spacing w:after="0"/>
              <w:rPr>
                <w:sz w:val="20"/>
                <w:szCs w:val="20"/>
                <w:color w:val="auto"/>
              </w:rPr>
            </w:pPr>
            <w:r>
              <w:rPr>
                <w:rFonts w:ascii="Arial" w:cs="Arial" w:eastAsia="Arial" w:hAnsi="Arial"/>
                <w:sz w:val="18"/>
                <w:szCs w:val="18"/>
                <w:color w:val="auto"/>
              </w:rPr>
              <w:t>(53,574)</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gridSpan w:val="2"/>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gridSpan w:val="3"/>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Net gain (loss) during period</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17,407</w:t>
            </w:r>
          </w:p>
        </w:tc>
        <w:tc>
          <w:tcPr>
            <w:tcW w:w="6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17,407</w:t>
            </w:r>
          </w:p>
        </w:tc>
        <w:tc>
          <w:tcPr>
            <w:tcW w:w="100" w:type="dxa"/>
            <w:vAlign w:val="bottom"/>
            <w:tcBorders>
              <w:left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4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gridSpan w:val="3"/>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60" w:type="dxa"/>
            <w:vAlign w:val="bottom"/>
            <w:gridSpan w:val="3"/>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5340" w:type="dxa"/>
            <w:vAlign w:val="bottom"/>
            <w:gridSpan w:val="2"/>
          </w:tcPr>
          <w:p>
            <w:pPr>
              <w:spacing w:after="0"/>
              <w:rPr>
                <w:sz w:val="20"/>
                <w:szCs w:val="20"/>
                <w:color w:val="auto"/>
              </w:rPr>
            </w:pPr>
            <w:r>
              <w:rPr>
                <w:rFonts w:ascii="Arial" w:cs="Arial" w:eastAsia="Arial" w:hAnsi="Arial"/>
                <w:sz w:val="18"/>
                <w:szCs w:val="18"/>
                <w:color w:val="auto"/>
              </w:rPr>
              <w:t>Balance - March 31, 2007</w:t>
            </w:r>
          </w:p>
        </w:tc>
        <w:tc>
          <w:tcPr>
            <w:tcW w:w="104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rPr>
              <w:t>(7,904)</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1100" w:type="dxa"/>
            <w:vAlign w:val="bottom"/>
            <w:gridSpan w:val="5"/>
          </w:tcPr>
          <w:p>
            <w:pPr>
              <w:jc w:val="right"/>
              <w:ind w:right="60"/>
              <w:spacing w:after="0"/>
              <w:rPr>
                <w:sz w:val="20"/>
                <w:szCs w:val="20"/>
                <w:color w:val="auto"/>
              </w:rPr>
            </w:pPr>
            <w:r>
              <w:rPr>
                <w:rFonts w:ascii="Arial" w:cs="Arial" w:eastAsia="Arial" w:hAnsi="Arial"/>
                <w:sz w:val="18"/>
                <w:szCs w:val="18"/>
                <w:color w:val="auto"/>
              </w:rPr>
              <w:t>(28,263)</w:t>
            </w:r>
          </w:p>
        </w:tc>
        <w:tc>
          <w:tcPr>
            <w:tcW w:w="560" w:type="dxa"/>
            <w:vAlign w:val="bottom"/>
          </w:tcPr>
          <w:p>
            <w:pPr>
              <w:spacing w:after="0"/>
              <w:rPr>
                <w:sz w:val="24"/>
                <w:szCs w:val="24"/>
                <w:color w:val="auto"/>
              </w:rPr>
            </w:pPr>
          </w:p>
        </w:tc>
        <w:tc>
          <w:tcPr>
            <w:tcW w:w="860" w:type="dxa"/>
            <w:vAlign w:val="bottom"/>
            <w:gridSpan w:val="4"/>
          </w:tcPr>
          <w:p>
            <w:pPr>
              <w:jc w:val="right"/>
              <w:ind w:right="40"/>
              <w:spacing w:after="0"/>
              <w:rPr>
                <w:sz w:val="20"/>
                <w:szCs w:val="20"/>
                <w:color w:val="auto"/>
              </w:rPr>
            </w:pPr>
            <w:r>
              <w:rPr>
                <w:rFonts w:ascii="Arial" w:cs="Arial" w:eastAsia="Arial" w:hAnsi="Arial"/>
                <w:sz w:val="18"/>
                <w:szCs w:val="18"/>
                <w:color w:val="auto"/>
              </w:rPr>
              <w:t>(36,167)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1040" w:type="dxa"/>
            <w:vAlign w:val="bottom"/>
            <w:vMerge w:val="restart"/>
          </w:tcPr>
          <w:p>
            <w:pPr>
              <w:jc w:val="right"/>
              <w:ind w:right="430"/>
              <w:spacing w:after="0"/>
              <w:rPr>
                <w:sz w:val="20"/>
                <w:szCs w:val="20"/>
                <w:color w:val="auto"/>
              </w:rPr>
            </w:pPr>
            <w:r>
              <w:rPr>
                <w:rFonts w:ascii="Arial" w:cs="Arial" w:eastAsia="Arial" w:hAnsi="Arial"/>
                <w:sz w:val="18"/>
                <w:szCs w:val="18"/>
                <w:color w:val="auto"/>
              </w:rPr>
              <w:t>- 8 -</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10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320" w:type="dxa"/>
            <w:vAlign w:val="bottom"/>
            <w:tcBorders>
              <w:bottom w:val="single" w:sz="8" w:color="808080"/>
            </w:tcBorders>
          </w:tcPr>
          <w:p>
            <w:pPr>
              <w:spacing w:after="0"/>
              <w:rPr>
                <w:sz w:val="19"/>
                <w:szCs w:val="19"/>
                <w:color w:val="auto"/>
              </w:rPr>
            </w:pPr>
          </w:p>
        </w:tc>
        <w:tc>
          <w:tcPr>
            <w:tcW w:w="10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Borrowings</w:t>
      </w:r>
    </w:p>
    <w:p>
      <w:pPr>
        <w:spacing w:after="0" w:line="12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M&amp;T Capital Trust I (“Trust I”), M&amp;T Capital Trust II (“Trust II”), and M&amp;T Capital Trust III (“Trust III”) have issued fixed rate preferred capital securities aggregating $310 million. First Maryland Capital I (“Trust V”) and First Maryland Capital II (“Trust VI”) have issued floating rate preferred capital securities aggregating $300 million. The distribution rates on the preferred capital securities of Trust V and Trust VI adjust quarterly based on changes in the three-month London Interbank Offered Rate (“LIBOR”) and were 5.26% and 4.09%, respectively, at March 31, 2008 and 6.24% and 5.76%, respectively, at December 31, 2007. As a result of an acquisition in the fourth quarter of 2007, M&amp;T assumed responsibility for $31.5 million of similar preferred capital securities previously issued by special-purpose entities consisting of $16.5 million of fixed rate preferred capital securities issued by BSB Capital Trust I (“Trust VII”) and $15 million of floating rate preferred capital securities issued by BSB Capital Trust III (“Trust VIII”). The distribution rate on the preferred capital securities of Trust VIII adjusts quarterly based on changes in the three-month LIBOR and was 7.61% at March 31, 2008 and 8.59% at December 31, 2007. On January 31, 2008 M&amp;T Capital Trust IV (“Trust IV”), a Delaware business trust, issued $350 million of 8.50% fixed rate Enhanced Trust Preferred Securities (“8.50% Enhanced Trust Preferred Securities”). Trust I, Trust II, Trust III, Trust IV, Trust V, Trust VI, Trust VII and Trust VIII are referred to herein collectively as the “Trusts.”</w:t>
      </w:r>
    </w:p>
    <w:p>
      <w:pPr>
        <w:spacing w:after="0" w:line="75" w:lineRule="exact"/>
        <w:rPr>
          <w:sz w:val="20"/>
          <w:szCs w:val="20"/>
          <w:color w:val="auto"/>
        </w:rPr>
      </w:pPr>
    </w:p>
    <w:p>
      <w:pPr>
        <w:ind w:right="100" w:firstLine="225"/>
        <w:spacing w:after="0" w:line="277" w:lineRule="auto"/>
        <w:rPr>
          <w:sz w:val="20"/>
          <w:szCs w:val="20"/>
          <w:color w:val="auto"/>
        </w:rPr>
      </w:pPr>
      <w:r>
        <w:rPr>
          <w:rFonts w:ascii="Arial" w:cs="Arial" w:eastAsia="Arial" w:hAnsi="Arial"/>
          <w:sz w:val="18"/>
          <w:szCs w:val="18"/>
          <w:color w:val="auto"/>
        </w:rPr>
        <w:t>Other than the following payment terms (and the redemption and certain other terms described below), the preferred capital securities issued by the Trusts (“Capital Securities”) are substantially identical in all material respects: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540" w:type="dxa"/>
            <w:vAlign w:val="bottom"/>
          </w:tcPr>
          <w:p>
            <w:pPr>
              <w:jc w:val="center"/>
              <w:spacing w:after="0"/>
              <w:rPr>
                <w:sz w:val="20"/>
                <w:szCs w:val="20"/>
                <w:color w:val="auto"/>
              </w:rPr>
            </w:pPr>
            <w:r>
              <w:rPr>
                <w:rFonts w:ascii="Arial" w:cs="Arial" w:eastAsia="Arial" w:hAnsi="Arial"/>
                <w:sz w:val="14"/>
                <w:szCs w:val="14"/>
                <w:color w:val="auto"/>
                <w:w w:val="99"/>
              </w:rPr>
              <w:t>Distribution</w:t>
            </w:r>
          </w:p>
        </w:tc>
        <w:tc>
          <w:tcPr>
            <w:tcW w:w="1220" w:type="dxa"/>
            <w:vAlign w:val="bottom"/>
          </w:tcPr>
          <w:p>
            <w:pPr>
              <w:spacing w:after="0"/>
              <w:rPr>
                <w:sz w:val="14"/>
                <w:szCs w:val="14"/>
                <w:color w:val="auto"/>
              </w:rPr>
            </w:pPr>
          </w:p>
        </w:tc>
        <w:tc>
          <w:tcPr>
            <w:tcW w:w="4240" w:type="dxa"/>
            <w:vAlign w:val="bottom"/>
          </w:tcPr>
          <w:p>
            <w:pPr>
              <w:ind w:left="1780"/>
              <w:spacing w:after="0"/>
              <w:rPr>
                <w:sz w:val="20"/>
                <w:szCs w:val="20"/>
                <w:color w:val="auto"/>
              </w:rPr>
            </w:pPr>
            <w:r>
              <w:rPr>
                <w:rFonts w:ascii="Arial" w:cs="Arial" w:eastAsia="Arial" w:hAnsi="Arial"/>
                <w:sz w:val="14"/>
                <w:szCs w:val="14"/>
                <w:color w:val="auto"/>
              </w:rPr>
              <w:t>Distribution</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20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Trust</w:t>
            </w:r>
          </w:p>
        </w:tc>
        <w:tc>
          <w:tcPr>
            <w:tcW w:w="1200" w:type="dxa"/>
            <w:vAlign w:val="bottom"/>
          </w:tcPr>
          <w:p>
            <w:pPr>
              <w:spacing w:after="0"/>
              <w:rPr>
                <w:sz w:val="14"/>
                <w:szCs w:val="14"/>
                <w:color w:val="auto"/>
              </w:rPr>
            </w:pPr>
          </w:p>
        </w:tc>
        <w:tc>
          <w:tcPr>
            <w:tcW w:w="25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rate</w:t>
            </w:r>
          </w:p>
        </w:tc>
        <w:tc>
          <w:tcPr>
            <w:tcW w:w="1220" w:type="dxa"/>
            <w:vAlign w:val="bottom"/>
          </w:tcPr>
          <w:p>
            <w:pPr>
              <w:spacing w:after="0"/>
              <w:rPr>
                <w:sz w:val="14"/>
                <w:szCs w:val="14"/>
                <w:color w:val="auto"/>
              </w:rPr>
            </w:pPr>
          </w:p>
        </w:tc>
        <w:tc>
          <w:tcPr>
            <w:tcW w:w="4240" w:type="dxa"/>
            <w:vAlign w:val="bottom"/>
            <w:tcBorders>
              <w:bottom w:val="single" w:sz="8" w:color="auto"/>
            </w:tcBorders>
          </w:tcPr>
          <w:p>
            <w:pPr>
              <w:ind w:left="1980"/>
              <w:spacing w:after="0"/>
              <w:rPr>
                <w:sz w:val="20"/>
                <w:szCs w:val="20"/>
                <w:color w:val="auto"/>
              </w:rPr>
            </w:pPr>
            <w:r>
              <w:rPr>
                <w:rFonts w:ascii="Arial" w:cs="Arial" w:eastAsia="Arial" w:hAnsi="Arial"/>
                <w:sz w:val="14"/>
                <w:szCs w:val="14"/>
                <w:color w:val="auto"/>
              </w:rPr>
              <w:t>dates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Trust I</w:t>
            </w:r>
          </w:p>
        </w:tc>
        <w:tc>
          <w:tcPr>
            <w:tcW w:w="3740" w:type="dxa"/>
            <w:vAlign w:val="bottom"/>
            <w:gridSpan w:val="2"/>
            <w:shd w:val="clear" w:color="auto" w:fill="CCEEFF"/>
          </w:tcPr>
          <w:p>
            <w:pPr>
              <w:jc w:val="right"/>
              <w:ind w:right="874"/>
              <w:spacing w:after="0"/>
              <w:rPr>
                <w:sz w:val="20"/>
                <w:szCs w:val="20"/>
                <w:color w:val="auto"/>
              </w:rPr>
            </w:pPr>
            <w:r>
              <w:rPr>
                <w:rFonts w:ascii="Arial" w:cs="Arial" w:eastAsia="Arial" w:hAnsi="Arial"/>
                <w:sz w:val="18"/>
                <w:szCs w:val="18"/>
                <w:color w:val="auto"/>
              </w:rPr>
              <w:t>8.234%</w:t>
            </w:r>
          </w:p>
        </w:tc>
        <w:tc>
          <w:tcPr>
            <w:tcW w:w="1220" w:type="dxa"/>
            <w:vAlign w:val="bottom"/>
            <w:shd w:val="clear" w:color="auto" w:fill="CCEEFF"/>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February 1 and August 1</w:t>
            </w:r>
          </w:p>
        </w:tc>
        <w:tc>
          <w:tcPr>
            <w:tcW w:w="0" w:type="dxa"/>
            <w:vAlign w:val="bottom"/>
          </w:tcPr>
          <w:p>
            <w:pPr>
              <w:spacing w:after="0"/>
              <w:rPr>
                <w:sz w:val="1"/>
                <w:szCs w:val="1"/>
                <w:color w:val="auto"/>
              </w:rPr>
            </w:pPr>
          </w:p>
        </w:tc>
      </w:tr>
      <w:tr>
        <w:trPr>
          <w:trHeight w:val="432"/>
        </w:trPr>
        <w:tc>
          <w:tcPr>
            <w:tcW w:w="2220" w:type="dxa"/>
            <w:vAlign w:val="bottom"/>
            <w:gridSpan w:val="2"/>
          </w:tcPr>
          <w:p>
            <w:pPr>
              <w:spacing w:after="0"/>
              <w:rPr>
                <w:sz w:val="20"/>
                <w:szCs w:val="20"/>
                <w:color w:val="auto"/>
              </w:rPr>
            </w:pPr>
            <w:r>
              <w:rPr>
                <w:rFonts w:ascii="Arial" w:cs="Arial" w:eastAsia="Arial" w:hAnsi="Arial"/>
                <w:sz w:val="18"/>
                <w:szCs w:val="18"/>
                <w:color w:val="auto"/>
              </w:rPr>
              <w:t>Trust II</w:t>
            </w:r>
          </w:p>
        </w:tc>
        <w:tc>
          <w:tcPr>
            <w:tcW w:w="3740" w:type="dxa"/>
            <w:vAlign w:val="bottom"/>
            <w:gridSpan w:val="2"/>
          </w:tcPr>
          <w:p>
            <w:pPr>
              <w:jc w:val="right"/>
              <w:ind w:right="874"/>
              <w:spacing w:after="0"/>
              <w:rPr>
                <w:sz w:val="20"/>
                <w:szCs w:val="20"/>
                <w:color w:val="auto"/>
              </w:rPr>
            </w:pPr>
            <w:r>
              <w:rPr>
                <w:rFonts w:ascii="Arial" w:cs="Arial" w:eastAsia="Arial" w:hAnsi="Arial"/>
                <w:sz w:val="18"/>
                <w:szCs w:val="18"/>
                <w:color w:val="auto"/>
              </w:rPr>
              <w:t>8.277%</w:t>
            </w:r>
          </w:p>
        </w:tc>
        <w:tc>
          <w:tcPr>
            <w:tcW w:w="1220" w:type="dxa"/>
            <w:vAlign w:val="bottom"/>
          </w:tcPr>
          <w:p>
            <w:pPr>
              <w:spacing w:after="0"/>
              <w:rPr>
                <w:sz w:val="24"/>
                <w:szCs w:val="24"/>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June 1 and December 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Trust III</w:t>
            </w:r>
          </w:p>
        </w:tc>
        <w:tc>
          <w:tcPr>
            <w:tcW w:w="3740" w:type="dxa"/>
            <w:vAlign w:val="bottom"/>
            <w:gridSpan w:val="2"/>
            <w:shd w:val="clear" w:color="auto" w:fill="CCEEFF"/>
          </w:tcPr>
          <w:p>
            <w:pPr>
              <w:jc w:val="right"/>
              <w:ind w:right="874"/>
              <w:spacing w:after="0"/>
              <w:rPr>
                <w:sz w:val="20"/>
                <w:szCs w:val="20"/>
                <w:color w:val="auto"/>
              </w:rPr>
            </w:pPr>
            <w:r>
              <w:rPr>
                <w:rFonts w:ascii="Arial" w:cs="Arial" w:eastAsia="Arial" w:hAnsi="Arial"/>
                <w:sz w:val="18"/>
                <w:szCs w:val="18"/>
                <w:color w:val="auto"/>
              </w:rPr>
              <w:t>9.25%</w:t>
            </w:r>
          </w:p>
        </w:tc>
        <w:tc>
          <w:tcPr>
            <w:tcW w:w="1220" w:type="dxa"/>
            <w:vAlign w:val="bottom"/>
            <w:shd w:val="clear" w:color="auto" w:fill="CCEEFF"/>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February 1 and August 1</w:t>
            </w:r>
          </w:p>
        </w:tc>
        <w:tc>
          <w:tcPr>
            <w:tcW w:w="0" w:type="dxa"/>
            <w:vAlign w:val="bottom"/>
          </w:tcPr>
          <w:p>
            <w:pPr>
              <w:spacing w:after="0"/>
              <w:rPr>
                <w:sz w:val="1"/>
                <w:szCs w:val="1"/>
                <w:color w:val="auto"/>
              </w:rPr>
            </w:pPr>
          </w:p>
        </w:tc>
      </w:tr>
      <w:tr>
        <w:trPr>
          <w:trHeight w:val="432"/>
        </w:trPr>
        <w:tc>
          <w:tcPr>
            <w:tcW w:w="2220" w:type="dxa"/>
            <w:vAlign w:val="bottom"/>
            <w:gridSpan w:val="2"/>
          </w:tcPr>
          <w:p>
            <w:pPr>
              <w:spacing w:after="0"/>
              <w:rPr>
                <w:sz w:val="20"/>
                <w:szCs w:val="20"/>
                <w:color w:val="auto"/>
              </w:rPr>
            </w:pPr>
            <w:r>
              <w:rPr>
                <w:rFonts w:ascii="Arial" w:cs="Arial" w:eastAsia="Arial" w:hAnsi="Arial"/>
                <w:sz w:val="18"/>
                <w:szCs w:val="18"/>
                <w:color w:val="auto"/>
              </w:rPr>
              <w:t>Trust IV</w:t>
            </w:r>
          </w:p>
        </w:tc>
        <w:tc>
          <w:tcPr>
            <w:tcW w:w="3740" w:type="dxa"/>
            <w:vAlign w:val="bottom"/>
            <w:gridSpan w:val="2"/>
          </w:tcPr>
          <w:p>
            <w:pPr>
              <w:jc w:val="right"/>
              <w:ind w:right="874"/>
              <w:spacing w:after="0"/>
              <w:rPr>
                <w:sz w:val="20"/>
                <w:szCs w:val="20"/>
                <w:color w:val="auto"/>
              </w:rPr>
            </w:pPr>
            <w:r>
              <w:rPr>
                <w:rFonts w:ascii="Arial" w:cs="Arial" w:eastAsia="Arial" w:hAnsi="Arial"/>
                <w:sz w:val="18"/>
                <w:szCs w:val="18"/>
                <w:color w:val="auto"/>
              </w:rPr>
              <w:t>8.50%</w:t>
            </w:r>
          </w:p>
        </w:tc>
        <w:tc>
          <w:tcPr>
            <w:tcW w:w="1220" w:type="dxa"/>
            <w:vAlign w:val="bottom"/>
          </w:tcPr>
          <w:p>
            <w:pPr>
              <w:spacing w:after="0"/>
              <w:rPr>
                <w:sz w:val="24"/>
                <w:szCs w:val="24"/>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March 15, June 15, September 15 and December 15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2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Trust V</w:t>
            </w:r>
          </w:p>
        </w:tc>
        <w:tc>
          <w:tcPr>
            <w:tcW w:w="1200" w:type="dxa"/>
            <w:vAlign w:val="bottom"/>
            <w:shd w:val="clear" w:color="auto" w:fill="CCEEFF"/>
          </w:tcPr>
          <w:p>
            <w:pPr>
              <w:spacing w:after="0"/>
              <w:rPr>
                <w:sz w:val="17"/>
                <w:szCs w:val="17"/>
                <w:color w:val="auto"/>
              </w:rPr>
            </w:pPr>
          </w:p>
        </w:tc>
        <w:tc>
          <w:tcPr>
            <w:tcW w:w="25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LIBOR</w:t>
            </w:r>
          </w:p>
        </w:tc>
        <w:tc>
          <w:tcPr>
            <w:tcW w:w="1220" w:type="dxa"/>
            <w:vAlign w:val="bottom"/>
            <w:shd w:val="clear" w:color="auto" w:fill="CCEEFF"/>
          </w:tcPr>
          <w:p>
            <w:pPr>
              <w:spacing w:after="0"/>
              <w:rPr>
                <w:sz w:val="17"/>
                <w:szCs w:val="17"/>
                <w:color w:val="auto"/>
              </w:rPr>
            </w:pPr>
          </w:p>
        </w:tc>
        <w:tc>
          <w:tcPr>
            <w:tcW w:w="4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January 15, April 15, July 15 and October 15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2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plus 1.00%</w:t>
            </w:r>
          </w:p>
        </w:tc>
        <w:tc>
          <w:tcPr>
            <w:tcW w:w="1220" w:type="dxa"/>
            <w:vAlign w:val="bottom"/>
            <w:shd w:val="clear" w:color="auto" w:fill="CCEEFF"/>
          </w:tcPr>
          <w:p>
            <w:pPr>
              <w:spacing w:after="0"/>
              <w:rPr>
                <w:sz w:val="20"/>
                <w:szCs w:val="20"/>
                <w:color w:val="auto"/>
              </w:rPr>
            </w:pPr>
          </w:p>
        </w:tc>
        <w:tc>
          <w:tcPr>
            <w:tcW w:w="4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220" w:type="dxa"/>
            <w:vAlign w:val="bottom"/>
            <w:gridSpan w:val="2"/>
          </w:tcPr>
          <w:p>
            <w:pPr>
              <w:spacing w:after="0"/>
              <w:rPr>
                <w:sz w:val="20"/>
                <w:szCs w:val="20"/>
                <w:color w:val="auto"/>
              </w:rPr>
            </w:pPr>
            <w:r>
              <w:rPr>
                <w:rFonts w:ascii="Arial" w:cs="Arial" w:eastAsia="Arial" w:hAnsi="Arial"/>
                <w:sz w:val="18"/>
                <w:szCs w:val="18"/>
                <w:color w:val="auto"/>
              </w:rPr>
              <w:t>Trust VI</w:t>
            </w:r>
          </w:p>
        </w:tc>
        <w:tc>
          <w:tcPr>
            <w:tcW w:w="1200" w:type="dxa"/>
            <w:vAlign w:val="bottom"/>
          </w:tcPr>
          <w:p>
            <w:pPr>
              <w:spacing w:after="0"/>
              <w:rPr>
                <w:sz w:val="24"/>
                <w:szCs w:val="24"/>
                <w:color w:val="auto"/>
              </w:rPr>
            </w:pPr>
          </w:p>
        </w:tc>
        <w:tc>
          <w:tcPr>
            <w:tcW w:w="2540" w:type="dxa"/>
            <w:vAlign w:val="bottom"/>
          </w:tcPr>
          <w:p>
            <w:pPr>
              <w:jc w:val="center"/>
              <w:spacing w:after="0"/>
              <w:rPr>
                <w:sz w:val="20"/>
                <w:szCs w:val="20"/>
                <w:color w:val="auto"/>
              </w:rPr>
            </w:pPr>
            <w:r>
              <w:rPr>
                <w:rFonts w:ascii="Arial" w:cs="Arial" w:eastAsia="Arial" w:hAnsi="Arial"/>
                <w:sz w:val="18"/>
                <w:szCs w:val="18"/>
                <w:color w:val="auto"/>
                <w:w w:val="99"/>
              </w:rPr>
              <w:t>LIBOR</w:t>
            </w:r>
          </w:p>
        </w:tc>
        <w:tc>
          <w:tcPr>
            <w:tcW w:w="1220" w:type="dxa"/>
            <w:vAlign w:val="bottom"/>
          </w:tcPr>
          <w:p>
            <w:pPr>
              <w:spacing w:after="0"/>
              <w:rPr>
                <w:sz w:val="24"/>
                <w:szCs w:val="24"/>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February 1, May 1, August 1 and November 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540" w:type="dxa"/>
            <w:vAlign w:val="bottom"/>
          </w:tcPr>
          <w:p>
            <w:pPr>
              <w:jc w:val="center"/>
              <w:spacing w:after="0"/>
              <w:rPr>
                <w:sz w:val="20"/>
                <w:szCs w:val="20"/>
                <w:color w:val="auto"/>
              </w:rPr>
            </w:pPr>
            <w:r>
              <w:rPr>
                <w:rFonts w:ascii="Arial" w:cs="Arial" w:eastAsia="Arial" w:hAnsi="Arial"/>
                <w:sz w:val="18"/>
                <w:szCs w:val="18"/>
                <w:color w:val="auto"/>
                <w:w w:val="91"/>
              </w:rPr>
              <w:t>plus .85%</w:t>
            </w:r>
          </w:p>
        </w:tc>
        <w:tc>
          <w:tcPr>
            <w:tcW w:w="122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Trust VII</w:t>
            </w:r>
          </w:p>
        </w:tc>
        <w:tc>
          <w:tcPr>
            <w:tcW w:w="3740" w:type="dxa"/>
            <w:vAlign w:val="bottom"/>
            <w:gridSpan w:val="2"/>
            <w:shd w:val="clear" w:color="auto" w:fill="CCEEFF"/>
          </w:tcPr>
          <w:p>
            <w:pPr>
              <w:jc w:val="right"/>
              <w:ind w:right="874"/>
              <w:spacing w:after="0"/>
              <w:rPr>
                <w:sz w:val="20"/>
                <w:szCs w:val="20"/>
                <w:color w:val="auto"/>
              </w:rPr>
            </w:pPr>
            <w:r>
              <w:rPr>
                <w:rFonts w:ascii="Arial" w:cs="Arial" w:eastAsia="Arial" w:hAnsi="Arial"/>
                <w:sz w:val="18"/>
                <w:szCs w:val="18"/>
                <w:color w:val="auto"/>
              </w:rPr>
              <w:t>8.125%</w:t>
            </w:r>
          </w:p>
        </w:tc>
        <w:tc>
          <w:tcPr>
            <w:tcW w:w="1220" w:type="dxa"/>
            <w:vAlign w:val="bottom"/>
            <w:shd w:val="clear" w:color="auto" w:fill="CCEEFF"/>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January 31 and July 31</w:t>
            </w:r>
          </w:p>
        </w:tc>
        <w:tc>
          <w:tcPr>
            <w:tcW w:w="0" w:type="dxa"/>
            <w:vAlign w:val="bottom"/>
          </w:tcPr>
          <w:p>
            <w:pPr>
              <w:spacing w:after="0"/>
              <w:rPr>
                <w:sz w:val="1"/>
                <w:szCs w:val="1"/>
                <w:color w:val="auto"/>
              </w:rPr>
            </w:pPr>
          </w:p>
        </w:tc>
      </w:tr>
      <w:tr>
        <w:trPr>
          <w:trHeight w:val="418"/>
        </w:trPr>
        <w:tc>
          <w:tcPr>
            <w:tcW w:w="2220" w:type="dxa"/>
            <w:vAlign w:val="bottom"/>
            <w:gridSpan w:val="2"/>
          </w:tcPr>
          <w:p>
            <w:pPr>
              <w:spacing w:after="0"/>
              <w:rPr>
                <w:sz w:val="20"/>
                <w:szCs w:val="20"/>
                <w:color w:val="auto"/>
              </w:rPr>
            </w:pPr>
            <w:r>
              <w:rPr>
                <w:rFonts w:ascii="Arial" w:cs="Arial" w:eastAsia="Arial" w:hAnsi="Arial"/>
                <w:sz w:val="18"/>
                <w:szCs w:val="18"/>
                <w:color w:val="auto"/>
              </w:rPr>
              <w:t>Trust VIII</w:t>
            </w:r>
          </w:p>
        </w:tc>
        <w:tc>
          <w:tcPr>
            <w:tcW w:w="1200" w:type="dxa"/>
            <w:vAlign w:val="bottom"/>
          </w:tcPr>
          <w:p>
            <w:pPr>
              <w:spacing w:after="0"/>
              <w:rPr>
                <w:sz w:val="24"/>
                <w:szCs w:val="24"/>
                <w:color w:val="auto"/>
              </w:rPr>
            </w:pPr>
          </w:p>
        </w:tc>
        <w:tc>
          <w:tcPr>
            <w:tcW w:w="2540" w:type="dxa"/>
            <w:vAlign w:val="bottom"/>
          </w:tcPr>
          <w:p>
            <w:pPr>
              <w:jc w:val="center"/>
              <w:spacing w:after="0"/>
              <w:rPr>
                <w:sz w:val="20"/>
                <w:szCs w:val="20"/>
                <w:color w:val="auto"/>
              </w:rPr>
            </w:pPr>
            <w:r>
              <w:rPr>
                <w:rFonts w:ascii="Arial" w:cs="Arial" w:eastAsia="Arial" w:hAnsi="Arial"/>
                <w:sz w:val="18"/>
                <w:szCs w:val="18"/>
                <w:color w:val="auto"/>
                <w:w w:val="99"/>
              </w:rPr>
              <w:t>LIBOR</w:t>
            </w:r>
          </w:p>
        </w:tc>
        <w:tc>
          <w:tcPr>
            <w:tcW w:w="1220" w:type="dxa"/>
            <w:vAlign w:val="bottom"/>
          </w:tcPr>
          <w:p>
            <w:pPr>
              <w:spacing w:after="0"/>
              <w:rPr>
                <w:sz w:val="24"/>
                <w:szCs w:val="24"/>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January 7, April 7, July 7 and October 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540" w:type="dxa"/>
            <w:vAlign w:val="bottom"/>
          </w:tcPr>
          <w:p>
            <w:pPr>
              <w:jc w:val="center"/>
              <w:spacing w:after="0"/>
              <w:rPr>
                <w:sz w:val="20"/>
                <w:szCs w:val="20"/>
                <w:color w:val="auto"/>
              </w:rPr>
            </w:pPr>
            <w:r>
              <w:rPr>
                <w:rFonts w:ascii="Arial" w:cs="Arial" w:eastAsia="Arial" w:hAnsi="Arial"/>
                <w:sz w:val="18"/>
                <w:szCs w:val="18"/>
                <w:color w:val="auto"/>
                <w:w w:val="92"/>
              </w:rPr>
              <w:t>plus 3.35%</w:t>
            </w:r>
          </w:p>
        </w:tc>
        <w:tc>
          <w:tcPr>
            <w:tcW w:w="122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right="420" w:firstLine="222"/>
        <w:spacing w:after="0" w:line="286" w:lineRule="auto"/>
        <w:rPr>
          <w:sz w:val="20"/>
          <w:szCs w:val="20"/>
          <w:color w:val="auto"/>
        </w:rPr>
      </w:pPr>
      <w:r>
        <w:rPr>
          <w:rFonts w:ascii="Arial" w:cs="Arial" w:eastAsia="Arial" w:hAnsi="Arial"/>
          <w:sz w:val="17"/>
          <w:szCs w:val="17"/>
          <w:color w:val="auto"/>
        </w:rPr>
        <w:t>The common securities of each Trust (“Common Securities”) are wholly owned by M&amp;T and are the only class of each Trust’s securities possessing general voting powers. The Capital Securities represent preferred undivided interests in the assets of the corresponding Trust. Under the Federal Reserve Board’s current risk-based capital guidelines, the Capital Securities are includable in M&amp;T’s Tier 1 (core) capital.</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Borrowings, continued</w:t>
      </w:r>
    </w:p>
    <w:p>
      <w:pPr>
        <w:spacing w:after="0" w:line="121" w:lineRule="exact"/>
        <w:rPr>
          <w:sz w:val="20"/>
          <w:szCs w:val="20"/>
          <w:color w:val="auto"/>
        </w:rPr>
      </w:pPr>
    </w:p>
    <w:p>
      <w:pPr>
        <w:ind w:right="440" w:firstLine="222"/>
        <w:spacing w:after="0" w:line="277" w:lineRule="auto"/>
        <w:rPr>
          <w:sz w:val="20"/>
          <w:szCs w:val="20"/>
          <w:color w:val="auto"/>
        </w:rPr>
      </w:pPr>
      <w:r>
        <w:rPr>
          <w:rFonts w:ascii="Arial" w:cs="Arial" w:eastAsia="Arial" w:hAnsi="Arial"/>
          <w:sz w:val="18"/>
          <w:szCs w:val="18"/>
          <w:color w:val="auto"/>
        </w:rPr>
        <w:t>The proceeds from the issuances of the Capital Securities and Common Securities were used by the Trusts to purchase junior subordinated deferrable interest debentures (“Junior Subordinated Debentures”) of M&amp;T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Arial" w:cs="Arial" w:eastAsia="Arial" w:hAnsi="Arial"/>
                <w:sz w:val="14"/>
                <w:szCs w:val="14"/>
                <w:color w:val="auto"/>
                <w:w w:val="96"/>
              </w:rPr>
              <w:t>Capital</w:t>
            </w:r>
          </w:p>
        </w:tc>
        <w:tc>
          <w:tcPr>
            <w:tcW w:w="340" w:type="dxa"/>
            <w:vAlign w:val="bottom"/>
          </w:tcPr>
          <w:p>
            <w:pPr>
              <w:spacing w:after="0"/>
              <w:rPr>
                <w:sz w:val="14"/>
                <w:szCs w:val="14"/>
                <w:color w:val="auto"/>
              </w:rPr>
            </w:pPr>
          </w:p>
        </w:tc>
        <w:tc>
          <w:tcPr>
            <w:tcW w:w="1740" w:type="dxa"/>
            <w:vAlign w:val="bottom"/>
          </w:tcPr>
          <w:p>
            <w:pPr>
              <w:ind w:left="600"/>
              <w:spacing w:after="0"/>
              <w:rPr>
                <w:sz w:val="20"/>
                <w:szCs w:val="20"/>
                <w:color w:val="auto"/>
              </w:rPr>
            </w:pPr>
            <w:r>
              <w:rPr>
                <w:rFonts w:ascii="Arial" w:cs="Arial" w:eastAsia="Arial" w:hAnsi="Arial"/>
                <w:sz w:val="14"/>
                <w:szCs w:val="14"/>
                <w:color w:val="auto"/>
              </w:rPr>
              <w:t>Common</w:t>
            </w:r>
          </w:p>
        </w:tc>
        <w:tc>
          <w:tcPr>
            <w:tcW w:w="340" w:type="dxa"/>
            <w:vAlign w:val="bottom"/>
          </w:tcPr>
          <w:p>
            <w:pPr>
              <w:spacing w:after="0"/>
              <w:rPr>
                <w:sz w:val="14"/>
                <w:szCs w:val="14"/>
                <w:color w:val="auto"/>
              </w:rPr>
            </w:pPr>
          </w:p>
        </w:tc>
        <w:tc>
          <w:tcPr>
            <w:tcW w:w="5220" w:type="dxa"/>
            <w:vAlign w:val="bottom"/>
          </w:tcPr>
          <w:p>
            <w:pPr>
              <w:jc w:val="center"/>
              <w:spacing w:after="0"/>
              <w:rPr>
                <w:sz w:val="20"/>
                <w:szCs w:val="20"/>
                <w:color w:val="auto"/>
              </w:rPr>
            </w:pPr>
            <w:r>
              <w:rPr>
                <w:rFonts w:ascii="Arial" w:cs="Arial" w:eastAsia="Arial" w:hAnsi="Arial"/>
                <w:sz w:val="14"/>
                <w:szCs w:val="14"/>
                <w:color w:val="auto"/>
                <w:w w:val="92"/>
              </w:rPr>
              <w:t>Junior Subordinated</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700" w:type="dxa"/>
            <w:vAlign w:val="bottom"/>
            <w:tcBorders>
              <w:bottom w:val="single" w:sz="8" w:color="auto"/>
            </w:tcBorders>
          </w:tcPr>
          <w:p>
            <w:pPr>
              <w:ind w:left="700"/>
              <w:spacing w:after="0"/>
              <w:rPr>
                <w:sz w:val="20"/>
                <w:szCs w:val="20"/>
                <w:color w:val="auto"/>
              </w:rPr>
            </w:pPr>
            <w:r>
              <w:rPr>
                <w:rFonts w:ascii="Arial" w:cs="Arial" w:eastAsia="Arial" w:hAnsi="Arial"/>
                <w:sz w:val="14"/>
                <w:szCs w:val="14"/>
                <w:color w:val="auto"/>
              </w:rPr>
              <w:t>Trust</w:t>
            </w:r>
          </w:p>
        </w:tc>
        <w:tc>
          <w:tcPr>
            <w:tcW w:w="340" w:type="dxa"/>
            <w:vAlign w:val="bottom"/>
          </w:tcPr>
          <w:p>
            <w:pPr>
              <w:spacing w:after="0"/>
              <w:rPr>
                <w:sz w:val="14"/>
                <w:szCs w:val="14"/>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Securities</w:t>
            </w:r>
          </w:p>
        </w:tc>
        <w:tc>
          <w:tcPr>
            <w:tcW w:w="340" w:type="dxa"/>
            <w:vAlign w:val="bottom"/>
          </w:tcPr>
          <w:p>
            <w:pPr>
              <w:spacing w:after="0"/>
              <w:rPr>
                <w:sz w:val="14"/>
                <w:szCs w:val="14"/>
                <w:color w:val="auto"/>
              </w:rPr>
            </w:pPr>
          </w:p>
        </w:tc>
        <w:tc>
          <w:tcPr>
            <w:tcW w:w="1740" w:type="dxa"/>
            <w:vAlign w:val="bottom"/>
            <w:tcBorders>
              <w:bottom w:val="single" w:sz="8" w:color="auto"/>
            </w:tcBorders>
          </w:tcPr>
          <w:p>
            <w:pPr>
              <w:ind w:left="580"/>
              <w:spacing w:after="0"/>
              <w:rPr>
                <w:sz w:val="20"/>
                <w:szCs w:val="20"/>
                <w:color w:val="auto"/>
              </w:rPr>
            </w:pPr>
            <w:r>
              <w:rPr>
                <w:rFonts w:ascii="Arial" w:cs="Arial" w:eastAsia="Arial" w:hAnsi="Arial"/>
                <w:sz w:val="14"/>
                <w:szCs w:val="14"/>
                <w:color w:val="auto"/>
              </w:rPr>
              <w:t>Securities</w:t>
            </w:r>
          </w:p>
        </w:tc>
        <w:tc>
          <w:tcPr>
            <w:tcW w:w="340" w:type="dxa"/>
            <w:vAlign w:val="bottom"/>
          </w:tcPr>
          <w:p>
            <w:pPr>
              <w:spacing w:after="0"/>
              <w:rPr>
                <w:sz w:val="14"/>
                <w:szCs w:val="14"/>
                <w:color w:val="auto"/>
              </w:rPr>
            </w:pPr>
          </w:p>
        </w:tc>
        <w:tc>
          <w:tcPr>
            <w:tcW w:w="52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Debentures</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70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Trust I</w:t>
            </w:r>
          </w:p>
        </w:tc>
        <w:tc>
          <w:tcPr>
            <w:tcW w:w="2060" w:type="dxa"/>
            <w:vAlign w:val="bottom"/>
            <w:gridSpan w:val="2"/>
            <w:shd w:val="clear" w:color="auto" w:fill="CCEEFF"/>
          </w:tcPr>
          <w:p>
            <w:pPr>
              <w:ind w:left="340"/>
              <w:spacing w:after="0" w:line="195" w:lineRule="exact"/>
              <w:rPr>
                <w:sz w:val="20"/>
                <w:szCs w:val="20"/>
                <w:color w:val="auto"/>
              </w:rPr>
            </w:pPr>
            <w:r>
              <w:rPr>
                <w:rFonts w:ascii="Arial" w:cs="Arial" w:eastAsia="Arial" w:hAnsi="Arial"/>
                <w:sz w:val="18"/>
                <w:szCs w:val="18"/>
                <w:color w:val="auto"/>
              </w:rPr>
              <w:t>$150 million</w:t>
            </w:r>
          </w:p>
        </w:tc>
        <w:tc>
          <w:tcPr>
            <w:tcW w:w="340" w:type="dxa"/>
            <w:vAlign w:val="bottom"/>
            <w:shd w:val="clear" w:color="auto" w:fill="CCEEFF"/>
          </w:tcPr>
          <w:p>
            <w:pPr>
              <w:spacing w:after="0"/>
              <w:rPr>
                <w:sz w:val="16"/>
                <w:szCs w:val="16"/>
                <w:color w:val="auto"/>
              </w:rPr>
            </w:pPr>
          </w:p>
        </w:tc>
        <w:tc>
          <w:tcPr>
            <w:tcW w:w="174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$4.64 million</w:t>
            </w:r>
          </w:p>
        </w:tc>
        <w:tc>
          <w:tcPr>
            <w:tcW w:w="5560" w:type="dxa"/>
            <w:vAlign w:val="bottom"/>
            <w:gridSpan w:val="2"/>
            <w:shd w:val="clear" w:color="auto" w:fill="CCEEFF"/>
          </w:tcPr>
          <w:p>
            <w:pPr>
              <w:ind w:left="340"/>
              <w:spacing w:after="0" w:line="195" w:lineRule="exact"/>
              <w:rPr>
                <w:sz w:val="20"/>
                <w:szCs w:val="20"/>
                <w:color w:val="auto"/>
              </w:rPr>
            </w:pPr>
            <w:r>
              <w:rPr>
                <w:rFonts w:ascii="Arial" w:cs="Arial" w:eastAsia="Arial" w:hAnsi="Arial"/>
                <w:sz w:val="18"/>
                <w:szCs w:val="18"/>
                <w:color w:val="auto"/>
              </w:rPr>
              <w:t>$154.64 million aggregate liquidation amount of 8.234% Junior</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740" w:type="dxa"/>
            <w:vAlign w:val="bottom"/>
            <w:shd w:val="clear" w:color="auto" w:fill="CCEEFF"/>
          </w:tcPr>
          <w:p>
            <w:pPr>
              <w:spacing w:after="0"/>
              <w:rPr>
                <w:sz w:val="20"/>
                <w:szCs w:val="20"/>
                <w:color w:val="auto"/>
              </w:rPr>
            </w:pPr>
          </w:p>
        </w:tc>
        <w:tc>
          <w:tcPr>
            <w:tcW w:w="55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Subordinated Debentures due February 1, 2027.</w:t>
            </w:r>
          </w:p>
        </w:tc>
        <w:tc>
          <w:tcPr>
            <w:tcW w:w="0" w:type="dxa"/>
            <w:vAlign w:val="bottom"/>
          </w:tcPr>
          <w:p>
            <w:pPr>
              <w:spacing w:after="0"/>
              <w:rPr>
                <w:sz w:val="1"/>
                <w:szCs w:val="1"/>
                <w:color w:val="auto"/>
              </w:rPr>
            </w:pPr>
          </w:p>
        </w:tc>
      </w:tr>
      <w:tr>
        <w:trPr>
          <w:trHeight w:val="418"/>
        </w:trPr>
        <w:tc>
          <w:tcPr>
            <w:tcW w:w="1720" w:type="dxa"/>
            <w:vAlign w:val="bottom"/>
            <w:gridSpan w:val="2"/>
          </w:tcPr>
          <w:p>
            <w:pPr>
              <w:spacing w:after="0"/>
              <w:rPr>
                <w:sz w:val="20"/>
                <w:szCs w:val="20"/>
                <w:color w:val="auto"/>
              </w:rPr>
            </w:pPr>
            <w:r>
              <w:rPr>
                <w:rFonts w:ascii="Arial" w:cs="Arial" w:eastAsia="Arial" w:hAnsi="Arial"/>
                <w:sz w:val="18"/>
                <w:szCs w:val="18"/>
                <w:color w:val="auto"/>
              </w:rPr>
              <w:t>Trust II</w:t>
            </w:r>
          </w:p>
        </w:tc>
        <w:tc>
          <w:tcPr>
            <w:tcW w:w="2060" w:type="dxa"/>
            <w:vAlign w:val="bottom"/>
            <w:gridSpan w:val="2"/>
          </w:tcPr>
          <w:p>
            <w:pPr>
              <w:ind w:left="340"/>
              <w:spacing w:after="0"/>
              <w:rPr>
                <w:sz w:val="20"/>
                <w:szCs w:val="20"/>
                <w:color w:val="auto"/>
              </w:rPr>
            </w:pPr>
            <w:r>
              <w:rPr>
                <w:rFonts w:ascii="Arial" w:cs="Arial" w:eastAsia="Arial" w:hAnsi="Arial"/>
                <w:sz w:val="18"/>
                <w:szCs w:val="18"/>
                <w:color w:val="auto"/>
              </w:rPr>
              <w:t>$100 million</w:t>
            </w:r>
          </w:p>
        </w:tc>
        <w:tc>
          <w:tcPr>
            <w:tcW w:w="340" w:type="dxa"/>
            <w:vAlign w:val="bottom"/>
          </w:tcPr>
          <w:p>
            <w:pPr>
              <w:spacing w:after="0"/>
              <w:rPr>
                <w:sz w:val="24"/>
                <w:szCs w:val="24"/>
                <w:color w:val="auto"/>
              </w:rPr>
            </w:pPr>
          </w:p>
        </w:tc>
        <w:tc>
          <w:tcPr>
            <w:tcW w:w="1740" w:type="dxa"/>
            <w:vAlign w:val="bottom"/>
          </w:tcPr>
          <w:p>
            <w:pPr>
              <w:spacing w:after="0"/>
              <w:rPr>
                <w:sz w:val="20"/>
                <w:szCs w:val="20"/>
                <w:color w:val="auto"/>
              </w:rPr>
            </w:pPr>
            <w:r>
              <w:rPr>
                <w:rFonts w:ascii="Arial" w:cs="Arial" w:eastAsia="Arial" w:hAnsi="Arial"/>
                <w:sz w:val="18"/>
                <w:szCs w:val="18"/>
                <w:color w:val="auto"/>
              </w:rPr>
              <w:t>$3.09 million</w:t>
            </w:r>
          </w:p>
        </w:tc>
        <w:tc>
          <w:tcPr>
            <w:tcW w:w="5560" w:type="dxa"/>
            <w:vAlign w:val="bottom"/>
            <w:gridSpan w:val="2"/>
          </w:tcPr>
          <w:p>
            <w:pPr>
              <w:ind w:left="340"/>
              <w:spacing w:after="0"/>
              <w:rPr>
                <w:sz w:val="20"/>
                <w:szCs w:val="20"/>
                <w:color w:val="auto"/>
              </w:rPr>
            </w:pPr>
            <w:r>
              <w:rPr>
                <w:rFonts w:ascii="Arial" w:cs="Arial" w:eastAsia="Arial" w:hAnsi="Arial"/>
                <w:sz w:val="18"/>
                <w:szCs w:val="18"/>
                <w:color w:val="auto"/>
              </w:rPr>
              <w:t>$103.09 million aggregate liquidation amount of 8.277% Junior</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5560" w:type="dxa"/>
            <w:vAlign w:val="bottom"/>
            <w:gridSpan w:val="2"/>
          </w:tcPr>
          <w:p>
            <w:pPr>
              <w:ind w:left="340"/>
              <w:spacing w:after="0"/>
              <w:rPr>
                <w:sz w:val="20"/>
                <w:szCs w:val="20"/>
                <w:color w:val="auto"/>
              </w:rPr>
            </w:pPr>
            <w:r>
              <w:rPr>
                <w:rFonts w:ascii="Arial" w:cs="Arial" w:eastAsia="Arial" w:hAnsi="Arial"/>
                <w:sz w:val="18"/>
                <w:szCs w:val="18"/>
                <w:color w:val="auto"/>
              </w:rPr>
              <w:t>Subordinated Debentures due June 1, 2027.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Trust III</w:t>
            </w:r>
          </w:p>
        </w:tc>
        <w:tc>
          <w:tcPr>
            <w:tcW w:w="2060" w:type="dxa"/>
            <w:vAlign w:val="bottom"/>
            <w:gridSpan w:val="2"/>
            <w:shd w:val="clear" w:color="auto" w:fill="CCEEFF"/>
          </w:tcPr>
          <w:p>
            <w:pPr>
              <w:ind w:left="340"/>
              <w:spacing w:after="0" w:line="201" w:lineRule="exact"/>
              <w:rPr>
                <w:sz w:val="20"/>
                <w:szCs w:val="20"/>
                <w:color w:val="auto"/>
              </w:rPr>
            </w:pPr>
            <w:r>
              <w:rPr>
                <w:rFonts w:ascii="Arial" w:cs="Arial" w:eastAsia="Arial" w:hAnsi="Arial"/>
                <w:sz w:val="18"/>
                <w:szCs w:val="18"/>
                <w:color w:val="auto"/>
              </w:rPr>
              <w:t>$60 million</w:t>
            </w:r>
          </w:p>
        </w:tc>
        <w:tc>
          <w:tcPr>
            <w:tcW w:w="34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$1.856 million</w:t>
            </w:r>
          </w:p>
        </w:tc>
        <w:tc>
          <w:tcPr>
            <w:tcW w:w="5560" w:type="dxa"/>
            <w:vAlign w:val="bottom"/>
            <w:gridSpan w:val="2"/>
            <w:shd w:val="clear" w:color="auto" w:fill="CCEEFF"/>
          </w:tcPr>
          <w:p>
            <w:pPr>
              <w:ind w:left="340"/>
              <w:spacing w:after="0" w:line="201" w:lineRule="exact"/>
              <w:rPr>
                <w:sz w:val="20"/>
                <w:szCs w:val="20"/>
                <w:color w:val="auto"/>
              </w:rPr>
            </w:pPr>
            <w:r>
              <w:rPr>
                <w:rFonts w:ascii="Arial" w:cs="Arial" w:eastAsia="Arial" w:hAnsi="Arial"/>
                <w:sz w:val="18"/>
                <w:szCs w:val="18"/>
                <w:color w:val="auto"/>
              </w:rPr>
              <w:t>$61.856 million aggregate liquidation amount of 9.25% Junior</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740" w:type="dxa"/>
            <w:vAlign w:val="bottom"/>
            <w:shd w:val="clear" w:color="auto" w:fill="CCEEFF"/>
          </w:tcPr>
          <w:p>
            <w:pPr>
              <w:spacing w:after="0"/>
              <w:rPr>
                <w:sz w:val="20"/>
                <w:szCs w:val="20"/>
                <w:color w:val="auto"/>
              </w:rPr>
            </w:pPr>
          </w:p>
        </w:tc>
        <w:tc>
          <w:tcPr>
            <w:tcW w:w="55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Subordinated Debentures due February 1, 2027.</w:t>
            </w:r>
          </w:p>
        </w:tc>
        <w:tc>
          <w:tcPr>
            <w:tcW w:w="0" w:type="dxa"/>
            <w:vAlign w:val="bottom"/>
          </w:tcPr>
          <w:p>
            <w:pPr>
              <w:spacing w:after="0"/>
              <w:rPr>
                <w:sz w:val="1"/>
                <w:szCs w:val="1"/>
                <w:color w:val="auto"/>
              </w:rPr>
            </w:pPr>
          </w:p>
        </w:tc>
      </w:tr>
      <w:tr>
        <w:trPr>
          <w:trHeight w:val="418"/>
        </w:trPr>
        <w:tc>
          <w:tcPr>
            <w:tcW w:w="1720" w:type="dxa"/>
            <w:vAlign w:val="bottom"/>
            <w:gridSpan w:val="2"/>
          </w:tcPr>
          <w:p>
            <w:pPr>
              <w:spacing w:after="0"/>
              <w:rPr>
                <w:sz w:val="20"/>
                <w:szCs w:val="20"/>
                <w:color w:val="auto"/>
              </w:rPr>
            </w:pPr>
            <w:r>
              <w:rPr>
                <w:rFonts w:ascii="Arial" w:cs="Arial" w:eastAsia="Arial" w:hAnsi="Arial"/>
                <w:sz w:val="18"/>
                <w:szCs w:val="18"/>
                <w:color w:val="auto"/>
              </w:rPr>
              <w:t>Trust IV</w:t>
            </w:r>
          </w:p>
        </w:tc>
        <w:tc>
          <w:tcPr>
            <w:tcW w:w="2060" w:type="dxa"/>
            <w:vAlign w:val="bottom"/>
            <w:gridSpan w:val="2"/>
          </w:tcPr>
          <w:p>
            <w:pPr>
              <w:ind w:left="340"/>
              <w:spacing w:after="0"/>
              <w:rPr>
                <w:sz w:val="20"/>
                <w:szCs w:val="20"/>
                <w:color w:val="auto"/>
              </w:rPr>
            </w:pPr>
            <w:r>
              <w:rPr>
                <w:rFonts w:ascii="Arial" w:cs="Arial" w:eastAsia="Arial" w:hAnsi="Arial"/>
                <w:sz w:val="18"/>
                <w:szCs w:val="18"/>
                <w:color w:val="auto"/>
              </w:rPr>
              <w:t>$350 million</w:t>
            </w:r>
          </w:p>
        </w:tc>
        <w:tc>
          <w:tcPr>
            <w:tcW w:w="340" w:type="dxa"/>
            <w:vAlign w:val="bottom"/>
          </w:tcPr>
          <w:p>
            <w:pPr>
              <w:spacing w:after="0"/>
              <w:rPr>
                <w:sz w:val="24"/>
                <w:szCs w:val="24"/>
                <w:color w:val="auto"/>
              </w:rPr>
            </w:pPr>
          </w:p>
        </w:tc>
        <w:tc>
          <w:tcPr>
            <w:tcW w:w="1740" w:type="dxa"/>
            <w:vAlign w:val="bottom"/>
          </w:tcPr>
          <w:p>
            <w:pPr>
              <w:spacing w:after="0"/>
              <w:rPr>
                <w:sz w:val="20"/>
                <w:szCs w:val="20"/>
                <w:color w:val="auto"/>
              </w:rPr>
            </w:pPr>
            <w:r>
              <w:rPr>
                <w:rFonts w:ascii="Arial" w:cs="Arial" w:eastAsia="Arial" w:hAnsi="Arial"/>
                <w:sz w:val="18"/>
                <w:szCs w:val="18"/>
                <w:color w:val="auto"/>
              </w:rPr>
              <w:t>$.01 million</w:t>
            </w:r>
          </w:p>
        </w:tc>
        <w:tc>
          <w:tcPr>
            <w:tcW w:w="5560" w:type="dxa"/>
            <w:vAlign w:val="bottom"/>
            <w:gridSpan w:val="2"/>
          </w:tcPr>
          <w:p>
            <w:pPr>
              <w:ind w:left="340"/>
              <w:spacing w:after="0"/>
              <w:rPr>
                <w:sz w:val="20"/>
                <w:szCs w:val="20"/>
                <w:color w:val="auto"/>
              </w:rPr>
            </w:pPr>
            <w:r>
              <w:rPr>
                <w:rFonts w:ascii="Arial" w:cs="Arial" w:eastAsia="Arial" w:hAnsi="Arial"/>
                <w:sz w:val="18"/>
                <w:szCs w:val="18"/>
                <w:color w:val="auto"/>
              </w:rPr>
              <w:t>$350.01 million aggregate liquidation amount of 8.50% Junior</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5560" w:type="dxa"/>
            <w:vAlign w:val="bottom"/>
            <w:gridSpan w:val="2"/>
          </w:tcPr>
          <w:p>
            <w:pPr>
              <w:ind w:left="340"/>
              <w:spacing w:after="0"/>
              <w:rPr>
                <w:sz w:val="20"/>
                <w:szCs w:val="20"/>
                <w:color w:val="auto"/>
              </w:rPr>
            </w:pPr>
            <w:r>
              <w:rPr>
                <w:rFonts w:ascii="Arial" w:cs="Arial" w:eastAsia="Arial" w:hAnsi="Arial"/>
                <w:sz w:val="18"/>
                <w:szCs w:val="18"/>
                <w:color w:val="auto"/>
              </w:rPr>
              <w:t>Subordinated Debentures due January 31, 2068.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Trust V</w:t>
            </w:r>
          </w:p>
        </w:tc>
        <w:tc>
          <w:tcPr>
            <w:tcW w:w="2060" w:type="dxa"/>
            <w:vAlign w:val="bottom"/>
            <w:gridSpan w:val="2"/>
            <w:shd w:val="clear" w:color="auto" w:fill="CCEEFF"/>
          </w:tcPr>
          <w:p>
            <w:pPr>
              <w:ind w:left="340"/>
              <w:spacing w:after="0" w:line="201" w:lineRule="exact"/>
              <w:rPr>
                <w:sz w:val="20"/>
                <w:szCs w:val="20"/>
                <w:color w:val="auto"/>
              </w:rPr>
            </w:pPr>
            <w:r>
              <w:rPr>
                <w:rFonts w:ascii="Arial" w:cs="Arial" w:eastAsia="Arial" w:hAnsi="Arial"/>
                <w:sz w:val="18"/>
                <w:szCs w:val="18"/>
                <w:color w:val="auto"/>
              </w:rPr>
              <w:t>$150 million</w:t>
            </w:r>
          </w:p>
        </w:tc>
        <w:tc>
          <w:tcPr>
            <w:tcW w:w="34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$4.64 million</w:t>
            </w:r>
          </w:p>
        </w:tc>
        <w:tc>
          <w:tcPr>
            <w:tcW w:w="5560" w:type="dxa"/>
            <w:vAlign w:val="bottom"/>
            <w:gridSpan w:val="2"/>
            <w:shd w:val="clear" w:color="auto" w:fill="CCEEFF"/>
          </w:tcPr>
          <w:p>
            <w:pPr>
              <w:ind w:left="340"/>
              <w:spacing w:after="0" w:line="201" w:lineRule="exact"/>
              <w:rPr>
                <w:sz w:val="20"/>
                <w:szCs w:val="20"/>
                <w:color w:val="auto"/>
              </w:rPr>
            </w:pPr>
            <w:r>
              <w:rPr>
                <w:rFonts w:ascii="Arial" w:cs="Arial" w:eastAsia="Arial" w:hAnsi="Arial"/>
                <w:sz w:val="18"/>
                <w:szCs w:val="18"/>
                <w:color w:val="auto"/>
                <w:w w:val="97"/>
              </w:rPr>
              <w:t>$154.64 million aggregate liquidation amount of floating rate Junior</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740" w:type="dxa"/>
            <w:vAlign w:val="bottom"/>
            <w:shd w:val="clear" w:color="auto" w:fill="CCEEFF"/>
          </w:tcPr>
          <w:p>
            <w:pPr>
              <w:spacing w:after="0"/>
              <w:rPr>
                <w:sz w:val="20"/>
                <w:szCs w:val="20"/>
                <w:color w:val="auto"/>
              </w:rPr>
            </w:pPr>
          </w:p>
        </w:tc>
        <w:tc>
          <w:tcPr>
            <w:tcW w:w="55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Subordinated Debentures due January 15, 2027.</w:t>
            </w:r>
          </w:p>
        </w:tc>
        <w:tc>
          <w:tcPr>
            <w:tcW w:w="0" w:type="dxa"/>
            <w:vAlign w:val="bottom"/>
          </w:tcPr>
          <w:p>
            <w:pPr>
              <w:spacing w:after="0"/>
              <w:rPr>
                <w:sz w:val="1"/>
                <w:szCs w:val="1"/>
                <w:color w:val="auto"/>
              </w:rPr>
            </w:pPr>
          </w:p>
        </w:tc>
      </w:tr>
      <w:tr>
        <w:trPr>
          <w:trHeight w:val="418"/>
        </w:trPr>
        <w:tc>
          <w:tcPr>
            <w:tcW w:w="1720" w:type="dxa"/>
            <w:vAlign w:val="bottom"/>
            <w:gridSpan w:val="2"/>
          </w:tcPr>
          <w:p>
            <w:pPr>
              <w:spacing w:after="0"/>
              <w:rPr>
                <w:sz w:val="20"/>
                <w:szCs w:val="20"/>
                <w:color w:val="auto"/>
              </w:rPr>
            </w:pPr>
            <w:r>
              <w:rPr>
                <w:rFonts w:ascii="Arial" w:cs="Arial" w:eastAsia="Arial" w:hAnsi="Arial"/>
                <w:sz w:val="18"/>
                <w:szCs w:val="18"/>
                <w:color w:val="auto"/>
              </w:rPr>
              <w:t>Trust VI</w:t>
            </w:r>
          </w:p>
        </w:tc>
        <w:tc>
          <w:tcPr>
            <w:tcW w:w="2060" w:type="dxa"/>
            <w:vAlign w:val="bottom"/>
            <w:gridSpan w:val="2"/>
          </w:tcPr>
          <w:p>
            <w:pPr>
              <w:ind w:left="340"/>
              <w:spacing w:after="0"/>
              <w:rPr>
                <w:sz w:val="20"/>
                <w:szCs w:val="20"/>
                <w:color w:val="auto"/>
              </w:rPr>
            </w:pPr>
            <w:r>
              <w:rPr>
                <w:rFonts w:ascii="Arial" w:cs="Arial" w:eastAsia="Arial" w:hAnsi="Arial"/>
                <w:sz w:val="18"/>
                <w:szCs w:val="18"/>
                <w:color w:val="auto"/>
              </w:rPr>
              <w:t>$150 million</w:t>
            </w:r>
          </w:p>
        </w:tc>
        <w:tc>
          <w:tcPr>
            <w:tcW w:w="340" w:type="dxa"/>
            <w:vAlign w:val="bottom"/>
          </w:tcPr>
          <w:p>
            <w:pPr>
              <w:spacing w:after="0"/>
              <w:rPr>
                <w:sz w:val="24"/>
                <w:szCs w:val="24"/>
                <w:color w:val="auto"/>
              </w:rPr>
            </w:pPr>
          </w:p>
        </w:tc>
        <w:tc>
          <w:tcPr>
            <w:tcW w:w="1740" w:type="dxa"/>
            <w:vAlign w:val="bottom"/>
          </w:tcPr>
          <w:p>
            <w:pPr>
              <w:spacing w:after="0"/>
              <w:rPr>
                <w:sz w:val="20"/>
                <w:szCs w:val="20"/>
                <w:color w:val="auto"/>
              </w:rPr>
            </w:pPr>
            <w:r>
              <w:rPr>
                <w:rFonts w:ascii="Arial" w:cs="Arial" w:eastAsia="Arial" w:hAnsi="Arial"/>
                <w:sz w:val="18"/>
                <w:szCs w:val="18"/>
                <w:color w:val="auto"/>
              </w:rPr>
              <w:t>$4.64 million</w:t>
            </w:r>
          </w:p>
        </w:tc>
        <w:tc>
          <w:tcPr>
            <w:tcW w:w="5560" w:type="dxa"/>
            <w:vAlign w:val="bottom"/>
            <w:gridSpan w:val="2"/>
          </w:tcPr>
          <w:p>
            <w:pPr>
              <w:ind w:left="340"/>
              <w:spacing w:after="0"/>
              <w:rPr>
                <w:sz w:val="20"/>
                <w:szCs w:val="20"/>
                <w:color w:val="auto"/>
              </w:rPr>
            </w:pPr>
            <w:r>
              <w:rPr>
                <w:rFonts w:ascii="Arial" w:cs="Arial" w:eastAsia="Arial" w:hAnsi="Arial"/>
                <w:sz w:val="18"/>
                <w:szCs w:val="18"/>
                <w:color w:val="auto"/>
                <w:w w:val="97"/>
              </w:rPr>
              <w:t>$154.64 million aggregate liquidation amount of floating rate Junior</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5560" w:type="dxa"/>
            <w:vAlign w:val="bottom"/>
            <w:gridSpan w:val="2"/>
          </w:tcPr>
          <w:p>
            <w:pPr>
              <w:ind w:left="340"/>
              <w:spacing w:after="0"/>
              <w:rPr>
                <w:sz w:val="20"/>
                <w:szCs w:val="20"/>
                <w:color w:val="auto"/>
              </w:rPr>
            </w:pPr>
            <w:r>
              <w:rPr>
                <w:rFonts w:ascii="Arial" w:cs="Arial" w:eastAsia="Arial" w:hAnsi="Arial"/>
                <w:sz w:val="18"/>
                <w:szCs w:val="18"/>
                <w:color w:val="auto"/>
              </w:rPr>
              <w:t>Subordinated Debentures due February 1, 2027.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Trust VII</w:t>
            </w:r>
          </w:p>
        </w:tc>
        <w:tc>
          <w:tcPr>
            <w:tcW w:w="2060" w:type="dxa"/>
            <w:vAlign w:val="bottom"/>
            <w:gridSpan w:val="2"/>
            <w:shd w:val="clear" w:color="auto" w:fill="CCEEFF"/>
          </w:tcPr>
          <w:p>
            <w:pPr>
              <w:ind w:left="340"/>
              <w:spacing w:after="0" w:line="201" w:lineRule="exact"/>
              <w:rPr>
                <w:sz w:val="20"/>
                <w:szCs w:val="20"/>
                <w:color w:val="auto"/>
              </w:rPr>
            </w:pPr>
            <w:r>
              <w:rPr>
                <w:rFonts w:ascii="Arial" w:cs="Arial" w:eastAsia="Arial" w:hAnsi="Arial"/>
                <w:sz w:val="18"/>
                <w:szCs w:val="18"/>
                <w:color w:val="auto"/>
              </w:rPr>
              <w:t>$16.5 million</w:t>
            </w:r>
          </w:p>
        </w:tc>
        <w:tc>
          <w:tcPr>
            <w:tcW w:w="34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$.928 million</w:t>
            </w:r>
          </w:p>
        </w:tc>
        <w:tc>
          <w:tcPr>
            <w:tcW w:w="5560" w:type="dxa"/>
            <w:vAlign w:val="bottom"/>
            <w:gridSpan w:val="2"/>
            <w:shd w:val="clear" w:color="auto" w:fill="CCEEFF"/>
          </w:tcPr>
          <w:p>
            <w:pPr>
              <w:ind w:left="340"/>
              <w:spacing w:after="0" w:line="201" w:lineRule="exact"/>
              <w:rPr>
                <w:sz w:val="20"/>
                <w:szCs w:val="20"/>
                <w:color w:val="auto"/>
              </w:rPr>
            </w:pPr>
            <w:r>
              <w:rPr>
                <w:rFonts w:ascii="Arial" w:cs="Arial" w:eastAsia="Arial" w:hAnsi="Arial"/>
                <w:sz w:val="18"/>
                <w:szCs w:val="18"/>
                <w:color w:val="auto"/>
              </w:rPr>
              <w:t>$17.428 million aggregate liquidation amount of 8.125% Junior</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740" w:type="dxa"/>
            <w:vAlign w:val="bottom"/>
            <w:shd w:val="clear" w:color="auto" w:fill="CCEEFF"/>
          </w:tcPr>
          <w:p>
            <w:pPr>
              <w:spacing w:after="0"/>
              <w:rPr>
                <w:sz w:val="20"/>
                <w:szCs w:val="20"/>
                <w:color w:val="auto"/>
              </w:rPr>
            </w:pPr>
          </w:p>
        </w:tc>
        <w:tc>
          <w:tcPr>
            <w:tcW w:w="55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Subordinated Debentures due July 31, 2028.</w:t>
            </w:r>
          </w:p>
        </w:tc>
        <w:tc>
          <w:tcPr>
            <w:tcW w:w="0" w:type="dxa"/>
            <w:vAlign w:val="bottom"/>
          </w:tcPr>
          <w:p>
            <w:pPr>
              <w:spacing w:after="0"/>
              <w:rPr>
                <w:sz w:val="1"/>
                <w:szCs w:val="1"/>
                <w:color w:val="auto"/>
              </w:rPr>
            </w:pPr>
          </w:p>
        </w:tc>
      </w:tr>
      <w:tr>
        <w:trPr>
          <w:trHeight w:val="418"/>
        </w:trPr>
        <w:tc>
          <w:tcPr>
            <w:tcW w:w="1720" w:type="dxa"/>
            <w:vAlign w:val="bottom"/>
            <w:gridSpan w:val="2"/>
          </w:tcPr>
          <w:p>
            <w:pPr>
              <w:spacing w:after="0"/>
              <w:rPr>
                <w:sz w:val="20"/>
                <w:szCs w:val="20"/>
                <w:color w:val="auto"/>
              </w:rPr>
            </w:pPr>
            <w:r>
              <w:rPr>
                <w:rFonts w:ascii="Arial" w:cs="Arial" w:eastAsia="Arial" w:hAnsi="Arial"/>
                <w:sz w:val="18"/>
                <w:szCs w:val="18"/>
                <w:color w:val="auto"/>
              </w:rPr>
              <w:t>Trust VIII</w:t>
            </w:r>
          </w:p>
        </w:tc>
        <w:tc>
          <w:tcPr>
            <w:tcW w:w="2060" w:type="dxa"/>
            <w:vAlign w:val="bottom"/>
            <w:gridSpan w:val="2"/>
          </w:tcPr>
          <w:p>
            <w:pPr>
              <w:ind w:left="340"/>
              <w:spacing w:after="0"/>
              <w:rPr>
                <w:sz w:val="20"/>
                <w:szCs w:val="20"/>
                <w:color w:val="auto"/>
              </w:rPr>
            </w:pPr>
            <w:r>
              <w:rPr>
                <w:rFonts w:ascii="Arial" w:cs="Arial" w:eastAsia="Arial" w:hAnsi="Arial"/>
                <w:sz w:val="18"/>
                <w:szCs w:val="18"/>
                <w:color w:val="auto"/>
              </w:rPr>
              <w:t>$15 million</w:t>
            </w:r>
          </w:p>
        </w:tc>
        <w:tc>
          <w:tcPr>
            <w:tcW w:w="340" w:type="dxa"/>
            <w:vAlign w:val="bottom"/>
          </w:tcPr>
          <w:p>
            <w:pPr>
              <w:spacing w:after="0"/>
              <w:rPr>
                <w:sz w:val="24"/>
                <w:szCs w:val="24"/>
                <w:color w:val="auto"/>
              </w:rPr>
            </w:pPr>
          </w:p>
        </w:tc>
        <w:tc>
          <w:tcPr>
            <w:tcW w:w="1740" w:type="dxa"/>
            <w:vAlign w:val="bottom"/>
          </w:tcPr>
          <w:p>
            <w:pPr>
              <w:spacing w:after="0"/>
              <w:rPr>
                <w:sz w:val="20"/>
                <w:szCs w:val="20"/>
                <w:color w:val="auto"/>
              </w:rPr>
            </w:pPr>
            <w:r>
              <w:rPr>
                <w:rFonts w:ascii="Arial" w:cs="Arial" w:eastAsia="Arial" w:hAnsi="Arial"/>
                <w:sz w:val="18"/>
                <w:szCs w:val="18"/>
                <w:color w:val="auto"/>
              </w:rPr>
              <w:t>$.464 million</w:t>
            </w:r>
          </w:p>
        </w:tc>
        <w:tc>
          <w:tcPr>
            <w:tcW w:w="5560" w:type="dxa"/>
            <w:vAlign w:val="bottom"/>
            <w:gridSpan w:val="2"/>
          </w:tcPr>
          <w:p>
            <w:pPr>
              <w:ind w:left="340"/>
              <w:spacing w:after="0"/>
              <w:rPr>
                <w:sz w:val="20"/>
                <w:szCs w:val="20"/>
                <w:color w:val="auto"/>
              </w:rPr>
            </w:pPr>
            <w:r>
              <w:rPr>
                <w:rFonts w:ascii="Arial" w:cs="Arial" w:eastAsia="Arial" w:hAnsi="Arial"/>
                <w:sz w:val="18"/>
                <w:szCs w:val="18"/>
                <w:color w:val="auto"/>
                <w:w w:val="97"/>
              </w:rPr>
              <w:t>$15.464 million aggregate liquidation amount of floating rate Junior</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5560" w:type="dxa"/>
            <w:vAlign w:val="bottom"/>
            <w:gridSpan w:val="2"/>
          </w:tcPr>
          <w:p>
            <w:pPr>
              <w:ind w:left="340"/>
              <w:spacing w:after="0"/>
              <w:rPr>
                <w:sz w:val="20"/>
                <w:szCs w:val="20"/>
                <w:color w:val="auto"/>
              </w:rPr>
            </w:pPr>
            <w:r>
              <w:rPr>
                <w:rFonts w:ascii="Arial" w:cs="Arial" w:eastAsia="Arial" w:hAnsi="Arial"/>
                <w:sz w:val="18"/>
                <w:szCs w:val="18"/>
                <w:color w:val="auto"/>
              </w:rPr>
              <w:t>Subordinated Debentures due January 7, 2033.</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80" w:firstLine="222"/>
        <w:spacing w:after="0" w:line="257" w:lineRule="auto"/>
        <w:rPr>
          <w:sz w:val="20"/>
          <w:szCs w:val="20"/>
          <w:color w:val="auto"/>
        </w:rPr>
      </w:pPr>
      <w:r>
        <w:rPr>
          <w:rFonts w:ascii="Arial" w:cs="Arial" w:eastAsia="Arial" w:hAnsi="Arial"/>
          <w:sz w:val="18"/>
          <w:szCs w:val="18"/>
          <w:color w:val="auto"/>
        </w:rPr>
        <w:t>The Junior Subordinated Debentures represent the sole assets of each Trust and payments under the Junior Subordinated Debentures are the sole source of cash flow for each Trust. The financial statement carrying values of junior subordinated debentures associated with preferred capital securities at March 31, 2008 and December 31, 2007 of Trust III, Trust V, Trust VI and Trust VII include the unamortized portions of purchase accounting adjustments to reflect estimated fair value as of the date of M&amp;T’s acquisition of the common securities of each respective trust. The interest rates payable on the Junior Subordinated</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Borrowings, continued</w:t>
      </w:r>
    </w:p>
    <w:p>
      <w:pPr>
        <w:spacing w:after="0" w:line="121"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Debentures of Trust V, Trust VI and Trust VIII were 5.26%, 4.09% and 7.61%, respectively, at March 31, 2008 and were 6.24%, 5.76% and 8.59%, respectively, at December 31, 2007.</w:t>
      </w:r>
    </w:p>
    <w:p>
      <w:pPr>
        <w:spacing w:after="0" w:line="62" w:lineRule="exact"/>
        <w:rPr>
          <w:sz w:val="20"/>
          <w:szCs w:val="20"/>
          <w:color w:val="auto"/>
        </w:rPr>
      </w:pPr>
    </w:p>
    <w:p>
      <w:pPr>
        <w:ind w:firstLine="225"/>
        <w:spacing w:after="0" w:line="268" w:lineRule="auto"/>
        <w:rPr>
          <w:sz w:val="20"/>
          <w:szCs w:val="20"/>
          <w:color w:val="auto"/>
        </w:rPr>
      </w:pPr>
      <w:r>
        <w:rPr>
          <w:rFonts w:ascii="Arial" w:cs="Arial" w:eastAsia="Arial" w:hAnsi="Arial"/>
          <w:sz w:val="17"/>
          <w:szCs w:val="17"/>
          <w:color w:val="auto"/>
        </w:rPr>
        <w:t>Holders of the Capital Securities receive preferential cumulative cash distributions on each distribution date at the stated distribution rate unless M&amp;T exercises its right to extend the payment of interest on the Junior Subordinated Debentures for up to ten semi-annual periods (in the case of Trust I, Trust II, Trust III and Trust VII), twenty quarterly periods (in the case of Trust V, Trust VI and Trust VIII) or, with respect to Trust IV, for up to twenty quarterly periods without being subject to the alternative payment mechanism (as described below), and for up to forty quarterly periods, without giving rise to an event of default, in which case payment of distributions on the respective Capital Securities will be deferred for comparable periods. During an extended interest period, M&amp;T may not pay dividends or distributions on, or repurchase, redeem or acquire any shares of its capital stock. In the event of an extended interest period exceeding twenty quarterly periods for the Junior Subordinated Debentures due January 31, 2068 held by Trust IV, M&amp;T must fund the payment of accrued and unpaid interest through the alternative payment mechanism, which requires M&amp;T to issue common stock, non-cumulative perpetual preferred stock or warrants to purchase common stock until M&amp;T has raised an amount of eligible proceeds at least equal to the aggregate amount of accrued and unpaid deferred interest on the Junior Subordinated Debentures due January 31, 2068 held by Trust IV. The agreements governing the Capital Securities, in the aggregate, provide a full, irrevocable and unconditional guarantee by M&amp;T of the payment of distributions on, the redemption of, and any liquidation distribution with respect to the Capital Securities. The obligations under such guarantee and the Capital Securities are subordinate and junior in right of payment to all senior indebtedness of M&amp;T.</w:t>
      </w:r>
    </w:p>
    <w:p>
      <w:pPr>
        <w:spacing w:after="0" w:line="80" w:lineRule="exact"/>
        <w:rPr>
          <w:sz w:val="20"/>
          <w:szCs w:val="20"/>
          <w:color w:val="auto"/>
        </w:rPr>
      </w:pPr>
    </w:p>
    <w:p>
      <w:pPr>
        <w:ind w:right="20" w:firstLine="222"/>
        <w:spacing w:after="0" w:line="269" w:lineRule="auto"/>
        <w:rPr>
          <w:sz w:val="20"/>
          <w:szCs w:val="20"/>
          <w:color w:val="auto"/>
        </w:rPr>
      </w:pPr>
      <w:r>
        <w:rPr>
          <w:rFonts w:ascii="Arial" w:cs="Arial" w:eastAsia="Arial" w:hAnsi="Arial"/>
          <w:sz w:val="17"/>
          <w:szCs w:val="17"/>
          <w:color w:val="auto"/>
        </w:rPr>
        <w:t>The Capital Securities will remain outstanding until the Junior Subordinated Debentures are repaid at maturity, are redeemed prior to maturity or are distributed in liquidation to the Trusts. The Capital Securities are mandatorily redeemable in whole, but not in part, upon repayment at the stated maturity dates of the Junior Subordinated Debentures or the earlier redemption of the Junior Subordinated Debentures in whole upon the occurrence of one or more events set forth in the indentures relating to the Capital Securities, and in whole or in part at any time after an optional redemption contemporaneously with the optional redemption of the related Junior Subordinated Debentures in whole or in part, subject to possible regulatory approval. In connection with the issuance of the 8.50% Enhanced Trust Preferred Securities by Trust IV, M&amp;T entered into a replacement capital covenant that provides that neither M&amp;T nor any of its subsidiaries will repay, redeem or purchase any of the Junior Subordinated Debentures due January 31, 2068 or the 8.50% Enhanced Trust Preferred Securities prior to January 31, 2048, with certain limited exceptions, except to the extent that, during the 180 days prior to the date of that repayment, redemption or purchase, M&amp;T and its subsidiaries have received proceeds from the sale of qualifying securities that (i) have equity-like characteristics that are the same as, or more equity-like than, the applicable characteristics of the 8.50% Enhanced Trust Preferred Securities or the Junior Subordinated Debentures due January 31, 2068, as applicable, at the time of repayment, redemption or purchase, and (ii) M&amp;T has obtained the prior approval of the Federal Reserve Board, if required.</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Borrowings, continued</w:t>
      </w:r>
    </w:p>
    <w:p>
      <w:pPr>
        <w:spacing w:after="0" w:line="121" w:lineRule="exact"/>
        <w:rPr>
          <w:sz w:val="20"/>
          <w:szCs w:val="20"/>
          <w:color w:val="auto"/>
        </w:rPr>
      </w:pPr>
    </w:p>
    <w:p>
      <w:pPr>
        <w:ind w:firstLine="215"/>
        <w:spacing w:after="0" w:line="284" w:lineRule="auto"/>
        <w:rPr>
          <w:sz w:val="20"/>
          <w:szCs w:val="20"/>
          <w:color w:val="auto"/>
        </w:rPr>
      </w:pPr>
      <w:r>
        <w:rPr>
          <w:rFonts w:ascii="Arial" w:cs="Arial" w:eastAsia="Arial" w:hAnsi="Arial"/>
          <w:sz w:val="16"/>
          <w:szCs w:val="16"/>
          <w:color w:val="auto"/>
        </w:rPr>
        <w:t>Allfirst Preferred Capital Trust (“Allfirst Capital Trust”) has issued $100 million of Floating Rate Non-Cumulative Subordinated Trust Enhanced Securities (“SKATES”). Allfirst Capital Trust is a Delaware business trust that was formed for the exclusive purposes of (i) issuing the SKATES and common securities, (ii) purchasing Asset Preferred Securities issued by Allfirst Preferred Asset Trust (“Allfirst Asset Trust”) and (iii) engaging in only those other activities necessary or incidental thereto. M&amp;T holds 100% of the common securities of Allfirst Capital Trust. Allfirst Asset Trust is a Delaware business trust that was formed for the exclusive purposes of (i) issuing Asset Preferred Securities and common securities, (ii) investing the gross proceeds of the Asset Preferred Securities in junior subordinated debentures of M&amp;T and other permitted investments and (iii) engaging in only those other activities necessary or incidental thereto. M&amp;T holds 100% of the common securities of Allfirst Asset Trust and Allfirst Capital Trust holds 100% of the Asset Preferred Securities of Allfirst Asset Trust. M&amp;T currently has outstanding $105.3 million aggregate liquidation amount Floating Rate Junior Subordinated Debentures due</w:t>
      </w:r>
    </w:p>
    <w:p>
      <w:pPr>
        <w:spacing w:after="0" w:line="1" w:lineRule="exact"/>
        <w:rPr>
          <w:sz w:val="20"/>
          <w:szCs w:val="20"/>
          <w:color w:val="auto"/>
        </w:rPr>
      </w:pPr>
    </w:p>
    <w:p>
      <w:pPr>
        <w:ind w:right="880"/>
        <w:spacing w:after="0" w:line="261" w:lineRule="auto"/>
        <w:rPr>
          <w:sz w:val="20"/>
          <w:szCs w:val="20"/>
          <w:color w:val="auto"/>
        </w:rPr>
      </w:pPr>
      <w:r>
        <w:rPr>
          <w:rFonts w:ascii="Arial" w:cs="Arial" w:eastAsia="Arial" w:hAnsi="Arial"/>
          <w:sz w:val="18"/>
          <w:szCs w:val="18"/>
          <w:color w:val="auto"/>
        </w:rPr>
        <w:t>July 15, 2029 that are payable to Allfirst Asset Trust. The interest rates payable on such debentures were 5.69% and 6.67% at March 31, 2008 and December 31, 2007, respectively.</w:t>
      </w:r>
    </w:p>
    <w:p>
      <w:pPr>
        <w:spacing w:after="0" w:line="76" w:lineRule="exact"/>
        <w:rPr>
          <w:sz w:val="20"/>
          <w:szCs w:val="20"/>
          <w:color w:val="auto"/>
        </w:rPr>
      </w:pPr>
    </w:p>
    <w:p>
      <w:pPr>
        <w:ind w:right="40" w:firstLine="225"/>
        <w:spacing w:after="0" w:line="270" w:lineRule="auto"/>
        <w:rPr>
          <w:sz w:val="20"/>
          <w:szCs w:val="20"/>
          <w:color w:val="auto"/>
        </w:rPr>
      </w:pPr>
      <w:r>
        <w:rPr>
          <w:rFonts w:ascii="Arial" w:cs="Arial" w:eastAsia="Arial" w:hAnsi="Arial"/>
          <w:sz w:val="17"/>
          <w:szCs w:val="17"/>
          <w:color w:val="auto"/>
        </w:rPr>
        <w:t>Distributions on the SKATES are non-cumulative. The distribution rate on the SKATES and on the Floating Rate Junior Subordinated Debentures is a rate per annum of three-month LIBOR plus 1.50% and three-month LIBOR plus 1.43%, respectively, reset quarterly two business days prior to the distribution dates of January 15, April 15, July 15, and October 15 in each year. Distributions on the SKATES will be paid if, as and when Allfirst Capital Trust has funds available for payment. The SKATES are subject to mandatory redemption if the Asset Preferred Securities of Allfirst Asset Trust are redeemed. Allfirst Asset Trust will redeem the Asset Preferred Securities if the junior subordinated debentures of M&amp;T held by Allfirst Asset Trust are redeemed. M&amp;T may redeem such junior subordinated debentures, in whole or in part, at any time on or after July 15, 2009, subject to regulatory approval. Allfirst Asset Trust will redeem the Asset Preferred Securities at par plus accrued and unpaid distributions from the last distribution payment date. M&amp;T has guaranteed, on a subordinated basis, the payment in full of all distributions and other payments on the SKATES and on the Asset Preferred Securities to the extent that Allfirst Capital Trust and Allfirst Asset Trust, respectively, have funds legally available. Under the Federal Reserve Board’s current risk-based capital guidelines, the SKATES are includable in M&amp;T’s Tier 1 Capital.</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Borrowings, continued</w:t>
      </w:r>
    </w:p>
    <w:p>
      <w:pPr>
        <w:spacing w:after="0" w:line="121" w:lineRule="exact"/>
        <w:rPr>
          <w:sz w:val="20"/>
          <w:szCs w:val="20"/>
          <w:color w:val="auto"/>
        </w:rPr>
      </w:pPr>
    </w:p>
    <w:p>
      <w:pPr>
        <w:ind w:right="140" w:firstLine="225"/>
        <w:spacing w:after="0" w:line="264" w:lineRule="auto"/>
        <w:rPr>
          <w:sz w:val="20"/>
          <w:szCs w:val="20"/>
          <w:color w:val="auto"/>
        </w:rPr>
      </w:pPr>
      <w:r>
        <w:rPr>
          <w:rFonts w:ascii="Arial" w:cs="Arial" w:eastAsia="Arial" w:hAnsi="Arial"/>
          <w:sz w:val="18"/>
          <w:szCs w:val="18"/>
          <w:color w:val="auto"/>
        </w:rPr>
        <w:t>Including the unamortized portions of purchase accounting adjustments to reflect estimated fair value at the acquisition dates of the common securities of Trust III, Trust V, Trust VI, Trust VII and Allfirst Asset Trust, the junior subordinated debentures associated with preferred capital securities had financial statement carrying values as follows: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tcPr>
          <w:p>
            <w:pPr>
              <w:jc w:val="right"/>
              <w:ind w:right="780"/>
              <w:spacing w:after="0"/>
              <w:rPr>
                <w:sz w:val="20"/>
                <w:szCs w:val="20"/>
                <w:color w:val="auto"/>
              </w:rPr>
            </w:pPr>
            <w:r>
              <w:rPr>
                <w:rFonts w:ascii="Arial" w:cs="Arial" w:eastAsia="Arial" w:hAnsi="Arial"/>
                <w:sz w:val="14"/>
                <w:szCs w:val="14"/>
                <w:color w:val="auto"/>
                <w:w w:val="96"/>
              </w:rPr>
              <w:t>March 31,</w:t>
            </w:r>
          </w:p>
        </w:tc>
        <w:tc>
          <w:tcPr>
            <w:tcW w:w="920" w:type="dxa"/>
            <w:vAlign w:val="bottom"/>
            <w:gridSpan w:val="2"/>
          </w:tcPr>
          <w:p>
            <w:pPr>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9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color w:val="auto"/>
              </w:rPr>
              <w:t>2008</w:t>
            </w:r>
          </w:p>
        </w:tc>
        <w:tc>
          <w:tcPr>
            <w:tcW w:w="660" w:type="dxa"/>
            <w:vAlign w:val="bottom"/>
          </w:tcPr>
          <w:p>
            <w:pPr>
              <w:spacing w:after="0"/>
              <w:rPr>
                <w:sz w:val="14"/>
                <w:szCs w:val="14"/>
                <w:color w:val="auto"/>
              </w:rPr>
            </w:pPr>
          </w:p>
        </w:tc>
        <w:tc>
          <w:tcPr>
            <w:tcW w:w="8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color w:val="auto"/>
              </w:rPr>
              <w:t>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20" w:type="dxa"/>
            <w:vAlign w:val="bottom"/>
            <w:gridSpan w:val="4"/>
          </w:tcPr>
          <w:p>
            <w:pPr>
              <w:ind w:left="640"/>
              <w:spacing w:after="0" w:line="142" w:lineRule="exact"/>
              <w:rPr>
                <w:sz w:val="20"/>
                <w:szCs w:val="20"/>
                <w:color w:val="auto"/>
              </w:rPr>
            </w:pPr>
            <w:r>
              <w:rPr>
                <w:rFonts w:ascii="Arial" w:cs="Arial" w:eastAsia="Arial" w:hAnsi="Arial"/>
                <w:sz w:val="14"/>
                <w:szCs w:val="14"/>
                <w:color w:val="auto"/>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Trust I</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154,640</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154,640</w:t>
            </w:r>
          </w:p>
        </w:tc>
        <w:tc>
          <w:tcPr>
            <w:tcW w:w="0" w:type="dxa"/>
            <w:vAlign w:val="bottom"/>
          </w:tcPr>
          <w:p>
            <w:pPr>
              <w:spacing w:after="0"/>
              <w:rPr>
                <w:sz w:val="1"/>
                <w:szCs w:val="1"/>
                <w:color w:val="auto"/>
              </w:rPr>
            </w:pPr>
          </w:p>
        </w:tc>
      </w:tr>
      <w:tr>
        <w:trPr>
          <w:trHeight w:val="432"/>
        </w:trPr>
        <w:tc>
          <w:tcPr>
            <w:tcW w:w="9000" w:type="dxa"/>
            <w:vAlign w:val="bottom"/>
            <w:gridSpan w:val="2"/>
          </w:tcPr>
          <w:p>
            <w:pPr>
              <w:spacing w:after="0"/>
              <w:rPr>
                <w:sz w:val="20"/>
                <w:szCs w:val="20"/>
                <w:color w:val="auto"/>
              </w:rPr>
            </w:pPr>
            <w:r>
              <w:rPr>
                <w:rFonts w:ascii="Arial" w:cs="Arial" w:eastAsia="Arial" w:hAnsi="Arial"/>
                <w:sz w:val="18"/>
                <w:szCs w:val="18"/>
                <w:color w:val="auto"/>
              </w:rPr>
              <w:t>Trust II</w:t>
            </w:r>
          </w:p>
        </w:tc>
        <w:tc>
          <w:tcPr>
            <w:tcW w:w="100" w:type="dxa"/>
            <w:vAlign w:val="bottom"/>
          </w:tcPr>
          <w:p>
            <w:pPr>
              <w:spacing w:after="0"/>
              <w:rPr>
                <w:sz w:val="24"/>
                <w:szCs w:val="24"/>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103,093</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103,093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Trust III</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67,978</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68,059</w:t>
            </w:r>
          </w:p>
        </w:tc>
        <w:tc>
          <w:tcPr>
            <w:tcW w:w="0" w:type="dxa"/>
            <w:vAlign w:val="bottom"/>
          </w:tcPr>
          <w:p>
            <w:pPr>
              <w:spacing w:after="0"/>
              <w:rPr>
                <w:sz w:val="1"/>
                <w:szCs w:val="1"/>
                <w:color w:val="auto"/>
              </w:rPr>
            </w:pPr>
          </w:p>
        </w:tc>
      </w:tr>
      <w:tr>
        <w:trPr>
          <w:trHeight w:val="432"/>
        </w:trPr>
        <w:tc>
          <w:tcPr>
            <w:tcW w:w="9000" w:type="dxa"/>
            <w:vAlign w:val="bottom"/>
            <w:gridSpan w:val="2"/>
          </w:tcPr>
          <w:p>
            <w:pPr>
              <w:spacing w:after="0"/>
              <w:rPr>
                <w:sz w:val="20"/>
                <w:szCs w:val="20"/>
                <w:color w:val="auto"/>
              </w:rPr>
            </w:pPr>
            <w:r>
              <w:rPr>
                <w:rFonts w:ascii="Arial" w:cs="Arial" w:eastAsia="Arial" w:hAnsi="Arial"/>
                <w:sz w:val="18"/>
                <w:szCs w:val="18"/>
                <w:color w:val="auto"/>
              </w:rPr>
              <w:t>Trust IV</w:t>
            </w:r>
          </w:p>
        </w:tc>
        <w:tc>
          <w:tcPr>
            <w:tcW w:w="100" w:type="dxa"/>
            <w:vAlign w:val="bottom"/>
          </w:tcPr>
          <w:p>
            <w:pPr>
              <w:spacing w:after="0"/>
              <w:rPr>
                <w:sz w:val="24"/>
                <w:szCs w:val="24"/>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350,010</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Trust V</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144,338</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144,201</w:t>
            </w:r>
          </w:p>
        </w:tc>
        <w:tc>
          <w:tcPr>
            <w:tcW w:w="0" w:type="dxa"/>
            <w:vAlign w:val="bottom"/>
          </w:tcPr>
          <w:p>
            <w:pPr>
              <w:spacing w:after="0"/>
              <w:rPr>
                <w:sz w:val="1"/>
                <w:szCs w:val="1"/>
                <w:color w:val="auto"/>
              </w:rPr>
            </w:pPr>
          </w:p>
        </w:tc>
      </w:tr>
      <w:tr>
        <w:trPr>
          <w:trHeight w:val="432"/>
        </w:trPr>
        <w:tc>
          <w:tcPr>
            <w:tcW w:w="9000" w:type="dxa"/>
            <w:vAlign w:val="bottom"/>
            <w:gridSpan w:val="2"/>
          </w:tcPr>
          <w:p>
            <w:pPr>
              <w:spacing w:after="0"/>
              <w:rPr>
                <w:sz w:val="20"/>
                <w:szCs w:val="20"/>
                <w:color w:val="auto"/>
              </w:rPr>
            </w:pPr>
            <w:r>
              <w:rPr>
                <w:rFonts w:ascii="Arial" w:cs="Arial" w:eastAsia="Arial" w:hAnsi="Arial"/>
                <w:sz w:val="18"/>
                <w:szCs w:val="18"/>
                <w:color w:val="auto"/>
              </w:rPr>
              <w:t>Trust VI</w:t>
            </w:r>
          </w:p>
        </w:tc>
        <w:tc>
          <w:tcPr>
            <w:tcW w:w="100" w:type="dxa"/>
            <w:vAlign w:val="bottom"/>
          </w:tcPr>
          <w:p>
            <w:pPr>
              <w:spacing w:after="0"/>
              <w:rPr>
                <w:sz w:val="24"/>
                <w:szCs w:val="24"/>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142,152</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141,986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Trust VII</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16,908</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16,902</w:t>
            </w:r>
          </w:p>
        </w:tc>
        <w:tc>
          <w:tcPr>
            <w:tcW w:w="0" w:type="dxa"/>
            <w:vAlign w:val="bottom"/>
          </w:tcPr>
          <w:p>
            <w:pPr>
              <w:spacing w:after="0"/>
              <w:rPr>
                <w:sz w:val="1"/>
                <w:szCs w:val="1"/>
                <w:color w:val="auto"/>
              </w:rPr>
            </w:pPr>
          </w:p>
        </w:tc>
      </w:tr>
      <w:tr>
        <w:trPr>
          <w:trHeight w:val="432"/>
        </w:trPr>
        <w:tc>
          <w:tcPr>
            <w:tcW w:w="9000" w:type="dxa"/>
            <w:vAlign w:val="bottom"/>
            <w:gridSpan w:val="2"/>
          </w:tcPr>
          <w:p>
            <w:pPr>
              <w:spacing w:after="0"/>
              <w:rPr>
                <w:sz w:val="20"/>
                <w:szCs w:val="20"/>
                <w:color w:val="auto"/>
              </w:rPr>
            </w:pPr>
            <w:r>
              <w:rPr>
                <w:rFonts w:ascii="Arial" w:cs="Arial" w:eastAsia="Arial" w:hAnsi="Arial"/>
                <w:sz w:val="18"/>
                <w:szCs w:val="18"/>
                <w:color w:val="auto"/>
              </w:rPr>
              <w:t>Trust VIII</w:t>
            </w:r>
          </w:p>
        </w:tc>
        <w:tc>
          <w:tcPr>
            <w:tcW w:w="100" w:type="dxa"/>
            <w:vAlign w:val="bottom"/>
          </w:tcPr>
          <w:p>
            <w:pPr>
              <w:spacing w:after="0"/>
              <w:rPr>
                <w:sz w:val="24"/>
                <w:szCs w:val="24"/>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15,464</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15,464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Allfirst Asset Trust</w:t>
            </w: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101,991</w:t>
            </w:r>
          </w:p>
        </w:tc>
        <w:tc>
          <w:tcPr>
            <w:tcW w:w="66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101,952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89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1,096,574</w:t>
            </w:r>
          </w:p>
        </w:tc>
        <w:tc>
          <w:tcPr>
            <w:tcW w:w="66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746,297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Segment information</w:t>
      </w:r>
    </w:p>
    <w:p>
      <w:pPr>
        <w:spacing w:after="0" w:line="12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Reportable segments have been determined based upon the Company’s internal profitability reporting system, which is organized by strategic business unit. Certain strategic business units have been combined for segment information reporting purposes where the nature of the products and services, the type of customer and the distribution of those products and services are similar. The reportable segments are Business Banking, Commercial Banking, Commercial Real Estate, Discretionary Portfolio, Residential Mortgage Banking and Retail Banking.</w:t>
      </w:r>
    </w:p>
    <w:p>
      <w:pPr>
        <w:spacing w:after="0" w:line="79" w:lineRule="exact"/>
        <w:rPr>
          <w:sz w:val="20"/>
          <w:szCs w:val="20"/>
          <w:color w:val="auto"/>
        </w:rPr>
      </w:pPr>
    </w:p>
    <w:p>
      <w:pPr>
        <w:ind w:right="80" w:firstLine="222"/>
        <w:spacing w:after="0" w:line="254" w:lineRule="auto"/>
        <w:rPr>
          <w:sz w:val="20"/>
          <w:szCs w:val="20"/>
          <w:color w:val="auto"/>
        </w:rPr>
      </w:pPr>
      <w:r>
        <w:rPr>
          <w:rFonts w:ascii="Arial" w:cs="Arial" w:eastAsia="Arial" w:hAnsi="Arial"/>
          <w:sz w:val="18"/>
          <w:szCs w:val="18"/>
          <w:color w:val="auto"/>
        </w:rPr>
        <w:t>The financial information of the Company’s segments was compiled utilizing the accounting policies described in note 21 to the Company’s consolidated financial statements as of and for the year ended December 31, 2007. The management accounting policies and processes utilized in compiling segment financial information are highly subjective and, unlike financial accounting, are not based on authoritative guidance similar to generally accepted accounting principles (“GAAP”). As a result, the financial information of the reported segments is not necessarily comparable with similar information reported by other financial institutions. As also described in note 21 to the Company’s 2007 consolidated financial statements, neither goodwill nor core deposit and other intangible assets (and the amortization charges associated with such assets) resulting from acquisitions of financial institutions have been allocated to the Company’s reportable segments, but are included in the “All Other” category. The Company has, however, assigned such intangible assets to business units for purposes of testing for impairment.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Segment information, continued</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Information about the Company’s segments is presented in the following table: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6"/>
          </w:tcPr>
          <w:p>
            <w:pPr>
              <w:jc w:val="right"/>
              <w:ind w:right="348"/>
              <w:spacing w:after="0"/>
              <w:rPr>
                <w:sz w:val="20"/>
                <w:szCs w:val="20"/>
                <w:color w:val="auto"/>
              </w:rPr>
            </w:pPr>
            <w:r>
              <w:rPr>
                <w:rFonts w:ascii="Arial" w:cs="Arial" w:eastAsia="Arial" w:hAnsi="Arial"/>
                <w:sz w:val="14"/>
                <w:szCs w:val="14"/>
                <w:color w:val="auto"/>
              </w:rPr>
              <w:t>Three months ended March 31</w:t>
            </w:r>
          </w:p>
        </w:tc>
        <w:tc>
          <w:tcPr>
            <w:tcW w:w="4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color w:val="auto"/>
                <w:w w:val="89"/>
              </w:rPr>
              <w:t>2008</w:t>
            </w:r>
          </w:p>
        </w:tc>
        <w:tc>
          <w:tcPr>
            <w:tcW w:w="6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gridSpan w:val="3"/>
          </w:tcPr>
          <w:p>
            <w:pPr>
              <w:ind w:left="580"/>
              <w:spacing w:after="0" w:line="142" w:lineRule="exact"/>
              <w:rPr>
                <w:sz w:val="20"/>
                <w:szCs w:val="20"/>
                <w:color w:val="auto"/>
              </w:rPr>
            </w:pPr>
            <w:r>
              <w:rPr>
                <w:rFonts w:ascii="Arial" w:cs="Arial" w:eastAsia="Arial" w:hAnsi="Arial"/>
                <w:sz w:val="14"/>
                <w:szCs w:val="14"/>
                <w:color w:val="auto"/>
              </w:rPr>
              <w:t>2007</w:t>
            </w: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29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340" w:type="dxa"/>
            <w:vAlign w:val="bottom"/>
            <w:gridSpan w:val="2"/>
          </w:tcPr>
          <w:p>
            <w:pPr>
              <w:jc w:val="center"/>
              <w:ind w:right="660"/>
              <w:spacing w:after="0" w:line="123" w:lineRule="exact"/>
              <w:rPr>
                <w:sz w:val="20"/>
                <w:szCs w:val="20"/>
                <w:color w:val="auto"/>
              </w:rPr>
            </w:pPr>
            <w:r>
              <w:rPr>
                <w:rFonts w:ascii="Arial" w:cs="Arial" w:eastAsia="Arial" w:hAnsi="Arial"/>
                <w:sz w:val="14"/>
                <w:szCs w:val="14"/>
                <w:color w:val="auto"/>
                <w:w w:val="97"/>
              </w:rPr>
              <w:t>Inter-</w:t>
            </w:r>
          </w:p>
        </w:tc>
        <w:tc>
          <w:tcPr>
            <w:tcW w:w="700" w:type="dxa"/>
            <w:vAlign w:val="bottom"/>
          </w:tcPr>
          <w:p>
            <w:pPr>
              <w:jc w:val="center"/>
              <w:spacing w:after="0" w:line="123" w:lineRule="exact"/>
              <w:rPr>
                <w:sz w:val="20"/>
                <w:szCs w:val="20"/>
                <w:color w:val="auto"/>
              </w:rPr>
            </w:pPr>
            <w:r>
              <w:rPr>
                <w:rFonts w:ascii="Arial" w:cs="Arial" w:eastAsia="Arial" w:hAnsi="Arial"/>
                <w:sz w:val="14"/>
                <w:szCs w:val="14"/>
                <w:color w:val="auto"/>
              </w:rPr>
              <w:t>Net</w:t>
            </w: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80" w:type="dxa"/>
            <w:vAlign w:val="bottom"/>
            <w:gridSpan w:val="3"/>
          </w:tcPr>
          <w:p>
            <w:pPr>
              <w:jc w:val="center"/>
              <w:ind w:right="600"/>
              <w:spacing w:after="0" w:line="123" w:lineRule="exact"/>
              <w:rPr>
                <w:sz w:val="20"/>
                <w:szCs w:val="20"/>
                <w:color w:val="auto"/>
              </w:rPr>
            </w:pPr>
            <w:r>
              <w:rPr>
                <w:rFonts w:ascii="Arial" w:cs="Arial" w:eastAsia="Arial" w:hAnsi="Arial"/>
                <w:sz w:val="14"/>
                <w:szCs w:val="14"/>
                <w:color w:val="auto"/>
                <w:w w:val="97"/>
              </w:rPr>
              <w:t>Inter-</w:t>
            </w:r>
          </w:p>
        </w:tc>
        <w:tc>
          <w:tcPr>
            <w:tcW w:w="60" w:type="dxa"/>
            <w:vAlign w:val="bottom"/>
          </w:tcPr>
          <w:p>
            <w:pPr>
              <w:spacing w:after="0"/>
              <w:rPr>
                <w:sz w:val="10"/>
                <w:szCs w:val="10"/>
                <w:color w:val="auto"/>
              </w:rPr>
            </w:pPr>
          </w:p>
        </w:tc>
        <w:tc>
          <w:tcPr>
            <w:tcW w:w="720" w:type="dxa"/>
            <w:vAlign w:val="bottom"/>
          </w:tcPr>
          <w:p>
            <w:pPr>
              <w:jc w:val="center"/>
              <w:spacing w:after="0" w:line="123" w:lineRule="exact"/>
              <w:rPr>
                <w:sz w:val="20"/>
                <w:szCs w:val="20"/>
                <w:color w:val="auto"/>
              </w:rPr>
            </w:pPr>
            <w:r>
              <w:rPr>
                <w:rFonts w:ascii="Arial" w:cs="Arial" w:eastAsia="Arial" w:hAnsi="Arial"/>
                <w:sz w:val="14"/>
                <w:szCs w:val="14"/>
                <w:color w:val="auto"/>
                <w:w w:val="91"/>
              </w:rPr>
              <w:t>Net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right"/>
              <w:ind w:right="860"/>
              <w:spacing w:after="0" w:line="149" w:lineRule="exact"/>
              <w:rPr>
                <w:sz w:val="20"/>
                <w:szCs w:val="20"/>
                <w:color w:val="auto"/>
              </w:rPr>
            </w:pPr>
            <w:r>
              <w:rPr>
                <w:rFonts w:ascii="Arial" w:cs="Arial" w:eastAsia="Arial" w:hAnsi="Arial"/>
                <w:sz w:val="14"/>
                <w:szCs w:val="14"/>
                <w:color w:val="auto"/>
              </w:rPr>
              <w:t>Total</w:t>
            </w:r>
          </w:p>
        </w:tc>
        <w:tc>
          <w:tcPr>
            <w:tcW w:w="1340" w:type="dxa"/>
            <w:vAlign w:val="bottom"/>
            <w:gridSpan w:val="2"/>
          </w:tcPr>
          <w:p>
            <w:pPr>
              <w:jc w:val="center"/>
              <w:ind w:right="660"/>
              <w:spacing w:after="0" w:line="149" w:lineRule="exact"/>
              <w:rPr>
                <w:sz w:val="20"/>
                <w:szCs w:val="20"/>
                <w:color w:val="auto"/>
              </w:rPr>
            </w:pPr>
            <w:r>
              <w:rPr>
                <w:rFonts w:ascii="Arial" w:cs="Arial" w:eastAsia="Arial" w:hAnsi="Arial"/>
                <w:sz w:val="14"/>
                <w:szCs w:val="14"/>
                <w:color w:val="auto"/>
                <w:w w:val="89"/>
              </w:rPr>
              <w:t>segment</w:t>
            </w:r>
          </w:p>
        </w:tc>
        <w:tc>
          <w:tcPr>
            <w:tcW w:w="700" w:type="dxa"/>
            <w:vAlign w:val="bottom"/>
          </w:tcPr>
          <w:p>
            <w:pPr>
              <w:jc w:val="center"/>
              <w:spacing w:after="0" w:line="149" w:lineRule="exact"/>
              <w:rPr>
                <w:sz w:val="20"/>
                <w:szCs w:val="20"/>
                <w:color w:val="auto"/>
              </w:rPr>
            </w:pPr>
            <w:r>
              <w:rPr>
                <w:rFonts w:ascii="Arial" w:cs="Arial" w:eastAsia="Arial" w:hAnsi="Arial"/>
                <w:sz w:val="14"/>
                <w:szCs w:val="14"/>
                <w:color w:val="auto"/>
                <w:w w:val="92"/>
              </w:rPr>
              <w:t>income</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center"/>
              <w:ind w:right="348"/>
              <w:spacing w:after="0" w:line="149" w:lineRule="exact"/>
              <w:rPr>
                <w:sz w:val="20"/>
                <w:szCs w:val="20"/>
                <w:color w:val="auto"/>
              </w:rPr>
            </w:pPr>
            <w:r>
              <w:rPr>
                <w:rFonts w:ascii="Arial" w:cs="Arial" w:eastAsia="Arial" w:hAnsi="Arial"/>
                <w:sz w:val="14"/>
                <w:szCs w:val="14"/>
                <w:color w:val="auto"/>
                <w:w w:val="96"/>
              </w:rPr>
              <w:t>Total</w:t>
            </w: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80" w:type="dxa"/>
            <w:vAlign w:val="bottom"/>
            <w:gridSpan w:val="3"/>
          </w:tcPr>
          <w:p>
            <w:pPr>
              <w:jc w:val="center"/>
              <w:ind w:right="600"/>
              <w:spacing w:after="0" w:line="149" w:lineRule="exact"/>
              <w:rPr>
                <w:sz w:val="20"/>
                <w:szCs w:val="20"/>
                <w:color w:val="auto"/>
              </w:rPr>
            </w:pPr>
            <w:r>
              <w:rPr>
                <w:rFonts w:ascii="Arial" w:cs="Arial" w:eastAsia="Arial" w:hAnsi="Arial"/>
                <w:sz w:val="14"/>
                <w:szCs w:val="14"/>
                <w:color w:val="auto"/>
                <w:w w:val="89"/>
              </w:rPr>
              <w:t>segment</w:t>
            </w:r>
          </w:p>
        </w:tc>
        <w:tc>
          <w:tcPr>
            <w:tcW w:w="60" w:type="dxa"/>
            <w:vAlign w:val="bottom"/>
          </w:tcPr>
          <w:p>
            <w:pPr>
              <w:spacing w:after="0"/>
              <w:rPr>
                <w:sz w:val="12"/>
                <w:szCs w:val="12"/>
                <w:color w:val="auto"/>
              </w:rPr>
            </w:pPr>
          </w:p>
        </w:tc>
        <w:tc>
          <w:tcPr>
            <w:tcW w:w="8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7"/>
              </w:rPr>
              <w:t>income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4"/>
                <w:szCs w:val="14"/>
                <w:color w:val="auto"/>
                <w:w w:val="88"/>
              </w:rPr>
              <w:t>revenues(a)</w:t>
            </w:r>
          </w:p>
        </w:tc>
        <w:tc>
          <w:tcPr>
            <w:tcW w:w="66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0"/>
              </w:rPr>
              <w:t>revenues</w:t>
            </w:r>
          </w:p>
        </w:tc>
        <w:tc>
          <w:tcPr>
            <w:tcW w:w="66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color w:val="auto"/>
                <w:w w:val="93"/>
              </w:rPr>
              <w:t>(loss)</w:t>
            </w:r>
          </w:p>
        </w:tc>
        <w:tc>
          <w:tcPr>
            <w:tcW w:w="660" w:type="dxa"/>
            <w:vAlign w:val="bottom"/>
          </w:tcPr>
          <w:p>
            <w:pPr>
              <w:spacing w:after="0"/>
              <w:rPr>
                <w:sz w:val="14"/>
                <w:szCs w:val="14"/>
                <w:color w:val="auto"/>
              </w:rPr>
            </w:pPr>
          </w:p>
        </w:tc>
        <w:tc>
          <w:tcPr>
            <w:tcW w:w="1060" w:type="dxa"/>
            <w:vAlign w:val="bottom"/>
            <w:gridSpan w:val="4"/>
          </w:tcPr>
          <w:p>
            <w:pPr>
              <w:jc w:val="center"/>
              <w:ind w:right="148"/>
              <w:spacing w:after="0"/>
              <w:rPr>
                <w:sz w:val="20"/>
                <w:szCs w:val="20"/>
                <w:color w:val="auto"/>
              </w:rPr>
            </w:pPr>
            <w:r>
              <w:rPr>
                <w:rFonts w:ascii="Arial" w:cs="Arial" w:eastAsia="Arial" w:hAnsi="Arial"/>
                <w:sz w:val="14"/>
                <w:szCs w:val="14"/>
                <w:color w:val="auto"/>
                <w:w w:val="91"/>
              </w:rPr>
              <w:t>revenues(a)(b)</w:t>
            </w: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80" w:type="dxa"/>
            <w:vAlign w:val="bottom"/>
            <w:gridSpan w:val="3"/>
          </w:tcPr>
          <w:p>
            <w:pPr>
              <w:jc w:val="center"/>
              <w:ind w:right="600"/>
              <w:spacing w:after="0"/>
              <w:rPr>
                <w:sz w:val="20"/>
                <w:szCs w:val="20"/>
                <w:color w:val="auto"/>
              </w:rPr>
            </w:pPr>
            <w:r>
              <w:rPr>
                <w:rFonts w:ascii="Arial" w:cs="Arial" w:eastAsia="Arial" w:hAnsi="Arial"/>
                <w:sz w:val="14"/>
                <w:szCs w:val="14"/>
                <w:color w:val="auto"/>
                <w:w w:val="90"/>
              </w:rPr>
              <w:t>revenues</w:t>
            </w:r>
          </w:p>
        </w:tc>
        <w:tc>
          <w:tcPr>
            <w:tcW w:w="60" w:type="dxa"/>
            <w:vAlign w:val="bottom"/>
          </w:tcPr>
          <w:p>
            <w:pPr>
              <w:spacing w:after="0"/>
              <w:rPr>
                <w:sz w:val="14"/>
                <w:szCs w:val="14"/>
                <w:color w:val="auto"/>
              </w:rPr>
            </w:pPr>
          </w:p>
        </w:tc>
        <w:tc>
          <w:tcPr>
            <w:tcW w:w="820" w:type="dxa"/>
            <w:vAlign w:val="bottom"/>
            <w:gridSpan w:val="2"/>
          </w:tcPr>
          <w:p>
            <w:pPr>
              <w:jc w:val="center"/>
              <w:ind w:right="100"/>
              <w:spacing w:after="0"/>
              <w:rPr>
                <w:sz w:val="20"/>
                <w:szCs w:val="20"/>
                <w:color w:val="auto"/>
              </w:rPr>
            </w:pPr>
            <w:r>
              <w:rPr>
                <w:rFonts w:ascii="Arial" w:cs="Arial" w:eastAsia="Arial" w:hAnsi="Arial"/>
                <w:sz w:val="14"/>
                <w:szCs w:val="14"/>
                <w:color w:val="auto"/>
                <w:w w:val="93"/>
              </w:rPr>
              <w:t>(loss)(b)</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gridSpan w:val="3"/>
          </w:tcPr>
          <w:p>
            <w:pPr>
              <w:jc w:val="right"/>
              <w:spacing w:after="0" w:line="142" w:lineRule="exact"/>
              <w:rPr>
                <w:sz w:val="20"/>
                <w:szCs w:val="20"/>
                <w:color w:val="auto"/>
              </w:rPr>
            </w:pPr>
            <w:r>
              <w:rPr>
                <w:rFonts w:ascii="Arial" w:cs="Arial" w:eastAsia="Arial" w:hAnsi="Arial"/>
                <w:sz w:val="14"/>
                <w:szCs w:val="14"/>
                <w:color w:val="auto"/>
                <w:w w:val="90"/>
              </w:rPr>
              <w:t>(in thousands)</w:t>
            </w: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Business Banking</w:t>
            </w:r>
          </w:p>
        </w:tc>
        <w:tc>
          <w:tcPr>
            <w:tcW w:w="84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95,249</w:t>
            </w: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32,783</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89,079</w:t>
            </w: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31,578</w:t>
            </w:r>
          </w:p>
        </w:tc>
        <w:tc>
          <w:tcPr>
            <w:tcW w:w="0" w:type="dxa"/>
            <w:vAlign w:val="bottom"/>
          </w:tcPr>
          <w:p>
            <w:pPr>
              <w:spacing w:after="0"/>
              <w:rPr>
                <w:sz w:val="1"/>
                <w:szCs w:val="1"/>
                <w:color w:val="auto"/>
              </w:rPr>
            </w:pPr>
          </w:p>
        </w:tc>
      </w:tr>
      <w:tr>
        <w:trPr>
          <w:trHeight w:val="432"/>
        </w:trPr>
        <w:tc>
          <w:tcPr>
            <w:tcW w:w="2940" w:type="dxa"/>
            <w:vAlign w:val="bottom"/>
            <w:gridSpan w:val="2"/>
          </w:tcPr>
          <w:p>
            <w:pPr>
              <w:spacing w:after="0"/>
              <w:rPr>
                <w:sz w:val="20"/>
                <w:szCs w:val="20"/>
                <w:color w:val="auto"/>
              </w:rPr>
            </w:pPr>
            <w:r>
              <w:rPr>
                <w:rFonts w:ascii="Arial" w:cs="Arial" w:eastAsia="Arial" w:hAnsi="Arial"/>
                <w:sz w:val="18"/>
                <w:szCs w:val="18"/>
                <w:color w:val="auto"/>
              </w:rPr>
              <w:t>Commercial Banking</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w w:val="89"/>
              </w:rPr>
              <w:t>162,584</w:t>
            </w: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rPr>
              <w:t>85</w:t>
            </w:r>
          </w:p>
        </w:tc>
        <w:tc>
          <w:tcPr>
            <w:tcW w:w="700" w:type="dxa"/>
            <w:vAlign w:val="bottom"/>
          </w:tcPr>
          <w:p>
            <w:pPr>
              <w:jc w:val="right"/>
              <w:spacing w:after="0"/>
              <w:rPr>
                <w:sz w:val="20"/>
                <w:szCs w:val="20"/>
                <w:color w:val="auto"/>
              </w:rPr>
            </w:pPr>
            <w:r>
              <w:rPr>
                <w:rFonts w:ascii="Arial" w:cs="Arial" w:eastAsia="Arial" w:hAnsi="Arial"/>
                <w:sz w:val="18"/>
                <w:szCs w:val="18"/>
                <w:color w:val="auto"/>
              </w:rPr>
              <w:t>66,809</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gridSpan w:val="2"/>
          </w:tcPr>
          <w:p>
            <w:pPr>
              <w:jc w:val="right"/>
              <w:ind w:right="148"/>
              <w:spacing w:after="0"/>
              <w:rPr>
                <w:sz w:val="20"/>
                <w:szCs w:val="20"/>
                <w:color w:val="auto"/>
              </w:rPr>
            </w:pPr>
            <w:r>
              <w:rPr>
                <w:rFonts w:ascii="Arial" w:cs="Arial" w:eastAsia="Arial" w:hAnsi="Arial"/>
                <w:sz w:val="18"/>
                <w:szCs w:val="18"/>
                <w:color w:val="auto"/>
                <w:w w:val="92"/>
              </w:rPr>
              <w:t>135,705</w:t>
            </w:r>
          </w:p>
        </w:tc>
        <w:tc>
          <w:tcPr>
            <w:tcW w:w="1740" w:type="dxa"/>
            <w:vAlign w:val="bottom"/>
            <w:gridSpan w:val="5"/>
          </w:tcPr>
          <w:p>
            <w:pPr>
              <w:jc w:val="right"/>
              <w:ind w:right="600"/>
              <w:spacing w:after="0"/>
              <w:rPr>
                <w:sz w:val="20"/>
                <w:szCs w:val="20"/>
                <w:color w:val="auto"/>
              </w:rPr>
            </w:pPr>
            <w:r>
              <w:rPr>
                <w:rFonts w:ascii="Arial" w:cs="Arial" w:eastAsia="Arial" w:hAnsi="Arial"/>
                <w:sz w:val="18"/>
                <w:szCs w:val="18"/>
                <w:color w:val="auto"/>
              </w:rPr>
              <w:t>125</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54,478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86,278</w:t>
            </w: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208</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42,809</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71,319</w:t>
            </w:r>
          </w:p>
        </w:tc>
        <w:tc>
          <w:tcPr>
            <w:tcW w:w="1740" w:type="dxa"/>
            <w:vAlign w:val="bottom"/>
            <w:gridSpan w:val="5"/>
            <w:shd w:val="clear" w:color="auto" w:fill="CCEEFF"/>
          </w:tcPr>
          <w:p>
            <w:pPr>
              <w:jc w:val="right"/>
              <w:ind w:right="600"/>
              <w:spacing w:after="0"/>
              <w:rPr>
                <w:sz w:val="20"/>
                <w:szCs w:val="20"/>
                <w:color w:val="auto"/>
              </w:rPr>
            </w:pPr>
            <w:r>
              <w:rPr>
                <w:rFonts w:ascii="Arial" w:cs="Arial" w:eastAsia="Arial" w:hAnsi="Arial"/>
                <w:sz w:val="18"/>
                <w:szCs w:val="18"/>
                <w:color w:val="auto"/>
              </w:rPr>
              <w:t>151</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34,288</w:t>
            </w:r>
          </w:p>
        </w:tc>
        <w:tc>
          <w:tcPr>
            <w:tcW w:w="0" w:type="dxa"/>
            <w:vAlign w:val="bottom"/>
          </w:tcPr>
          <w:p>
            <w:pPr>
              <w:spacing w:after="0"/>
              <w:rPr>
                <w:sz w:val="1"/>
                <w:szCs w:val="1"/>
                <w:color w:val="auto"/>
              </w:rPr>
            </w:pPr>
          </w:p>
        </w:tc>
      </w:tr>
      <w:tr>
        <w:trPr>
          <w:trHeight w:val="432"/>
        </w:trPr>
        <w:tc>
          <w:tcPr>
            <w:tcW w:w="2940" w:type="dxa"/>
            <w:vAlign w:val="bottom"/>
            <w:gridSpan w:val="2"/>
          </w:tcPr>
          <w:p>
            <w:pPr>
              <w:spacing w:after="0"/>
              <w:rPr>
                <w:sz w:val="20"/>
                <w:szCs w:val="20"/>
                <w:color w:val="auto"/>
              </w:rPr>
            </w:pPr>
            <w:r>
              <w:rPr>
                <w:rFonts w:ascii="Arial" w:cs="Arial" w:eastAsia="Arial" w:hAnsi="Arial"/>
                <w:sz w:val="18"/>
                <w:szCs w:val="18"/>
                <w:color w:val="auto"/>
              </w:rPr>
              <w:t>Discretionary Portfolio</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43,475</w:t>
            </w:r>
          </w:p>
        </w:tc>
        <w:tc>
          <w:tcPr>
            <w:tcW w:w="1340" w:type="dxa"/>
            <w:vAlign w:val="bottom"/>
            <w:gridSpan w:val="2"/>
          </w:tcPr>
          <w:p>
            <w:pPr>
              <w:jc w:val="right"/>
              <w:ind w:right="600"/>
              <w:spacing w:after="0"/>
              <w:rPr>
                <w:sz w:val="20"/>
                <w:szCs w:val="20"/>
                <w:color w:val="auto"/>
              </w:rPr>
            </w:pPr>
            <w:r>
              <w:rPr>
                <w:rFonts w:ascii="Arial" w:cs="Arial" w:eastAsia="Arial" w:hAnsi="Arial"/>
                <w:sz w:val="18"/>
                <w:szCs w:val="18"/>
                <w:color w:val="auto"/>
              </w:rPr>
              <w:t>(4,329)</w:t>
            </w:r>
          </w:p>
        </w:tc>
        <w:tc>
          <w:tcPr>
            <w:tcW w:w="700" w:type="dxa"/>
            <w:vAlign w:val="bottom"/>
          </w:tcPr>
          <w:p>
            <w:pPr>
              <w:jc w:val="right"/>
              <w:spacing w:after="0"/>
              <w:rPr>
                <w:sz w:val="20"/>
                <w:szCs w:val="20"/>
                <w:color w:val="auto"/>
              </w:rPr>
            </w:pPr>
            <w:r>
              <w:rPr>
                <w:rFonts w:ascii="Arial" w:cs="Arial" w:eastAsia="Arial" w:hAnsi="Arial"/>
                <w:sz w:val="18"/>
                <w:szCs w:val="18"/>
                <w:color w:val="auto"/>
              </w:rPr>
              <w:t>15,977</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gridSpan w:val="2"/>
          </w:tcPr>
          <w:p>
            <w:pPr>
              <w:jc w:val="right"/>
              <w:ind w:right="148"/>
              <w:spacing w:after="0"/>
              <w:rPr>
                <w:sz w:val="20"/>
                <w:szCs w:val="20"/>
                <w:color w:val="auto"/>
              </w:rPr>
            </w:pPr>
            <w:r>
              <w:rPr>
                <w:rFonts w:ascii="Arial" w:cs="Arial" w:eastAsia="Arial" w:hAnsi="Arial"/>
                <w:sz w:val="18"/>
                <w:szCs w:val="18"/>
                <w:color w:val="auto"/>
              </w:rPr>
              <w:t>29,276</w:t>
            </w:r>
          </w:p>
        </w:tc>
        <w:tc>
          <w:tcPr>
            <w:tcW w:w="1740" w:type="dxa"/>
            <w:vAlign w:val="bottom"/>
            <w:gridSpan w:val="5"/>
          </w:tcPr>
          <w:p>
            <w:pPr>
              <w:jc w:val="right"/>
              <w:ind w:right="540"/>
              <w:spacing w:after="0"/>
              <w:rPr>
                <w:sz w:val="20"/>
                <w:szCs w:val="20"/>
                <w:color w:val="auto"/>
              </w:rPr>
            </w:pPr>
            <w:r>
              <w:rPr>
                <w:rFonts w:ascii="Arial" w:cs="Arial" w:eastAsia="Arial" w:hAnsi="Arial"/>
                <w:sz w:val="18"/>
                <w:szCs w:val="18"/>
                <w:color w:val="auto"/>
              </w:rPr>
              <w:t>(2,346)</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18,938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Residential Mortgage Banking</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67,418</w:t>
            </w: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13,331</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5,059</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45,668</w:t>
            </w:r>
          </w:p>
        </w:tc>
        <w:tc>
          <w:tcPr>
            <w:tcW w:w="1740" w:type="dxa"/>
            <w:vAlign w:val="bottom"/>
            <w:gridSpan w:val="5"/>
            <w:shd w:val="clear" w:color="auto" w:fill="CCEEFF"/>
          </w:tcPr>
          <w:p>
            <w:pPr>
              <w:jc w:val="right"/>
              <w:ind w:right="600"/>
              <w:spacing w:after="0"/>
              <w:rPr>
                <w:sz w:val="20"/>
                <w:szCs w:val="20"/>
                <w:color w:val="auto"/>
              </w:rPr>
            </w:pPr>
            <w:r>
              <w:rPr>
                <w:rFonts w:ascii="Arial" w:cs="Arial" w:eastAsia="Arial" w:hAnsi="Arial"/>
                <w:sz w:val="18"/>
                <w:szCs w:val="18"/>
                <w:color w:val="auto"/>
              </w:rPr>
              <w:t>10,891</w:t>
            </w: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(2,523)</w:t>
            </w:r>
          </w:p>
        </w:tc>
        <w:tc>
          <w:tcPr>
            <w:tcW w:w="0" w:type="dxa"/>
            <w:vAlign w:val="bottom"/>
          </w:tcPr>
          <w:p>
            <w:pPr>
              <w:spacing w:after="0"/>
              <w:rPr>
                <w:sz w:val="1"/>
                <w:szCs w:val="1"/>
                <w:color w:val="auto"/>
              </w:rPr>
            </w:pPr>
          </w:p>
        </w:tc>
      </w:tr>
      <w:tr>
        <w:trPr>
          <w:trHeight w:val="432"/>
        </w:trPr>
        <w:tc>
          <w:tcPr>
            <w:tcW w:w="2940" w:type="dxa"/>
            <w:vAlign w:val="bottom"/>
            <w:gridSpan w:val="2"/>
          </w:tcPr>
          <w:p>
            <w:pPr>
              <w:spacing w:after="0"/>
              <w:rPr>
                <w:sz w:val="20"/>
                <w:szCs w:val="20"/>
                <w:color w:val="auto"/>
              </w:rPr>
            </w:pPr>
            <w:r>
              <w:rPr>
                <w:rFonts w:ascii="Arial" w:cs="Arial" w:eastAsia="Arial" w:hAnsi="Arial"/>
                <w:sz w:val="18"/>
                <w:szCs w:val="18"/>
                <w:color w:val="auto"/>
              </w:rPr>
              <w:t>Retail Banking</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w w:val="89"/>
              </w:rPr>
              <w:t>302,868</w:t>
            </w: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rPr>
              <w:t>2,967</w:t>
            </w:r>
          </w:p>
        </w:tc>
        <w:tc>
          <w:tcPr>
            <w:tcW w:w="700" w:type="dxa"/>
            <w:vAlign w:val="bottom"/>
          </w:tcPr>
          <w:p>
            <w:pPr>
              <w:jc w:val="right"/>
              <w:spacing w:after="0"/>
              <w:rPr>
                <w:sz w:val="20"/>
                <w:szCs w:val="20"/>
                <w:color w:val="auto"/>
              </w:rPr>
            </w:pPr>
            <w:r>
              <w:rPr>
                <w:rFonts w:ascii="Arial" w:cs="Arial" w:eastAsia="Arial" w:hAnsi="Arial"/>
                <w:sz w:val="18"/>
                <w:szCs w:val="18"/>
                <w:color w:val="auto"/>
              </w:rPr>
              <w:t>75,470</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gridSpan w:val="2"/>
          </w:tcPr>
          <w:p>
            <w:pPr>
              <w:jc w:val="right"/>
              <w:ind w:right="148"/>
              <w:spacing w:after="0"/>
              <w:rPr>
                <w:sz w:val="20"/>
                <w:szCs w:val="20"/>
                <w:color w:val="auto"/>
              </w:rPr>
            </w:pPr>
            <w:r>
              <w:rPr>
                <w:rFonts w:ascii="Arial" w:cs="Arial" w:eastAsia="Arial" w:hAnsi="Arial"/>
                <w:sz w:val="18"/>
                <w:szCs w:val="18"/>
                <w:color w:val="auto"/>
                <w:w w:val="92"/>
              </w:rPr>
              <w:t>284,750</w:t>
            </w:r>
          </w:p>
        </w:tc>
        <w:tc>
          <w:tcPr>
            <w:tcW w:w="1740" w:type="dxa"/>
            <w:vAlign w:val="bottom"/>
            <w:gridSpan w:val="5"/>
          </w:tcPr>
          <w:p>
            <w:pPr>
              <w:jc w:val="right"/>
              <w:ind w:right="600"/>
              <w:spacing w:after="0"/>
              <w:rPr>
                <w:sz w:val="20"/>
                <w:szCs w:val="20"/>
                <w:color w:val="auto"/>
              </w:rPr>
            </w:pPr>
            <w:r>
              <w:rPr>
                <w:rFonts w:ascii="Arial" w:cs="Arial" w:eastAsia="Arial" w:hAnsi="Arial"/>
                <w:sz w:val="18"/>
                <w:szCs w:val="18"/>
                <w:color w:val="auto"/>
              </w:rPr>
              <w:t>3,028</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75,804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All Other</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33,641</w:t>
            </w:r>
          </w:p>
        </w:tc>
        <w:tc>
          <w:tcPr>
            <w:tcW w:w="13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(12,262)</w:t>
            </w:r>
          </w:p>
        </w:tc>
        <w:tc>
          <w:tcPr>
            <w:tcW w:w="1360" w:type="dxa"/>
            <w:vAlign w:val="bottom"/>
            <w:gridSpan w:val="2"/>
            <w:shd w:val="clear" w:color="auto" w:fill="CCEEFF"/>
          </w:tcPr>
          <w:p>
            <w:pPr>
              <w:jc w:val="right"/>
              <w:ind w:right="519"/>
              <w:spacing w:after="0"/>
              <w:rPr>
                <w:sz w:val="20"/>
                <w:szCs w:val="20"/>
                <w:color w:val="auto"/>
              </w:rPr>
            </w:pPr>
            <w:r>
              <w:rPr>
                <w:rFonts w:ascii="Arial" w:cs="Arial" w:eastAsia="Arial" w:hAnsi="Arial"/>
                <w:sz w:val="18"/>
                <w:szCs w:val="18"/>
                <w:color w:val="auto"/>
              </w:rPr>
              <w:t>(36,711)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31,113</w:t>
            </w:r>
          </w:p>
        </w:tc>
        <w:tc>
          <w:tcPr>
            <w:tcW w:w="280" w:type="dxa"/>
            <w:vAlign w:val="bottom"/>
            <w:tcBorders>
              <w:left w:val="single" w:sz="8" w:color="CCEEFF"/>
            </w:tcBorders>
            <w:shd w:val="clear" w:color="auto" w:fill="CCEEFF"/>
          </w:tcPr>
          <w:p>
            <w:pPr>
              <w:spacing w:after="0"/>
              <w:rPr>
                <w:sz w:val="18"/>
                <w:szCs w:val="18"/>
                <w:color w:val="auto"/>
              </w:rPr>
            </w:pPr>
          </w:p>
        </w:tc>
        <w:tc>
          <w:tcPr>
            <w:tcW w:w="1740" w:type="dxa"/>
            <w:vAlign w:val="bottom"/>
            <w:gridSpan w:val="5"/>
            <w:shd w:val="clear" w:color="auto" w:fill="CCEEFF"/>
          </w:tcPr>
          <w:p>
            <w:pPr>
              <w:jc w:val="right"/>
              <w:ind w:right="540"/>
              <w:spacing w:after="0"/>
              <w:rPr>
                <w:sz w:val="20"/>
                <w:szCs w:val="20"/>
                <w:color w:val="auto"/>
              </w:rPr>
            </w:pPr>
            <w:r>
              <w:rPr>
                <w:rFonts w:ascii="Arial" w:cs="Arial" w:eastAsia="Arial" w:hAnsi="Arial"/>
                <w:sz w:val="18"/>
                <w:szCs w:val="18"/>
                <w:color w:val="auto"/>
              </w:rPr>
              <w:t>(11,849)</w:t>
            </w: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(36,590)</w:t>
            </w:r>
          </w:p>
        </w:tc>
        <w:tc>
          <w:tcPr>
            <w:tcW w:w="0" w:type="dxa"/>
            <w:vAlign w:val="bottom"/>
          </w:tcPr>
          <w:p>
            <w:pPr>
              <w:spacing w:after="0"/>
              <w:rPr>
                <w:sz w:val="1"/>
                <w:szCs w:val="1"/>
                <w:color w:val="auto"/>
              </w:rPr>
            </w:pPr>
          </w:p>
        </w:tc>
      </w:tr>
      <w:tr>
        <w:trPr>
          <w:trHeight w:val="20"/>
        </w:trPr>
        <w:tc>
          <w:tcPr>
            <w:tcW w:w="294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940" w:type="dxa"/>
            <w:vAlign w:val="bottom"/>
            <w:gridSpan w:val="2"/>
          </w:tcPr>
          <w:p>
            <w:pPr>
              <w:spacing w:after="0"/>
              <w:rPr>
                <w:sz w:val="20"/>
                <w:szCs w:val="20"/>
                <w:color w:val="auto"/>
              </w:rPr>
            </w:pPr>
            <w:r>
              <w:rPr>
                <w:rFonts w:ascii="Arial" w:cs="Arial" w:eastAsia="Arial" w:hAnsi="Arial"/>
                <w:sz w:val="18"/>
                <w:szCs w:val="18"/>
                <w:color w:val="auto"/>
              </w:rPr>
              <w:t>Total</w:t>
            </w:r>
          </w:p>
        </w:tc>
        <w:tc>
          <w:tcPr>
            <w:tcW w:w="740" w:type="dxa"/>
            <w:vAlign w:val="bottom"/>
          </w:tcPr>
          <w:p>
            <w:pPr>
              <w:spacing w:after="0"/>
              <w:rPr>
                <w:sz w:val="24"/>
                <w:szCs w:val="24"/>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w w:val="89"/>
              </w:rPr>
              <w:t>791,513</w:t>
            </w: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202,196</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gridSpan w:val="2"/>
          </w:tcPr>
          <w:p>
            <w:pPr>
              <w:jc w:val="right"/>
              <w:ind w:right="148"/>
              <w:spacing w:after="0"/>
              <w:rPr>
                <w:sz w:val="20"/>
                <w:szCs w:val="20"/>
                <w:color w:val="auto"/>
              </w:rPr>
            </w:pPr>
            <w:r>
              <w:rPr>
                <w:rFonts w:ascii="Arial" w:cs="Arial" w:eastAsia="Arial" w:hAnsi="Arial"/>
                <w:sz w:val="18"/>
                <w:szCs w:val="18"/>
                <w:color w:val="auto"/>
                <w:w w:val="92"/>
              </w:rPr>
              <w:t>686,910</w:t>
            </w: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80" w:type="dxa"/>
            <w:vAlign w:val="bottom"/>
            <w:gridSpan w:val="3"/>
          </w:tcPr>
          <w:p>
            <w:pPr>
              <w:jc w:val="right"/>
              <w:ind w:right="60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175,973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5"/>
          </w:tcPr>
          <w:p>
            <w:pPr>
              <w:jc w:val="center"/>
              <w:ind w:right="200"/>
              <w:spacing w:after="0"/>
              <w:rPr>
                <w:sz w:val="20"/>
                <w:szCs w:val="20"/>
                <w:color w:val="auto"/>
              </w:rPr>
            </w:pPr>
            <w:r>
              <w:rPr>
                <w:rFonts w:ascii="Arial" w:cs="Arial" w:eastAsia="Arial" w:hAnsi="Arial"/>
                <w:sz w:val="14"/>
                <w:szCs w:val="14"/>
                <w:color w:val="auto"/>
                <w:w w:val="89"/>
              </w:rPr>
              <w:t>Average total assets</w:t>
            </w:r>
          </w:p>
        </w:tc>
        <w:tc>
          <w:tcPr>
            <w:tcW w:w="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29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580" w:type="dxa"/>
            <w:vAlign w:val="bottom"/>
            <w:gridSpan w:val="7"/>
          </w:tcPr>
          <w:p>
            <w:pPr>
              <w:jc w:val="right"/>
              <w:ind w:right="1100"/>
              <w:spacing w:after="0" w:line="123" w:lineRule="exact"/>
              <w:rPr>
                <w:sz w:val="20"/>
                <w:szCs w:val="20"/>
                <w:color w:val="auto"/>
              </w:rPr>
            </w:pPr>
            <w:r>
              <w:rPr>
                <w:rFonts w:ascii="Arial" w:cs="Arial" w:eastAsia="Arial" w:hAnsi="Arial"/>
                <w:sz w:val="14"/>
                <w:szCs w:val="14"/>
                <w:color w:val="auto"/>
              </w:rPr>
              <w:t>Three months ended</w:t>
            </w:r>
          </w:p>
        </w:tc>
        <w:tc>
          <w:tcPr>
            <w:tcW w:w="780" w:type="dxa"/>
            <w:vAlign w:val="bottom"/>
            <w:gridSpan w:val="2"/>
          </w:tcPr>
          <w:p>
            <w:pPr>
              <w:jc w:val="center"/>
              <w:spacing w:after="0" w:line="123" w:lineRule="exact"/>
              <w:rPr>
                <w:sz w:val="20"/>
                <w:szCs w:val="20"/>
                <w:color w:val="auto"/>
              </w:rPr>
            </w:pPr>
            <w:r>
              <w:rPr>
                <w:rFonts w:ascii="Arial" w:cs="Arial" w:eastAsia="Arial" w:hAnsi="Arial"/>
                <w:sz w:val="14"/>
                <w:szCs w:val="14"/>
                <w:color w:val="auto"/>
                <w:w w:val="88"/>
              </w:rPr>
              <w:t>Year ended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20" w:type="dxa"/>
            <w:vAlign w:val="bottom"/>
            <w:gridSpan w:val="6"/>
          </w:tcPr>
          <w:p>
            <w:pPr>
              <w:jc w:val="right"/>
              <w:ind w:right="1400"/>
              <w:spacing w:after="0" w:line="149" w:lineRule="exact"/>
              <w:rPr>
                <w:sz w:val="20"/>
                <w:szCs w:val="20"/>
                <w:color w:val="auto"/>
              </w:rPr>
            </w:pPr>
            <w:r>
              <w:rPr>
                <w:rFonts w:ascii="Arial" w:cs="Arial" w:eastAsia="Arial" w:hAnsi="Arial"/>
                <w:sz w:val="14"/>
                <w:szCs w:val="14"/>
                <w:color w:val="auto"/>
              </w:rPr>
              <w:t>March 31</w:t>
            </w:r>
          </w:p>
        </w:tc>
        <w:tc>
          <w:tcPr>
            <w:tcW w:w="88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w w:val="92"/>
              </w:rPr>
              <w:t>December 31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center"/>
              <w:ind w:right="33"/>
              <w:spacing w:after="0"/>
              <w:rPr>
                <w:sz w:val="20"/>
                <w:szCs w:val="20"/>
                <w:color w:val="auto"/>
              </w:rPr>
            </w:pPr>
            <w:r>
              <w:rPr>
                <w:rFonts w:ascii="Arial" w:cs="Arial" w:eastAsia="Arial" w:hAnsi="Arial"/>
                <w:sz w:val="14"/>
                <w:szCs w:val="14"/>
                <w:color w:val="auto"/>
                <w:w w:val="89"/>
              </w:rPr>
              <w:t>2008</w:t>
            </w: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80" w:type="dxa"/>
            <w:vAlign w:val="bottom"/>
            <w:gridSpan w:val="3"/>
          </w:tcPr>
          <w:p>
            <w:pPr>
              <w:jc w:val="right"/>
              <w:ind w:right="780"/>
              <w:spacing w:after="0"/>
              <w:rPr>
                <w:sz w:val="20"/>
                <w:szCs w:val="20"/>
                <w:color w:val="auto"/>
              </w:rPr>
            </w:pPr>
            <w:r>
              <w:rPr>
                <w:rFonts w:ascii="Arial" w:cs="Arial" w:eastAsia="Arial" w:hAnsi="Arial"/>
                <w:sz w:val="14"/>
                <w:szCs w:val="14"/>
                <w:color w:val="auto"/>
                <w:w w:val="99"/>
              </w:rPr>
              <w:t>2007(b)</w:t>
            </w:r>
          </w:p>
        </w:tc>
        <w:tc>
          <w:tcPr>
            <w:tcW w:w="60" w:type="dxa"/>
            <w:vAlign w:val="bottom"/>
          </w:tcPr>
          <w:p>
            <w:pPr>
              <w:spacing w:after="0"/>
              <w:rPr>
                <w:sz w:val="14"/>
                <w:szCs w:val="14"/>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14"/>
                <w:szCs w:val="14"/>
                <w:color w:val="auto"/>
                <w:w w:val="95"/>
              </w:rPr>
              <w:t>2007(b)</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90"/>
              </w:rPr>
              <w:t>(in millions)</w:t>
            </w:r>
          </w:p>
        </w:tc>
        <w:tc>
          <w:tcPr>
            <w:tcW w:w="680" w:type="dxa"/>
            <w:vAlign w:val="bottom"/>
            <w:gridSpan w:val="2"/>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Business Banking</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4,410</w:t>
            </w:r>
          </w:p>
        </w:tc>
        <w:tc>
          <w:tcPr>
            <w:tcW w:w="280" w:type="dxa"/>
            <w:vAlign w:val="bottom"/>
            <w:tcBorders>
              <w:left w:val="single" w:sz="8" w:color="CCEEFF"/>
            </w:tcBorders>
            <w:shd w:val="clear" w:color="auto" w:fill="CCEEFF"/>
          </w:tcPr>
          <w:p>
            <w:pPr>
              <w:spacing w:after="0"/>
              <w:rPr>
                <w:sz w:val="18"/>
                <w:szCs w:val="18"/>
                <w:color w:val="auto"/>
              </w:rPr>
            </w:pPr>
          </w:p>
        </w:tc>
        <w:tc>
          <w:tcPr>
            <w:tcW w:w="114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4,127</w:t>
            </w:r>
          </w:p>
        </w:tc>
        <w:tc>
          <w:tcPr>
            <w:tcW w:w="6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4,179</w:t>
            </w:r>
          </w:p>
        </w:tc>
        <w:tc>
          <w:tcPr>
            <w:tcW w:w="0" w:type="dxa"/>
            <w:vAlign w:val="bottom"/>
          </w:tcPr>
          <w:p>
            <w:pPr>
              <w:spacing w:after="0"/>
              <w:rPr>
                <w:sz w:val="1"/>
                <w:szCs w:val="1"/>
                <w:color w:val="auto"/>
              </w:rPr>
            </w:pPr>
          </w:p>
        </w:tc>
      </w:tr>
      <w:tr>
        <w:trPr>
          <w:trHeight w:val="432"/>
        </w:trPr>
        <w:tc>
          <w:tcPr>
            <w:tcW w:w="2940" w:type="dxa"/>
            <w:vAlign w:val="bottom"/>
            <w:gridSpan w:val="2"/>
          </w:tcPr>
          <w:p>
            <w:pPr>
              <w:spacing w:after="0"/>
              <w:rPr>
                <w:sz w:val="20"/>
                <w:szCs w:val="20"/>
                <w:color w:val="auto"/>
              </w:rPr>
            </w:pPr>
            <w:r>
              <w:rPr>
                <w:rFonts w:ascii="Arial" w:cs="Arial" w:eastAsia="Arial" w:hAnsi="Arial"/>
                <w:sz w:val="18"/>
                <w:szCs w:val="18"/>
                <w:color w:val="auto"/>
              </w:rPr>
              <w:t>Commercial Banking</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14,370</w:t>
            </w:r>
          </w:p>
        </w:tc>
        <w:tc>
          <w:tcPr>
            <w:tcW w:w="280" w:type="dxa"/>
            <w:vAlign w:val="bottom"/>
          </w:tcPr>
          <w:p>
            <w:pPr>
              <w:spacing w:after="0"/>
              <w:rPr>
                <w:sz w:val="24"/>
                <w:szCs w:val="24"/>
                <w:color w:val="auto"/>
              </w:rPr>
            </w:pPr>
          </w:p>
        </w:tc>
        <w:tc>
          <w:tcPr>
            <w:tcW w:w="1140" w:type="dxa"/>
            <w:vAlign w:val="bottom"/>
            <w:gridSpan w:val="4"/>
          </w:tcPr>
          <w:p>
            <w:pPr>
              <w:jc w:val="right"/>
              <w:ind w:right="80"/>
              <w:spacing w:after="0"/>
              <w:rPr>
                <w:sz w:val="20"/>
                <w:szCs w:val="20"/>
                <w:color w:val="auto"/>
              </w:rPr>
            </w:pPr>
            <w:r>
              <w:rPr>
                <w:rFonts w:ascii="Arial" w:cs="Arial" w:eastAsia="Arial" w:hAnsi="Arial"/>
                <w:sz w:val="18"/>
                <w:szCs w:val="18"/>
                <w:color w:val="auto"/>
              </w:rPr>
              <w:t>12,571</w:t>
            </w:r>
          </w:p>
        </w:tc>
        <w:tc>
          <w:tcPr>
            <w:tcW w:w="600" w:type="dxa"/>
            <w:vAlign w:val="bottom"/>
          </w:tcPr>
          <w:p>
            <w:pPr>
              <w:spacing w:after="0"/>
              <w:rPr>
                <w:sz w:val="24"/>
                <w:szCs w:val="24"/>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12,989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8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11,045</w:t>
            </w:r>
          </w:p>
        </w:tc>
        <w:tc>
          <w:tcPr>
            <w:tcW w:w="280" w:type="dxa"/>
            <w:vAlign w:val="bottom"/>
            <w:tcBorders>
              <w:left w:val="single" w:sz="8" w:color="CCEEFF"/>
            </w:tcBorders>
            <w:shd w:val="clear" w:color="auto" w:fill="CCEEFF"/>
          </w:tcPr>
          <w:p>
            <w:pPr>
              <w:spacing w:after="0"/>
              <w:rPr>
                <w:sz w:val="18"/>
                <w:szCs w:val="18"/>
                <w:color w:val="auto"/>
              </w:rPr>
            </w:pPr>
          </w:p>
        </w:tc>
        <w:tc>
          <w:tcPr>
            <w:tcW w:w="114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9,273</w:t>
            </w:r>
          </w:p>
        </w:tc>
        <w:tc>
          <w:tcPr>
            <w:tcW w:w="6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9,550</w:t>
            </w:r>
          </w:p>
        </w:tc>
        <w:tc>
          <w:tcPr>
            <w:tcW w:w="0" w:type="dxa"/>
            <w:vAlign w:val="bottom"/>
          </w:tcPr>
          <w:p>
            <w:pPr>
              <w:spacing w:after="0"/>
              <w:rPr>
                <w:sz w:val="1"/>
                <w:szCs w:val="1"/>
                <w:color w:val="auto"/>
              </w:rPr>
            </w:pPr>
          </w:p>
        </w:tc>
      </w:tr>
      <w:tr>
        <w:trPr>
          <w:trHeight w:val="432"/>
        </w:trPr>
        <w:tc>
          <w:tcPr>
            <w:tcW w:w="2940" w:type="dxa"/>
            <w:vAlign w:val="bottom"/>
            <w:gridSpan w:val="2"/>
          </w:tcPr>
          <w:p>
            <w:pPr>
              <w:spacing w:after="0"/>
              <w:rPr>
                <w:sz w:val="20"/>
                <w:szCs w:val="20"/>
                <w:color w:val="auto"/>
              </w:rPr>
            </w:pPr>
            <w:r>
              <w:rPr>
                <w:rFonts w:ascii="Arial" w:cs="Arial" w:eastAsia="Arial" w:hAnsi="Arial"/>
                <w:sz w:val="18"/>
                <w:szCs w:val="18"/>
                <w:color w:val="auto"/>
              </w:rPr>
              <w:t>Discretionary Portfolio</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14,927</w:t>
            </w:r>
          </w:p>
        </w:tc>
        <w:tc>
          <w:tcPr>
            <w:tcW w:w="280" w:type="dxa"/>
            <w:vAlign w:val="bottom"/>
          </w:tcPr>
          <w:p>
            <w:pPr>
              <w:spacing w:after="0"/>
              <w:rPr>
                <w:sz w:val="24"/>
                <w:szCs w:val="24"/>
                <w:color w:val="auto"/>
              </w:rPr>
            </w:pPr>
          </w:p>
        </w:tc>
        <w:tc>
          <w:tcPr>
            <w:tcW w:w="1060" w:type="dxa"/>
            <w:vAlign w:val="bottom"/>
            <w:gridSpan w:val="3"/>
          </w:tcPr>
          <w:p>
            <w:pPr>
              <w:ind w:left="580"/>
              <w:spacing w:after="0"/>
              <w:rPr>
                <w:sz w:val="20"/>
                <w:szCs w:val="20"/>
                <w:color w:val="auto"/>
              </w:rPr>
            </w:pPr>
            <w:r>
              <w:rPr>
                <w:rFonts w:ascii="Arial" w:cs="Arial" w:eastAsia="Arial" w:hAnsi="Arial"/>
                <w:sz w:val="18"/>
                <w:szCs w:val="18"/>
                <w:color w:val="auto"/>
                <w:w w:val="83"/>
              </w:rPr>
              <w:t>11,997</w:t>
            </w: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12,953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8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Residential Mortgage Banking</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2,691</w:t>
            </w:r>
          </w:p>
        </w:tc>
        <w:tc>
          <w:tcPr>
            <w:tcW w:w="280" w:type="dxa"/>
            <w:vAlign w:val="bottom"/>
            <w:tcBorders>
              <w:left w:val="single" w:sz="8" w:color="CCEEFF"/>
            </w:tcBorders>
            <w:shd w:val="clear" w:color="auto" w:fill="CCEEFF"/>
          </w:tcPr>
          <w:p>
            <w:pPr>
              <w:spacing w:after="0"/>
              <w:rPr>
                <w:sz w:val="18"/>
                <w:szCs w:val="18"/>
                <w:color w:val="auto"/>
              </w:rPr>
            </w:pPr>
          </w:p>
        </w:tc>
        <w:tc>
          <w:tcPr>
            <w:tcW w:w="114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3,592</w:t>
            </w:r>
          </w:p>
        </w:tc>
        <w:tc>
          <w:tcPr>
            <w:tcW w:w="6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2,874</w:t>
            </w:r>
          </w:p>
        </w:tc>
        <w:tc>
          <w:tcPr>
            <w:tcW w:w="0" w:type="dxa"/>
            <w:vAlign w:val="bottom"/>
          </w:tcPr>
          <w:p>
            <w:pPr>
              <w:spacing w:after="0"/>
              <w:rPr>
                <w:sz w:val="1"/>
                <w:szCs w:val="1"/>
                <w:color w:val="auto"/>
              </w:rPr>
            </w:pPr>
          </w:p>
        </w:tc>
      </w:tr>
      <w:tr>
        <w:trPr>
          <w:trHeight w:val="432"/>
        </w:trPr>
        <w:tc>
          <w:tcPr>
            <w:tcW w:w="2940" w:type="dxa"/>
            <w:vAlign w:val="bottom"/>
            <w:gridSpan w:val="2"/>
          </w:tcPr>
          <w:p>
            <w:pPr>
              <w:spacing w:after="0"/>
              <w:rPr>
                <w:sz w:val="20"/>
                <w:szCs w:val="20"/>
                <w:color w:val="auto"/>
              </w:rPr>
            </w:pPr>
            <w:r>
              <w:rPr>
                <w:rFonts w:ascii="Arial" w:cs="Arial" w:eastAsia="Arial" w:hAnsi="Arial"/>
                <w:sz w:val="18"/>
                <w:szCs w:val="18"/>
                <w:color w:val="auto"/>
              </w:rPr>
              <w:t>Retail Banking</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11,514</w:t>
            </w:r>
          </w:p>
        </w:tc>
        <w:tc>
          <w:tcPr>
            <w:tcW w:w="280" w:type="dxa"/>
            <w:vAlign w:val="bottom"/>
          </w:tcPr>
          <w:p>
            <w:pPr>
              <w:spacing w:after="0"/>
              <w:rPr>
                <w:sz w:val="24"/>
                <w:szCs w:val="24"/>
                <w:color w:val="auto"/>
              </w:rPr>
            </w:pPr>
          </w:p>
        </w:tc>
        <w:tc>
          <w:tcPr>
            <w:tcW w:w="1060" w:type="dxa"/>
            <w:vAlign w:val="bottom"/>
            <w:gridSpan w:val="3"/>
          </w:tcPr>
          <w:p>
            <w:pPr>
              <w:ind w:left="580"/>
              <w:spacing w:after="0"/>
              <w:rPr>
                <w:sz w:val="20"/>
                <w:szCs w:val="20"/>
                <w:color w:val="auto"/>
              </w:rPr>
            </w:pPr>
            <w:r>
              <w:rPr>
                <w:rFonts w:ascii="Arial" w:cs="Arial" w:eastAsia="Arial" w:hAnsi="Arial"/>
                <w:sz w:val="18"/>
                <w:szCs w:val="18"/>
                <w:color w:val="auto"/>
                <w:w w:val="83"/>
              </w:rPr>
              <w:t>10,116</w:t>
            </w: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10,360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8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All Other</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6,058</w:t>
            </w:r>
          </w:p>
        </w:tc>
        <w:tc>
          <w:tcPr>
            <w:tcW w:w="280" w:type="dxa"/>
            <w:vAlign w:val="bottom"/>
            <w:tcBorders>
              <w:lef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5,531</w:t>
            </w:r>
          </w:p>
        </w:tc>
        <w:tc>
          <w:tcPr>
            <w:tcW w:w="6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5,640</w:t>
            </w:r>
          </w:p>
        </w:tc>
        <w:tc>
          <w:tcPr>
            <w:tcW w:w="0" w:type="dxa"/>
            <w:vAlign w:val="bottom"/>
          </w:tcPr>
          <w:p>
            <w:pPr>
              <w:spacing w:after="0"/>
              <w:rPr>
                <w:sz w:val="1"/>
                <w:szCs w:val="1"/>
                <w:color w:val="auto"/>
              </w:rPr>
            </w:pPr>
          </w:p>
        </w:tc>
      </w:tr>
      <w:tr>
        <w:trPr>
          <w:trHeight w:val="20"/>
        </w:trPr>
        <w:tc>
          <w:tcPr>
            <w:tcW w:w="294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940" w:type="dxa"/>
            <w:vAlign w:val="bottom"/>
            <w:gridSpan w:val="2"/>
          </w:tcPr>
          <w:p>
            <w:pPr>
              <w:spacing w:after="0"/>
              <w:rPr>
                <w:sz w:val="20"/>
                <w:szCs w:val="20"/>
                <w:color w:val="auto"/>
              </w:rPr>
            </w:pPr>
            <w:r>
              <w:rPr>
                <w:rFonts w:ascii="Arial" w:cs="Arial" w:eastAsia="Arial" w:hAnsi="Arial"/>
                <w:sz w:val="18"/>
                <w:szCs w:val="18"/>
                <w:color w:val="auto"/>
              </w:rPr>
              <w:t>Total</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60" w:type="dxa"/>
            <w:vAlign w:val="bottom"/>
            <w:gridSpan w:val="2"/>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65,015</w:t>
            </w: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gridSpan w:val="3"/>
          </w:tcPr>
          <w:p>
            <w:pPr>
              <w:jc w:val="right"/>
              <w:ind w:right="80"/>
              <w:spacing w:after="0"/>
              <w:rPr>
                <w:sz w:val="20"/>
                <w:szCs w:val="20"/>
                <w:color w:val="auto"/>
              </w:rPr>
            </w:pPr>
            <w:r>
              <w:rPr>
                <w:rFonts w:ascii="Arial" w:cs="Arial" w:eastAsia="Arial" w:hAnsi="Arial"/>
                <w:sz w:val="18"/>
                <w:szCs w:val="18"/>
                <w:color w:val="auto"/>
              </w:rPr>
              <w:t>57,207</w:t>
            </w:r>
          </w:p>
        </w:tc>
        <w:tc>
          <w:tcPr>
            <w:tcW w:w="600" w:type="dxa"/>
            <w:vAlign w:val="bottom"/>
          </w:tcPr>
          <w:p>
            <w:pPr>
              <w:spacing w:after="0"/>
              <w:rPr>
                <w:sz w:val="24"/>
                <w:szCs w:val="24"/>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58,545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jc w:val="both"/>
        <w:ind w:left="460" w:right="120" w:hanging="452"/>
        <w:spacing w:after="0" w:line="342" w:lineRule="auto"/>
        <w:tabs>
          <w:tab w:leader="none" w:pos="4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Total revenues are comprised of net interest income and other income. Net interest income is the difference between taxable-equivalent interest earned on assets and interest paid on liabilities owed by a segment and a funding charge (credit) based on the Company’s internal funds transfer methodology.</w:t>
      </w:r>
    </w:p>
    <w:p>
      <w:pPr>
        <w:spacing w:after="0" w:line="83" w:lineRule="exact"/>
        <w:rPr>
          <w:rFonts w:ascii="Arial" w:cs="Arial" w:eastAsia="Arial" w:hAnsi="Arial"/>
          <w:sz w:val="16"/>
          <w:szCs w:val="16"/>
          <w:color w:val="auto"/>
        </w:rPr>
      </w:pPr>
    </w:p>
    <w:p>
      <w:pPr>
        <w:ind w:left="5620" w:hanging="101"/>
        <w:spacing w:after="0"/>
        <w:tabs>
          <w:tab w:leader="none" w:pos="5620" w:val="left"/>
        </w:tabs>
        <w:numPr>
          <w:ilvl w:val="1"/>
          <w:numId w:val="3"/>
        </w:numPr>
        <w:rPr>
          <w:rFonts w:ascii="Arial" w:cs="Arial" w:eastAsia="Arial" w:hAnsi="Arial"/>
          <w:sz w:val="18"/>
          <w:szCs w:val="18"/>
          <w:color w:val="auto"/>
        </w:rPr>
      </w:pPr>
      <w:r>
        <w:rPr>
          <w:rFonts w:ascii="Arial" w:cs="Arial" w:eastAsia="Arial" w:hAnsi="Arial"/>
          <w:sz w:val="18"/>
          <w:szCs w:val="18"/>
          <w:color w:val="auto"/>
        </w:rPr>
        <w:t>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Segment information, continued</w:t>
      </w:r>
    </w:p>
    <w:p>
      <w:pPr>
        <w:spacing w:after="0" w:line="121" w:lineRule="exact"/>
        <w:rPr>
          <w:sz w:val="20"/>
          <w:szCs w:val="20"/>
          <w:color w:val="auto"/>
        </w:rPr>
      </w:pPr>
    </w:p>
    <w:p>
      <w:pPr>
        <w:ind w:left="360" w:right="220"/>
        <w:spacing w:after="0" w:line="259" w:lineRule="auto"/>
        <w:rPr>
          <w:sz w:val="20"/>
          <w:szCs w:val="20"/>
          <w:color w:val="auto"/>
        </w:rPr>
      </w:pPr>
      <w:r>
        <w:rPr>
          <w:rFonts w:ascii="Arial" w:cs="Arial" w:eastAsia="Arial" w:hAnsi="Arial"/>
          <w:sz w:val="18"/>
          <w:szCs w:val="18"/>
          <w:color w:val="auto"/>
        </w:rPr>
        <w:t>Segments are charged a cost to fund any assets (e.g. loans) and are paid a funding credit for any funds provided (e.g. deposits). The taxable-equivalent adjustment aggregated $5,783,000 and $5,123,000 for the three-month periods ended March 31, 2008 and 2007, respectively, and is eliminated in “All Other” total revenues. Intersegment revenues are included in total revenues of the reportable segments. The elimination of intersegment revenues is included in the determination of “All Other” total revenues.</w:t>
      </w:r>
    </w:p>
    <w:p>
      <w:pPr>
        <w:spacing w:after="0" w:line="79" w:lineRule="exact"/>
        <w:rPr>
          <w:sz w:val="20"/>
          <w:szCs w:val="20"/>
          <w:color w:val="auto"/>
        </w:rPr>
      </w:pPr>
    </w:p>
    <w:p>
      <w:pPr>
        <w:ind w:left="340" w:right="60" w:hanging="332"/>
        <w:spacing w:after="0" w:line="293" w:lineRule="auto"/>
        <w:tabs>
          <w:tab w:leader="none" w:pos="340" w:val="left"/>
        </w:tabs>
        <w:numPr>
          <w:ilvl w:val="0"/>
          <w:numId w:val="4"/>
        </w:numPr>
        <w:rPr>
          <w:rFonts w:ascii="Arial" w:cs="Arial" w:eastAsia="Arial" w:hAnsi="Arial"/>
          <w:sz w:val="16"/>
          <w:szCs w:val="16"/>
          <w:color w:val="auto"/>
        </w:rPr>
      </w:pPr>
      <w:r>
        <w:rPr>
          <w:rFonts w:ascii="Arial" w:cs="Arial" w:eastAsia="Arial" w:hAnsi="Arial"/>
          <w:sz w:val="16"/>
          <w:szCs w:val="16"/>
          <w:color w:val="auto"/>
        </w:rPr>
        <w:t>Effective January 1, 2008, the Company changed its internal profitability reporting to move a New York City-based lending unit from the Commercial Banking segment to the Commercial Real Estate segment. Accordingly, financial information presented herein for periods prior to January 1, 2008 has been reclassified to conform to current year presentation. As a result, total revenues and net income decreased in the Commercial Banking segment and increased in the Commercial Real Estate segment for the quarter ended March 31, 2007 by $6 million and $3 million, respectively, as compared with amounts previously reported. The lending unit had average total assets of $665 million during the quarter ended March 31, 2007 and $667 million during the year ended December 31, 2007. Accordingly, average total assets presented for those periods differ from amounts previously reported.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Commitments and contingencies</w:t>
      </w:r>
    </w:p>
    <w:p>
      <w:pPr>
        <w:spacing w:after="0" w:line="12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In the normal course of business, various commitments and contingent liabilities are outstanding. The following table presents the Company’s significant commitments. Certain of these commitments are not included in the Company’s consolidated balance sheet.</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920" w:type="dxa"/>
            <w:vAlign w:val="bottom"/>
          </w:tcPr>
          <w:p>
            <w:pPr>
              <w:spacing w:after="0"/>
              <w:rPr>
                <w:sz w:val="14"/>
                <w:szCs w:val="14"/>
                <w:color w:val="auto"/>
              </w:rPr>
            </w:pPr>
          </w:p>
        </w:tc>
        <w:tc>
          <w:tcPr>
            <w:tcW w:w="1500" w:type="dxa"/>
            <w:vAlign w:val="bottom"/>
            <w:gridSpan w:val="2"/>
          </w:tcPr>
          <w:p>
            <w:pPr>
              <w:jc w:val="right"/>
              <w:ind w:right="780"/>
              <w:spacing w:after="0"/>
              <w:rPr>
                <w:sz w:val="20"/>
                <w:szCs w:val="20"/>
                <w:color w:val="auto"/>
              </w:rPr>
            </w:pPr>
            <w:r>
              <w:rPr>
                <w:rFonts w:ascii="Arial" w:cs="Arial" w:eastAsia="Arial" w:hAnsi="Arial"/>
                <w:sz w:val="14"/>
                <w:szCs w:val="14"/>
                <w:color w:val="auto"/>
              </w:rPr>
              <w:t>March 31,</w:t>
            </w:r>
          </w:p>
        </w:tc>
        <w:tc>
          <w:tcPr>
            <w:tcW w:w="980" w:type="dxa"/>
            <w:vAlign w:val="bottom"/>
            <w:gridSpan w:val="2"/>
          </w:tcPr>
          <w:p>
            <w:pPr>
              <w:ind w:left="40"/>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920" w:type="dxa"/>
            <w:vAlign w:val="bottom"/>
          </w:tcPr>
          <w:p>
            <w:pPr>
              <w:spacing w:after="0"/>
              <w:rPr>
                <w:sz w:val="14"/>
                <w:szCs w:val="14"/>
                <w:color w:val="auto"/>
              </w:rPr>
            </w:pPr>
          </w:p>
        </w:tc>
        <w:tc>
          <w:tcPr>
            <w:tcW w:w="8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color w:val="auto"/>
              </w:rPr>
              <w:t>2008</w:t>
            </w:r>
          </w:p>
        </w:tc>
        <w:tc>
          <w:tcPr>
            <w:tcW w:w="660" w:type="dxa"/>
            <w:vAlign w:val="bottom"/>
          </w:tcPr>
          <w:p>
            <w:pPr>
              <w:spacing w:after="0"/>
              <w:rPr>
                <w:sz w:val="14"/>
                <w:szCs w:val="14"/>
                <w:color w:val="auto"/>
              </w:rPr>
            </w:pPr>
          </w:p>
        </w:tc>
        <w:tc>
          <w:tcPr>
            <w:tcW w:w="88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color w:val="auto"/>
              </w:rPr>
              <w:t>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920" w:type="dxa"/>
            <w:vAlign w:val="bottom"/>
          </w:tcPr>
          <w:p>
            <w:pPr>
              <w:spacing w:after="0"/>
              <w:rPr>
                <w:sz w:val="12"/>
                <w:szCs w:val="12"/>
                <w:color w:val="auto"/>
              </w:rPr>
            </w:pPr>
          </w:p>
        </w:tc>
        <w:tc>
          <w:tcPr>
            <w:tcW w:w="2480" w:type="dxa"/>
            <w:vAlign w:val="bottom"/>
            <w:gridSpan w:val="4"/>
          </w:tcPr>
          <w:p>
            <w:pPr>
              <w:ind w:left="780"/>
              <w:spacing w:after="0" w:line="142" w:lineRule="exact"/>
              <w:rPr>
                <w:sz w:val="20"/>
                <w:szCs w:val="20"/>
                <w:color w:val="auto"/>
              </w:rPr>
            </w:pPr>
            <w:r>
              <w:rPr>
                <w:rFonts w:ascii="Arial" w:cs="Arial" w:eastAsia="Arial" w:hAnsi="Arial"/>
                <w:sz w:val="14"/>
                <w:szCs w:val="14"/>
                <w:color w:val="auto"/>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Commitments to extend credit</w:t>
            </w:r>
          </w:p>
        </w:tc>
        <w:tc>
          <w:tcPr>
            <w:tcW w:w="8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200"/>
              <w:spacing w:after="0"/>
              <w:rPr>
                <w:sz w:val="20"/>
                <w:szCs w:val="20"/>
                <w:color w:val="auto"/>
              </w:rPr>
            </w:pPr>
            <w:r>
              <w:rPr>
                <w:rFonts w:ascii="Arial" w:cs="Arial" w:eastAsia="Arial" w:hAnsi="Arial"/>
                <w:sz w:val="18"/>
                <w:szCs w:val="18"/>
                <w:color w:val="auto"/>
              </w:rPr>
              <w:t>Home equity lines of credit</w:t>
            </w:r>
          </w:p>
        </w:tc>
        <w:tc>
          <w:tcPr>
            <w:tcW w:w="840" w:type="dxa"/>
            <w:vAlign w:val="bottom"/>
          </w:tcPr>
          <w:p>
            <w:pPr>
              <w:jc w:val="right"/>
              <w:spacing w:after="0"/>
              <w:rPr>
                <w:sz w:val="20"/>
                <w:szCs w:val="20"/>
                <w:color w:val="auto"/>
              </w:rPr>
            </w:pPr>
            <w:r>
              <w:rPr>
                <w:rFonts w:ascii="Arial" w:cs="Arial" w:eastAsia="Arial" w:hAnsi="Arial"/>
                <w:sz w:val="18"/>
                <w:szCs w:val="18"/>
                <w:color w:val="auto"/>
                <w:w w:val="86"/>
              </w:rPr>
              <w:t>$ 6,009,922</w:t>
            </w:r>
          </w:p>
        </w:tc>
        <w:tc>
          <w:tcPr>
            <w:tcW w:w="6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5,937,903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Commercial real estate loans to be sold</w:t>
            </w:r>
          </w:p>
        </w:tc>
        <w:tc>
          <w:tcPr>
            <w:tcW w:w="15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179,119</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96,995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200"/>
              <w:spacing w:after="0"/>
              <w:rPr>
                <w:sz w:val="20"/>
                <w:szCs w:val="20"/>
                <w:color w:val="auto"/>
              </w:rPr>
            </w:pPr>
            <w:r>
              <w:rPr>
                <w:rFonts w:ascii="Arial" w:cs="Arial" w:eastAsia="Arial" w:hAnsi="Arial"/>
                <w:sz w:val="18"/>
                <w:szCs w:val="18"/>
                <w:color w:val="auto"/>
              </w:rPr>
              <w:t>Other commercial real estate and construction</w:t>
            </w:r>
          </w:p>
        </w:tc>
        <w:tc>
          <w:tcPr>
            <w:tcW w:w="840" w:type="dxa"/>
            <w:vAlign w:val="bottom"/>
          </w:tcPr>
          <w:p>
            <w:pPr>
              <w:jc w:val="right"/>
              <w:spacing w:after="0"/>
              <w:rPr>
                <w:sz w:val="20"/>
                <w:szCs w:val="20"/>
                <w:color w:val="auto"/>
              </w:rPr>
            </w:pPr>
            <w:r>
              <w:rPr>
                <w:rFonts w:ascii="Arial" w:cs="Arial" w:eastAsia="Arial" w:hAnsi="Arial"/>
                <w:sz w:val="18"/>
                <w:szCs w:val="18"/>
                <w:color w:val="auto"/>
              </w:rPr>
              <w:t>3,006,300</w:t>
            </w:r>
          </w:p>
        </w:tc>
        <w:tc>
          <w:tcPr>
            <w:tcW w:w="6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2,869,961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Residential real estate loans to be sold</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834,940</w:t>
            </w:r>
          </w:p>
        </w:tc>
        <w:tc>
          <w:tcPr>
            <w:tcW w:w="6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492,375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200"/>
              <w:spacing w:after="0"/>
              <w:rPr>
                <w:sz w:val="20"/>
                <w:szCs w:val="20"/>
                <w:color w:val="auto"/>
              </w:rPr>
            </w:pPr>
            <w:r>
              <w:rPr>
                <w:rFonts w:ascii="Arial" w:cs="Arial" w:eastAsia="Arial" w:hAnsi="Arial"/>
                <w:sz w:val="18"/>
                <w:szCs w:val="18"/>
                <w:color w:val="auto"/>
              </w:rPr>
              <w:t>Other residential real estate</w:t>
            </w:r>
          </w:p>
        </w:tc>
        <w:tc>
          <w:tcPr>
            <w:tcW w:w="840" w:type="dxa"/>
            <w:vAlign w:val="bottom"/>
          </w:tcPr>
          <w:p>
            <w:pPr>
              <w:jc w:val="right"/>
              <w:spacing w:after="0"/>
              <w:rPr>
                <w:sz w:val="20"/>
                <w:szCs w:val="20"/>
                <w:color w:val="auto"/>
              </w:rPr>
            </w:pPr>
            <w:r>
              <w:rPr>
                <w:rFonts w:ascii="Arial" w:cs="Arial" w:eastAsia="Arial" w:hAnsi="Arial"/>
                <w:sz w:val="18"/>
                <w:szCs w:val="18"/>
                <w:color w:val="auto"/>
              </w:rPr>
              <w:t>445,958</w:t>
            </w:r>
          </w:p>
        </w:tc>
        <w:tc>
          <w:tcPr>
            <w:tcW w:w="6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425,579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Commercial and other</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7,237,796</w:t>
            </w:r>
          </w:p>
        </w:tc>
        <w:tc>
          <w:tcPr>
            <w:tcW w:w="6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7,346,790</w:t>
            </w:r>
          </w:p>
        </w:tc>
        <w:tc>
          <w:tcPr>
            <w:tcW w:w="0" w:type="dxa"/>
            <w:vAlign w:val="bottom"/>
          </w:tcPr>
          <w:p>
            <w:pPr>
              <w:spacing w:after="0"/>
              <w:rPr>
                <w:sz w:val="1"/>
                <w:szCs w:val="1"/>
                <w:color w:val="auto"/>
              </w:rPr>
            </w:pPr>
          </w:p>
        </w:tc>
      </w:tr>
      <w:tr>
        <w:trPr>
          <w:trHeight w:val="432"/>
        </w:trPr>
        <w:tc>
          <w:tcPr>
            <w:tcW w:w="8940" w:type="dxa"/>
            <w:vAlign w:val="bottom"/>
            <w:gridSpan w:val="2"/>
          </w:tcPr>
          <w:p>
            <w:pPr>
              <w:spacing w:after="0"/>
              <w:rPr>
                <w:sz w:val="20"/>
                <w:szCs w:val="20"/>
                <w:color w:val="auto"/>
              </w:rPr>
            </w:pPr>
            <w:r>
              <w:rPr>
                <w:rFonts w:ascii="Arial" w:cs="Arial" w:eastAsia="Arial" w:hAnsi="Arial"/>
                <w:sz w:val="18"/>
                <w:szCs w:val="18"/>
                <w:color w:val="auto"/>
              </w:rPr>
              <w:t>Standby letters of credit</w:t>
            </w:r>
          </w:p>
        </w:tc>
        <w:tc>
          <w:tcPr>
            <w:tcW w:w="840" w:type="dxa"/>
            <w:vAlign w:val="bottom"/>
          </w:tcPr>
          <w:p>
            <w:pPr>
              <w:jc w:val="right"/>
              <w:spacing w:after="0"/>
              <w:rPr>
                <w:sz w:val="20"/>
                <w:szCs w:val="20"/>
                <w:color w:val="auto"/>
              </w:rPr>
            </w:pPr>
            <w:r>
              <w:rPr>
                <w:rFonts w:ascii="Arial" w:cs="Arial" w:eastAsia="Arial" w:hAnsi="Arial"/>
                <w:sz w:val="18"/>
                <w:szCs w:val="18"/>
                <w:color w:val="auto"/>
              </w:rPr>
              <w:t>3,679,294</w:t>
            </w:r>
          </w:p>
        </w:tc>
        <w:tc>
          <w:tcPr>
            <w:tcW w:w="660" w:type="dxa"/>
            <w:vAlign w:val="bottom"/>
          </w:tcPr>
          <w:p>
            <w:pPr>
              <w:spacing w:after="0"/>
              <w:rPr>
                <w:sz w:val="24"/>
                <w:szCs w:val="2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3,691,971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9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Commercial letters of credit</w:t>
            </w:r>
          </w:p>
        </w:tc>
        <w:tc>
          <w:tcPr>
            <w:tcW w:w="15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43,774</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34,105</w:t>
            </w:r>
          </w:p>
        </w:tc>
        <w:tc>
          <w:tcPr>
            <w:tcW w:w="0" w:type="dxa"/>
            <w:vAlign w:val="bottom"/>
          </w:tcPr>
          <w:p>
            <w:pPr>
              <w:spacing w:after="0"/>
              <w:rPr>
                <w:sz w:val="1"/>
                <w:szCs w:val="1"/>
                <w:color w:val="auto"/>
              </w:rPr>
            </w:pPr>
          </w:p>
        </w:tc>
      </w:tr>
      <w:tr>
        <w:trPr>
          <w:trHeight w:val="432"/>
        </w:trPr>
        <w:tc>
          <w:tcPr>
            <w:tcW w:w="8940" w:type="dxa"/>
            <w:vAlign w:val="bottom"/>
            <w:gridSpan w:val="2"/>
          </w:tcPr>
          <w:p>
            <w:pPr>
              <w:spacing w:after="0"/>
              <w:rPr>
                <w:sz w:val="20"/>
                <w:szCs w:val="20"/>
                <w:color w:val="auto"/>
              </w:rPr>
            </w:pPr>
            <w:r>
              <w:rPr>
                <w:rFonts w:ascii="Arial" w:cs="Arial" w:eastAsia="Arial" w:hAnsi="Arial"/>
                <w:sz w:val="18"/>
                <w:szCs w:val="18"/>
                <w:color w:val="auto"/>
              </w:rPr>
              <w:t>Financial guarantees and indemnification contracts</w:t>
            </w:r>
          </w:p>
        </w:tc>
        <w:tc>
          <w:tcPr>
            <w:tcW w:w="840" w:type="dxa"/>
            <w:vAlign w:val="bottom"/>
          </w:tcPr>
          <w:p>
            <w:pPr>
              <w:jc w:val="right"/>
              <w:spacing w:after="0"/>
              <w:rPr>
                <w:sz w:val="20"/>
                <w:szCs w:val="20"/>
                <w:color w:val="auto"/>
              </w:rPr>
            </w:pPr>
            <w:r>
              <w:rPr>
                <w:rFonts w:ascii="Arial" w:cs="Arial" w:eastAsia="Arial" w:hAnsi="Arial"/>
                <w:sz w:val="18"/>
                <w:szCs w:val="18"/>
                <w:color w:val="auto"/>
              </w:rPr>
              <w:t>1,350,622</w:t>
            </w:r>
          </w:p>
        </w:tc>
        <w:tc>
          <w:tcPr>
            <w:tcW w:w="660" w:type="dxa"/>
            <w:vAlign w:val="bottom"/>
          </w:tcPr>
          <w:p>
            <w:pPr>
              <w:spacing w:after="0"/>
              <w:rPr>
                <w:sz w:val="24"/>
                <w:szCs w:val="2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1,318,733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9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Commitments to sell real estate loans</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1,299,019</w:t>
            </w:r>
          </w:p>
        </w:tc>
        <w:tc>
          <w:tcPr>
            <w:tcW w:w="6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946,457</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200" w:firstLine="225"/>
        <w:spacing w:after="0" w:line="342" w:lineRule="auto"/>
        <w:rPr>
          <w:sz w:val="20"/>
          <w:szCs w:val="20"/>
          <w:color w:val="auto"/>
        </w:rPr>
      </w:pPr>
      <w:r>
        <w:rPr>
          <w:rFonts w:ascii="Arial" w:cs="Arial" w:eastAsia="Arial" w:hAnsi="Arial"/>
          <w:sz w:val="16"/>
          <w:szCs w:val="16"/>
          <w:color w:val="auto"/>
        </w:rPr>
        <w:t>Commitments to extend credit are agreements to lend to customers, generally having fixed expiration dates or other termination clauses that may require payment of a fee. Standby and commercial letters of credit are conditional commitments issued to guarantee the performance of a customer to a</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Commitments and contingencies, continued</w:t>
      </w:r>
    </w:p>
    <w:p>
      <w:pPr>
        <w:spacing w:after="0" w:line="121"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third party. Standby letters of credit generally are contingent upon the failure of the customer to perform according to the terms of the underlying contract with the third party, whereas commercial letters of credit are issued to facilitate commerce and typically result in the commitment being funded when the underlying transaction is consummated between the customer and a third party. The credit risk associated with commitments to extend credit and standby and commercial letters of credit is essentially the same as that involved with extending loans to customers and is subject to normal credit policies. Collateral may be obtained based on management’s assessment of the customer’s creditworthiness.</w:t>
      </w:r>
    </w:p>
    <w:p>
      <w:pPr>
        <w:spacing w:after="0" w:line="64"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Financial guarantees and indemnification contracts are oftentimes similar to standby letters of credit and include mandatory purchase agreements issued to ensure that customer obligations are fulfilled, recourse obligations associated with sold loans, and other guarantees of customer performance or compliance with designated rules and regulations. Included in financial guarantees and indemnification contracts are loan principal amounts sold with recourse in conjunction with the Company’s involvement in the Federal National Mortgage Association Delegated Underwriting and Servicing program. The Company’s maximum credit risk for recourse associated with loans sold under this program totaled approximately $1 billion at each of March 31, 2008 and December 31, 2007.</w:t>
      </w:r>
    </w:p>
    <w:p>
      <w:pPr>
        <w:spacing w:after="0" w:line="85" w:lineRule="exact"/>
        <w:rPr>
          <w:sz w:val="20"/>
          <w:szCs w:val="20"/>
          <w:color w:val="auto"/>
        </w:rPr>
      </w:pPr>
    </w:p>
    <w:p>
      <w:pPr>
        <w:ind w:right="40" w:firstLine="225"/>
        <w:spacing w:after="0" w:line="277" w:lineRule="auto"/>
        <w:rPr>
          <w:sz w:val="20"/>
          <w:szCs w:val="20"/>
          <w:color w:val="auto"/>
        </w:rPr>
      </w:pPr>
      <w:r>
        <w:rPr>
          <w:rFonts w:ascii="Arial" w:cs="Arial" w:eastAsia="Arial" w:hAnsi="Arial"/>
          <w:sz w:val="18"/>
          <w:szCs w:val="18"/>
          <w:color w:val="auto"/>
        </w:rPr>
        <w:t>Since many loan commitments, standby letters of credit, and guarantees and indemnification contracts expire without being funded in whole or in part, the contract amounts are not necessarily indicative of future cash flows.</w:t>
      </w:r>
    </w:p>
    <w:p>
      <w:pPr>
        <w:spacing w:after="0" w:line="62" w:lineRule="exact"/>
        <w:rPr>
          <w:sz w:val="20"/>
          <w:szCs w:val="20"/>
          <w:color w:val="auto"/>
        </w:rPr>
      </w:pPr>
    </w:p>
    <w:p>
      <w:pPr>
        <w:ind w:right="60" w:firstLine="222"/>
        <w:spacing w:after="0" w:line="286" w:lineRule="auto"/>
        <w:rPr>
          <w:sz w:val="20"/>
          <w:szCs w:val="20"/>
          <w:color w:val="auto"/>
        </w:rPr>
      </w:pPr>
      <w:r>
        <w:rPr>
          <w:rFonts w:ascii="Arial" w:cs="Arial" w:eastAsia="Arial" w:hAnsi="Arial"/>
          <w:sz w:val="16"/>
          <w:szCs w:val="16"/>
          <w:color w:val="auto"/>
        </w:rPr>
        <w:t>The Company utilizes commitments to sell real estate loans to hedge exposure to changes in the fair value of real estate loans held for sale. Such commitments are considered derivatives in accordance with Statement of Financial Accounting Standards (“SFAS”) No. 133, “Accounting for Derivative Instruments and Hedging Activities,” as amended, and along with commitments to originate real estate loans to be held for sale are generally recorded in the consolidated balance sheet at estimated fair market value. Until January 1, 2008, in estimating that fair value for commitments to originate loans for sale, value ascribable to cash flows to be realized in connection with loan servicing activities was not included. Value ascribable to that portion of cash flows was recognized at the time the underlying mortgage loans were sold. Effective January 1, 2008, the Company adopted the provisions of Staff Accounting Bulletin (“SAB”) No. 109 issued by the Securities and Exchange Commission (“SEC”), which reversed previous conclusions expressed by the SEC staff regarding written loan commitments that are accounted for at fair value through earnings. Specifically, the SEC staff now believes that the expected net future cash flows related to the associated servicing of the loan should be included in the fair value measurement of the derivative loan commitment. In accordance with SAB No. 105, “Application of Accounting Principles to Loan Commitments,” the Company had not included such amount in the value of loan commitments accounted for as derivatives at December 31, 2007. As a result of the Company’s adoption of required changes in accounting pronouncements on January 1, 2008, there was an acceleration of the recognition of mortgage banking revenues of approximately $7 million during the first quarter of 2008. If not for the changes in accounting pronouncements, those revenues would have been recognized later in 2008 when the underlying loans were sold.</w:t>
      </w:r>
    </w:p>
    <w:p>
      <w:pPr>
        <w:spacing w:after="0" w:line="67" w:lineRule="exact"/>
        <w:rPr>
          <w:sz w:val="20"/>
          <w:szCs w:val="20"/>
          <w:color w:val="auto"/>
        </w:rPr>
      </w:pPr>
    </w:p>
    <w:p>
      <w:pPr>
        <w:ind w:right="300" w:firstLine="222"/>
        <w:spacing w:after="0" w:line="264" w:lineRule="auto"/>
        <w:rPr>
          <w:sz w:val="20"/>
          <w:szCs w:val="20"/>
          <w:color w:val="auto"/>
        </w:rPr>
      </w:pPr>
      <w:r>
        <w:rPr>
          <w:rFonts w:ascii="Arial" w:cs="Arial" w:eastAsia="Arial" w:hAnsi="Arial"/>
          <w:sz w:val="18"/>
          <w:szCs w:val="18"/>
          <w:color w:val="auto"/>
        </w:rPr>
        <w:t>The Company has an agreement with the Baltimore Ravens of the National Football League whereby the Company obtained the naming rights to a football stadium in Baltimore, Maryland. Under the agreement, the Company is obligated to pay $5 million per year through 2013 and $6 million per year from 2014 through 2017.</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Commitments and contingencies, continued</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Company also has commitments under long-term operating leases.</w:t>
      </w:r>
    </w:p>
    <w:p>
      <w:pPr>
        <w:spacing w:after="0" w:line="117" w:lineRule="exact"/>
        <w:rPr>
          <w:sz w:val="20"/>
          <w:szCs w:val="20"/>
          <w:color w:val="auto"/>
        </w:rPr>
      </w:pPr>
    </w:p>
    <w:p>
      <w:pPr>
        <w:ind w:right="100" w:firstLine="222"/>
        <w:spacing w:after="0" w:line="271" w:lineRule="auto"/>
        <w:rPr>
          <w:sz w:val="20"/>
          <w:szCs w:val="20"/>
          <w:color w:val="auto"/>
        </w:rPr>
      </w:pPr>
      <w:r>
        <w:rPr>
          <w:rFonts w:ascii="Arial" w:cs="Arial" w:eastAsia="Arial" w:hAnsi="Arial"/>
          <w:sz w:val="17"/>
          <w:szCs w:val="17"/>
          <w:color w:val="auto"/>
        </w:rPr>
        <w:t>The Company reinsures credit life and accident and health insurance purchased by consumer loan customers. The Company also enters into reinsurance contracts with third party insurance companies who insure against the risk of a mortgage borrower’s payment default in connection with certain mortgage loans originated by the Company. When providing reinsurance coverage, the Company receives a premium in exchange for accepting a portion of the insurer’s risk of loss. The outstanding loan principal balances reinsured by the Company were approximately $109 million at March 31, 2008. Assets of subsidiaries providing reinsurance that are available to satisfy claims totaled approximately $59 million at March 31, 2008. The amounts noted above are not necessarily indicative of losses which may ultimately be incurred. Such losses are expected to be substantially less because most loans are repaid by borrowers in accordance with the original loan terms. The amount of the Company’s recorded liability for reported reinsurance losses as well as estimated losses incurred but not yet reported was not significant at either March 31, 2008 or December 31, 2007.</w:t>
      </w:r>
    </w:p>
    <w:p>
      <w:pPr>
        <w:spacing w:after="0" w:line="71" w:lineRule="exact"/>
        <w:rPr>
          <w:sz w:val="20"/>
          <w:szCs w:val="20"/>
          <w:color w:val="auto"/>
        </w:rPr>
      </w:pPr>
    </w:p>
    <w:p>
      <w:pPr>
        <w:ind w:firstLine="225"/>
        <w:spacing w:after="0" w:line="268" w:lineRule="auto"/>
        <w:rPr>
          <w:sz w:val="20"/>
          <w:szCs w:val="20"/>
          <w:color w:val="auto"/>
        </w:rPr>
      </w:pPr>
      <w:r>
        <w:rPr>
          <w:rFonts w:ascii="Arial" w:cs="Arial" w:eastAsia="Arial" w:hAnsi="Arial"/>
          <w:sz w:val="17"/>
          <w:szCs w:val="17"/>
          <w:color w:val="auto"/>
        </w:rPr>
        <w:t>In October 2007, Visa completed a reorganization in contemplation of its initial public offering (“IPO”) expected to occur in 2008. As part of that reorganization, M&amp;T Bank, M&amp;T’s principal banking subsidiary, and other member banks of Visa received shares of Class B common stock of Visa. Those banks are also obligated under various agreements with Visa to share in losses stemming from certain litigation involving Visa (“Covered Litigation”). As of December 31, 2007, although Visa was expected to set aside a portion of the proceeds from its IPO in an escrow account to fund any judgments or settlements that may arise out of the Covered Litigation, guidance from the SEC indicated that Visa member banks should record a liability for the fair value of the contingent obligation to Visa. The estimation of the Company’s proportionate share of any potential losses related to the Covered Litigation was extremely difficult and involved a great deal of judgment. Nevertheless, in the fourth quarter of 2007 the Company recorded a pre-tax charge of $23 million ($14 million after tax effect) related to the Covered Litigation. In accordance with GAAP and consistent with the SEC guidance, the Company did not recognize any value for its common stock ownership interest in Visa as of December 31, 2007. During the first quarter of 2008, Visa completed its IPO and, as part of the transaction, funded an escrow account for $3 billion from the proceeds of the IPO to cover potential settlements arising out of the Covered Litigation. As a result, during the first three months of 2008, the Company reversed approximately $15 million of the $23 million accrued during the fourth quarter of 2007 for the Covered Litigation. The initial accrual in 2007 and the partial reversal in 2008 were included in “other costs of operations” in the consolidated statement of income. In addition, M&amp;T Bank was allocated 1,967,028 Class B common shares of Visa. Of those shares, 760,455 were mandatorily redeemed in March 2008 resulting in pre-tax gain of $33 million ($20 million after tax) which has been included in “gain on bank investment securities” in the consolidated statement of income.</w:t>
      </w:r>
    </w:p>
    <w:p>
      <w:pPr>
        <w:spacing w:after="0" w:line="75" w:lineRule="exact"/>
        <w:rPr>
          <w:sz w:val="20"/>
          <w:szCs w:val="20"/>
          <w:color w:val="auto"/>
        </w:rPr>
      </w:pPr>
    </w:p>
    <w:p>
      <w:pPr>
        <w:ind w:right="220" w:firstLine="225"/>
        <w:spacing w:after="0" w:line="302" w:lineRule="auto"/>
        <w:rPr>
          <w:sz w:val="20"/>
          <w:szCs w:val="20"/>
          <w:color w:val="auto"/>
        </w:rPr>
      </w:pPr>
      <w:r>
        <w:rPr>
          <w:rFonts w:ascii="Arial" w:cs="Arial" w:eastAsia="Arial" w:hAnsi="Arial"/>
          <w:sz w:val="16"/>
          <w:szCs w:val="16"/>
          <w:color w:val="auto"/>
        </w:rPr>
        <w:t>M&amp;T and its subsidiaries are subject in the normal course of business to various pending and threatened legal proceedings in which claims for monetary damages are asserted. Management, after consultation with legal counsel, does not anticipate that the aggregate ultimate liability arising out of litigation pending against M&amp;T or its subsidiaries will be material to the Company’s consolidated financial position, but at the present time is not in a position to determine whether such litigation will have a material adverse effect on the Company’s consolidated results of operations in any future reporting period.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Pension plans and other postretirement benefits</w:t>
      </w:r>
    </w:p>
    <w:p>
      <w:pPr>
        <w:spacing w:after="0" w:line="121"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The Company provides defined benefit pension and other postretirement benefits (including health care and life insurance benefits) to qualified retired employees. Net periodic benefit cost for defined benefit plans consisted of the following:</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4"/>
                <w:szCs w:val="14"/>
                <w:color w:val="auto"/>
                <w:w w:val="91"/>
              </w:rPr>
              <w:t>Other</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6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jc w:val="right"/>
              <w:ind w:right="68"/>
              <w:spacing w:after="0" w:line="149" w:lineRule="exact"/>
              <w:rPr>
                <w:sz w:val="20"/>
                <w:szCs w:val="20"/>
                <w:color w:val="auto"/>
              </w:rPr>
            </w:pPr>
            <w:r>
              <w:rPr>
                <w:rFonts w:ascii="Arial" w:cs="Arial" w:eastAsia="Arial" w:hAnsi="Arial"/>
                <w:sz w:val="14"/>
                <w:szCs w:val="14"/>
                <w:color w:val="auto"/>
              </w:rPr>
              <w:t>Pension</w:t>
            </w: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3"/>
          </w:tcPr>
          <w:p>
            <w:pPr>
              <w:jc w:val="center"/>
              <w:ind w:left="334"/>
              <w:spacing w:after="0" w:line="149" w:lineRule="exact"/>
              <w:rPr>
                <w:sz w:val="20"/>
                <w:szCs w:val="20"/>
                <w:color w:val="auto"/>
              </w:rPr>
            </w:pPr>
            <w:r>
              <w:rPr>
                <w:rFonts w:ascii="Arial" w:cs="Arial" w:eastAsia="Arial" w:hAnsi="Arial"/>
                <w:sz w:val="14"/>
                <w:szCs w:val="14"/>
                <w:color w:val="auto"/>
                <w:w w:val="93"/>
              </w:rPr>
              <w:t>postretirement</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7"/>
        </w:trPr>
        <w:tc>
          <w:tcPr>
            <w:tcW w:w="6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benefits</w:t>
            </w:r>
          </w:p>
        </w:tc>
        <w:tc>
          <w:tcPr>
            <w:tcW w:w="68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color w:val="auto"/>
                <w:w w:val="89"/>
              </w:rPr>
              <w:t>benefits</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3"/>
        </w:trPr>
        <w:tc>
          <w:tcPr>
            <w:tcW w:w="6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40" w:type="dxa"/>
            <w:vAlign w:val="bottom"/>
            <w:gridSpan w:val="6"/>
          </w:tcPr>
          <w:p>
            <w:pPr>
              <w:jc w:val="center"/>
              <w:ind w:right="880"/>
              <w:spacing w:after="0" w:line="123" w:lineRule="exact"/>
              <w:rPr>
                <w:sz w:val="20"/>
                <w:szCs w:val="20"/>
                <w:color w:val="auto"/>
              </w:rPr>
            </w:pPr>
            <w:r>
              <w:rPr>
                <w:rFonts w:ascii="Arial" w:cs="Arial" w:eastAsia="Arial" w:hAnsi="Arial"/>
                <w:sz w:val="14"/>
                <w:szCs w:val="14"/>
                <w:color w:val="auto"/>
                <w:w w:val="91"/>
              </w:rPr>
              <w:t>Three months ended March 31</w:t>
            </w: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67"/>
        </w:trPr>
        <w:tc>
          <w:tcPr>
            <w:tcW w:w="6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color w:val="auto"/>
              </w:rPr>
              <w:t>2008</w:t>
            </w: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color w:val="auto"/>
              </w:rPr>
              <w:t>2007</w:t>
            </w:r>
          </w:p>
        </w:tc>
        <w:tc>
          <w:tcPr>
            <w:tcW w:w="6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color w:val="auto"/>
              </w:rPr>
              <w:t>2008</w:t>
            </w:r>
          </w:p>
        </w:tc>
        <w:tc>
          <w:tcPr>
            <w:tcW w:w="6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color w:val="auto"/>
              </w:rPr>
              <w:t>2007</w:t>
            </w:r>
          </w:p>
        </w:tc>
        <w:tc>
          <w:tcPr>
            <w:tcW w:w="100" w:type="dxa"/>
            <w:vAlign w:val="bottom"/>
          </w:tcPr>
          <w:p>
            <w:pPr>
              <w:spacing w:after="0"/>
              <w:rPr>
                <w:sz w:val="14"/>
                <w:szCs w:val="14"/>
                <w:color w:val="auto"/>
              </w:rPr>
            </w:pPr>
          </w:p>
        </w:tc>
      </w:tr>
      <w:tr>
        <w:trPr>
          <w:trHeight w:val="142"/>
        </w:trPr>
        <w:tc>
          <w:tcPr>
            <w:tcW w:w="6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60" w:type="dxa"/>
            <w:vAlign w:val="bottom"/>
            <w:gridSpan w:val="3"/>
          </w:tcPr>
          <w:p>
            <w:pPr>
              <w:jc w:val="center"/>
              <w:ind w:left="436"/>
              <w:spacing w:after="0" w:line="142" w:lineRule="exact"/>
              <w:rPr>
                <w:sz w:val="20"/>
                <w:szCs w:val="20"/>
                <w:color w:val="auto"/>
              </w:rPr>
            </w:pPr>
            <w:r>
              <w:rPr>
                <w:rFonts w:ascii="Arial" w:cs="Arial" w:eastAsia="Arial" w:hAnsi="Arial"/>
                <w:sz w:val="14"/>
                <w:szCs w:val="14"/>
                <w:color w:val="auto"/>
                <w:w w:val="92"/>
              </w:rPr>
              <w:t>(in thousands)</w:t>
            </w:r>
          </w:p>
        </w:tc>
        <w:tc>
          <w:tcPr>
            <w:tcW w:w="5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5,343</w:t>
            </w:r>
          </w:p>
        </w:tc>
        <w:tc>
          <w:tcPr>
            <w:tcW w:w="6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5,475</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8"/>
              <w:spacing w:after="0"/>
              <w:rPr>
                <w:sz w:val="20"/>
                <w:szCs w:val="20"/>
                <w:color w:val="auto"/>
              </w:rPr>
            </w:pPr>
            <w:r>
              <w:rPr>
                <w:rFonts w:ascii="Arial" w:cs="Arial" w:eastAsia="Arial" w:hAnsi="Arial"/>
                <w:sz w:val="18"/>
                <w:szCs w:val="18"/>
                <w:color w:val="auto"/>
              </w:rPr>
              <w:t>164</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w:t>
            </w: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Interest cost on projected benefit obligation</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3"/>
          </w:tcPr>
          <w:p>
            <w:pPr>
              <w:jc w:val="right"/>
              <w:ind w:right="628"/>
              <w:spacing w:after="0"/>
              <w:rPr>
                <w:sz w:val="20"/>
                <w:szCs w:val="20"/>
                <w:color w:val="auto"/>
              </w:rPr>
            </w:pPr>
            <w:r>
              <w:rPr>
                <w:rFonts w:ascii="Arial" w:cs="Arial" w:eastAsia="Arial" w:hAnsi="Arial"/>
                <w:sz w:val="18"/>
                <w:szCs w:val="18"/>
                <w:color w:val="auto"/>
              </w:rPr>
              <w:t>10,764</w:t>
            </w: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rPr>
              <w:t>9,375</w:t>
            </w:r>
          </w:p>
        </w:tc>
        <w:tc>
          <w:tcPr>
            <w:tcW w:w="120" w:type="dxa"/>
            <w:vAlign w:val="bottom"/>
          </w:tcPr>
          <w:p>
            <w:pPr>
              <w:spacing w:after="0"/>
              <w:rPr>
                <w:sz w:val="18"/>
                <w:szCs w:val="18"/>
                <w:color w:val="auto"/>
              </w:rPr>
            </w:pPr>
          </w:p>
        </w:tc>
        <w:tc>
          <w:tcPr>
            <w:tcW w:w="1240" w:type="dxa"/>
            <w:vAlign w:val="bottom"/>
            <w:gridSpan w:val="2"/>
          </w:tcPr>
          <w:p>
            <w:pPr>
              <w:jc w:val="right"/>
              <w:ind w:right="608"/>
              <w:spacing w:after="0"/>
              <w:rPr>
                <w:sz w:val="20"/>
                <w:szCs w:val="20"/>
                <w:color w:val="auto"/>
              </w:rPr>
            </w:pPr>
            <w:r>
              <w:rPr>
                <w:rFonts w:ascii="Arial" w:cs="Arial" w:eastAsia="Arial" w:hAnsi="Arial"/>
                <w:sz w:val="18"/>
                <w:szCs w:val="18"/>
                <w:color w:val="auto"/>
              </w:rPr>
              <w:t>1,076</w:t>
            </w: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925</w:t>
            </w: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568"/>
              <w:spacing w:after="0"/>
              <w:rPr>
                <w:sz w:val="20"/>
                <w:szCs w:val="20"/>
                <w:color w:val="auto"/>
              </w:rPr>
            </w:pPr>
            <w:r>
              <w:rPr>
                <w:rFonts w:ascii="Arial" w:cs="Arial" w:eastAsia="Arial" w:hAnsi="Arial"/>
                <w:sz w:val="18"/>
                <w:szCs w:val="18"/>
                <w:color w:val="auto"/>
                <w:w w:val="92"/>
              </w:rPr>
              <w:t>(11,114)</w:t>
            </w:r>
          </w:p>
        </w:tc>
        <w:tc>
          <w:tcPr>
            <w:tcW w:w="13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(10,025)</w:t>
            </w:r>
          </w:p>
        </w:tc>
        <w:tc>
          <w:tcPr>
            <w:tcW w:w="1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Amortization of prior service cost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3"/>
          </w:tcPr>
          <w:p>
            <w:pPr>
              <w:jc w:val="right"/>
              <w:ind w:right="568"/>
              <w:spacing w:after="0"/>
              <w:rPr>
                <w:sz w:val="20"/>
                <w:szCs w:val="20"/>
                <w:color w:val="auto"/>
              </w:rPr>
            </w:pPr>
            <w:r>
              <w:rPr>
                <w:rFonts w:ascii="Arial" w:cs="Arial" w:eastAsia="Arial" w:hAnsi="Arial"/>
                <w:sz w:val="18"/>
                <w:szCs w:val="18"/>
                <w:color w:val="auto"/>
              </w:rPr>
              <w:t>(1,640)</w:t>
            </w:r>
          </w:p>
        </w:tc>
        <w:tc>
          <w:tcPr>
            <w:tcW w:w="1340" w:type="dxa"/>
            <w:vAlign w:val="bottom"/>
            <w:gridSpan w:val="2"/>
          </w:tcPr>
          <w:p>
            <w:pPr>
              <w:jc w:val="right"/>
              <w:ind w:right="600"/>
              <w:spacing w:after="0"/>
              <w:rPr>
                <w:sz w:val="20"/>
                <w:szCs w:val="20"/>
                <w:color w:val="auto"/>
              </w:rPr>
            </w:pPr>
            <w:r>
              <w:rPr>
                <w:rFonts w:ascii="Arial" w:cs="Arial" w:eastAsia="Arial" w:hAnsi="Arial"/>
                <w:sz w:val="18"/>
                <w:szCs w:val="18"/>
                <w:color w:val="auto"/>
              </w:rPr>
              <w:t>(1,650)</w:t>
            </w:r>
          </w:p>
        </w:tc>
        <w:tc>
          <w:tcPr>
            <w:tcW w:w="120" w:type="dxa"/>
            <w:vAlign w:val="bottom"/>
          </w:tcPr>
          <w:p>
            <w:pPr>
              <w:spacing w:after="0"/>
              <w:rPr>
                <w:sz w:val="18"/>
                <w:szCs w:val="18"/>
                <w:color w:val="auto"/>
              </w:rPr>
            </w:pPr>
          </w:p>
        </w:tc>
        <w:tc>
          <w:tcPr>
            <w:tcW w:w="1240" w:type="dxa"/>
            <w:vAlign w:val="bottom"/>
            <w:gridSpan w:val="2"/>
          </w:tcPr>
          <w:p>
            <w:pPr>
              <w:jc w:val="right"/>
              <w:ind w:right="608"/>
              <w:spacing w:after="0"/>
              <w:rPr>
                <w:sz w:val="20"/>
                <w:szCs w:val="20"/>
                <w:color w:val="auto"/>
              </w:rPr>
            </w:pPr>
            <w:r>
              <w:rPr>
                <w:rFonts w:ascii="Arial" w:cs="Arial" w:eastAsia="Arial" w:hAnsi="Arial"/>
                <w:sz w:val="18"/>
                <w:szCs w:val="18"/>
                <w:color w:val="auto"/>
              </w:rPr>
              <w:t>42</w:t>
            </w: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50</w:t>
            </w: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net actuarial loss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1,220</w:t>
            </w:r>
          </w:p>
        </w:tc>
        <w:tc>
          <w:tcPr>
            <w:tcW w:w="6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1,200</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8"/>
              <w:spacing w:after="0"/>
              <w:rPr>
                <w:sz w:val="20"/>
                <w:szCs w:val="20"/>
                <w:color w:val="auto"/>
              </w:rPr>
            </w:pPr>
            <w:r>
              <w:rPr>
                <w:rFonts w:ascii="Arial" w:cs="Arial" w:eastAsia="Arial" w:hAnsi="Arial"/>
                <w:sz w:val="18"/>
                <w:szCs w:val="18"/>
                <w:color w:val="auto"/>
              </w:rPr>
              <w:t>42</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w:t>
            </w:r>
          </w:p>
        </w:tc>
      </w:tr>
      <w:tr>
        <w:trPr>
          <w:trHeight w:val="223"/>
        </w:trPr>
        <w:tc>
          <w:tcPr>
            <w:tcW w:w="6540" w:type="dxa"/>
            <w:vAlign w:val="bottom"/>
          </w:tcPr>
          <w:p>
            <w:pPr>
              <w:spacing w:after="0"/>
              <w:rPr>
                <w:sz w:val="20"/>
                <w:szCs w:val="20"/>
                <w:color w:val="auto"/>
              </w:rPr>
            </w:pPr>
            <w:r>
              <w:rPr>
                <w:rFonts w:ascii="Arial" w:cs="Arial" w:eastAsia="Arial" w:hAnsi="Arial"/>
                <w:sz w:val="18"/>
                <w:szCs w:val="18"/>
                <w:color w:val="auto"/>
              </w:rPr>
              <w:t>Net periodic benefit cost</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4,573</w:t>
            </w:r>
          </w:p>
        </w:tc>
        <w:tc>
          <w:tcPr>
            <w:tcW w:w="20" w:type="dxa"/>
            <w:vAlign w:val="bottom"/>
            <w:tcBorders>
              <w:bottom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4,375</w:t>
            </w:r>
          </w:p>
        </w:tc>
        <w:tc>
          <w:tcPr>
            <w:tcW w:w="6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1,324</w:t>
            </w:r>
          </w:p>
        </w:tc>
        <w:tc>
          <w:tcPr>
            <w:tcW w:w="6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1,175</w:t>
            </w:r>
          </w:p>
        </w:tc>
        <w:tc>
          <w:tcPr>
            <w:tcW w:w="100" w:type="dxa"/>
            <w:vAlign w:val="bottom"/>
          </w:tcPr>
          <w:p>
            <w:pPr>
              <w:spacing w:after="0"/>
              <w:rPr>
                <w:sz w:val="19"/>
                <w:szCs w:val="19"/>
                <w:color w:val="auto"/>
              </w:rPr>
            </w:pPr>
          </w:p>
        </w:tc>
      </w:tr>
      <w:tr>
        <w:trPr>
          <w:trHeight w:val="20"/>
        </w:trPr>
        <w:tc>
          <w:tcPr>
            <w:tcW w:w="6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40" w:firstLine="225"/>
        <w:spacing w:after="0" w:line="277" w:lineRule="auto"/>
        <w:rPr>
          <w:sz w:val="20"/>
          <w:szCs w:val="20"/>
          <w:color w:val="auto"/>
        </w:rPr>
      </w:pPr>
      <w:r>
        <w:rPr>
          <w:rFonts w:ascii="Arial" w:cs="Arial" w:eastAsia="Arial" w:hAnsi="Arial"/>
          <w:sz w:val="18"/>
          <w:szCs w:val="18"/>
          <w:color w:val="auto"/>
        </w:rPr>
        <w:t>Expense incurred in connection with the Company’s defined contribution pension and retirement savings plans totaled $10,327,000 and $9,169,000 for the three months ended March 31, 2008 and 2007,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Acquisitions</w:t>
      </w:r>
    </w:p>
    <w:p>
      <w:pPr>
        <w:spacing w:after="0" w:line="121"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On November 30, 2007, M&amp;T completed the acquisition of Partners Trust Financial Group, Inc. (“Partners Trust”), a bank holding company headquartered in Utica, New York. Partners Trust was merged with and into M&amp;T on that date. Partners Trust Bank, the primary banking subsidiary of Partners Trust, was merged into M&amp;T Bank on that date. Partners Trust Bank operated 33 branch offices in upstate New York at the date of acquisition. The results of operations acquired in the Partners Trust transaction have been included in the Company’s financial results since November 30, 2007, but did not have a significant effect on the Company’s results of operations in 2007 or in the first quarter of 2008. After application of the election, allocation and proration procedures contained in the merger agreement with Partners Trust, M&amp;T paid $282 million in cash and issued 3,096,861 shares of M&amp;T common stock in exchange for Partners Trust shares and stock options outstanding at the time of acquisition. The purchase price was approximately $559 million based on the cash paid to Partners Trust shareholders, the fair value of M&amp;T common stock exchanged, and the cash paid to holders of Partners Trust stock options. The acquisition of Partners Trust expands M&amp;T’s presence in upstate New York, making M&amp;T Bank the deposit market share leader in the Utica-Rome and Binghamton markets, while strengthening its lead position in Syracuse.</w:t>
      </w:r>
    </w:p>
    <w:p>
      <w:pPr>
        <w:spacing w:after="0" w:line="70" w:lineRule="exact"/>
        <w:rPr>
          <w:sz w:val="20"/>
          <w:szCs w:val="20"/>
          <w:color w:val="auto"/>
        </w:rPr>
      </w:pPr>
    </w:p>
    <w:p>
      <w:pPr>
        <w:ind w:right="280" w:firstLine="215"/>
        <w:spacing w:after="0" w:line="279" w:lineRule="auto"/>
        <w:rPr>
          <w:sz w:val="20"/>
          <w:szCs w:val="20"/>
          <w:color w:val="auto"/>
        </w:rPr>
      </w:pPr>
      <w:r>
        <w:rPr>
          <w:rFonts w:ascii="Arial" w:cs="Arial" w:eastAsia="Arial" w:hAnsi="Arial"/>
          <w:sz w:val="17"/>
          <w:szCs w:val="17"/>
          <w:color w:val="auto"/>
        </w:rPr>
        <w:t>Assets acquired from Partners Trust on November 30, 2007 totaled $3.5 billion, including $2.2 billion of loans and leases (largely residential real estate and consumer loans), liabilities assumed aggregated $3.0 billion, including $2.2 billion of deposits (largely savings, money-market and time deposits), and $277 million was added to stockholders’ equity. In connection with the acquisition, the Company recorded approximately $283 million of goodwill and $50 million of core deposit intangible. The core deposit intangible is being amortized over 7 years using an accelerated method.</w:t>
      </w:r>
    </w:p>
    <w:p>
      <w:pPr>
        <w:spacing w:after="0" w:line="63" w:lineRule="exact"/>
        <w:rPr>
          <w:sz w:val="20"/>
          <w:szCs w:val="20"/>
          <w:color w:val="auto"/>
        </w:rPr>
      </w:pPr>
    </w:p>
    <w:p>
      <w:pPr>
        <w:ind w:right="100" w:firstLine="215"/>
        <w:spacing w:after="0" w:line="264" w:lineRule="auto"/>
        <w:rPr>
          <w:sz w:val="20"/>
          <w:szCs w:val="20"/>
          <w:color w:val="auto"/>
        </w:rPr>
      </w:pPr>
      <w:r>
        <w:rPr>
          <w:rFonts w:ascii="Arial" w:cs="Arial" w:eastAsia="Arial" w:hAnsi="Arial"/>
          <w:sz w:val="18"/>
          <w:szCs w:val="18"/>
          <w:color w:val="auto"/>
        </w:rPr>
        <w:t>As a condition of the approval of the Partners Trust acquisition by regulators, M&amp;T Bank was required to divest three branch offices in Binghamton, New York. The three branches were sold on March 15, 2008, including loans of $13 million and deposits of $65 million. No gain or loss was recognized on that transaction.</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Acquisitions, continued</w:t>
      </w:r>
    </w:p>
    <w:p>
      <w:pPr>
        <w:spacing w:after="0" w:line="121" w:lineRule="exact"/>
        <w:rPr>
          <w:sz w:val="20"/>
          <w:szCs w:val="20"/>
          <w:color w:val="auto"/>
        </w:rPr>
      </w:pPr>
    </w:p>
    <w:p>
      <w:pPr>
        <w:ind w:right="220" w:firstLine="225"/>
        <w:spacing w:after="0" w:line="342" w:lineRule="auto"/>
        <w:rPr>
          <w:sz w:val="20"/>
          <w:szCs w:val="20"/>
          <w:color w:val="auto"/>
        </w:rPr>
      </w:pPr>
      <w:r>
        <w:rPr>
          <w:rFonts w:ascii="Arial" w:cs="Arial" w:eastAsia="Arial" w:hAnsi="Arial"/>
          <w:sz w:val="16"/>
          <w:szCs w:val="16"/>
          <w:color w:val="auto"/>
        </w:rPr>
        <w:t>On December 7, 2007, M&amp;T Bank acquired 13 branch offices in the Mid-Atlantic region from First Horizon Bank in a cash transaction. The offices had approximately $214 million of loans, $216 million of deposits and $80 million of trust and investment assets under management on the transaction date.</w:t>
      </w:r>
    </w:p>
    <w:p>
      <w:pPr>
        <w:spacing w:after="0" w:line="16" w:lineRule="exact"/>
        <w:rPr>
          <w:sz w:val="20"/>
          <w:szCs w:val="20"/>
          <w:color w:val="auto"/>
        </w:rPr>
      </w:pPr>
    </w:p>
    <w:p>
      <w:pPr>
        <w:ind w:firstLine="222"/>
        <w:spacing w:after="0" w:line="273" w:lineRule="auto"/>
        <w:rPr>
          <w:sz w:val="20"/>
          <w:szCs w:val="20"/>
          <w:color w:val="auto"/>
        </w:rPr>
      </w:pPr>
      <w:r>
        <w:rPr>
          <w:rFonts w:ascii="Arial" w:cs="Arial" w:eastAsia="Arial" w:hAnsi="Arial"/>
          <w:sz w:val="17"/>
          <w:szCs w:val="17"/>
          <w:color w:val="auto"/>
        </w:rPr>
        <w:t>The Company incurred merger-related expenses related to systems conversions and other costs of integrating and conforming acquired operations with and into the Company of $4 million ($2 million net of applicable income taxes) during the first quarter of 2008 and $15 million ($9 million net of applicable income taxes) during the fourth quarter of 2007. There were no similar expenses in the first quarter of 2007. Those expenses consisted largely of professional services and other temporary help fees associated with the conversion of systems and/or integration of operations; costs related to branch and office consolidations; incentive compensation; initial marketing and promotion expenses designed to introduce the Company to customers of the acquired operations; travel costs; and printing, postage and supplies and other costs of commencing operations in new offices.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Relationship with Bayview Lending Group LLC and Bayview Financial Holdings, L.P.</w:t>
      </w:r>
    </w:p>
    <w:p>
      <w:pPr>
        <w:spacing w:after="0" w:line="121"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On February 5, 2007 M&amp;T invested $300 million to acquire a minority interest in Bayview Lending Group LLC (“BLG”), a privately-held commercial mortgage lender that specializes in originating, securitizing and servicing small balance commercial real estate loans. M&amp;T recognizes income from BLG using the equity method of accounting.</w:t>
      </w:r>
    </w:p>
    <w:p>
      <w:pPr>
        <w:spacing w:after="0" w:line="73" w:lineRule="exact"/>
        <w:rPr>
          <w:sz w:val="20"/>
          <w:szCs w:val="20"/>
          <w:color w:val="auto"/>
        </w:rPr>
      </w:pPr>
    </w:p>
    <w:p>
      <w:pPr>
        <w:ind w:right="80" w:firstLine="225"/>
        <w:spacing w:after="0" w:line="287" w:lineRule="auto"/>
        <w:rPr>
          <w:sz w:val="20"/>
          <w:szCs w:val="20"/>
          <w:color w:val="auto"/>
        </w:rPr>
      </w:pPr>
      <w:r>
        <w:rPr>
          <w:rFonts w:ascii="Arial" w:cs="Arial" w:eastAsia="Arial" w:hAnsi="Arial"/>
          <w:sz w:val="16"/>
          <w:szCs w:val="16"/>
          <w:color w:val="auto"/>
        </w:rPr>
        <w:t>Bayview Financial Holdings, L.P. (together with its affiliates, “Bayview Financial”), a privately-held specialty mortgage finance company, is BLG’s majority investor. In addition to their common investment in BLG, the Company and Bayview Financial conduct other business activities with each other. The Company has purchased loan servicing rights for small balance commercial mortgage loans from BLG and Bayview Financial having outstanding principal balances of $5.1 billion and $4.9 billion at March 31, 2008 and December 31, 2007, respectively. Amounts recorded as capitalized servicing assets for such loans totaled $63 million at March 31, 2008 and $57 million at December 31, 2007. In addition, capitalized servicing rights at March 31, 2008 and December 31, 2007 also included $36 million and $40 million, respectively, for servicing rights that were purchased from Bayview Financial related to residential mortgage loans with outstanding principal balances of $4.5 billion at March 31, 2008 and $4.6 billion at December 31, 2007. Revenues from servicing residential and small balance commercial mortgage loans purchased from BLG and Bayview Financial were $13 million and $11 million for the quarters ended March 31, 2008 and 2007, respectively. M&amp;T Bank provided a $120 million revolving line of credit facility to Bayview Financial at each of March 31, 2008 and December 31, 2007, of which $77 million was outstanding at March 31, 2008. There was no outstanding balance at December 31, 2007. Finally, at March 31, 2008 and December 31, 2007, the Company held $384 million and $450 million, respectively, of private collateralized mortgage obligations in its available for sale investment securities portfolio that were securitized by Bayview Financial.</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Fair value measurements</w:t>
      </w:r>
    </w:p>
    <w:p>
      <w:pPr>
        <w:spacing w:after="0" w:line="121"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Effective January 1, 2008, the Company adopted Statement of Financial Accounting Standards (“SFAS”) No. 157, “Fair Value Measurements,” for fair value measurements of certain of its financial instruments. The provisions of SFAS No. 157 that pertain to measurement of non-financial assets and liabilities have been deferred by the Financial Accounting Standards Board (“FASB”) until 2009. The</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Fair value measurements, continued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adoption of SFAS No. 157 did not have a material effect on the Company’s financial position or results of operations.</w:t>
      </w:r>
    </w:p>
    <w:p>
      <w:pPr>
        <w:spacing w:after="0" w:line="117" w:lineRule="exact"/>
        <w:rPr>
          <w:sz w:val="20"/>
          <w:szCs w:val="20"/>
          <w:color w:val="auto"/>
        </w:rPr>
      </w:pPr>
    </w:p>
    <w:p>
      <w:pPr>
        <w:ind w:right="140" w:firstLine="222"/>
        <w:spacing w:after="0" w:line="264" w:lineRule="auto"/>
        <w:rPr>
          <w:sz w:val="20"/>
          <w:szCs w:val="20"/>
          <w:color w:val="auto"/>
        </w:rPr>
      </w:pPr>
      <w:r>
        <w:rPr>
          <w:rFonts w:ascii="Arial" w:cs="Arial" w:eastAsia="Arial" w:hAnsi="Arial"/>
          <w:sz w:val="18"/>
          <w:szCs w:val="18"/>
          <w:color w:val="auto"/>
        </w:rPr>
        <w:t>The provisions of SFAS No. 159, “The Fair Value Option for Financial Assets and Financial Liabilities,” which permit an entity to choose to measure eligible financial instruments and other items at fair value, also became effective January 1, 2008. The Company has not made any fair value elections under SFAS No. 159 as of March 31, 2008.</w:t>
      </w:r>
    </w:p>
    <w:p>
      <w:pPr>
        <w:spacing w:after="0" w:line="73" w:lineRule="exact"/>
        <w:rPr>
          <w:sz w:val="20"/>
          <w:szCs w:val="20"/>
          <w:color w:val="auto"/>
        </w:rPr>
      </w:pPr>
    </w:p>
    <w:p>
      <w:pPr>
        <w:jc w:val="both"/>
        <w:ind w:right="220" w:firstLine="222"/>
        <w:spacing w:after="0" w:line="264" w:lineRule="auto"/>
        <w:rPr>
          <w:sz w:val="20"/>
          <w:szCs w:val="20"/>
          <w:color w:val="auto"/>
        </w:rPr>
      </w:pPr>
      <w:r>
        <w:rPr>
          <w:rFonts w:ascii="Arial" w:cs="Arial" w:eastAsia="Arial" w:hAnsi="Arial"/>
          <w:sz w:val="18"/>
          <w:szCs w:val="18"/>
          <w:color w:val="auto"/>
        </w:rPr>
        <w:t>The definition of fair value is clarified by SFAS No. 157 to be the price that would be received to sell an asset or paid to transfer a liability in an orderly transaction between market participants at the measurement date. SFAS No. 157 establishes a three-level hierarchy for fair value measurements based upon the inputs to the valuation of an asset or liability.</w:t>
      </w:r>
    </w:p>
    <w:p>
      <w:pPr>
        <w:spacing w:after="0" w:line="73" w:lineRule="exact"/>
        <w:rPr>
          <w:sz w:val="20"/>
          <w:szCs w:val="20"/>
          <w:color w:val="auto"/>
        </w:rPr>
      </w:pPr>
    </w:p>
    <w:p>
      <w:pPr>
        <w:ind w:left="560" w:hanging="444"/>
        <w:spacing w:after="0"/>
        <w:tabs>
          <w:tab w:leader="none" w:pos="5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Level 1 — Valuation is based on quoted prices in active markets for identical assets and liabilities.</w:t>
      </w:r>
    </w:p>
    <w:p>
      <w:pPr>
        <w:spacing w:after="0" w:line="130" w:lineRule="exact"/>
        <w:rPr>
          <w:rFonts w:ascii="Arial" w:cs="Arial" w:eastAsia="Arial" w:hAnsi="Arial"/>
          <w:sz w:val="18"/>
          <w:szCs w:val="18"/>
          <w:b w:val="1"/>
          <w:bCs w:val="1"/>
          <w:color w:val="auto"/>
        </w:rPr>
      </w:pPr>
    </w:p>
    <w:p>
      <w:pPr>
        <w:ind w:left="560" w:right="760" w:hanging="444"/>
        <w:spacing w:after="0" w:line="342" w:lineRule="auto"/>
        <w:tabs>
          <w:tab w:leader="none" w:pos="560" w:val="left"/>
        </w:tabs>
        <w:numPr>
          <w:ilvl w:val="0"/>
          <w:numId w:val="5"/>
        </w:numPr>
        <w:rPr>
          <w:rFonts w:ascii="Arial" w:cs="Arial" w:eastAsia="Arial" w:hAnsi="Arial"/>
          <w:sz w:val="16"/>
          <w:szCs w:val="16"/>
          <w:b w:val="1"/>
          <w:bCs w:val="1"/>
          <w:color w:val="auto"/>
        </w:rPr>
      </w:pPr>
      <w:r>
        <w:rPr>
          <w:rFonts w:ascii="Arial" w:cs="Arial" w:eastAsia="Arial" w:hAnsi="Arial"/>
          <w:sz w:val="16"/>
          <w:szCs w:val="16"/>
          <w:color w:val="auto"/>
        </w:rPr>
        <w:t>Level 2 — Valuation is determined from quoted prices for similar assets or liabilities in active markets, quoted prices for identical or similar instruments in markets that are not active or by model-based techniques in which all significant inputs are observable in the market.</w:t>
      </w:r>
    </w:p>
    <w:p>
      <w:pPr>
        <w:spacing w:after="0" w:line="29" w:lineRule="exact"/>
        <w:rPr>
          <w:rFonts w:ascii="Arial" w:cs="Arial" w:eastAsia="Arial" w:hAnsi="Arial"/>
          <w:sz w:val="16"/>
          <w:szCs w:val="16"/>
          <w:b w:val="1"/>
          <w:bCs w:val="1"/>
          <w:color w:val="auto"/>
        </w:rPr>
      </w:pPr>
    </w:p>
    <w:p>
      <w:pPr>
        <w:ind w:left="560" w:right="40" w:hanging="444"/>
        <w:spacing w:after="0" w:line="277" w:lineRule="auto"/>
        <w:tabs>
          <w:tab w:leader="none" w:pos="5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Level 3 — Valuation is derived from model-based techniques in which at least one significant input is unobservable and based on the Company’s own estimates about the assumptions that market participants would use to value the asset or liability.</w:t>
      </w:r>
    </w:p>
    <w:p>
      <w:pPr>
        <w:spacing w:after="0" w:line="62" w:lineRule="exact"/>
        <w:rPr>
          <w:sz w:val="20"/>
          <w:szCs w:val="20"/>
          <w:color w:val="auto"/>
        </w:rPr>
      </w:pPr>
    </w:p>
    <w:p>
      <w:pPr>
        <w:ind w:firstLine="222"/>
        <w:spacing w:after="0" w:line="276" w:lineRule="auto"/>
        <w:rPr>
          <w:sz w:val="20"/>
          <w:szCs w:val="20"/>
          <w:color w:val="auto"/>
        </w:rPr>
      </w:pPr>
      <w:r>
        <w:rPr>
          <w:rFonts w:ascii="Arial" w:cs="Arial" w:eastAsia="Arial" w:hAnsi="Arial"/>
          <w:sz w:val="17"/>
          <w:szCs w:val="17"/>
          <w:color w:val="auto"/>
        </w:rPr>
        <w:t>When available, the Company attempts to use quoted market prices to determine fair value and classifies such items as Level 1 or Level 2. If quoted market prices are not available, fair value is often determined using model-based techniques incorporating various assumptions including interest rates, prepayment speeds and credit losses. Assets and liabilities valued using model-based techniques are classified as either Level 2 or Level 3, depending on the lowest level classification of an input that is considered significant to the overall valuation. The following is a description of the valuation methodologies used for the Company’s assets and liabilities that are measured on a recurring basis at estimated fair value.</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Trading account assets and liabilities</w:t>
      </w:r>
    </w:p>
    <w:p>
      <w:pPr>
        <w:spacing w:after="0" w:line="117"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Trading account assets and liabilities consist primarily of interest rate swap agreements and foreign exchange contracts with customers who require such services with offsetting trading positions with third parties to minimize the Company’s risk with respect to such transactions. The Company generally determines the fair value of its derivative trading account assets and liabilities using externally developed pricing models based on market observable inputs and therefore classifies such valuations as Level 2. Certain foreign exchange contracts are actively traded and therefore have been classified as Level 1. Mutual funds held in connection with deferred compensation arrangements have also been classified as Level 1 valuations. Valuations of investments in municipal and other bonds can generally be obtained through reference to quoted prices in less active markets for the same or similar securities or through model-based techniques in which all significant inputs are observable and, therefore, such valuations have been classified as Level 2.</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securities available for sale</w:t>
      </w:r>
    </w:p>
    <w:p>
      <w:pPr>
        <w:spacing w:after="0" w:line="117"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The majority of the Company’s available-for-sale investment securities have been valued by reference to prices for similar securities or through model-based techniques in which all significant inputs are observable and, therefore, such valuations have been classified as Level 2. Certain investments in mutual funds and equity securities are actively traded and therefore have been classified as Level 1</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Fair value measurements, continued</w:t>
      </w:r>
    </w:p>
    <w:p>
      <w:pPr>
        <w:spacing w:after="0" w:line="12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valuations. For many privately issued mortgage-backed securities and other securities where there is limited trading activity or less observable valuation inputs, the Company has classified such valuations as Level 3.</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Real estate loans held for sale</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 utilizes commitments to sell real estate loans to hedge the exposure to changes in fair value of real estate loans held for sale. The carrying value of hedged real estate loans held for sale includes changes in estimated fair value during the hedge period, typically from the date of close through the sale date. Most of the Company’s real estate loans held for sale have generally been hedged since the origination date. The fair value of hedged real estate loans held for sale is generally calculated by reference to quoted prices in secondary markets for commitments to sell real estate loans with similar characteristics and, as such, have been classified as a Level 2 valuation.</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 to originate real estate loans for sale and commitments to sell real estate loans</w:t>
      </w:r>
    </w:p>
    <w:p>
      <w:pPr>
        <w:spacing w:after="0" w:line="225"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The Company enters into various commitments to originate real estate loans for sale and commitments to sell real estate loans. Such commitments are considered to be derivative financial instruments and, therefore, are carried at estimated fair value on the consolidated balance sheet. The estimated fair values of such commitments were generally calculated by reference to quoted prices in secondary markets for commitments to sell real estate loans to certain government-sponsored entities and other parties. The fair valuations of commitments to sell real estate loans generally result in a Level 2 classification. The estimated fair value of commitments to originate real estate loans for sale are oftentimes adjusted to reflect the Company’s anticipated commitment expirations. Estimated commitment expirations are considered a significant unobservable input, which results in a Level 3 classification. Additionally, during the first quarter of 2008 the Company adopted the provisions of SAB No. 109 for written loan commitments issued or modified after January 1, 2008. SAB No. 109 reversed previous conclusions expressed by the SEC staff regarding written loan commitments that are accounted for at fair value through earnings. Specifically, the SEC staff now believes that the expected net future cash flows related to the associated servicing of the loan should be included in the fair value measurement of the derivative loan commitment. In accordance with SAB No. 105, the Company had not included such amount in the value of commitments to originate real estate loans for sale at December 31, 2007. The estimated value ascribed to the expected net future servicing cash flows is also considered a significant unobservable input contributing to the Level 3 classification of commitments to originate real estate loans for sale.</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swap agreements used for interest rate risk management</w:t>
      </w:r>
    </w:p>
    <w:p>
      <w:pPr>
        <w:spacing w:after="0" w:line="225" w:lineRule="exact"/>
        <w:rPr>
          <w:sz w:val="20"/>
          <w:szCs w:val="20"/>
          <w:color w:val="auto"/>
        </w:rPr>
      </w:pPr>
    </w:p>
    <w:p>
      <w:pPr>
        <w:jc w:val="both"/>
        <w:ind w:right="160"/>
        <w:spacing w:after="0" w:line="286" w:lineRule="auto"/>
        <w:rPr>
          <w:sz w:val="20"/>
          <w:szCs w:val="20"/>
          <w:color w:val="auto"/>
        </w:rPr>
      </w:pPr>
      <w:r>
        <w:rPr>
          <w:rFonts w:ascii="Arial" w:cs="Arial" w:eastAsia="Arial" w:hAnsi="Arial"/>
          <w:sz w:val="17"/>
          <w:szCs w:val="17"/>
          <w:color w:val="auto"/>
        </w:rPr>
        <w:t>The Company utilizes interest rate swap agreements as part of the management of interest rate risk to modify the repricing characteristics of certain portions of its portfolios of earning assets and interest-bearing liabilities. The Company generally determines the fair value of its interest rate swap agreements using externally developed pricing models based on market observable inputs and therefore classifies such valuations as Level 2.</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Fair value measurements, continued</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 summary of assets and liabilities at March 31, 2008 measured at estimated fair value on a recurring basis were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3"/>
          </w:tcPr>
          <w:p>
            <w:pPr>
              <w:jc w:val="center"/>
              <w:ind w:right="760"/>
              <w:spacing w:after="0"/>
              <w:rPr>
                <w:sz w:val="20"/>
                <w:szCs w:val="20"/>
                <w:color w:val="auto"/>
              </w:rPr>
            </w:pPr>
            <w:r>
              <w:rPr>
                <w:rFonts w:ascii="Arial" w:cs="Arial" w:eastAsia="Arial" w:hAnsi="Arial"/>
                <w:sz w:val="14"/>
                <w:szCs w:val="14"/>
                <w:color w:val="auto"/>
                <w:w w:val="94"/>
              </w:rPr>
              <w:t>Fair value</w:t>
            </w: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6160" w:type="dxa"/>
            <w:vAlign w:val="bottom"/>
          </w:tcPr>
          <w:p>
            <w:pPr>
              <w:spacing w:after="0"/>
              <w:rPr>
                <w:sz w:val="12"/>
                <w:szCs w:val="12"/>
                <w:color w:val="auto"/>
              </w:rPr>
            </w:pPr>
          </w:p>
        </w:tc>
        <w:tc>
          <w:tcPr>
            <w:tcW w:w="1480" w:type="dxa"/>
            <w:vAlign w:val="bottom"/>
            <w:gridSpan w:val="4"/>
          </w:tcPr>
          <w:p>
            <w:pPr>
              <w:spacing w:after="0" w:line="149" w:lineRule="exact"/>
              <w:rPr>
                <w:sz w:val="20"/>
                <w:szCs w:val="20"/>
                <w:color w:val="auto"/>
              </w:rPr>
            </w:pPr>
            <w:r>
              <w:rPr>
                <w:rFonts w:ascii="Arial" w:cs="Arial" w:eastAsia="Arial" w:hAnsi="Arial"/>
                <w:sz w:val="14"/>
                <w:szCs w:val="14"/>
                <w:color w:val="auto"/>
              </w:rPr>
              <w:t>measurements</w:t>
            </w:r>
          </w:p>
        </w:tc>
        <w:tc>
          <w:tcPr>
            <w:tcW w:w="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6160" w:type="dxa"/>
            <w:vAlign w:val="bottom"/>
          </w:tcPr>
          <w:p>
            <w:pPr>
              <w:spacing w:after="0"/>
              <w:rPr>
                <w:sz w:val="12"/>
                <w:szCs w:val="12"/>
                <w:color w:val="auto"/>
              </w:rPr>
            </w:pPr>
          </w:p>
        </w:tc>
        <w:tc>
          <w:tcPr>
            <w:tcW w:w="1480" w:type="dxa"/>
            <w:vAlign w:val="bottom"/>
            <w:gridSpan w:val="4"/>
          </w:tcPr>
          <w:p>
            <w:pPr>
              <w:jc w:val="center"/>
              <w:ind w:right="660"/>
              <w:spacing w:after="0" w:line="149" w:lineRule="exact"/>
              <w:rPr>
                <w:sz w:val="20"/>
                <w:szCs w:val="20"/>
                <w:color w:val="auto"/>
              </w:rPr>
            </w:pPr>
            <w:r>
              <w:rPr>
                <w:rFonts w:ascii="Arial" w:cs="Arial" w:eastAsia="Arial" w:hAnsi="Arial"/>
                <w:sz w:val="14"/>
                <w:szCs w:val="14"/>
                <w:color w:val="auto"/>
                <w:w w:val="95"/>
              </w:rPr>
              <w:t>at March 31,</w:t>
            </w:r>
          </w:p>
        </w:tc>
        <w:tc>
          <w:tcPr>
            <w:tcW w:w="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7"/>
        </w:trPr>
        <w:tc>
          <w:tcPr>
            <w:tcW w:w="6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center"/>
              <w:ind w:right="34"/>
              <w:spacing w:after="0"/>
              <w:rPr>
                <w:sz w:val="20"/>
                <w:szCs w:val="20"/>
                <w:color w:val="auto"/>
              </w:rPr>
            </w:pPr>
            <w:r>
              <w:rPr>
                <w:rFonts w:ascii="Arial" w:cs="Arial" w:eastAsia="Arial" w:hAnsi="Arial"/>
                <w:sz w:val="14"/>
                <w:szCs w:val="14"/>
                <w:color w:val="auto"/>
                <w:w w:val="96"/>
              </w:rPr>
              <w:t>2008</w:t>
            </w: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40" w:type="dxa"/>
            <w:vAlign w:val="bottom"/>
            <w:gridSpan w:val="2"/>
          </w:tcPr>
          <w:p>
            <w:pPr>
              <w:jc w:val="right"/>
              <w:ind w:right="713"/>
              <w:spacing w:after="0"/>
              <w:rPr>
                <w:sz w:val="20"/>
                <w:szCs w:val="20"/>
                <w:color w:val="auto"/>
              </w:rPr>
            </w:pPr>
            <w:r>
              <w:rPr>
                <w:rFonts w:ascii="Arial" w:cs="Arial" w:eastAsia="Arial" w:hAnsi="Arial"/>
                <w:sz w:val="14"/>
                <w:szCs w:val="14"/>
                <w:color w:val="auto"/>
              </w:rPr>
              <w:t>Level 1</w:t>
            </w:r>
          </w:p>
        </w:tc>
        <w:tc>
          <w:tcPr>
            <w:tcW w:w="1500" w:type="dxa"/>
            <w:vAlign w:val="bottom"/>
            <w:gridSpan w:val="2"/>
          </w:tcPr>
          <w:p>
            <w:pPr>
              <w:jc w:val="right"/>
              <w:ind w:right="860"/>
              <w:spacing w:after="0"/>
              <w:rPr>
                <w:sz w:val="20"/>
                <w:szCs w:val="20"/>
                <w:color w:val="auto"/>
              </w:rPr>
            </w:pPr>
            <w:r>
              <w:rPr>
                <w:rFonts w:ascii="Arial" w:cs="Arial" w:eastAsia="Arial" w:hAnsi="Arial"/>
                <w:sz w:val="14"/>
                <w:szCs w:val="14"/>
                <w:color w:val="auto"/>
              </w:rPr>
              <w:t>Level 2</w:t>
            </w:r>
          </w:p>
        </w:tc>
        <w:tc>
          <w:tcPr>
            <w:tcW w:w="940" w:type="dxa"/>
            <w:vAlign w:val="bottom"/>
            <w:gridSpan w:val="2"/>
          </w:tcPr>
          <w:p>
            <w:pPr>
              <w:ind w:left="200"/>
              <w:spacing w:after="0"/>
              <w:rPr>
                <w:sz w:val="20"/>
                <w:szCs w:val="20"/>
                <w:color w:val="auto"/>
              </w:rPr>
            </w:pPr>
            <w:r>
              <w:rPr>
                <w:rFonts w:ascii="Arial" w:cs="Arial" w:eastAsia="Arial" w:hAnsi="Arial"/>
                <w:sz w:val="14"/>
                <w:szCs w:val="14"/>
                <w:color w:val="auto"/>
              </w:rPr>
              <w:t>Level 3</w:t>
            </w:r>
          </w:p>
        </w:tc>
      </w:tr>
      <w:tr>
        <w:trPr>
          <w:trHeight w:val="142"/>
        </w:trPr>
        <w:tc>
          <w:tcPr>
            <w:tcW w:w="6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640" w:type="dxa"/>
            <w:vAlign w:val="bottom"/>
          </w:tcPr>
          <w:p>
            <w:pPr>
              <w:jc w:val="right"/>
              <w:spacing w:after="0" w:line="143" w:lineRule="exact"/>
              <w:rPr>
                <w:sz w:val="20"/>
                <w:szCs w:val="20"/>
                <w:color w:val="auto"/>
              </w:rPr>
            </w:pPr>
            <w:r>
              <w:rPr>
                <w:rFonts w:ascii="Arial" w:cs="Arial" w:eastAsia="Arial" w:hAnsi="Arial"/>
                <w:sz w:val="13"/>
                <w:szCs w:val="13"/>
                <w:color w:val="auto"/>
                <w:w w:val="75"/>
              </w:rPr>
              <w:t>(in thousands)</w:t>
            </w:r>
          </w:p>
        </w:tc>
        <w:tc>
          <w:tcPr>
            <w:tcW w:w="840" w:type="dxa"/>
            <w:vAlign w:val="bottom"/>
            <w:tcBorders>
              <w:top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Trading account assets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372,067</w:t>
            </w:r>
          </w:p>
        </w:tc>
        <w:tc>
          <w:tcPr>
            <w:tcW w:w="6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73"/>
              <w:spacing w:after="0"/>
              <w:rPr>
                <w:sz w:val="20"/>
                <w:szCs w:val="20"/>
                <w:color w:val="auto"/>
              </w:rPr>
            </w:pPr>
            <w:r>
              <w:rPr>
                <w:rFonts w:ascii="Arial" w:cs="Arial" w:eastAsia="Arial" w:hAnsi="Arial"/>
                <w:sz w:val="18"/>
                <w:szCs w:val="18"/>
                <w:color w:val="auto"/>
              </w:rPr>
              <w:t>57,003</w:t>
            </w:r>
          </w:p>
        </w:tc>
        <w:tc>
          <w:tcPr>
            <w:tcW w:w="15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315,064</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Investment securities available for sale</w:t>
            </w: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8,092,117</w:t>
            </w:r>
          </w:p>
        </w:tc>
        <w:tc>
          <w:tcPr>
            <w:tcW w:w="620" w:type="dxa"/>
            <w:vAlign w:val="bottom"/>
          </w:tcPr>
          <w:p>
            <w:pPr>
              <w:spacing w:after="0"/>
              <w:rPr>
                <w:sz w:val="18"/>
                <w:szCs w:val="18"/>
                <w:color w:val="auto"/>
              </w:rPr>
            </w:pPr>
          </w:p>
        </w:tc>
        <w:tc>
          <w:tcPr>
            <w:tcW w:w="1340" w:type="dxa"/>
            <w:vAlign w:val="bottom"/>
            <w:gridSpan w:val="2"/>
          </w:tcPr>
          <w:p>
            <w:pPr>
              <w:jc w:val="right"/>
              <w:ind w:right="573"/>
              <w:spacing w:after="0"/>
              <w:rPr>
                <w:sz w:val="20"/>
                <w:szCs w:val="20"/>
                <w:color w:val="auto"/>
              </w:rPr>
            </w:pPr>
            <w:r>
              <w:rPr>
                <w:rFonts w:ascii="Arial" w:cs="Arial" w:eastAsia="Arial" w:hAnsi="Arial"/>
                <w:sz w:val="18"/>
                <w:szCs w:val="18"/>
                <w:color w:val="auto"/>
              </w:rPr>
              <w:t>201,126</w:t>
            </w:r>
          </w:p>
        </w:tc>
        <w:tc>
          <w:tcPr>
            <w:tcW w:w="1500" w:type="dxa"/>
            <w:vAlign w:val="bottom"/>
            <w:gridSpan w:val="2"/>
          </w:tcPr>
          <w:p>
            <w:pPr>
              <w:jc w:val="right"/>
              <w:ind w:right="660"/>
              <w:spacing w:after="0"/>
              <w:rPr>
                <w:sz w:val="20"/>
                <w:szCs w:val="20"/>
                <w:color w:val="auto"/>
              </w:rPr>
            </w:pPr>
            <w:r>
              <w:rPr>
                <w:rFonts w:ascii="Arial" w:cs="Arial" w:eastAsia="Arial" w:hAnsi="Arial"/>
                <w:sz w:val="18"/>
                <w:szCs w:val="18"/>
                <w:color w:val="auto"/>
              </w:rPr>
              <w:t>6,718,190</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1,172,801</w:t>
            </w: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Real estate loans held for sale</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956,381</w:t>
            </w:r>
          </w:p>
        </w:tc>
        <w:tc>
          <w:tcPr>
            <w:tcW w:w="6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73"/>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956,381</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Other assets (a)</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60,492</w:t>
            </w: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40" w:type="dxa"/>
            <w:vAlign w:val="bottom"/>
            <w:gridSpan w:val="2"/>
          </w:tcPr>
          <w:p>
            <w:pPr>
              <w:jc w:val="right"/>
              <w:ind w:right="573"/>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660"/>
              <w:spacing w:after="0"/>
              <w:rPr>
                <w:sz w:val="20"/>
                <w:szCs w:val="20"/>
                <w:color w:val="auto"/>
              </w:rPr>
            </w:pPr>
            <w:r>
              <w:rPr>
                <w:rFonts w:ascii="Arial" w:cs="Arial" w:eastAsia="Arial" w:hAnsi="Arial"/>
                <w:sz w:val="18"/>
                <w:szCs w:val="18"/>
                <w:color w:val="auto"/>
              </w:rPr>
              <w:t>49,400</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11,092</w:t>
            </w:r>
          </w:p>
        </w:tc>
      </w:tr>
      <w:tr>
        <w:trPr>
          <w:trHeight w:val="27"/>
        </w:trPr>
        <w:tc>
          <w:tcPr>
            <w:tcW w:w="6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9,481,057</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73"/>
              <w:spacing w:after="0"/>
              <w:rPr>
                <w:sz w:val="20"/>
                <w:szCs w:val="20"/>
                <w:color w:val="auto"/>
              </w:rPr>
            </w:pPr>
            <w:r>
              <w:rPr>
                <w:rFonts w:ascii="Arial" w:cs="Arial" w:eastAsia="Arial" w:hAnsi="Arial"/>
                <w:sz w:val="18"/>
                <w:szCs w:val="18"/>
                <w:color w:val="auto"/>
              </w:rPr>
              <w:t>258,129</w:t>
            </w:r>
          </w:p>
        </w:tc>
        <w:tc>
          <w:tcPr>
            <w:tcW w:w="15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8,039,035</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1,183,893</w:t>
            </w:r>
          </w:p>
        </w:tc>
      </w:tr>
      <w:tr>
        <w:trPr>
          <w:trHeight w:val="20"/>
        </w:trPr>
        <w:tc>
          <w:tcPr>
            <w:tcW w:w="6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6"/>
        </w:trPr>
        <w:tc>
          <w:tcPr>
            <w:tcW w:w="6160" w:type="dxa"/>
            <w:vAlign w:val="bottom"/>
          </w:tcPr>
          <w:p>
            <w:pPr>
              <w:spacing w:after="0"/>
              <w:rPr>
                <w:sz w:val="20"/>
                <w:szCs w:val="20"/>
                <w:color w:val="auto"/>
              </w:rPr>
            </w:pPr>
            <w:r>
              <w:rPr>
                <w:rFonts w:ascii="Arial" w:cs="Arial" w:eastAsia="Arial" w:hAnsi="Arial"/>
                <w:sz w:val="18"/>
                <w:szCs w:val="18"/>
                <w:color w:val="auto"/>
              </w:rPr>
              <w:t>Trading account liabilities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289,612</w:t>
            </w:r>
          </w:p>
        </w:tc>
        <w:tc>
          <w:tcPr>
            <w:tcW w:w="620" w:type="dxa"/>
            <w:vAlign w:val="bottom"/>
          </w:tcPr>
          <w:p>
            <w:pPr>
              <w:spacing w:after="0"/>
              <w:rPr>
                <w:sz w:val="24"/>
                <w:szCs w:val="24"/>
                <w:color w:val="auto"/>
              </w:rPr>
            </w:pPr>
          </w:p>
        </w:tc>
        <w:tc>
          <w:tcPr>
            <w:tcW w:w="1340" w:type="dxa"/>
            <w:vAlign w:val="bottom"/>
            <w:gridSpan w:val="2"/>
          </w:tcPr>
          <w:p>
            <w:pPr>
              <w:jc w:val="right"/>
              <w:ind w:right="573"/>
              <w:spacing w:after="0"/>
              <w:rPr>
                <w:sz w:val="20"/>
                <w:szCs w:val="20"/>
                <w:color w:val="auto"/>
              </w:rPr>
            </w:pPr>
            <w:r>
              <w:rPr>
                <w:rFonts w:ascii="Arial" w:cs="Arial" w:eastAsia="Arial" w:hAnsi="Arial"/>
                <w:sz w:val="18"/>
                <w:szCs w:val="18"/>
                <w:color w:val="auto"/>
              </w:rPr>
              <w:t>11,994</w:t>
            </w:r>
          </w:p>
        </w:tc>
        <w:tc>
          <w:tcPr>
            <w:tcW w:w="1500" w:type="dxa"/>
            <w:vAlign w:val="bottom"/>
            <w:gridSpan w:val="2"/>
          </w:tcPr>
          <w:p>
            <w:pPr>
              <w:jc w:val="right"/>
              <w:ind w:right="660"/>
              <w:spacing w:after="0"/>
              <w:rPr>
                <w:sz w:val="20"/>
                <w:szCs w:val="20"/>
                <w:color w:val="auto"/>
              </w:rPr>
            </w:pPr>
            <w:r>
              <w:rPr>
                <w:rFonts w:ascii="Arial" w:cs="Arial" w:eastAsia="Arial" w:hAnsi="Arial"/>
                <w:sz w:val="18"/>
                <w:szCs w:val="18"/>
                <w:color w:val="auto"/>
              </w:rPr>
              <w:t>277,618</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 (a)</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25,302</w:t>
            </w:r>
          </w:p>
        </w:tc>
        <w:tc>
          <w:tcPr>
            <w:tcW w:w="6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73"/>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22,338</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2,964</w:t>
            </w:r>
          </w:p>
        </w:tc>
      </w:tr>
      <w:tr>
        <w:trPr>
          <w:trHeight w:val="223"/>
        </w:trPr>
        <w:tc>
          <w:tcPr>
            <w:tcW w:w="6160" w:type="dxa"/>
            <w:vAlign w:val="bottom"/>
          </w:tcPr>
          <w:p>
            <w:pPr>
              <w:ind w:left="220"/>
              <w:spacing w:after="0"/>
              <w:rPr>
                <w:sz w:val="20"/>
                <w:szCs w:val="20"/>
                <w:color w:val="auto"/>
              </w:rPr>
            </w:pPr>
            <w:r>
              <w:rPr>
                <w:rFonts w:ascii="Arial" w:cs="Arial" w:eastAsia="Arial" w:hAnsi="Arial"/>
                <w:sz w:val="18"/>
                <w:szCs w:val="18"/>
                <w:color w:val="auto"/>
              </w:rPr>
              <w:t>Total liabilities</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314,914</w:t>
            </w:r>
          </w:p>
        </w:tc>
        <w:tc>
          <w:tcPr>
            <w:tcW w:w="20" w:type="dxa"/>
            <w:vAlign w:val="bottom"/>
            <w:tcBorders>
              <w:bottom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11,994</w:t>
            </w:r>
          </w:p>
        </w:tc>
        <w:tc>
          <w:tcPr>
            <w:tcW w:w="64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299,956</w:t>
            </w:r>
          </w:p>
        </w:tc>
        <w:tc>
          <w:tcPr>
            <w:tcW w:w="66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2,964</w:t>
            </w:r>
          </w:p>
        </w:tc>
        <w:tc>
          <w:tcPr>
            <w:tcW w:w="100" w:type="dxa"/>
            <w:vAlign w:val="bottom"/>
          </w:tcPr>
          <w:p>
            <w:pPr>
              <w:spacing w:after="0"/>
              <w:rPr>
                <w:sz w:val="19"/>
                <w:szCs w:val="19"/>
                <w:color w:val="auto"/>
              </w:rPr>
            </w:pPr>
          </w:p>
        </w:tc>
      </w:tr>
      <w:tr>
        <w:trPr>
          <w:trHeight w:val="20"/>
        </w:trPr>
        <w:tc>
          <w:tcPr>
            <w:tcW w:w="6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460" w:hanging="452"/>
        <w:spacing w:after="0" w:line="277"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Comprised predominantly of interest rate swap agreements used for interest rate risk management (Level 2), commitments to sell real estate loans (Level 2) and commitments to originate real estate loans to be held for sale (Level 3).</w:t>
      </w:r>
    </w:p>
    <w:p>
      <w:pPr>
        <w:spacing w:after="0" w:line="62" w:lineRule="exact"/>
        <w:rPr>
          <w:sz w:val="20"/>
          <w:szCs w:val="20"/>
          <w:color w:val="auto"/>
        </w:rPr>
      </w:pPr>
    </w:p>
    <w:p>
      <w:pPr>
        <w:ind w:right="320" w:firstLine="222"/>
        <w:spacing w:after="0" w:line="277" w:lineRule="auto"/>
        <w:rPr>
          <w:sz w:val="20"/>
          <w:szCs w:val="20"/>
          <w:color w:val="auto"/>
        </w:rPr>
      </w:pPr>
      <w:r>
        <w:rPr>
          <w:rFonts w:ascii="Arial" w:cs="Arial" w:eastAsia="Arial" w:hAnsi="Arial"/>
          <w:sz w:val="18"/>
          <w:szCs w:val="18"/>
          <w:color w:val="auto"/>
        </w:rPr>
        <w:t>The changes in Level 3 assets and liabilities measured at estimated fair value on a recurring basis during the three-month period ended March 31, 2008 were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388"/>
              <w:spacing w:after="0"/>
              <w:rPr>
                <w:sz w:val="20"/>
                <w:szCs w:val="20"/>
                <w:color w:val="auto"/>
              </w:rPr>
            </w:pPr>
            <w:r>
              <w:rPr>
                <w:rFonts w:ascii="Arial" w:cs="Arial" w:eastAsia="Arial" w:hAnsi="Arial"/>
                <w:sz w:val="14"/>
                <w:szCs w:val="14"/>
                <w:color w:val="auto"/>
                <w:w w:val="93"/>
              </w:rPr>
              <w:t>Investment</w:t>
            </w: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368"/>
              <w:spacing w:after="0" w:line="149" w:lineRule="exact"/>
              <w:rPr>
                <w:sz w:val="20"/>
                <w:szCs w:val="20"/>
                <w:color w:val="auto"/>
              </w:rPr>
            </w:pPr>
            <w:r>
              <w:rPr>
                <w:rFonts w:ascii="Arial" w:cs="Arial" w:eastAsia="Arial" w:hAnsi="Arial"/>
                <w:sz w:val="14"/>
                <w:szCs w:val="14"/>
                <w:color w:val="auto"/>
                <w:w w:val="91"/>
              </w:rPr>
              <w:t>securities</w:t>
            </w:r>
          </w:p>
        </w:tc>
        <w:tc>
          <w:tcPr>
            <w:tcW w:w="120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Other assets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388"/>
              <w:spacing w:after="0" w:line="149" w:lineRule="exact"/>
              <w:rPr>
                <w:sz w:val="20"/>
                <w:szCs w:val="20"/>
                <w:color w:val="auto"/>
              </w:rPr>
            </w:pPr>
            <w:r>
              <w:rPr>
                <w:rFonts w:ascii="Arial" w:cs="Arial" w:eastAsia="Arial" w:hAnsi="Arial"/>
                <w:sz w:val="14"/>
                <w:szCs w:val="14"/>
                <w:color w:val="auto"/>
                <w:w w:val="94"/>
              </w:rPr>
              <w:t>available</w:t>
            </w:r>
          </w:p>
        </w:tc>
        <w:tc>
          <w:tcPr>
            <w:tcW w:w="300" w:type="dxa"/>
            <w:vAlign w:val="bottom"/>
          </w:tcPr>
          <w:p>
            <w:pPr>
              <w:spacing w:after="0"/>
              <w:rPr>
                <w:sz w:val="12"/>
                <w:szCs w:val="12"/>
                <w:color w:val="auto"/>
              </w:rPr>
            </w:pPr>
          </w:p>
        </w:tc>
        <w:tc>
          <w:tcPr>
            <w:tcW w:w="9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and other</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9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368"/>
              <w:spacing w:after="0"/>
              <w:rPr>
                <w:sz w:val="20"/>
                <w:szCs w:val="20"/>
                <w:color w:val="auto"/>
              </w:rPr>
            </w:pPr>
            <w:r>
              <w:rPr>
                <w:rFonts w:ascii="Arial" w:cs="Arial" w:eastAsia="Arial" w:hAnsi="Arial"/>
                <w:sz w:val="14"/>
                <w:szCs w:val="14"/>
                <w:color w:val="auto"/>
                <w:w w:val="91"/>
              </w:rPr>
              <w:t>for sale</w:t>
            </w:r>
          </w:p>
        </w:tc>
        <w:tc>
          <w:tcPr>
            <w:tcW w:w="300" w:type="dxa"/>
            <w:vAlign w:val="bottom"/>
          </w:tcPr>
          <w:p>
            <w:pPr>
              <w:spacing w:after="0"/>
              <w:rPr>
                <w:sz w:val="14"/>
                <w:szCs w:val="14"/>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4"/>
                <w:szCs w:val="14"/>
                <w:color w:val="auto"/>
              </w:rPr>
              <w:t>liabilities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0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(in</w:t>
            </w:r>
          </w:p>
        </w:tc>
        <w:tc>
          <w:tcPr>
            <w:tcW w:w="660" w:type="dxa"/>
            <w:vAlign w:val="bottom"/>
            <w:gridSpan w:val="2"/>
          </w:tcPr>
          <w:p>
            <w:pPr>
              <w:ind w:left="40"/>
              <w:spacing w:after="0" w:line="142" w:lineRule="exact"/>
              <w:rPr>
                <w:sz w:val="20"/>
                <w:szCs w:val="20"/>
                <w:color w:val="auto"/>
              </w:rPr>
            </w:pPr>
            <w:r>
              <w:rPr>
                <w:rFonts w:ascii="Arial" w:cs="Arial" w:eastAsia="Arial" w:hAnsi="Arial"/>
                <w:sz w:val="14"/>
                <w:szCs w:val="14"/>
                <w:color w:val="auto"/>
                <w:w w:val="86"/>
              </w:rPr>
              <w:t>thousands)</w:t>
            </w:r>
          </w:p>
        </w:tc>
        <w:tc>
          <w:tcPr>
            <w:tcW w:w="7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Balance — January 1, 2008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1,313,821</w:t>
            </w:r>
          </w:p>
        </w:tc>
        <w:tc>
          <w:tcPr>
            <w:tcW w:w="36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2,654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Total realized/unrealized gains (losses):</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Included in earnings</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12,720(a)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200"/>
              <w:spacing w:after="0"/>
              <w:rPr>
                <w:sz w:val="20"/>
                <w:szCs w:val="20"/>
                <w:color w:val="auto"/>
              </w:rPr>
            </w:pPr>
            <w:r>
              <w:rPr>
                <w:rFonts w:ascii="Arial" w:cs="Arial" w:eastAsia="Arial" w:hAnsi="Arial"/>
                <w:sz w:val="18"/>
                <w:szCs w:val="18"/>
                <w:color w:val="auto"/>
              </w:rPr>
              <w:t>Included in other comprehensive income</w:t>
            </w:r>
          </w:p>
        </w:tc>
        <w:tc>
          <w:tcPr>
            <w:tcW w:w="100" w:type="dxa"/>
            <w:vAlign w:val="bottom"/>
          </w:tcPr>
          <w:p>
            <w:pPr>
              <w:spacing w:after="0"/>
              <w:rPr>
                <w:sz w:val="18"/>
                <w:szCs w:val="18"/>
                <w:color w:val="auto"/>
              </w:rPr>
            </w:pPr>
          </w:p>
        </w:tc>
        <w:tc>
          <w:tcPr>
            <w:tcW w:w="1100" w:type="dxa"/>
            <w:vAlign w:val="bottom"/>
            <w:gridSpan w:val="2"/>
          </w:tcPr>
          <w:p>
            <w:pPr>
              <w:jc w:val="right"/>
              <w:ind w:right="228"/>
              <w:spacing w:after="0"/>
              <w:rPr>
                <w:sz w:val="20"/>
                <w:szCs w:val="20"/>
                <w:color w:val="auto"/>
              </w:rPr>
            </w:pPr>
            <w:r>
              <w:rPr>
                <w:rFonts w:ascii="Arial" w:cs="Arial" w:eastAsia="Arial" w:hAnsi="Arial"/>
                <w:sz w:val="18"/>
                <w:szCs w:val="18"/>
                <w:color w:val="auto"/>
              </w:rPr>
              <w:t>(61,511)</w:t>
            </w:r>
          </w:p>
        </w:tc>
        <w:tc>
          <w:tcPr>
            <w:tcW w:w="3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Purchases, sales, issuances and settlements, net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(50,573)</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Transfers in and/or out of Level 3</w:t>
            </w:r>
          </w:p>
        </w:tc>
        <w:tc>
          <w:tcPr>
            <w:tcW w:w="100" w:type="dxa"/>
            <w:vAlign w:val="bottom"/>
          </w:tcPr>
          <w:p>
            <w:pPr>
              <w:spacing w:after="0"/>
              <w:rPr>
                <w:sz w:val="19"/>
                <w:szCs w:val="19"/>
                <w:color w:val="auto"/>
              </w:rPr>
            </w:pPr>
          </w:p>
        </w:tc>
        <w:tc>
          <w:tcPr>
            <w:tcW w:w="1100" w:type="dxa"/>
            <w:vAlign w:val="bottom"/>
            <w:gridSpan w:val="2"/>
          </w:tcPr>
          <w:p>
            <w:pPr>
              <w:jc w:val="right"/>
              <w:ind w:right="228"/>
              <w:spacing w:after="0"/>
              <w:rPr>
                <w:sz w:val="20"/>
                <w:szCs w:val="20"/>
                <w:color w:val="auto"/>
              </w:rPr>
            </w:pPr>
            <w:r>
              <w:rPr>
                <w:rFonts w:ascii="Arial" w:cs="Arial" w:eastAsia="Arial" w:hAnsi="Arial"/>
                <w:sz w:val="18"/>
                <w:szCs w:val="18"/>
                <w:color w:val="auto"/>
              </w:rPr>
              <w:t>(28,936)</w:t>
            </w:r>
          </w:p>
        </w:tc>
        <w:tc>
          <w:tcPr>
            <w:tcW w:w="1200" w:type="dxa"/>
            <w:vAlign w:val="bottom"/>
            <w:gridSpan w:val="3"/>
          </w:tcPr>
          <w:p>
            <w:pPr>
              <w:jc w:val="right"/>
              <w:ind w:right="140"/>
              <w:spacing w:after="0"/>
              <w:rPr>
                <w:sz w:val="20"/>
                <w:szCs w:val="20"/>
                <w:color w:val="auto"/>
              </w:rPr>
            </w:pPr>
            <w:r>
              <w:rPr>
                <w:rFonts w:ascii="Arial" w:cs="Arial" w:eastAsia="Arial" w:hAnsi="Arial"/>
                <w:sz w:val="18"/>
                <w:szCs w:val="18"/>
                <w:color w:val="auto"/>
              </w:rPr>
              <w:t>(7,246)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Balance — March 31, 2008</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1,172,801</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8,128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020" w:type="dxa"/>
            <w:vAlign w:val="bottom"/>
            <w:gridSpan w:val="2"/>
            <w:vMerge w:val="restart"/>
          </w:tcPr>
          <w:p>
            <w:pPr>
              <w:spacing w:after="0"/>
              <w:rPr>
                <w:sz w:val="20"/>
                <w:szCs w:val="20"/>
                <w:color w:val="auto"/>
              </w:rPr>
            </w:pPr>
            <w:r>
              <w:rPr>
                <w:rFonts w:ascii="Arial" w:cs="Arial" w:eastAsia="Arial" w:hAnsi="Arial"/>
                <w:sz w:val="18"/>
                <w:szCs w:val="18"/>
                <w:color w:val="auto"/>
              </w:rPr>
              <w:t>Changes in unrealized gains (losses) included in earnings related to assets</w:t>
            </w: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02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000" w:type="dxa"/>
            <w:vAlign w:val="bottom"/>
          </w:tcPr>
          <w:p>
            <w:pPr>
              <w:ind w:left="200"/>
              <w:spacing w:after="0"/>
              <w:rPr>
                <w:sz w:val="20"/>
                <w:szCs w:val="20"/>
                <w:color w:val="auto"/>
              </w:rPr>
            </w:pPr>
            <w:r>
              <w:rPr>
                <w:rFonts w:ascii="Arial" w:cs="Arial" w:eastAsia="Arial" w:hAnsi="Arial"/>
                <w:sz w:val="18"/>
                <w:szCs w:val="18"/>
                <w:color w:val="auto"/>
              </w:rPr>
              <w:t>and liabilities still recorded on the balance sheet at March 31, 2008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88"/>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8,128(a)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130365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30"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6"/>
          <w:szCs w:val="16"/>
          <w:color w:val="auto"/>
        </w:rPr>
      </w:pPr>
      <w:r>
        <w:rPr>
          <w:rFonts w:ascii="Arial" w:cs="Arial" w:eastAsia="Arial" w:hAnsi="Arial"/>
          <w:sz w:val="16"/>
          <w:szCs w:val="16"/>
          <w:color w:val="auto"/>
        </w:rPr>
        <w:t>Reported as mortgage banking revenues in the consolidated statement of income and includes the fair value of commitment issuances and expirations.</w:t>
      </w:r>
    </w:p>
    <w:p>
      <w:pPr>
        <w:spacing w:after="0" w:line="207" w:lineRule="exact"/>
        <w:rPr>
          <w:rFonts w:ascii="Arial" w:cs="Arial" w:eastAsia="Arial" w:hAnsi="Arial"/>
          <w:sz w:val="16"/>
          <w:szCs w:val="16"/>
          <w:color w:val="auto"/>
        </w:rPr>
      </w:pPr>
    </w:p>
    <w:p>
      <w:pPr>
        <w:ind w:left="5620" w:hanging="101"/>
        <w:spacing w:after="0"/>
        <w:tabs>
          <w:tab w:leader="none" w:pos="5620" w:val="left"/>
        </w:tabs>
        <w:numPr>
          <w:ilvl w:val="1"/>
          <w:numId w:val="7"/>
        </w:numPr>
        <w:rPr>
          <w:rFonts w:ascii="Arial" w:cs="Arial" w:eastAsia="Arial" w:hAnsi="Arial"/>
          <w:sz w:val="18"/>
          <w:szCs w:val="18"/>
          <w:color w:val="auto"/>
        </w:rPr>
      </w:pPr>
      <w:r>
        <w:rPr>
          <w:rFonts w:ascii="Arial" w:cs="Arial" w:eastAsia="Arial" w:hAnsi="Arial"/>
          <w:sz w:val="18"/>
          <w:szCs w:val="18"/>
          <w:color w:val="auto"/>
        </w:rPr>
        <w:t>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Fair value measurements, continued</w:t>
      </w:r>
    </w:p>
    <w:p>
      <w:pPr>
        <w:spacing w:after="0" w:line="121" w:lineRule="exact"/>
        <w:rPr>
          <w:sz w:val="20"/>
          <w:szCs w:val="20"/>
          <w:color w:val="auto"/>
        </w:rPr>
      </w:pPr>
    </w:p>
    <w:p>
      <w:pPr>
        <w:ind w:right="180" w:firstLine="222"/>
        <w:spacing w:after="0" w:line="277" w:lineRule="auto"/>
        <w:rPr>
          <w:sz w:val="20"/>
          <w:szCs w:val="20"/>
          <w:color w:val="auto"/>
        </w:rPr>
      </w:pPr>
      <w:r>
        <w:rPr>
          <w:rFonts w:ascii="Arial" w:cs="Arial" w:eastAsia="Arial" w:hAnsi="Arial"/>
          <w:sz w:val="18"/>
          <w:szCs w:val="18"/>
          <w:color w:val="auto"/>
        </w:rPr>
        <w:t>The Company is required, on a nonrecurring basis, to adjust the carrying value of certain assets or provide valuation allowances related to certain assets using fair value measurements in accordance with GAAP.</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Loans</w:t>
      </w:r>
    </w:p>
    <w:p>
      <w:pPr>
        <w:spacing w:after="0" w:line="22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Loans are generally not recorded at fair value on a recurring basis. Periodically, the Company records nonrecurring adjustments to the carrying value of loans based on fair value measurements for partial charge-offs of the uncollectible portions of those loans. Nonrecurring adjustments also include certain impairment amounts for collateral-dependent loans calculated in accordance with SFAS No. 114, “Accounting by Creditors for Impairment of a Loan,” when establishing the allowance for credit losses. Such amounts are generally based on the fair value of the underlying collateral supporting the loan and, as a result, the carrying value of the loan less the calculated valuation amount does not necessarily represent the fair value of the loan. Real estate collateral is typically valued using independent appraisals or other indications of value based on recent comparable sales of similar properties or assumptions generally observable in the marketplace and the related nonrecurring fair value measurement adjustments have generally been classified as Level 2. Estimates of fair value used for other collateral supporting commercial loans generally are based on assumptions not observable in the marketplace and therefore such valuations have been classified as Level 3.</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Capitalized servicing rights</w:t>
      </w:r>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Capitalized servicing rights are initially measured at fair value in the Company’s consolidated balance sheet. The Company utilizes the amortization method to subsequently measure its capitalized servicing assets. In accordance with SFAS No. 156, “Accounting for Servicing of Financial Assets — an amendment to FASB Statement No. 140,” the Company must record impairment charges, on a nonrecurring basis, when the carrying value of certain strata exceed their estimated fair value. To estimate the fair value of servicing rights, the Company considers market prices for similar assets and the present value of expected future cash flows associated with the servicing rights calculated using assumptions that market participants would use in estimating future servicing income and expense. Such assumptions include estimates of the cost of servicing loans, loan default rates, an appropriate discount rate, and prepayment speeds. For purposes of evaluating and measuring impairment of capitalized servicing rights, the Company stratifies such assets based on the predominant risk characteristics of the underlying financial instruments that are expected to have the most impact on projected prepayments, cost of servicing and other factors affecting future cash flows associated with the servicing rights. Such factors may include financial asset or loan type, note rate and term. The amount of impairment recognized is the amount by which the carrying value of the capitalized servicing rights for a stratum exceed estimated fair value. Impairment is recognized through a valuation allowance. The determination of fair value of capitalized servicing rights is considered a Level 3 valuation.</w:t>
      </w:r>
    </w:p>
    <w:p>
      <w:pPr>
        <w:spacing w:after="0" w:line="14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Fair value measurements, continued</w:t>
      </w:r>
    </w:p>
    <w:p>
      <w:pPr>
        <w:spacing w:after="0" w:line="121" w:lineRule="exact"/>
        <w:rPr>
          <w:sz w:val="20"/>
          <w:szCs w:val="20"/>
          <w:color w:val="auto"/>
        </w:rPr>
      </w:pPr>
    </w:p>
    <w:p>
      <w:pPr>
        <w:ind w:right="80" w:firstLine="215"/>
        <w:spacing w:after="0" w:line="277" w:lineRule="auto"/>
        <w:rPr>
          <w:sz w:val="20"/>
          <w:szCs w:val="20"/>
          <w:color w:val="auto"/>
        </w:rPr>
      </w:pPr>
      <w:r>
        <w:rPr>
          <w:rFonts w:ascii="Arial" w:cs="Arial" w:eastAsia="Arial" w:hAnsi="Arial"/>
          <w:sz w:val="18"/>
          <w:szCs w:val="18"/>
          <w:color w:val="auto"/>
        </w:rPr>
        <w:t>Assets subject to the nonrecurring fair value measurements described herein included in the consolidated balance sheet at March 31, 2008 are summarized in the following table.</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4"/>
                <w:szCs w:val="14"/>
                <w:color w:val="auto"/>
                <w:w w:val="94"/>
              </w:rPr>
              <w:t>Fair value</w:t>
            </w:r>
          </w:p>
        </w:tc>
        <w:tc>
          <w:tcPr>
            <w:tcW w:w="0" w:type="dxa"/>
            <w:vAlign w:val="bottom"/>
          </w:tcPr>
          <w:p>
            <w:pPr>
              <w:spacing w:after="0"/>
              <w:rPr>
                <w:sz w:val="1"/>
                <w:szCs w:val="1"/>
                <w:color w:val="auto"/>
              </w:rPr>
            </w:pPr>
          </w:p>
        </w:tc>
      </w:tr>
      <w:tr>
        <w:trPr>
          <w:trHeight w:val="149"/>
        </w:trPr>
        <w:tc>
          <w:tcPr>
            <w:tcW w:w="50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0"/>
              </w:rPr>
              <w:t>losses</w:t>
            </w:r>
          </w:p>
        </w:tc>
        <w:tc>
          <w:tcPr>
            <w:tcW w:w="0" w:type="dxa"/>
            <w:vAlign w:val="bottom"/>
          </w:tcPr>
          <w:p>
            <w:pPr>
              <w:spacing w:after="0"/>
              <w:rPr>
                <w:sz w:val="1"/>
                <w:szCs w:val="1"/>
                <w:color w:val="auto"/>
              </w:rPr>
            </w:pPr>
          </w:p>
        </w:tc>
      </w:tr>
      <w:tr>
        <w:trPr>
          <w:trHeight w:val="162"/>
        </w:trPr>
        <w:tc>
          <w:tcPr>
            <w:tcW w:w="50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720" w:type="dxa"/>
            <w:vAlign w:val="bottom"/>
            <w:gridSpan w:val="5"/>
            <w:vMerge w:val="restart"/>
          </w:tcPr>
          <w:p>
            <w:pPr>
              <w:jc w:val="center"/>
              <w:ind w:right="680"/>
              <w:spacing w:after="0"/>
              <w:rPr>
                <w:sz w:val="20"/>
                <w:szCs w:val="20"/>
                <w:color w:val="auto"/>
              </w:rPr>
            </w:pPr>
            <w:r>
              <w:rPr>
                <w:rFonts w:ascii="Arial" w:cs="Arial" w:eastAsia="Arial" w:hAnsi="Arial"/>
                <w:sz w:val="14"/>
                <w:szCs w:val="14"/>
                <w:color w:val="auto"/>
                <w:w w:val="94"/>
              </w:rPr>
              <w:t>Carrying value at March 31, 2008</w:t>
            </w:r>
          </w:p>
        </w:tc>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color w:val="auto"/>
                <w:w w:val="93"/>
              </w:rPr>
              <w:t>recognized</w:t>
            </w:r>
          </w:p>
        </w:tc>
        <w:tc>
          <w:tcPr>
            <w:tcW w:w="0" w:type="dxa"/>
            <w:vAlign w:val="bottom"/>
          </w:tcPr>
          <w:p>
            <w:pPr>
              <w:spacing w:after="0"/>
              <w:rPr>
                <w:sz w:val="1"/>
                <w:szCs w:val="1"/>
                <w:color w:val="auto"/>
              </w:rPr>
            </w:pPr>
          </w:p>
        </w:tc>
      </w:tr>
      <w:tr>
        <w:trPr>
          <w:trHeight w:val="154"/>
        </w:trPr>
        <w:tc>
          <w:tcPr>
            <w:tcW w:w="5000" w:type="dxa"/>
            <w:vAlign w:val="bottom"/>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2720" w:type="dxa"/>
            <w:vAlign w:val="bottom"/>
            <w:tcBorders>
              <w:bottom w:val="single" w:sz="8" w:color="auto"/>
            </w:tcBorders>
            <w:gridSpan w:val="5"/>
            <w:vMerge w:val="continue"/>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gridSpan w:val="2"/>
          </w:tcPr>
          <w:p>
            <w:pPr>
              <w:jc w:val="center"/>
              <w:ind w:right="100"/>
              <w:spacing w:after="0" w:line="154" w:lineRule="exact"/>
              <w:rPr>
                <w:sz w:val="20"/>
                <w:szCs w:val="20"/>
                <w:color w:val="auto"/>
              </w:rPr>
            </w:pPr>
            <w:r>
              <w:rPr>
                <w:rFonts w:ascii="Arial" w:cs="Arial" w:eastAsia="Arial" w:hAnsi="Arial"/>
                <w:sz w:val="14"/>
                <w:szCs w:val="14"/>
                <w:color w:val="auto"/>
                <w:w w:val="96"/>
              </w:rPr>
              <w:t>during the</w:t>
            </w:r>
          </w:p>
        </w:tc>
        <w:tc>
          <w:tcPr>
            <w:tcW w:w="0" w:type="dxa"/>
            <w:vAlign w:val="bottom"/>
          </w:tcPr>
          <w:p>
            <w:pPr>
              <w:spacing w:after="0"/>
              <w:rPr>
                <w:sz w:val="1"/>
                <w:szCs w:val="1"/>
                <w:color w:val="auto"/>
              </w:rPr>
            </w:pPr>
          </w:p>
        </w:tc>
      </w:tr>
      <w:tr>
        <w:trPr>
          <w:trHeight w:val="123"/>
        </w:trPr>
        <w:tc>
          <w:tcPr>
            <w:tcW w:w="50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20" w:type="dxa"/>
            <w:vAlign w:val="bottom"/>
            <w:gridSpan w:val="2"/>
          </w:tcPr>
          <w:p>
            <w:pPr>
              <w:jc w:val="center"/>
              <w:ind w:right="100"/>
              <w:spacing w:after="0" w:line="123" w:lineRule="exact"/>
              <w:rPr>
                <w:sz w:val="20"/>
                <w:szCs w:val="20"/>
                <w:color w:val="auto"/>
              </w:rPr>
            </w:pPr>
            <w:r>
              <w:rPr>
                <w:rFonts w:ascii="Arial" w:cs="Arial" w:eastAsia="Arial" w:hAnsi="Arial"/>
                <w:sz w:val="14"/>
                <w:szCs w:val="14"/>
                <w:color w:val="auto"/>
                <w:w w:val="91"/>
              </w:rPr>
              <w:t>quarter ended</w:t>
            </w:r>
          </w:p>
        </w:tc>
        <w:tc>
          <w:tcPr>
            <w:tcW w:w="0" w:type="dxa"/>
            <w:vAlign w:val="bottom"/>
          </w:tcPr>
          <w:p>
            <w:pPr>
              <w:spacing w:after="0"/>
              <w:rPr>
                <w:sz w:val="1"/>
                <w:szCs w:val="1"/>
                <w:color w:val="auto"/>
              </w:rPr>
            </w:pPr>
          </w:p>
        </w:tc>
      </w:tr>
      <w:tr>
        <w:trPr>
          <w:trHeight w:val="167"/>
        </w:trPr>
        <w:tc>
          <w:tcPr>
            <w:tcW w:w="5000" w:type="dxa"/>
            <w:vAlign w:val="bottom"/>
          </w:tcPr>
          <w:p>
            <w:pPr>
              <w:spacing w:after="0"/>
              <w:rPr>
                <w:sz w:val="14"/>
                <w:szCs w:val="14"/>
                <w:color w:val="auto"/>
              </w:rPr>
            </w:pPr>
          </w:p>
        </w:tc>
        <w:tc>
          <w:tcPr>
            <w:tcW w:w="700" w:type="dxa"/>
            <w:vAlign w:val="bottom"/>
          </w:tcPr>
          <w:p>
            <w:pPr>
              <w:ind w:left="200"/>
              <w:spacing w:after="0"/>
              <w:rPr>
                <w:sz w:val="20"/>
                <w:szCs w:val="20"/>
                <w:color w:val="auto"/>
              </w:rPr>
            </w:pPr>
            <w:r>
              <w:rPr>
                <w:rFonts w:ascii="Arial" w:cs="Arial" w:eastAsia="Arial" w:hAnsi="Arial"/>
                <w:sz w:val="14"/>
                <w:szCs w:val="14"/>
                <w:color w:val="auto"/>
              </w:rPr>
              <w:t>Total</w:t>
            </w:r>
          </w:p>
        </w:tc>
        <w:tc>
          <w:tcPr>
            <w:tcW w:w="660" w:type="dxa"/>
            <w:vAlign w:val="bottom"/>
          </w:tcPr>
          <w:p>
            <w:pPr>
              <w:spacing w:after="0"/>
              <w:rPr>
                <w:sz w:val="14"/>
                <w:szCs w:val="14"/>
                <w:color w:val="auto"/>
              </w:rPr>
            </w:pPr>
          </w:p>
        </w:tc>
        <w:tc>
          <w:tcPr>
            <w:tcW w:w="680" w:type="dxa"/>
            <w:vAlign w:val="bottom"/>
          </w:tcPr>
          <w:p>
            <w:pPr>
              <w:ind w:left="120"/>
              <w:spacing w:after="0"/>
              <w:rPr>
                <w:sz w:val="20"/>
                <w:szCs w:val="20"/>
                <w:color w:val="auto"/>
              </w:rPr>
            </w:pPr>
            <w:r>
              <w:rPr>
                <w:rFonts w:ascii="Arial" w:cs="Arial" w:eastAsia="Arial" w:hAnsi="Arial"/>
                <w:sz w:val="14"/>
                <w:szCs w:val="14"/>
                <w:color w:val="auto"/>
              </w:rPr>
              <w:t>Level 1</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ind w:left="20"/>
              <w:spacing w:after="0"/>
              <w:rPr>
                <w:sz w:val="20"/>
                <w:szCs w:val="20"/>
                <w:color w:val="auto"/>
              </w:rPr>
            </w:pPr>
            <w:r>
              <w:rPr>
                <w:rFonts w:ascii="Arial" w:cs="Arial" w:eastAsia="Arial" w:hAnsi="Arial"/>
                <w:sz w:val="14"/>
                <w:szCs w:val="14"/>
                <w:color w:val="auto"/>
              </w:rPr>
              <w:t>Level 2</w:t>
            </w:r>
          </w:p>
        </w:tc>
        <w:tc>
          <w:tcPr>
            <w:tcW w:w="680" w:type="dxa"/>
            <w:vAlign w:val="bottom"/>
          </w:tcPr>
          <w:p>
            <w:pPr>
              <w:spacing w:after="0"/>
              <w:rPr>
                <w:sz w:val="14"/>
                <w:szCs w:val="14"/>
                <w:color w:val="auto"/>
              </w:rPr>
            </w:pPr>
          </w:p>
        </w:tc>
        <w:tc>
          <w:tcPr>
            <w:tcW w:w="660" w:type="dxa"/>
            <w:vAlign w:val="bottom"/>
          </w:tcPr>
          <w:p>
            <w:pPr>
              <w:ind w:left="120"/>
              <w:spacing w:after="0"/>
              <w:rPr>
                <w:sz w:val="20"/>
                <w:szCs w:val="20"/>
                <w:color w:val="auto"/>
              </w:rPr>
            </w:pPr>
            <w:r>
              <w:rPr>
                <w:rFonts w:ascii="Arial" w:cs="Arial" w:eastAsia="Arial" w:hAnsi="Arial"/>
                <w:sz w:val="14"/>
                <w:szCs w:val="14"/>
                <w:color w:val="auto"/>
              </w:rPr>
              <w:t>Level 3</w:t>
            </w: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color w:val="auto"/>
                <w:w w:val="94"/>
              </w:rPr>
              <w:t>March 31, 2008</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50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60" w:type="dxa"/>
            <w:vAlign w:val="bottom"/>
            <w:gridSpan w:val="3"/>
          </w:tcPr>
          <w:p>
            <w:pPr>
              <w:jc w:val="center"/>
              <w:ind w:left="521"/>
              <w:spacing w:after="0" w:line="128" w:lineRule="exact"/>
              <w:rPr>
                <w:sz w:val="20"/>
                <w:szCs w:val="20"/>
                <w:color w:val="auto"/>
              </w:rPr>
            </w:pPr>
            <w:r>
              <w:rPr>
                <w:rFonts w:ascii="Arial" w:cs="Arial" w:eastAsia="Arial" w:hAnsi="Arial"/>
                <w:sz w:val="14"/>
                <w:szCs w:val="14"/>
                <w:color w:val="auto"/>
                <w:w w:val="92"/>
              </w:rPr>
              <w:t>(in thousands)</w:t>
            </w: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Loans</w:t>
            </w: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w w:val="84"/>
              </w:rPr>
              <w:t>$ 201,882</w:t>
            </w:r>
          </w:p>
        </w:tc>
        <w:tc>
          <w:tcPr>
            <w:tcW w:w="1460" w:type="dxa"/>
            <w:vAlign w:val="bottom"/>
            <w:gridSpan w:val="3"/>
          </w:tcPr>
          <w:p>
            <w:pPr>
              <w:ind w:left="50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80"/>
              <w:spacing w:after="0"/>
              <w:rPr>
                <w:sz w:val="20"/>
                <w:szCs w:val="20"/>
                <w:color w:val="auto"/>
              </w:rPr>
            </w:pPr>
            <w:r>
              <w:rPr>
                <w:rFonts w:ascii="Arial" w:cs="Arial" w:eastAsia="Arial" w:hAnsi="Arial"/>
                <w:sz w:val="18"/>
                <w:szCs w:val="18"/>
                <w:color w:val="auto"/>
                <w:w w:val="86"/>
              </w:rPr>
              <w:t>147,554</w:t>
            </w: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54,328</w:t>
            </w:r>
          </w:p>
        </w:tc>
        <w:tc>
          <w:tcPr>
            <w:tcW w:w="1340" w:type="dxa"/>
            <w:vAlign w:val="bottom"/>
            <w:gridSpan w:val="3"/>
          </w:tcPr>
          <w:p>
            <w:pPr>
              <w:jc w:val="right"/>
              <w:ind w:right="40"/>
              <w:spacing w:after="0"/>
              <w:rPr>
                <w:sz w:val="20"/>
                <w:szCs w:val="20"/>
                <w:color w:val="auto"/>
              </w:rPr>
            </w:pPr>
            <w:r>
              <w:rPr>
                <w:rFonts w:ascii="Arial" w:cs="Arial" w:eastAsia="Arial" w:hAnsi="Arial"/>
                <w:sz w:val="18"/>
                <w:szCs w:val="18"/>
                <w:color w:val="auto"/>
              </w:rPr>
              <w:t>(22,552)</w:t>
            </w:r>
          </w:p>
        </w:tc>
        <w:tc>
          <w:tcPr>
            <w:tcW w:w="0" w:type="dxa"/>
            <w:vAlign w:val="bottom"/>
          </w:tcPr>
          <w:p>
            <w:pPr>
              <w:spacing w:after="0"/>
              <w:rPr>
                <w:sz w:val="1"/>
                <w:szCs w:val="1"/>
                <w:color w:val="auto"/>
              </w:rPr>
            </w:pPr>
          </w:p>
        </w:tc>
      </w:tr>
      <w:tr>
        <w:trPr>
          <w:trHeight w:val="230"/>
        </w:trPr>
        <w:tc>
          <w:tcPr>
            <w:tcW w:w="5000" w:type="dxa"/>
            <w:vAlign w:val="bottom"/>
          </w:tcPr>
          <w:p>
            <w:pPr>
              <w:spacing w:after="0"/>
              <w:rPr>
                <w:sz w:val="20"/>
                <w:szCs w:val="20"/>
                <w:color w:val="auto"/>
              </w:rPr>
            </w:pPr>
            <w:r>
              <w:rPr>
                <w:rFonts w:ascii="Arial" w:cs="Arial" w:eastAsia="Arial" w:hAnsi="Arial"/>
                <w:sz w:val="18"/>
                <w:szCs w:val="18"/>
                <w:color w:val="auto"/>
              </w:rPr>
              <w:t>Capitalized servicing rights</w:t>
            </w: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67,161</w:t>
            </w:r>
          </w:p>
        </w:tc>
        <w:tc>
          <w:tcPr>
            <w:tcW w:w="1460" w:type="dxa"/>
            <w:vAlign w:val="bottom"/>
            <w:gridSpan w:val="3"/>
          </w:tcPr>
          <w:p>
            <w:pPr>
              <w:ind w:left="50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67,161</w:t>
            </w:r>
          </w:p>
        </w:tc>
        <w:tc>
          <w:tcPr>
            <w:tcW w:w="1340" w:type="dxa"/>
            <w:vAlign w:val="bottom"/>
            <w:gridSpan w:val="3"/>
          </w:tcPr>
          <w:p>
            <w:pPr>
              <w:jc w:val="right"/>
              <w:ind w:right="40"/>
              <w:spacing w:after="0"/>
              <w:rPr>
                <w:sz w:val="20"/>
                <w:szCs w:val="20"/>
                <w:color w:val="auto"/>
              </w:rPr>
            </w:pPr>
            <w:r>
              <w:rPr>
                <w:rFonts w:ascii="Arial" w:cs="Arial" w:eastAsia="Arial" w:hAnsi="Arial"/>
                <w:sz w:val="18"/>
                <w:szCs w:val="18"/>
                <w:color w:val="auto"/>
              </w:rPr>
              <w:t>(4,500)</w:t>
            </w:r>
          </w:p>
        </w:tc>
        <w:tc>
          <w:tcPr>
            <w:tcW w:w="0" w:type="dxa"/>
            <w:vAlign w:val="bottom"/>
          </w:tcPr>
          <w:p>
            <w:pPr>
              <w:spacing w:after="0"/>
              <w:rPr>
                <w:sz w:val="1"/>
                <w:szCs w:val="1"/>
                <w:color w:val="auto"/>
              </w:rPr>
            </w:pPr>
          </w:p>
        </w:tc>
      </w:tr>
      <w:tr>
        <w:trPr>
          <w:trHeight w:val="405"/>
        </w:trPr>
        <w:tc>
          <w:tcPr>
            <w:tcW w:w="5000" w:type="dxa"/>
            <w:vAlign w:val="bottom"/>
          </w:tcPr>
          <w:p>
            <w:pPr>
              <w:spacing w:after="0"/>
              <w:rPr>
                <w:sz w:val="24"/>
                <w:szCs w:val="24"/>
                <w:color w:val="auto"/>
              </w:rPr>
            </w:pPr>
          </w:p>
        </w:tc>
        <w:tc>
          <w:tcPr>
            <w:tcW w:w="1360" w:type="dxa"/>
            <w:vAlign w:val="bottom"/>
            <w:gridSpan w:val="2"/>
          </w:tcPr>
          <w:p>
            <w:pPr>
              <w:jc w:val="right"/>
              <w:ind w:right="460"/>
              <w:spacing w:after="0"/>
              <w:rPr>
                <w:sz w:val="20"/>
                <w:szCs w:val="20"/>
                <w:color w:val="auto"/>
              </w:rPr>
            </w:pPr>
            <w:r>
              <w:rPr>
                <w:rFonts w:ascii="Arial" w:cs="Arial" w:eastAsia="Arial" w:hAnsi="Arial"/>
                <w:sz w:val="18"/>
                <w:szCs w:val="18"/>
                <w:color w:val="auto"/>
              </w:rPr>
              <w:t>- 24 -</w:t>
            </w: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500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Item 2. Management’s Discussion and Analysis of Financial Condition and Results of Operations.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M&amp;T Bank Corporation (“M&amp;T”) recorded net income in the first quarter of 2008 of $202 million or $1.82 of diluted earnings per common share, up 15% and 16%, respectively, from $176 million or $1.57 of diluted earnings per common share in the first quarter of 2007. During the fourth quarter of 2007, net income was $65 million or $.60 of diluted earnings per common share. Basic earnings per common share were $1.84 in the initial quarter of 2008, compared with $1.60 and $.60 in the first and fourth quarters of 2007, respectively. The after-tax impact of acquisition and integration-related expenses (included herein as merger-related expenses) associated with the November 30, 2007 acquisition of Partners Trust Financial Group, Inc. (“Partners Trust”) and the December 7, 2007 acquisition by M&amp;T Bank, the principal bank subsidiary of M&amp;T, of the Mid-Atlantic retail banking franchise of First Horizon Bank (“First Horizon”) was $2 million ($4 million pre-tax) or $.02 of basic and diluted earnings per share in the first quarter of 2008, compared with $9 million ($15 million pre-tax) or $.08 of basic and diluted earnings per share in the fourth quarter of 2007. There were no similar expenses in 2007’s initial quarter.</w:t>
      </w:r>
    </w:p>
    <w:p>
      <w:pPr>
        <w:spacing w:after="0" w:line="58" w:lineRule="exact"/>
        <w:rPr>
          <w:sz w:val="20"/>
          <w:szCs w:val="20"/>
          <w:color w:val="auto"/>
        </w:rPr>
      </w:pPr>
    </w:p>
    <w:p>
      <w:pPr>
        <w:jc w:val="both"/>
        <w:ind w:right="160" w:firstLine="222"/>
        <w:spacing w:after="0" w:line="286" w:lineRule="auto"/>
        <w:rPr>
          <w:sz w:val="20"/>
          <w:szCs w:val="20"/>
          <w:color w:val="auto"/>
        </w:rPr>
      </w:pPr>
      <w:r>
        <w:rPr>
          <w:rFonts w:ascii="Arial" w:cs="Arial" w:eastAsia="Arial" w:hAnsi="Arial"/>
          <w:sz w:val="17"/>
          <w:szCs w:val="17"/>
          <w:color w:val="auto"/>
        </w:rPr>
        <w:t>The annualized rate of return on average total assets for M&amp;T and its consolidated subsidiaries (“the Company”) in each of the first quarters of 2008 and 2007 was 1.25%, compared with .42% in the fourth quarter of 2007. The annualized rate of return on average common stockholders’ equity was 12.49% in the first three months of 2008, compared with 11.38% and 4.05% in the first and fourth quarters of 2007, respectively.</w:t>
      </w:r>
    </w:p>
    <w:p>
      <w:pPr>
        <w:spacing w:after="0" w:line="57" w:lineRule="exact"/>
        <w:rPr>
          <w:sz w:val="20"/>
          <w:szCs w:val="20"/>
          <w:color w:val="auto"/>
        </w:rPr>
      </w:pPr>
    </w:p>
    <w:p>
      <w:pPr>
        <w:ind w:firstLine="222"/>
        <w:spacing w:after="0" w:line="268" w:lineRule="auto"/>
        <w:rPr>
          <w:sz w:val="20"/>
          <w:szCs w:val="20"/>
          <w:color w:val="auto"/>
        </w:rPr>
      </w:pPr>
      <w:r>
        <w:rPr>
          <w:rFonts w:ascii="Arial" w:cs="Arial" w:eastAsia="Arial" w:hAnsi="Arial"/>
          <w:sz w:val="17"/>
          <w:szCs w:val="17"/>
          <w:color w:val="auto"/>
        </w:rPr>
        <w:t>The Company’s financial results for the first three months of 2008 reflect $29 million, or $.26 of diluted earnings per share, resulting from M&amp;T Bank’s status as a member bank of Visa. During the last quarter of 2007, Visa completed a reorganization in contemplation of its initial public offering (“IPO”) in 2008. As part of that reorganization M&amp;T Bank and other member banks of Visa received shares of Class B common stock of Visa. Those banks are also obligated under various agreements with Visa to share in losses stemming from certain litigation involving Visa (“Covered Litigation”). As of December 31, 2007, although Visa was expected to set aside a portion of the proceeds from its IPO in an escrow account to fund any judgments or settlements that may arise out of the Covered Litigation, guidance from the Securities and Exchange Commission (“SEC”) indicated that Visa member banks should record a liability for the fair value of the contingent obligation to Visa. The estimation of the Company’s proportionate share of any potential losses related to the Covered Litigation was extremely difficult and involved a great deal of judgment. Nevertheless, in the fourth quarter of 2007 the Company recorded a pre-tax charge of $23 million ($14 million after tax effect, or $.13 per diluted share) related to the Covered Litigation. In accordance with generally accepted accounting principles (“GAAP”) and consistent with the SEC guidance, the Company did not recognize any value for its common stock ownership interest in Visa as of the 2007 year-end. During the first quarter of 2008, Visa completed its IPO and, as part of the transaction, funded an escrow account with $3 billion from the proceeds of the IPO to cover potential settlements arising out of the Covered Litigation. As a result, during the first three months of 2008, the Company reversed approximately $15 million of the $23 million accrued during the fourth quarter of 2007 for the Covered Litigation. In addition, M&amp;T Bank was allocated 1,967,028 Class B common shares of Visa based on its proportionate ownership of Visa. Of those shares, 760,455 were mandatorily redeemed in March 2008 for an after-tax gain of $20 million ($33 million pre-tax), which has been recorded as gain on bank investment securities in the consolidated statement of income.</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222"/>
        <w:spacing w:after="0" w:line="279" w:lineRule="auto"/>
        <w:rPr>
          <w:sz w:val="20"/>
          <w:szCs w:val="20"/>
          <w:color w:val="auto"/>
        </w:rPr>
      </w:pPr>
      <w:r>
        <w:rPr>
          <w:rFonts w:ascii="Arial" w:cs="Arial" w:eastAsia="Arial" w:hAnsi="Arial"/>
          <w:sz w:val="17"/>
          <w:szCs w:val="17"/>
          <w:color w:val="auto"/>
        </w:rPr>
        <w:t>Throughout 2007 and the first three months of 2008, the residential real estate marketplace in the United States has experienced unprecedented turbulence. Problems experienced by lenders in the sub-prime residential mortgage lending market also had negative repercussions on the rest of the residential real estate marketplace. Those marketplace conditions had a direct impact on the Company’s financial results during that time frame. Specifically, financial results for the first and fourth quarters of 2007 were adversely impacted by several events.</w:t>
      </w:r>
    </w:p>
    <w:p>
      <w:pPr>
        <w:spacing w:after="0" w:line="63" w:lineRule="exact"/>
        <w:rPr>
          <w:sz w:val="20"/>
          <w:szCs w:val="20"/>
          <w:color w:val="auto"/>
        </w:rPr>
      </w:pPr>
    </w:p>
    <w:p>
      <w:pPr>
        <w:ind w:right="20" w:firstLine="222"/>
        <w:spacing w:after="0" w:line="270" w:lineRule="auto"/>
        <w:rPr>
          <w:sz w:val="20"/>
          <w:szCs w:val="20"/>
          <w:color w:val="auto"/>
        </w:rPr>
      </w:pPr>
      <w:r>
        <w:rPr>
          <w:rFonts w:ascii="Arial" w:cs="Arial" w:eastAsia="Arial" w:hAnsi="Arial"/>
          <w:sz w:val="17"/>
          <w:szCs w:val="17"/>
          <w:color w:val="auto"/>
        </w:rPr>
        <w:t>Through early 2007, the Company had been an active participant in the origination of alternative (“Alt-A”) residential real estate loans and the sale of such loans in the secondary market. Alt-A loans originated by the Company typically included some form of limited documentation requirements as compared with more traditional residential real estate loans. Unfavorable market conditions during the first quarter of 2007, including a lack of liquidity by previously active purchasers, impacted the Company’s willingness to sell Alt-A loans, as an auction of such loans initiated by the Company at that time received fewer bids than normal and the pricing of those bids was substantially lower than expected. As a result, $883 million of Alt-A loans previously held for sale (including $808 million of first mortgage loans and $75 million of second mortgage loans) were transferred in March 2007 to the Company’s held-for-investment loan portfolio. In accordance with GAAP, loans held for sale must be recorded at the lower of cost or market value. Accordingly, prior to reclassifying the Alt-A mortgage loans to the held-for-investment portfolio, the carrying value of such loans was reduced by $12 million ($7 million after tax effect, or $.07 of diluted earnings per share). Those loans were reclassified because management believed at that time that the value of the Alt-A residential real estate loans was greater than the amount implied by the few bidders who were active in the market.</w:t>
      </w:r>
    </w:p>
    <w:p>
      <w:pPr>
        <w:spacing w:after="0" w:line="70" w:lineRule="exact"/>
        <w:rPr>
          <w:sz w:val="20"/>
          <w:szCs w:val="20"/>
          <w:color w:val="auto"/>
        </w:rPr>
      </w:pPr>
    </w:p>
    <w:p>
      <w:pPr>
        <w:ind w:right="220" w:firstLine="222"/>
        <w:spacing w:after="0" w:line="286" w:lineRule="auto"/>
        <w:rPr>
          <w:sz w:val="20"/>
          <w:szCs w:val="20"/>
          <w:color w:val="auto"/>
        </w:rPr>
      </w:pPr>
      <w:r>
        <w:rPr>
          <w:rFonts w:ascii="Arial" w:cs="Arial" w:eastAsia="Arial" w:hAnsi="Arial"/>
          <w:sz w:val="17"/>
          <w:szCs w:val="17"/>
          <w:color w:val="auto"/>
        </w:rPr>
        <w:t>The downturn in the residential real estate market, specifically related to declining real estate valuations and higher delinquencies, continued throughout the remainder of 2007 and had a negative effect on the majority of financial institutions active in residential real estate lending. Margins earned by the Company from sales of residential real estate loans in the secondary market were lower in 2007 than in 2006.</w:t>
      </w:r>
    </w:p>
    <w:p>
      <w:pPr>
        <w:spacing w:after="0" w:line="57" w:lineRule="exact"/>
        <w:rPr>
          <w:sz w:val="20"/>
          <w:szCs w:val="20"/>
          <w:color w:val="auto"/>
        </w:rPr>
      </w:pPr>
    </w:p>
    <w:p>
      <w:pPr>
        <w:ind w:firstLine="215"/>
        <w:spacing w:after="0" w:line="255" w:lineRule="auto"/>
        <w:rPr>
          <w:sz w:val="20"/>
          <w:szCs w:val="20"/>
          <w:color w:val="auto"/>
        </w:rPr>
      </w:pPr>
      <w:r>
        <w:rPr>
          <w:rFonts w:ascii="Arial" w:cs="Arial" w:eastAsia="Arial" w:hAnsi="Arial"/>
          <w:sz w:val="18"/>
          <w:szCs w:val="18"/>
          <w:color w:val="auto"/>
        </w:rPr>
        <w:t>Additionally, the Company may be contractually obligated to repurchase some previously sold residential real estate loans that do not ultimately meet investor sale criteria, including instances where mortgagors failed to make timely payments during the first 90 days subsequent to the sale date. Requests from investors for the Company to repurchase residential real estate loans increased significantly in early 2007, particularly related to Alt-A loans. As a result, during 2007’s first quarter the Company reduced mortgage banking revenues by $6 million ($4 million after tax effect, or $.03 of diluted earnings per share) related to declines in market values of previously sold residential real estate loans that the Company may be required to repurchase. Most of those loans have not been repurchased as of March 31, 2008.</w:t>
      </w:r>
    </w:p>
    <w:p>
      <w:pPr>
        <w:spacing w:after="0" w:line="85" w:lineRule="exact"/>
        <w:rPr>
          <w:sz w:val="20"/>
          <w:szCs w:val="20"/>
          <w:color w:val="auto"/>
        </w:rPr>
      </w:pPr>
    </w:p>
    <w:p>
      <w:pPr>
        <w:ind w:right="20" w:firstLine="225"/>
        <w:spacing w:after="0" w:line="255" w:lineRule="auto"/>
        <w:rPr>
          <w:sz w:val="20"/>
          <w:szCs w:val="20"/>
          <w:color w:val="auto"/>
        </w:rPr>
      </w:pPr>
      <w:r>
        <w:rPr>
          <w:rFonts w:ascii="Arial" w:cs="Arial" w:eastAsia="Arial" w:hAnsi="Arial"/>
          <w:sz w:val="18"/>
          <w:szCs w:val="18"/>
          <w:color w:val="auto"/>
        </w:rPr>
        <w:t>Including the impact of the $883 million of loans noted above, the Company had $1.2 billion of Alt-A residential real estate loans in its held-for-investment loan portfolio at December 31, 2007. Lower real estate values and higher levels of delinquencies and charge-offs contributed to increased losses in that portfolio during 2007, which led to an assessment of the Company’s accounting practices during the fourth quarter as they related to the timing of the classification of residential real estate loans as nonaccrual and when such loans were charged off. Beginning in 2007’s fourth quarter, residential real estate loans were classified as nonaccrual when principal or interest payments became 90 days delinquent. Previously, residential real estate loans had been placed in nonaccrual status when payments were 180 past due. Also in 2007’s fourth quarter, the Company began charging off the excess of residential real estate loan balances over the net</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realizable value of the property collateralizing the loan when such loans become 150 days delinquent, whereas previously the Company provided an allowance for credit losses for those amounts and charged-off loans upon foreclosure of the underlying property. The impact of the acceleration of the classification of residential real estate loans as nonaccrual resulted in an increase in nonperforming loans of $84 million at December 31, 2007 and a corresponding decrease in loans past due 90 days and accruing interest. As a result of that acceleration, previously accrued interest of $2 million was reversed and charged against income in the fourth quarter of 2007. Included in the $53 million of net charge-offs during the fourth quarter of 2007 were $15 million resulting from the change in accounting procedure. The declining residential real estate values also contributed to specific allocations of the allowance for credit losses related to two residential real estate builders and developers during the fourth quarter of 2007. Considering these and other factors, the Company significantly increased the provision for credit losses in the fourth quarter of 2007 to $101 million. Market prices for residential real estate properties, including properties under development, have continued to be weak throughout the first quarter of 2008. That weakness contributed to the Company recording a provision for credit losses of $60 million in the recent quarter, up from $27 million in the year-earlier quarter. Additional information about credit losses and nonperforming loans is included herein under the heading “Provision for Credit Losses.”</w:t>
      </w:r>
    </w:p>
    <w:p>
      <w:pPr>
        <w:spacing w:after="0" w:line="75" w:lineRule="exact"/>
        <w:rPr>
          <w:sz w:val="20"/>
          <w:szCs w:val="20"/>
          <w:color w:val="auto"/>
        </w:rPr>
      </w:pPr>
    </w:p>
    <w:p>
      <w:pPr>
        <w:ind w:firstLine="222"/>
        <w:spacing w:after="0" w:line="293" w:lineRule="auto"/>
        <w:rPr>
          <w:sz w:val="20"/>
          <w:szCs w:val="20"/>
          <w:color w:val="auto"/>
        </w:rPr>
      </w:pPr>
      <w:r>
        <w:rPr>
          <w:rFonts w:ascii="Arial" w:cs="Arial" w:eastAsia="Arial" w:hAnsi="Arial"/>
          <w:sz w:val="16"/>
          <w:szCs w:val="16"/>
          <w:color w:val="auto"/>
        </w:rPr>
        <w:t>The turbulence in the residential real estate market in 2007 also negatively affected the Company’s investment securities portfolio. Three collateralized debt obligations were purchased in the first quarter of 2007 for approximately $132 million. The securities are backed largely by residential mortgage-backed securities (collateralized by a mix of prime, mid-prime and sub-prime residential mortgage loans) and are held in the Company’s available-for-sale portfolio. Although these securities were highly rated when purchased, two of the three securities were downgraded by the rating agencies in late-2007. After a thorough analysis, management concluded that the impairment of these securities was other than temporary. As a result, the Company recorded an impairment charge of $127 million ($78 million after tax effect, or $.71 of diluted earnings per share) in the fourth quarter of 2007.</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Reporting of Non-GAAP Results of Operations</w:t>
      </w:r>
    </w:p>
    <w:p>
      <w:pPr>
        <w:spacing w:after="0" w:line="12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As a result of business combinations and other acquisitions, the Company had intangible assets consisting of goodwill and core deposit and other intangible assets totaling $3.4 billion at each of March 31, 2008 and December 31, 2007 and $3.1 billion at March 31, 2007. Included in such intangible assets was goodwill of $3.2 billion at each of March 31, 2008 and December 31, 2007, and $2.9 billion at March 31, 2007. Amortization of core deposit and other intangible assets, after tax effect, was $11 million ($.10 per diluted share) during each of the first quarters of 2008 and 2007, and $10 million ($.09 per diluted share) in the fourth quarter of 2007.</w:t>
      </w:r>
    </w:p>
    <w:p>
      <w:pPr>
        <w:spacing w:after="0" w:line="80" w:lineRule="exact"/>
        <w:rPr>
          <w:sz w:val="20"/>
          <w:szCs w:val="20"/>
          <w:color w:val="auto"/>
        </w:rPr>
      </w:pPr>
    </w:p>
    <w:p>
      <w:pPr>
        <w:ind w:right="20" w:firstLine="225"/>
        <w:spacing w:after="0" w:line="276" w:lineRule="auto"/>
        <w:rPr>
          <w:sz w:val="20"/>
          <w:szCs w:val="20"/>
          <w:color w:val="auto"/>
        </w:rPr>
      </w:pPr>
      <w:r>
        <w:rPr>
          <w:rFonts w:ascii="Arial" w:cs="Arial" w:eastAsia="Arial" w:hAnsi="Arial"/>
          <w:sz w:val="17"/>
          <w:szCs w:val="17"/>
          <w:color w:val="auto"/>
        </w:rPr>
        <w:t>M&amp;T consistently provides supplemental reporting of its results on a “net operating” or “tangible” basis, in which M&amp;T excludes the after-tax effect of amortization of core deposit and other intangible assets (and the related goodwill, core deposit intangible and other intangible asset balances, net of applicable deferred tax amounts, when calculating certain performance ratios) and expenses associated with integrating acquired operations into the Company, since such expenses are considered by management to be “nonoperating” in nature. Although “net operating income” as defined by M&amp;T is not a GAAP measure, M&amp;T’s management believes that this information helps investors understand the effect of acquisition activity in reported results.</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225"/>
        <w:spacing w:after="0" w:line="264" w:lineRule="auto"/>
        <w:rPr>
          <w:sz w:val="20"/>
          <w:szCs w:val="20"/>
          <w:color w:val="auto"/>
        </w:rPr>
      </w:pPr>
      <w:r>
        <w:rPr>
          <w:rFonts w:ascii="Arial" w:cs="Arial" w:eastAsia="Arial" w:hAnsi="Arial"/>
          <w:sz w:val="18"/>
          <w:szCs w:val="18"/>
          <w:color w:val="auto"/>
        </w:rPr>
        <w:t>Net operating income rose 15% to $216 million in the first quarter of 2008 from $187 million in the year-earlier quarter. Diluted net operating earnings per share for the initial quarter of 2008 were $1.94, up 16% from $1.67 in the corresponding 2007 quarter. Net operating income and diluted net operating earnings per share were $84 million and $.77, respectively, in the fourth quarter of 2007.</w:t>
      </w:r>
    </w:p>
    <w:p>
      <w:pPr>
        <w:spacing w:after="0" w:line="73" w:lineRule="exact"/>
        <w:rPr>
          <w:sz w:val="20"/>
          <w:szCs w:val="20"/>
          <w:color w:val="auto"/>
        </w:rPr>
      </w:pPr>
    </w:p>
    <w:p>
      <w:pPr>
        <w:ind w:firstLine="225"/>
        <w:spacing w:after="0" w:line="286" w:lineRule="auto"/>
        <w:rPr>
          <w:sz w:val="20"/>
          <w:szCs w:val="20"/>
          <w:color w:val="auto"/>
        </w:rPr>
      </w:pPr>
      <w:r>
        <w:rPr>
          <w:rFonts w:ascii="Arial" w:cs="Arial" w:eastAsia="Arial" w:hAnsi="Arial"/>
          <w:sz w:val="17"/>
          <w:szCs w:val="17"/>
          <w:color w:val="auto"/>
        </w:rPr>
        <w:t>Net operating income in the recently completed quarter represented an annualized rate of return on average tangible assets of 1.41%, compared with 1.40% and .57% in the first and fourth quarters of 2007, respectively. Net operating income expressed as an annualized return on average tangible common equity was 27.86% in the first quarter of 2008, compared with 24.11% in the year-earlier quarter and 10.49% in the final quarter of 2007.</w:t>
      </w:r>
    </w:p>
    <w:p>
      <w:pPr>
        <w:spacing w:after="0" w:line="5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Reconciliations of GAAP results with non-GAAP results are provided in table 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Taxable-equivalent Net Interest Income</w:t>
      </w:r>
    </w:p>
    <w:p>
      <w:pPr>
        <w:spacing w:after="0" w:line="121"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Taxable-equivalent net interest income increased to $485 million in the first quarter of 2008, up 6% from $456 million in the similar 2007 quarter and 2% above $476 million in the fourth quarter of 2007. The improvement in the recent quarter as compared with the first quarter of 2007 reflects a $7.0 billion, or 14%, increase in average earning assets that was partially offset by a 26 basis point (hundredths of one percent) narrowing of the Company’s net interest margin, or taxable-equivalent net interest income expressed as an annualized percentage of average earning assets. The recent quarter’s improvement in taxable-equivalent net interest income as compared with 2007’s final quarter also resulted from growth in the average balance of earning assets, which rose $2.9 billion or 5%, partially offset by a 7 basis point narrowing of the net interest margin. Earning assets obtained in the Partners Trust and First Horizon transactions at the respective acquisition dates in the fourth quarter of 2007 were $3.1 billion and $214 million, respectively.</w:t>
      </w:r>
    </w:p>
    <w:p>
      <w:pPr>
        <w:spacing w:after="0" w:line="59" w:lineRule="exact"/>
        <w:rPr>
          <w:sz w:val="20"/>
          <w:szCs w:val="20"/>
          <w:color w:val="auto"/>
        </w:rPr>
      </w:pPr>
    </w:p>
    <w:p>
      <w:pPr>
        <w:ind w:left="220"/>
        <w:spacing w:after="0"/>
        <w:rPr>
          <w:sz w:val="20"/>
          <w:szCs w:val="20"/>
          <w:color w:val="auto"/>
        </w:rPr>
      </w:pPr>
      <w:r>
        <w:rPr>
          <w:rFonts w:ascii="Arial" w:cs="Arial" w:eastAsia="Arial" w:hAnsi="Arial"/>
          <w:sz w:val="17"/>
          <w:szCs w:val="17"/>
          <w:color w:val="auto"/>
        </w:rPr>
        <w:t>Average loans and leases rose $5.5 billion, or 13%, to $48.6 billion in the first quarter of 2008 from $43.1 billion in the year-earlier quarter, and were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$2.5 billion, or 5% higher than the $46.1 billion average in the fourth quarter of 2007. Included in average loans and leases in the first quarter of 2008 were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loans obtained in the 2007 acquisitions of approximately $1.4 billion, compared with an average loan balance impact of approximately $750 million in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fourth quarter of 2007. Commercial loans and leases averaged $13.3 billion in the initial 2008 quarter, up 13% from $11.8 billion in the year-earlier quarter.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Average commercial real estate loans rose $2.5 billion or 16% to $18.0 billion in the recent quarter from $15.5 billion in the first quarter of 2007.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Company’s residential real estate loan portfolio averaged $6.0 billion in 2008’s initial quarter, up slightly from $5.9 billion in the similar quarter of 2007.</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Included in that portfolio were loans held for sale, which averaged $718 million in the recently completed quarter, compared with $1.8 billion in the first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quarter of 2007. Excluding such loans, average residential real estate loans increased $1.1 billion from the first quarter of 2007 to the first quarter of 2008.</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Average consumer loans and leases totaled $11.3 billion in the recent quarter, up $1.3 billion or 14% from $9.9 billion in the year-earlier period. That growth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was due largely to higher average automobile loan balances outstanding, including approximately $350 million of average automobile loan balances related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2007 acquisition transactions.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222"/>
        <w:spacing w:after="0" w:line="289" w:lineRule="auto"/>
        <w:rPr>
          <w:sz w:val="20"/>
          <w:szCs w:val="20"/>
          <w:color w:val="auto"/>
        </w:rPr>
      </w:pPr>
      <w:r>
        <w:rPr>
          <w:rFonts w:ascii="Arial" w:cs="Arial" w:eastAsia="Arial" w:hAnsi="Arial"/>
          <w:sz w:val="16"/>
          <w:szCs w:val="16"/>
          <w:color w:val="auto"/>
        </w:rPr>
        <w:t>The Company experienced growth of $757 million or 6% in average commercial loan balances in the recent quarter as compared with the fourth quarter of 2007. Average commercial real estate loans rose $1.5 billion or 9% from $16.5 billion in the final 2007 quarter. The average balances outstanding for residential real estate loans in the recent quarter declined $351 million or 6% from the fourth quarter of 2007, while average consumer loans outstanding were up $579 million or 5% from the final 2007 quarter. The decline in average residential real estate loans from 2007’s fourth quarter to the recent quarter reflects a December 2007 securitization of approximately $950 million of loans obtained in the Partners Trust acquisition into Federal National Mortgage Association (“FNMA”) mortgage-backed securities. Those securities are guaranteed by FNMA and there is no credit recourse to the Company. The Company recognized no gain or loss on the transaction as it retained all of the resulting securities, which are held in the available-for-sale investment securities portfolio. Approximately three-fourths of the rise in average consumer loan balances from the fourth quarter of 2007 to the first 2008 quarter also resulted from the acquisition transactions. The accompanying table summarizes quarterly changes in the major components of the loan and lease portfolio.</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AVERAGE LOANS AND LEASES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(net of unearned discount)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Dollars in millions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520" w:type="dxa"/>
            <w:vAlign w:val="bottom"/>
            <w:gridSpan w:val="3"/>
          </w:tcPr>
          <w:p>
            <w:pPr>
              <w:ind w:left="560"/>
              <w:spacing w:after="0"/>
              <w:rPr>
                <w:sz w:val="20"/>
                <w:szCs w:val="20"/>
                <w:color w:val="auto"/>
              </w:rPr>
            </w:pPr>
            <w:r>
              <w:rPr>
                <w:rFonts w:ascii="Arial" w:cs="Arial" w:eastAsia="Arial" w:hAnsi="Arial"/>
                <w:sz w:val="14"/>
                <w:szCs w:val="14"/>
                <w:color w:val="auto"/>
                <w:w w:val="89"/>
              </w:rPr>
              <w:t>Percent increase</w:t>
            </w: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49"/>
        </w:trPr>
        <w:tc>
          <w:tcPr>
            <w:tcW w:w="7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520" w:type="dxa"/>
            <w:vAlign w:val="bottom"/>
            <w:gridSpan w:val="3"/>
          </w:tcPr>
          <w:p>
            <w:pPr>
              <w:ind w:left="580"/>
              <w:spacing w:after="0" w:line="149" w:lineRule="exact"/>
              <w:rPr>
                <w:sz w:val="20"/>
                <w:szCs w:val="20"/>
                <w:color w:val="auto"/>
              </w:rPr>
            </w:pPr>
            <w:r>
              <w:rPr>
                <w:rFonts w:ascii="Arial" w:cs="Arial" w:eastAsia="Arial" w:hAnsi="Arial"/>
                <w:sz w:val="14"/>
                <w:szCs w:val="14"/>
                <w:color w:val="auto"/>
                <w:w w:val="93"/>
              </w:rPr>
              <w:t>(decrease) from</w:t>
            </w: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9"/>
        </w:trPr>
        <w:tc>
          <w:tcPr>
            <w:tcW w:w="7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1st Qtr.</w:t>
            </w:r>
          </w:p>
        </w:tc>
        <w:tc>
          <w:tcPr>
            <w:tcW w:w="152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1st Qtr.</w:t>
            </w:r>
          </w:p>
        </w:tc>
        <w:tc>
          <w:tcPr>
            <w:tcW w:w="7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w w:val="89"/>
              </w:rPr>
              <w:t>4th Qtr.</w:t>
            </w:r>
          </w:p>
        </w:tc>
      </w:tr>
      <w:tr>
        <w:trPr>
          <w:trHeight w:val="167"/>
        </w:trPr>
        <w:tc>
          <w:tcPr>
            <w:tcW w:w="78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color w:val="auto"/>
              </w:rPr>
              <w:t>2008</w:t>
            </w: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color w:val="auto"/>
              </w:rPr>
              <w:t>2007</w:t>
            </w:r>
          </w:p>
        </w:tc>
        <w:tc>
          <w:tcPr>
            <w:tcW w:w="7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color w:val="auto"/>
              </w:rPr>
              <w:t>2007</w:t>
            </w:r>
          </w:p>
        </w:tc>
        <w:tc>
          <w:tcPr>
            <w:tcW w:w="160" w:type="dxa"/>
            <w:vAlign w:val="bottom"/>
          </w:tcPr>
          <w:p>
            <w:pPr>
              <w:spacing w:after="0"/>
              <w:rPr>
                <w:sz w:val="14"/>
                <w:szCs w:val="14"/>
                <w:color w:val="auto"/>
              </w:rPr>
            </w:pPr>
          </w:p>
        </w:tc>
      </w:tr>
      <w:tr>
        <w:trPr>
          <w:trHeight w:val="210"/>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Commercial, financial, etc.</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13,308</w:t>
            </w:r>
          </w:p>
        </w:tc>
        <w:tc>
          <w:tcPr>
            <w:tcW w:w="6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w:t>
            </w:r>
          </w:p>
        </w:tc>
      </w:tr>
      <w:tr>
        <w:trPr>
          <w:trHeight w:val="216"/>
        </w:trPr>
        <w:tc>
          <w:tcPr>
            <w:tcW w:w="7820" w:type="dxa"/>
            <w:vAlign w:val="bottom"/>
          </w:tcPr>
          <w:p>
            <w:pPr>
              <w:spacing w:after="0"/>
              <w:rPr>
                <w:sz w:val="20"/>
                <w:szCs w:val="20"/>
                <w:color w:val="auto"/>
              </w:rPr>
            </w:pPr>
            <w:r>
              <w:rPr>
                <w:rFonts w:ascii="Arial" w:cs="Arial" w:eastAsia="Arial" w:hAnsi="Arial"/>
                <w:sz w:val="18"/>
                <w:szCs w:val="18"/>
                <w:color w:val="auto"/>
              </w:rPr>
              <w:t>Real estate — commercial</w:t>
            </w:r>
          </w:p>
        </w:tc>
        <w:tc>
          <w:tcPr>
            <w:tcW w:w="12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17,994</w:t>
            </w:r>
          </w:p>
        </w:tc>
        <w:tc>
          <w:tcPr>
            <w:tcW w:w="660" w:type="dxa"/>
            <w:vAlign w:val="bottom"/>
          </w:tcPr>
          <w:p>
            <w:pPr>
              <w:spacing w:after="0"/>
              <w:rPr>
                <w:sz w:val="18"/>
                <w:szCs w:val="18"/>
                <w:color w:val="auto"/>
              </w:rPr>
            </w:pPr>
          </w:p>
        </w:tc>
        <w:tc>
          <w:tcPr>
            <w:tcW w:w="1400" w:type="dxa"/>
            <w:vAlign w:val="bottom"/>
            <w:gridSpan w:val="2"/>
          </w:tcPr>
          <w:p>
            <w:pPr>
              <w:jc w:val="right"/>
              <w:ind w:right="72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9</w:t>
            </w:r>
          </w:p>
        </w:tc>
      </w:tr>
      <w:tr>
        <w:trPr>
          <w:trHeight w:val="216"/>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Real estate — consumer</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5,977</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r>
      <w:tr>
        <w:trPr>
          <w:trHeight w:val="216"/>
        </w:trPr>
        <w:tc>
          <w:tcPr>
            <w:tcW w:w="7820" w:type="dxa"/>
            <w:vAlign w:val="bottom"/>
          </w:tcPr>
          <w:p>
            <w:pPr>
              <w:spacing w:after="0"/>
              <w:rPr>
                <w:sz w:val="20"/>
                <w:szCs w:val="20"/>
                <w:color w:val="auto"/>
              </w:rPr>
            </w:pPr>
            <w:r>
              <w:rPr>
                <w:rFonts w:ascii="Arial" w:cs="Arial" w:eastAsia="Arial" w:hAnsi="Arial"/>
                <w:sz w:val="18"/>
                <w:szCs w:val="18"/>
                <w:color w:val="auto"/>
              </w:rPr>
              <w:t>Consumer</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7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Automobile</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3,744</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w:t>
            </w:r>
          </w:p>
        </w:tc>
      </w:tr>
      <w:tr>
        <w:trPr>
          <w:trHeight w:val="216"/>
        </w:trPr>
        <w:tc>
          <w:tcPr>
            <w:tcW w:w="7820" w:type="dxa"/>
            <w:vAlign w:val="bottom"/>
          </w:tcPr>
          <w:p>
            <w:pPr>
              <w:ind w:left="220"/>
              <w:spacing w:after="0"/>
              <w:rPr>
                <w:sz w:val="20"/>
                <w:szCs w:val="20"/>
                <w:color w:val="auto"/>
              </w:rPr>
            </w:pPr>
            <w:r>
              <w:rPr>
                <w:rFonts w:ascii="Arial" w:cs="Arial" w:eastAsia="Arial" w:hAnsi="Arial"/>
                <w:sz w:val="18"/>
                <w:szCs w:val="18"/>
                <w:color w:val="auto"/>
              </w:rPr>
              <w:t>Home equity lines</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4,317</w:t>
            </w: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0" w:type="dxa"/>
            <w:vAlign w:val="bottom"/>
            <w:gridSpan w:val="2"/>
          </w:tcPr>
          <w:p>
            <w:pPr>
              <w:jc w:val="right"/>
              <w:ind w:right="72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r>
      <w:tr>
        <w:trPr>
          <w:trHeight w:val="216"/>
        </w:trPr>
        <w:tc>
          <w:tcPr>
            <w:tcW w:w="7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Home equity loans</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r>
      <w:tr>
        <w:trPr>
          <w:trHeight w:val="223"/>
        </w:trPr>
        <w:tc>
          <w:tcPr>
            <w:tcW w:w="7820" w:type="dxa"/>
            <w:vAlign w:val="bottom"/>
          </w:tcPr>
          <w:p>
            <w:pPr>
              <w:ind w:left="220"/>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2,085</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7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19"/>
                <w:szCs w:val="19"/>
                <w:color w:val="auto"/>
              </w:rPr>
            </w:pPr>
          </w:p>
        </w:tc>
      </w:tr>
      <w:tr>
        <w:trPr>
          <w:trHeight w:val="216"/>
        </w:trPr>
        <w:tc>
          <w:tcPr>
            <w:tcW w:w="7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consumer</w:t>
            </w: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11,296</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7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18"/>
                <w:szCs w:val="18"/>
                <w:color w:val="auto"/>
              </w:rPr>
            </w:pPr>
          </w:p>
        </w:tc>
      </w:tr>
      <w:tr>
        <w:trPr>
          <w:trHeight w:val="223"/>
        </w:trPr>
        <w:tc>
          <w:tcPr>
            <w:tcW w:w="7820" w:type="dxa"/>
            <w:vAlign w:val="bottom"/>
          </w:tcPr>
          <w:p>
            <w:pPr>
              <w:ind w:left="620"/>
              <w:spacing w:after="0"/>
              <w:rPr>
                <w:sz w:val="20"/>
                <w:szCs w:val="20"/>
                <w:color w:val="auto"/>
              </w:rPr>
            </w:pPr>
            <w:r>
              <w:rPr>
                <w:rFonts w:ascii="Arial" w:cs="Arial" w:eastAsia="Arial" w:hAnsi="Arial"/>
                <w:sz w:val="18"/>
                <w:szCs w:val="18"/>
                <w:color w:val="auto"/>
              </w:rPr>
              <w:t>Total</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48,575</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0" w:type="dxa"/>
            <w:vAlign w:val="bottom"/>
            <w:gridSpan w:val="2"/>
          </w:tcPr>
          <w:p>
            <w:pPr>
              <w:jc w:val="right"/>
              <w:ind w:right="58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r>
      <w:tr>
        <w:trPr>
          <w:trHeight w:val="20"/>
        </w:trPr>
        <w:tc>
          <w:tcPr>
            <w:tcW w:w="78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40" w:firstLine="222"/>
        <w:spacing w:after="0" w:line="297" w:lineRule="auto"/>
        <w:rPr>
          <w:sz w:val="20"/>
          <w:szCs w:val="20"/>
          <w:color w:val="auto"/>
        </w:rPr>
      </w:pPr>
      <w:r>
        <w:rPr>
          <w:rFonts w:ascii="Arial" w:cs="Arial" w:eastAsia="Arial" w:hAnsi="Arial"/>
          <w:sz w:val="16"/>
          <w:szCs w:val="16"/>
          <w:color w:val="auto"/>
        </w:rPr>
        <w:t>The investment securities portfolio averaged $8.9 billion during the initial quarter of 2008, 24% higher than $7.2 billion in the year-earlier quarter and up 13% from $7.9 billion in the fourth quarter of 2007. The increases in such securities from both the first and fourth quarters of 2007 reflect the impact of the previously noted late-December 2007 securitization transaction. The investment securities portfolio is largely comprised of residential and commercial mortgage-backed securities and collateralized mortgage obligations, debt securities issued by municipalities, debt and preferred equity securities issued by government-sponsored agencies and certain financial institutions, and shorter-term U.S. Treasury and federal agency notes.</w:t>
      </w:r>
    </w:p>
    <w:p>
      <w:pPr>
        <w:spacing w:after="0" w:line="50" w:lineRule="exact"/>
        <w:rPr>
          <w:sz w:val="20"/>
          <w:szCs w:val="20"/>
          <w:color w:val="auto"/>
        </w:rPr>
      </w:pPr>
    </w:p>
    <w:p>
      <w:pPr>
        <w:ind w:firstLine="222"/>
        <w:spacing w:after="0" w:line="272" w:lineRule="auto"/>
        <w:rPr>
          <w:sz w:val="20"/>
          <w:szCs w:val="20"/>
          <w:color w:val="auto"/>
        </w:rPr>
      </w:pPr>
      <w:r>
        <w:rPr>
          <w:rFonts w:ascii="Arial" w:cs="Arial" w:eastAsia="Arial" w:hAnsi="Arial"/>
          <w:sz w:val="17"/>
          <w:szCs w:val="17"/>
          <w:color w:val="auto"/>
        </w:rPr>
        <w:t>When purchasing investment securities, the Company considers its overall interest-rate risk profile as well as the adequacy of expected returns relative to risks assumed, including prepayments. In managing its investment securities portfolio, the Company occasionally sells investment securities as a result of changes in interest rates and spreads, actual or anticipated prepayments, credit risk associated with a particular security, or as a result of restructuring its investment securities portfolio following completion of a business combination. The Company regularly reviews its investment securities for declines in value below amortized cost that might be characterized as “other than temporary.” As previously discussed, during the fourth quarter of 2007 the Company recognized other-than-temporary impairment charges of $127 million related to $132 million of collateralized debt obligations. As of March 31, 2008 and December 31, 2007, the Company concluded that the declines in value of other of its investment securities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were temporary in nature. Further discussion of the fair value of investment securities is included herein under the heading “Capital.”</w:t>
      </w:r>
    </w:p>
    <w:p>
      <w:pPr>
        <w:spacing w:after="0" w:line="117" w:lineRule="exact"/>
        <w:rPr>
          <w:sz w:val="20"/>
          <w:szCs w:val="20"/>
          <w:color w:val="auto"/>
        </w:rPr>
      </w:pPr>
    </w:p>
    <w:p>
      <w:pPr>
        <w:ind w:right="120" w:firstLine="225"/>
        <w:spacing w:after="0" w:line="270" w:lineRule="auto"/>
        <w:rPr>
          <w:sz w:val="20"/>
          <w:szCs w:val="20"/>
          <w:color w:val="auto"/>
        </w:rPr>
      </w:pPr>
      <w:r>
        <w:rPr>
          <w:rFonts w:ascii="Arial" w:cs="Arial" w:eastAsia="Arial" w:hAnsi="Arial"/>
          <w:sz w:val="17"/>
          <w:szCs w:val="17"/>
          <w:color w:val="auto"/>
        </w:rPr>
        <w:t>Other earning assets include deposits at banks, trading account assets, federal funds sold and agreements to resell securities. Those other earning assets in the aggregate averaged $214 million in the recently completed quarter, compared with $365 million and $805 million in the first and fourth quarters of 2007, respectively. The decline in such assets in the recent quarter as compared with the immediately preceding quarter resulted from maturities of investment securities under agreements to resell. Those resell agreements had been entered into primarily to collateralize municipal deposits. Resell agreements are accounted for similar to collateralized loans, with changes in the fair value of the collateral monitored by the Company to ensure sufficient coverage. Such agreements averaged $286 million and $713 million in the first and fourth quarters of 2007, respectively, compared with $115 million during the initial quarter of 2008. The amounts of investment securities and other earning assets held by the Company are influenced by such factors as demand for loans, which generally yield more than investment securities and other earning assets, ongoing repayments, the level of deposits, and management of balance sheet size and resulting capital ratios.</w:t>
      </w:r>
    </w:p>
    <w:p>
      <w:pPr>
        <w:spacing w:after="0" w:line="74" w:lineRule="exact"/>
        <w:rPr>
          <w:sz w:val="20"/>
          <w:szCs w:val="20"/>
          <w:color w:val="auto"/>
        </w:rPr>
      </w:pPr>
    </w:p>
    <w:p>
      <w:pPr>
        <w:ind w:right="800" w:firstLine="215"/>
        <w:spacing w:after="0" w:line="277" w:lineRule="auto"/>
        <w:rPr>
          <w:sz w:val="20"/>
          <w:szCs w:val="20"/>
          <w:color w:val="auto"/>
        </w:rPr>
      </w:pPr>
      <w:r>
        <w:rPr>
          <w:rFonts w:ascii="Arial" w:cs="Arial" w:eastAsia="Arial" w:hAnsi="Arial"/>
          <w:sz w:val="18"/>
          <w:szCs w:val="18"/>
          <w:color w:val="auto"/>
        </w:rPr>
        <w:t>As a result of the changes described herein, average earning assets rose 14% to $57.7 billion in the first quarter of 2008 from $50.7 billion in the corresponding 2007 quarter. Average earning assets aggregated $54.8 billion in the fourth quarter of 2007.</w:t>
      </w:r>
    </w:p>
    <w:p>
      <w:pPr>
        <w:spacing w:after="0" w:line="62" w:lineRule="exact"/>
        <w:rPr>
          <w:sz w:val="20"/>
          <w:szCs w:val="20"/>
          <w:color w:val="auto"/>
        </w:rPr>
      </w:pPr>
    </w:p>
    <w:p>
      <w:pPr>
        <w:ind w:right="40" w:firstLine="222"/>
        <w:spacing w:after="0" w:line="271" w:lineRule="auto"/>
        <w:rPr>
          <w:sz w:val="20"/>
          <w:szCs w:val="20"/>
          <w:color w:val="auto"/>
        </w:rPr>
      </w:pPr>
      <w:r>
        <w:rPr>
          <w:rFonts w:ascii="Arial" w:cs="Arial" w:eastAsia="Arial" w:hAnsi="Arial"/>
          <w:sz w:val="17"/>
          <w:szCs w:val="17"/>
          <w:color w:val="auto"/>
        </w:rPr>
        <w:t>The most significant source of funding for the Company is core deposits, which are comprised of noninterest-bearing deposits, interest-bearing transaction accounts, nonbrokered savings deposits and nonbrokered domestic time deposits under $100,000. The Company’s branch network is its principal source of core deposits, which generally carry lower interest rates than wholesale funds of comparable maturities. Certificates of deposit under $100,000 generated on a nationwide basis by M&amp;T Bank, National Association (“M&amp;T Bank, N.A.”), a wholly owned bank subsidiary of M&amp;T, are also included in core deposits. Core deposits averaged $30.6 billion in the first quarter of 2008, compared with $28.6 billion in the corresponding quarter of 2007 and $28.9 billion in the final quarter of 2007. The Partners Trust and First Horizon acquisition transactions in 2007’s fourth quarter added approximately $2.0 billion of core deposits at acquisition, but only added $620 million to average core deposits during the fourth quarter of 2007. The following table provides an analysis of quarterly changes in the components of average core deposits.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AVERAGE CORE DEPOSITS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Dollars in millions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520" w:type="dxa"/>
            <w:vAlign w:val="bottom"/>
            <w:gridSpan w:val="3"/>
          </w:tcPr>
          <w:p>
            <w:pPr>
              <w:ind w:left="580"/>
              <w:spacing w:after="0"/>
              <w:rPr>
                <w:sz w:val="20"/>
                <w:szCs w:val="20"/>
                <w:color w:val="auto"/>
              </w:rPr>
            </w:pPr>
            <w:r>
              <w:rPr>
                <w:rFonts w:ascii="Arial" w:cs="Arial" w:eastAsia="Arial" w:hAnsi="Arial"/>
                <w:sz w:val="14"/>
                <w:szCs w:val="14"/>
                <w:color w:val="auto"/>
                <w:w w:val="87"/>
              </w:rPr>
              <w:t>Percent increase</w:t>
            </w: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49"/>
        </w:trPr>
        <w:tc>
          <w:tcPr>
            <w:tcW w:w="7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520" w:type="dxa"/>
            <w:vAlign w:val="bottom"/>
            <w:gridSpan w:val="3"/>
          </w:tcPr>
          <w:p>
            <w:pPr>
              <w:ind w:left="600"/>
              <w:spacing w:after="0" w:line="149" w:lineRule="exact"/>
              <w:rPr>
                <w:sz w:val="20"/>
                <w:szCs w:val="20"/>
                <w:color w:val="auto"/>
              </w:rPr>
            </w:pPr>
            <w:r>
              <w:rPr>
                <w:rFonts w:ascii="Arial" w:cs="Arial" w:eastAsia="Arial" w:hAnsi="Arial"/>
                <w:sz w:val="14"/>
                <w:szCs w:val="14"/>
                <w:color w:val="auto"/>
                <w:w w:val="91"/>
              </w:rPr>
              <w:t>(decrease) from</w:t>
            </w: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49"/>
        </w:trPr>
        <w:tc>
          <w:tcPr>
            <w:tcW w:w="7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right"/>
              <w:ind w:right="800"/>
              <w:spacing w:after="0" w:line="149" w:lineRule="exact"/>
              <w:rPr>
                <w:sz w:val="20"/>
                <w:szCs w:val="20"/>
                <w:color w:val="auto"/>
              </w:rPr>
            </w:pPr>
            <w:r>
              <w:rPr>
                <w:rFonts w:ascii="Arial" w:cs="Arial" w:eastAsia="Arial" w:hAnsi="Arial"/>
                <w:sz w:val="14"/>
                <w:szCs w:val="14"/>
                <w:color w:val="auto"/>
                <w:w w:val="91"/>
              </w:rPr>
              <w:t>1st Qtr.</w:t>
            </w:r>
          </w:p>
        </w:tc>
        <w:tc>
          <w:tcPr>
            <w:tcW w:w="152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1st Qtr.</w:t>
            </w:r>
          </w:p>
        </w:tc>
        <w:tc>
          <w:tcPr>
            <w:tcW w:w="7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w w:val="89"/>
              </w:rPr>
              <w:t>4th Qtr.</w:t>
            </w:r>
          </w:p>
        </w:tc>
      </w:tr>
      <w:tr>
        <w:trPr>
          <w:trHeight w:val="167"/>
        </w:trPr>
        <w:tc>
          <w:tcPr>
            <w:tcW w:w="77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color w:val="auto"/>
              </w:rPr>
              <w:t>2008</w:t>
            </w:r>
          </w:p>
        </w:tc>
        <w:tc>
          <w:tcPr>
            <w:tcW w:w="680" w:type="dxa"/>
            <w:vAlign w:val="bottom"/>
          </w:tcPr>
          <w:p>
            <w:pPr>
              <w:spacing w:after="0"/>
              <w:rPr>
                <w:sz w:val="14"/>
                <w:szCs w:val="14"/>
                <w:color w:val="auto"/>
              </w:rPr>
            </w:pPr>
          </w:p>
        </w:tc>
        <w:tc>
          <w:tcPr>
            <w:tcW w:w="680" w:type="dxa"/>
            <w:vAlign w:val="bottom"/>
            <w:tcBorders>
              <w:bottom w:val="single" w:sz="8" w:color="auto"/>
            </w:tcBorders>
          </w:tcPr>
          <w:p>
            <w:pPr>
              <w:jc w:val="right"/>
              <w:ind w:right="118"/>
              <w:spacing w:after="0"/>
              <w:rPr>
                <w:sz w:val="20"/>
                <w:szCs w:val="20"/>
                <w:color w:val="auto"/>
              </w:rPr>
            </w:pPr>
            <w:r>
              <w:rPr>
                <w:rFonts w:ascii="Arial" w:cs="Arial" w:eastAsia="Arial" w:hAnsi="Arial"/>
                <w:sz w:val="14"/>
                <w:szCs w:val="14"/>
                <w:color w:val="auto"/>
              </w:rPr>
              <w:t>2007</w:t>
            </w:r>
          </w:p>
        </w:tc>
        <w:tc>
          <w:tcPr>
            <w:tcW w:w="7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color w:val="auto"/>
              </w:rPr>
              <w:t>2007</w:t>
            </w:r>
          </w:p>
        </w:tc>
        <w:tc>
          <w:tcPr>
            <w:tcW w:w="220" w:type="dxa"/>
            <w:vAlign w:val="bottom"/>
          </w:tcPr>
          <w:p>
            <w:pPr>
              <w:spacing w:after="0"/>
              <w:rPr>
                <w:sz w:val="14"/>
                <w:szCs w:val="14"/>
                <w:color w:val="auto"/>
              </w:rPr>
            </w:pPr>
          </w:p>
        </w:tc>
      </w:tr>
      <w:tr>
        <w:trPr>
          <w:trHeight w:val="210"/>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NOW accounts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484</w:t>
            </w: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7780" w:type="dxa"/>
            <w:vAlign w:val="bottom"/>
          </w:tcPr>
          <w:p>
            <w:pPr>
              <w:spacing w:after="0"/>
              <w:rPr>
                <w:sz w:val="20"/>
                <w:szCs w:val="20"/>
                <w:color w:val="auto"/>
              </w:rPr>
            </w:pPr>
            <w:r>
              <w:rPr>
                <w:rFonts w:ascii="Arial" w:cs="Arial" w:eastAsia="Arial" w:hAnsi="Arial"/>
                <w:sz w:val="18"/>
                <w:szCs w:val="18"/>
                <w:color w:val="auto"/>
              </w:rPr>
              <w:t>Savings deposits</w:t>
            </w:r>
          </w:p>
        </w:tc>
        <w:tc>
          <w:tcPr>
            <w:tcW w:w="100" w:type="dxa"/>
            <w:vAlign w:val="bottom"/>
          </w:tcPr>
          <w:p>
            <w:pPr>
              <w:spacing w:after="0"/>
              <w:rPr>
                <w:sz w:val="18"/>
                <w:szCs w:val="18"/>
                <w:color w:val="auto"/>
              </w:rPr>
            </w:pPr>
          </w:p>
        </w:tc>
        <w:tc>
          <w:tcPr>
            <w:tcW w:w="1240" w:type="dxa"/>
            <w:vAlign w:val="bottom"/>
            <w:gridSpan w:val="2"/>
          </w:tcPr>
          <w:p>
            <w:pPr>
              <w:jc w:val="right"/>
              <w:ind w:right="680"/>
              <w:spacing w:after="0"/>
              <w:rPr>
                <w:sz w:val="20"/>
                <w:szCs w:val="20"/>
                <w:color w:val="auto"/>
              </w:rPr>
            </w:pPr>
            <w:r>
              <w:rPr>
                <w:rFonts w:ascii="Arial" w:cs="Arial" w:eastAsia="Arial" w:hAnsi="Arial"/>
                <w:sz w:val="18"/>
                <w:szCs w:val="18"/>
                <w:color w:val="auto"/>
                <w:w w:val="98"/>
              </w:rPr>
              <w:t>16,740</w:t>
            </w:r>
          </w:p>
        </w:tc>
        <w:tc>
          <w:tcPr>
            <w:tcW w:w="1400" w:type="dxa"/>
            <w:vAlign w:val="bottom"/>
            <w:gridSpan w:val="2"/>
          </w:tcPr>
          <w:p>
            <w:pPr>
              <w:jc w:val="right"/>
              <w:ind w:right="72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18"/>
                <w:szCs w:val="18"/>
                <w:color w:val="auto"/>
              </w:rPr>
            </w:pPr>
          </w:p>
        </w:tc>
      </w:tr>
      <w:tr>
        <w:trPr>
          <w:trHeight w:val="216"/>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Time deposits less than $100,000</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5,977</w:t>
            </w:r>
          </w:p>
        </w:tc>
        <w:tc>
          <w:tcPr>
            <w:tcW w:w="6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w:t>
            </w:r>
          </w:p>
        </w:tc>
      </w:tr>
      <w:tr>
        <w:trPr>
          <w:trHeight w:val="216"/>
        </w:trPr>
        <w:tc>
          <w:tcPr>
            <w:tcW w:w="7780" w:type="dxa"/>
            <w:vAlign w:val="bottom"/>
          </w:tcPr>
          <w:p>
            <w:pPr>
              <w:spacing w:after="0"/>
              <w:rPr>
                <w:sz w:val="20"/>
                <w:szCs w:val="20"/>
                <w:color w:val="auto"/>
              </w:rPr>
            </w:pPr>
            <w:r>
              <w:rPr>
                <w:rFonts w:ascii="Arial" w:cs="Arial" w:eastAsia="Arial" w:hAnsi="Arial"/>
                <w:sz w:val="18"/>
                <w:szCs w:val="18"/>
                <w:color w:val="auto"/>
              </w:rPr>
              <w:t>Noninterest-bearing deposits</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7,435</w:t>
            </w:r>
          </w:p>
        </w:tc>
        <w:tc>
          <w:tcPr>
            <w:tcW w:w="6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r>
      <w:tr>
        <w:trPr>
          <w:trHeight w:val="27"/>
        </w:trPr>
        <w:tc>
          <w:tcPr>
            <w:tcW w:w="7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r>
      <w:tr>
        <w:trPr>
          <w:trHeight w:val="216"/>
        </w:trPr>
        <w:tc>
          <w:tcPr>
            <w:tcW w:w="7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8"/>
              </w:rPr>
              <w:t>30,636</w:t>
            </w: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w:t>
            </w:r>
          </w:p>
        </w:tc>
      </w:tr>
      <w:tr>
        <w:trPr>
          <w:trHeight w:val="20"/>
        </w:trPr>
        <w:tc>
          <w:tcPr>
            <w:tcW w:w="7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60" w:firstLine="215"/>
        <w:spacing w:after="0" w:line="297" w:lineRule="auto"/>
        <w:rPr>
          <w:sz w:val="20"/>
          <w:szCs w:val="20"/>
          <w:color w:val="auto"/>
        </w:rPr>
      </w:pPr>
      <w:r>
        <w:rPr>
          <w:rFonts w:ascii="Arial" w:cs="Arial" w:eastAsia="Arial" w:hAnsi="Arial"/>
          <w:sz w:val="16"/>
          <w:szCs w:val="16"/>
          <w:color w:val="auto"/>
        </w:rPr>
        <w:t>Additional sources of funding for the Company include domestic time deposits of $100,000 or more, deposits originated through the Company’s offshore branch office, and brokered deposits. Domestic time deposits over $100,000, excluding brokered certificates of deposit, averaged $2.6 billion during the quarter ended March 31, 2008, compared with $2.9 billion in the first quarter of 2007 and $2.8 billion in 2007’s fourth quarter. Offshore branch deposits, primarily comprised of accounts with balances of $100,000 or more, averaged $4.8 billion, $3.7 billion and $5.0 billion for the quarters ended March 31, 2008, March 31, 2007 and December 31, 2007, respectively. Average brokered time deposits totaled $1.8 billion during the recently completed quarter,</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compared with $2.8 billion and $1.9 billion in the first and fourth quarters of 2007, respectively. In connection with the Company’s management of interest rate risk, interest rate swap agreements have been entered into under which the Company receives a fixed rate of interest and pays a variable rate and that have notional amounts and terms substantially similar to the amounts and terms of $135 million of brokered time deposits. The Company also had brokered money-market deposit accounts which averaged $102 million during the first quarter of 2008, compared with $84 million in the year-earlier quarter and $98 million in the fourth quarter of 2007. Offshore branch deposits and brokered deposits have been used by the Company as an alternative to short-term borrowings. Additional amounts of offshore branch deposits or brokered deposits may be solicited in the future depending on market conditions, including demand by customers and other investors for such deposits, and the cost of funds available from alternative sources at the time.</w:t>
      </w:r>
    </w:p>
    <w:p>
      <w:pPr>
        <w:spacing w:after="0" w:line="59" w:lineRule="exact"/>
        <w:rPr>
          <w:sz w:val="20"/>
          <w:szCs w:val="20"/>
          <w:color w:val="auto"/>
        </w:rPr>
      </w:pPr>
    </w:p>
    <w:p>
      <w:pPr>
        <w:ind w:firstLine="222"/>
        <w:spacing w:after="0" w:line="289" w:lineRule="auto"/>
        <w:rPr>
          <w:sz w:val="20"/>
          <w:szCs w:val="20"/>
          <w:color w:val="auto"/>
        </w:rPr>
      </w:pPr>
      <w:r>
        <w:rPr>
          <w:rFonts w:ascii="Arial" w:cs="Arial" w:eastAsia="Arial" w:hAnsi="Arial"/>
          <w:sz w:val="16"/>
          <w:szCs w:val="16"/>
          <w:color w:val="auto"/>
        </w:rPr>
        <w:t>The Company also uses borrowings from banks, securities dealers, various Federal Home Loan Banks (“FHLBs”), and others as sources of funding. Short-term borrowings averaged $7.2 billion in the first 2008 quarter, compared with $4.9 billion in the year-earlier quarter and $5.9 billion in the last 2007 quarter. Included in short-term borrowings were unsecured federal funds borrowings, which generally mature daily, that averaged $5.6 billion in the recent quarter, compared with $4.1 billion and $4.8 billion in the first and fourth quarters of 2007, respectively. Overnight federal funds borrowings represent the largest component of short-term borrowings and are obtained from a wide variety of banks and other financial institutions. Also included in short-term borrowings is a $500 million revolving asset-backed structured borrowing secured by automobile loans that were transferred to M&amp;T Auto Receivables I, LLC, a special purpose subsidiary of M&amp;T Bank. The special purpose subsidiary, the loans and the borrowings are included in the consolidated financial statements of the Company. Average short-term borrowings during the recent quarter included $781 million of borrowings from the FHLB of New York, compared with $617 million in the fourth quarter of 2007. There were no similar short-term borrowings outstanding during the first quarter of 2007.</w:t>
      </w:r>
    </w:p>
    <w:p>
      <w:pPr>
        <w:spacing w:after="0" w:line="59" w:lineRule="exact"/>
        <w:rPr>
          <w:sz w:val="20"/>
          <w:szCs w:val="20"/>
          <w:color w:val="auto"/>
        </w:rPr>
      </w:pPr>
    </w:p>
    <w:p>
      <w:pPr>
        <w:ind w:firstLine="225"/>
        <w:spacing w:after="0" w:line="287" w:lineRule="auto"/>
        <w:rPr>
          <w:sz w:val="20"/>
          <w:szCs w:val="20"/>
          <w:color w:val="auto"/>
        </w:rPr>
      </w:pPr>
      <w:r>
        <w:rPr>
          <w:rFonts w:ascii="Arial" w:cs="Arial" w:eastAsia="Arial" w:hAnsi="Arial"/>
          <w:sz w:val="16"/>
          <w:szCs w:val="16"/>
          <w:color w:val="auto"/>
        </w:rPr>
        <w:t>Long-term borrowings averaged $10.3 billion in the first quarter of 2008, compared with $7.3 billion in the corresponding 2007 quarter and $9.8 billion in the fourth quarter of 2007. Included in average long-term borrowings were amounts borrowed from the FHLBs of $5.4 billion in the initial quarter of 2008 and $3.5 billion and $5.5 billion in the first and fourth quarters of 2007, respectively, and subordinated capital notes of $1.9 billion in the most recent quarter, $1.7 billion in the first quarter of 2007 and $1.6 billion in 2007’s final quarter. M&amp;T Bank issued $400 million of subordinated notes in December 2007, in part to maintain appropriate regulatory capital ratios. Junior subordinated debentures associated with trust preferred securities that were included in average long-term borrowings were $981 million in the first quarter of 2008, compared with $713 million and $725 million in the first and fourth quarters of 2007, respectively. During January 2008, M&amp;T issued $350 million of Enhanced Trust Preferred Securities, bearing a fixed rate of interest of 8.50% and maturing in 2068. The related junior subordinated debentures are included in long-term borrowings. Information regarding trust preferred securities and the related junior subordinated debentures is provided in note 4 of Notes to Financial Statements. Also included in long-term borrowings were agreements to repurchase securities, which averaged $1.6 billion during the last two quarters, and $1.4 billion in the first quarter of 2007. The agreements have various repurchase dates through 2017, however, the contractual maturities of the underlying securities extend beyond such repurchase dates.</w:t>
      </w:r>
    </w:p>
    <w:p>
      <w:pPr>
        <w:spacing w:after="0" w:line="65" w:lineRule="exact"/>
        <w:rPr>
          <w:sz w:val="20"/>
          <w:szCs w:val="20"/>
          <w:color w:val="auto"/>
        </w:rPr>
      </w:pPr>
    </w:p>
    <w:p>
      <w:pPr>
        <w:ind w:right="300" w:firstLine="225"/>
        <w:spacing w:after="0" w:line="312" w:lineRule="auto"/>
        <w:rPr>
          <w:sz w:val="20"/>
          <w:szCs w:val="20"/>
          <w:color w:val="auto"/>
        </w:rPr>
      </w:pPr>
      <w:r>
        <w:rPr>
          <w:rFonts w:ascii="Arial" w:cs="Arial" w:eastAsia="Arial" w:hAnsi="Arial"/>
          <w:sz w:val="16"/>
          <w:szCs w:val="16"/>
          <w:color w:val="auto"/>
        </w:rPr>
        <w:t>Changes in the composition of the Company’s earning assets and interest-bearing liabilities as described herein, as well as changes in interest rates and spreads, can impact net interest income. Net interest spread, or the difference between the taxable-equivalent yield on earning assets and the rate paid on interest-bearing liabilities, was 2.94% in the first quarter of 2008 and 3.03% in the year-earlier quarter. The yield on earning assets during the</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recent quarter was 6.20%, down 73 basis points from 6.93% in the first quarter of 2007, while the rate paid on interest-bearing liabilities decreased 64 basis points to 3.26% from 3.90%. In the fourth quarter of 2007, the net interest spread was 2.90%, the yield on earning assets was 6.65% and the rate paid on interest-bearing liabilities was 3.75%. In September 2007, the Federal Reserve began lowering its benchmark overnight federal funds target rate, first by 50 basis points, then twice more during the fourth quarter, each by 25 basis points. In response to deteriorating economic conditions, the Federal Reserve aggressively continued the interest rate reductions during the recent quarter, three times cutting its benchmark rate, in total by 200 basis points. The decline in the Company’s net interest spread during the recent quarter as compared with the first quarter of 2007 was attributable to several factors, including significantly higher loan balances funded partially by wholesale borrowings, higher levels of investment securities and other earning assets that generally yield less than loans, and the impact of the recent acquisition transactions and issuances of long-term borrowings. The improvement in net interest spread from the final quarter of 2007 to the recent quarter was due, in part, to a more rapid decline in rates paid on interest-bearing liabilities, most notably short-term borrowings, than in the yields on earning assets.</w:t>
      </w:r>
    </w:p>
    <w:p>
      <w:pPr>
        <w:spacing w:after="0" w:line="70" w:lineRule="exact"/>
        <w:rPr>
          <w:sz w:val="20"/>
          <w:szCs w:val="20"/>
          <w:color w:val="auto"/>
        </w:rPr>
      </w:pPr>
    </w:p>
    <w:p>
      <w:pPr>
        <w:ind w:left="240"/>
        <w:spacing w:after="0"/>
        <w:rPr>
          <w:sz w:val="20"/>
          <w:szCs w:val="20"/>
          <w:color w:val="auto"/>
        </w:rPr>
      </w:pPr>
      <w:r>
        <w:rPr>
          <w:rFonts w:ascii="Arial" w:cs="Arial" w:eastAsia="Arial" w:hAnsi="Arial"/>
          <w:sz w:val="16"/>
          <w:szCs w:val="16"/>
          <w:color w:val="auto"/>
        </w:rPr>
        <w:t>Net interest-free funds consist largely of noninterest-bearing demand deposits and stockholders’ equity, partially offset by bank owned life insurance and</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non-earning assets, including goodwill, core deposit and other intangible assets and M&amp;T’s investment in Bayview Lending Group LLC (“BLG”), a</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privately-held commercial mortgage lender, in which M&amp;T invested $300 million in February 2007. BLG specializes in originating, securitizing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servicing small balance commercial real estate loans. Net interest-free funds averaged $7.7 billion in the first quarter of 2008, compared with $8.0 billion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each of the first and fourth quarters of 2007. Goodwill and core deposit and other intangible assets averaged $3.4 billion during the quarter ended March 31,</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2008, $3.1 billion in the first quarter of 2007 and $3.2 billion in 2007’s final quarter. The cash surrender value of bank owned life insurance averaged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$1.2 billion in each of the first quarter of 2008 and the fourth quarter of 2007, and $1.1 billion in the first quarter of 2007. Increases in the cash surrender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value of bank owned life insurance and benefits received are not included in interest income, but rather are recorded in “other revenues from operations.”</w:t>
      </w:r>
    </w:p>
    <w:p>
      <w:pPr>
        <w:spacing w:after="0" w:line="126" w:lineRule="exact"/>
        <w:rPr>
          <w:sz w:val="20"/>
          <w:szCs w:val="20"/>
          <w:color w:val="auto"/>
        </w:rPr>
      </w:pPr>
    </w:p>
    <w:p>
      <w:pPr>
        <w:ind w:right="180" w:firstLine="222"/>
        <w:spacing w:after="0" w:line="312" w:lineRule="auto"/>
        <w:rPr>
          <w:sz w:val="20"/>
          <w:szCs w:val="20"/>
          <w:color w:val="auto"/>
        </w:rPr>
      </w:pPr>
      <w:r>
        <w:rPr>
          <w:rFonts w:ascii="Arial" w:cs="Arial" w:eastAsia="Arial" w:hAnsi="Arial"/>
          <w:sz w:val="16"/>
          <w:szCs w:val="16"/>
          <w:color w:val="auto"/>
        </w:rPr>
        <w:t>The contribution of net interest-free funds to net interest margin was .44% in the recent quarter, compared with .61% in the year-earlier quarter and .55% in 2007’s final quarter. The decrease in the contribution to net interest margin ascribed to net interest-free funds in the recent quarter as compared with the first and fourth quarters of 2007 resulted largely from the impact of lower interest rates on interest-bearing liabilities used to value such contribution.</w:t>
      </w:r>
    </w:p>
    <w:p>
      <w:pPr>
        <w:spacing w:after="0" w:line="39" w:lineRule="exact"/>
        <w:rPr>
          <w:sz w:val="20"/>
          <w:szCs w:val="20"/>
          <w:color w:val="auto"/>
        </w:rPr>
      </w:pPr>
    </w:p>
    <w:p>
      <w:pPr>
        <w:ind w:left="240"/>
        <w:spacing w:after="0"/>
        <w:rPr>
          <w:sz w:val="20"/>
          <w:szCs w:val="20"/>
          <w:color w:val="auto"/>
        </w:rPr>
      </w:pPr>
      <w:r>
        <w:rPr>
          <w:rFonts w:ascii="Arial" w:cs="Arial" w:eastAsia="Arial" w:hAnsi="Arial"/>
          <w:sz w:val="16"/>
          <w:szCs w:val="16"/>
          <w:color w:val="auto"/>
        </w:rPr>
        <w:t>Reflecting the changes to the net interest spread and the contribution of interest-free funds as described herein, the Company’s net interest margin was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3.38% in the first quarter of 2008, compared with 3.64% in the first quarter of 2007 and 3.45% in the fourth quarter of 2007. Future changes in market interest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rates or spreads, as well as changes in the composition of the Company’s portfolios of earning assets and interest-bearing liabilities that result in reductions 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spreads, could adversely impact the Company’s net interest income and net interest margin.</w:t>
      </w:r>
    </w:p>
    <w:p>
      <w:pPr>
        <w:spacing w:after="0" w:line="103" w:lineRule="exact"/>
        <w:rPr>
          <w:sz w:val="20"/>
          <w:szCs w:val="20"/>
          <w:color w:val="auto"/>
        </w:rPr>
      </w:pPr>
    </w:p>
    <w:p>
      <w:pPr>
        <w:ind w:right="200" w:firstLine="225"/>
        <w:spacing w:after="0" w:line="259" w:lineRule="auto"/>
        <w:rPr>
          <w:sz w:val="20"/>
          <w:szCs w:val="20"/>
          <w:color w:val="auto"/>
        </w:rPr>
      </w:pPr>
      <w:r>
        <w:rPr>
          <w:rFonts w:ascii="Arial" w:cs="Arial" w:eastAsia="Arial" w:hAnsi="Arial"/>
          <w:sz w:val="18"/>
          <w:szCs w:val="18"/>
          <w:color w:val="auto"/>
        </w:rPr>
        <w:t>Management assesses the potential impact of future changes in interest rates and spreads by projecting net interest income under several interest rate scenarios. In managing interest rate risk, the Company utilizes interest rate swap agreements to modify the repricing characteristics of certain portions of its portfolios of earning assets and interest-bearing liabilities. Periodic settlement amounts arising from these agreements are generally reflected in either the yields earned on assets or the rates paid on</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interest-bearing liabilities. The notional amount of interest rate swap agreements entered into for interest rate risk management purposes was approximately $1.2 billion as of March 31, 2008, $1.0 billion as of March 31, 2007 and $2.3 billion as of December 31, 2007. Under the terms of all of the swap agreements outstanding as of March 31, 2007 and 2008 and $842 million of the swap agreements outstanding as of December 31, 2007, the Company received payments based on the outstanding notional amount of the swap agreements at fixed rates and made payments at variable rates. Those swap agreements were designated as fair value hedges of certain fixed rate time deposits and long-term borrowings. There were no interest rate swap agreements designated as cash flow hedges at March 31, 2008 or at March 31, 2007. Under the terms of the additional $1.5 billion of swap agreements outstanding at the 2007 year-end, the Company paid a fixed rate of interest and received a variable rate. Those agreements had been designated as cash flow hedges of certain variable rate long-term borrowings. During the first quarter of 2008, those swap agreements were terminated by the Company resulting in the realization of a loss of $37 million. That loss is being amortized over the original hedge period as an adjustment to interest expense associated with the previously hedged long-term borrowings.</w:t>
      </w:r>
    </w:p>
    <w:p>
      <w:pPr>
        <w:spacing w:after="0" w:line="59" w:lineRule="exact"/>
        <w:rPr>
          <w:sz w:val="20"/>
          <w:szCs w:val="20"/>
          <w:color w:val="auto"/>
        </w:rPr>
      </w:pPr>
    </w:p>
    <w:p>
      <w:pPr>
        <w:ind w:right="20" w:firstLine="225"/>
        <w:spacing w:after="0" w:line="284" w:lineRule="auto"/>
        <w:rPr>
          <w:sz w:val="20"/>
          <w:szCs w:val="20"/>
          <w:color w:val="auto"/>
        </w:rPr>
      </w:pPr>
      <w:r>
        <w:rPr>
          <w:rFonts w:ascii="Arial" w:cs="Arial" w:eastAsia="Arial" w:hAnsi="Arial"/>
          <w:sz w:val="16"/>
          <w:szCs w:val="16"/>
          <w:color w:val="auto"/>
        </w:rPr>
        <w:t>In a fair value hedge, the fair value of the derivative (the interest rate swap agreement) and changes in the fair value of the hedged item are recorded in the Company’s consolidated balance sheet with the corresponding gain or loss recognized in current earnings. The difference between changes in the fair value of the interest rate swap agreements and the hedged items represents hedge ineffectiveness and is recorded in “other revenues from operations” in the Company’s consolidated statement of income. In a cash flow hedge, unlike in a fair value hedge, the effective portion of the derivative’s gain or loss is initially reported as a component of other comprehensive income and subsequently reclassified into earnings when the forecasted transaction affects earnings. The ineffective portion of the gain or loss is reported in “other revenues from operations” immediately. The amounts of hedge ineffectiveness recognized during the quarters ended March 31, 2008 and 2007 and the quarter ended December 31, 2007 were not material to the Company’s results of operations. The estimated aggregate fair value of interest rate swap agreements designated as fair value hedges represented gains of approximately $41 million and</w:t>
      </w:r>
    </w:p>
    <w:p>
      <w:pPr>
        <w:spacing w:after="0" w:line="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$17 million at March 31, 2008 and December 31, 2007, respectively, and a loss of approximately $12 million at March 31, 2007. The fair values of such swap agreements were substantially offset by changes in the fair values of the hedged items. The estimated fair values of interest rate swap agreements designated as cash flow hedges were losses of approximately $17 million at December 31, 2007. No interest rate swap agreements were designated as cash flow hedges at either March 31, 2008 or 2007. The changes in the fair values of the interest rate swap agreements and the hedged items result from the effects of changing interest rates.</w:t>
      </w:r>
    </w:p>
    <w:p>
      <w:pPr>
        <w:spacing w:after="0" w:line="83" w:lineRule="exact"/>
        <w:rPr>
          <w:sz w:val="20"/>
          <w:szCs w:val="20"/>
          <w:color w:val="auto"/>
        </w:rPr>
      </w:pPr>
    </w:p>
    <w:p>
      <w:pPr>
        <w:ind w:right="80" w:firstLine="222"/>
        <w:spacing w:after="0" w:line="312" w:lineRule="auto"/>
        <w:rPr>
          <w:sz w:val="20"/>
          <w:szCs w:val="20"/>
          <w:color w:val="auto"/>
        </w:rPr>
      </w:pPr>
      <w:r>
        <w:rPr>
          <w:rFonts w:ascii="Arial" w:cs="Arial" w:eastAsia="Arial" w:hAnsi="Arial"/>
          <w:sz w:val="16"/>
          <w:szCs w:val="16"/>
          <w:color w:val="auto"/>
        </w:rPr>
        <w:t>The weighted-average rates to be received and paid under interest rate swap agreements currently in effect were 6.16% and 4.96%, respectively, at March 31, 2008. The average notional amounts of interest rate swap agreements entered into for interest rate risk management purposes, the related effect on net interest income and margin, and the weighted-average rates paid or received on those swap agreements are presented in the accompanying table.</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INTEREST RATE SWAP AGREEMENTS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5"/>
          </w:tcPr>
          <w:p>
            <w:pPr>
              <w:jc w:val="right"/>
              <w:ind w:right="300"/>
              <w:spacing w:after="0"/>
              <w:rPr>
                <w:sz w:val="20"/>
                <w:szCs w:val="20"/>
                <w:color w:val="auto"/>
              </w:rPr>
            </w:pPr>
            <w:r>
              <w:rPr>
                <w:rFonts w:ascii="Arial" w:cs="Arial" w:eastAsia="Arial" w:hAnsi="Arial"/>
                <w:sz w:val="14"/>
                <w:szCs w:val="14"/>
                <w:color w:val="auto"/>
                <w:w w:val="96"/>
              </w:rPr>
              <w:t>Three months ended March 31</w:t>
            </w:r>
          </w:p>
        </w:tc>
        <w:tc>
          <w:tcPr>
            <w:tcW w:w="5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2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gridSpan w:val="2"/>
          </w:tcPr>
          <w:p>
            <w:pPr>
              <w:jc w:val="right"/>
              <w:ind w:right="280"/>
              <w:spacing w:after="0" w:line="142" w:lineRule="exact"/>
              <w:rPr>
                <w:sz w:val="20"/>
                <w:szCs w:val="20"/>
                <w:color w:val="auto"/>
              </w:rPr>
            </w:pPr>
            <w:r>
              <w:rPr>
                <w:rFonts w:ascii="Arial" w:cs="Arial" w:eastAsia="Arial" w:hAnsi="Arial"/>
                <w:sz w:val="14"/>
                <w:szCs w:val="14"/>
                <w:color w:val="auto"/>
              </w:rPr>
              <w:t>2008</w:t>
            </w:r>
          </w:p>
        </w:tc>
        <w:tc>
          <w:tcPr>
            <w:tcW w:w="660" w:type="dxa"/>
            <w:vAlign w:val="bottom"/>
            <w:tcBorders>
              <w:bottom w:val="single" w:sz="8" w:color="auto"/>
            </w:tcBorders>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color w:val="auto"/>
              </w:rPr>
              <w:t>2007</w:t>
            </w:r>
          </w:p>
        </w:tc>
        <w:tc>
          <w:tcPr>
            <w:tcW w:w="68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2"/>
          </w:tcPr>
          <w:p>
            <w:pPr>
              <w:jc w:val="right"/>
              <w:ind w:right="860"/>
              <w:spacing w:after="0" w:line="142" w:lineRule="exact"/>
              <w:rPr>
                <w:sz w:val="20"/>
                <w:szCs w:val="20"/>
                <w:color w:val="auto"/>
              </w:rPr>
            </w:pPr>
            <w:r>
              <w:rPr>
                <w:rFonts w:ascii="Arial" w:cs="Arial" w:eastAsia="Arial" w:hAnsi="Arial"/>
                <w:sz w:val="14"/>
                <w:szCs w:val="14"/>
                <w:color w:val="auto"/>
              </w:rPr>
              <w:t>Amount</w:t>
            </w:r>
          </w:p>
        </w:tc>
        <w:tc>
          <w:tcPr>
            <w:tcW w:w="660" w:type="dxa"/>
            <w:vAlign w:val="bottom"/>
          </w:tcPr>
          <w:p>
            <w:pPr>
              <w:ind w:left="160"/>
              <w:spacing w:after="0" w:line="142" w:lineRule="exact"/>
              <w:rPr>
                <w:sz w:val="20"/>
                <w:szCs w:val="20"/>
                <w:color w:val="auto"/>
              </w:rPr>
            </w:pPr>
            <w:r>
              <w:rPr>
                <w:rFonts w:ascii="Arial" w:cs="Arial" w:eastAsia="Arial" w:hAnsi="Arial"/>
                <w:sz w:val="14"/>
                <w:szCs w:val="14"/>
                <w:color w:val="auto"/>
              </w:rPr>
              <w:t>Rate*</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140"/>
              <w:spacing w:after="0" w:line="142" w:lineRule="exact"/>
              <w:rPr>
                <w:sz w:val="20"/>
                <w:szCs w:val="20"/>
                <w:color w:val="auto"/>
              </w:rPr>
            </w:pPr>
            <w:r>
              <w:rPr>
                <w:rFonts w:ascii="Arial" w:cs="Arial" w:eastAsia="Arial" w:hAnsi="Arial"/>
                <w:sz w:val="14"/>
                <w:szCs w:val="14"/>
                <w:color w:val="auto"/>
                <w:w w:val="99"/>
              </w:rPr>
              <w:t>Amount</w:t>
            </w:r>
          </w:p>
        </w:tc>
        <w:tc>
          <w:tcPr>
            <w:tcW w:w="540" w:type="dxa"/>
            <w:vAlign w:val="bottom"/>
          </w:tcPr>
          <w:p>
            <w:pPr>
              <w:spacing w:after="0"/>
              <w:rPr>
                <w:sz w:val="12"/>
                <w:szCs w:val="12"/>
                <w:color w:val="auto"/>
              </w:rPr>
            </w:pPr>
          </w:p>
        </w:tc>
        <w:tc>
          <w:tcPr>
            <w:tcW w:w="680" w:type="dxa"/>
            <w:vAlign w:val="bottom"/>
          </w:tcPr>
          <w:p>
            <w:pPr>
              <w:ind w:left="180"/>
              <w:spacing w:after="0" w:line="142" w:lineRule="exact"/>
              <w:rPr>
                <w:sz w:val="20"/>
                <w:szCs w:val="20"/>
                <w:color w:val="auto"/>
              </w:rPr>
            </w:pPr>
            <w:r>
              <w:rPr>
                <w:rFonts w:ascii="Arial" w:cs="Arial" w:eastAsia="Arial" w:hAnsi="Arial"/>
                <w:sz w:val="14"/>
                <w:szCs w:val="14"/>
                <w:color w:val="auto"/>
              </w:rPr>
              <w:t>Rate*</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w:t>
            </w: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Pr>
          <w:p>
            <w:pPr>
              <w:ind w:left="220"/>
              <w:spacing w:after="0"/>
              <w:rPr>
                <w:sz w:val="20"/>
                <w:szCs w:val="20"/>
                <w:color w:val="auto"/>
              </w:rPr>
            </w:pPr>
            <w:r>
              <w:rPr>
                <w:rFonts w:ascii="Arial" w:cs="Arial" w:eastAsia="Arial" w:hAnsi="Arial"/>
                <w:sz w:val="18"/>
                <w:szCs w:val="18"/>
                <w:color w:val="auto"/>
              </w:rPr>
              <w:t>Interest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(1,440)</w:t>
            </w:r>
          </w:p>
        </w:tc>
        <w:tc>
          <w:tcPr>
            <w:tcW w:w="14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1,355</w:t>
            </w:r>
          </w:p>
        </w:tc>
        <w:tc>
          <w:tcPr>
            <w:tcW w:w="14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3"/>
        </w:trPr>
        <w:tc>
          <w:tcPr>
            <w:tcW w:w="6240" w:type="dxa"/>
            <w:vAlign w:val="bottom"/>
          </w:tcPr>
          <w:p>
            <w:pPr>
              <w:ind w:left="220"/>
              <w:spacing w:after="0"/>
              <w:rPr>
                <w:sz w:val="20"/>
                <w:szCs w:val="20"/>
                <w:color w:val="auto"/>
              </w:rPr>
            </w:pPr>
            <w:r>
              <w:rPr>
                <w:rFonts w:ascii="Arial" w:cs="Arial" w:eastAsia="Arial" w:hAnsi="Arial"/>
                <w:sz w:val="18"/>
                <w:szCs w:val="18"/>
                <w:color w:val="auto"/>
              </w:rPr>
              <w:t>Net interest income/margin</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1,440</w:t>
            </w:r>
          </w:p>
        </w:tc>
        <w:tc>
          <w:tcPr>
            <w:tcW w:w="660" w:type="dxa"/>
            <w:vAlign w:val="bottom"/>
          </w:tcPr>
          <w:p>
            <w:pPr>
              <w:spacing w:after="0"/>
              <w:rPr>
                <w:sz w:val="19"/>
                <w:szCs w:val="19"/>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.01%</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(1,355</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440" w:type="dxa"/>
            <w:vAlign w:val="bottom"/>
            <w:gridSpan w:val="3"/>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Average notional amount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1,716,307</w:t>
            </w:r>
          </w:p>
        </w:tc>
        <w:tc>
          <w:tcPr>
            <w:tcW w:w="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996,297</w:t>
            </w: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spacing w:after="0"/>
              <w:rPr>
                <w:sz w:val="20"/>
                <w:szCs w:val="20"/>
                <w:color w:val="auto"/>
              </w:rPr>
            </w:pPr>
            <w:r>
              <w:rPr>
                <w:rFonts w:ascii="Arial" w:cs="Arial" w:eastAsia="Arial" w:hAnsi="Arial"/>
                <w:sz w:val="18"/>
                <w:szCs w:val="18"/>
                <w:color w:val="auto"/>
              </w:rPr>
              <w:t>Rate received **</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20" w:type="dxa"/>
            <w:vAlign w:val="bottom"/>
            <w:gridSpan w:val="2"/>
            <w:vMerge w:val="restart"/>
          </w:tcPr>
          <w:p>
            <w:pPr>
              <w:jc w:val="right"/>
              <w:ind w:right="600"/>
              <w:spacing w:after="0"/>
              <w:rPr>
                <w:sz w:val="20"/>
                <w:szCs w:val="20"/>
                <w:color w:val="auto"/>
              </w:rPr>
            </w:pPr>
            <w:r>
              <w:rPr>
                <w:rFonts w:ascii="Arial" w:cs="Arial" w:eastAsia="Arial" w:hAnsi="Arial"/>
                <w:sz w:val="18"/>
                <w:szCs w:val="18"/>
                <w:color w:val="auto"/>
              </w:rPr>
              <w:t>5.72%</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gridSpan w:val="3"/>
            <w:vMerge w:val="restart"/>
          </w:tcPr>
          <w:p>
            <w:pPr>
              <w:jc w:val="right"/>
              <w:ind w:right="60"/>
              <w:spacing w:after="0"/>
              <w:rPr>
                <w:sz w:val="20"/>
                <w:szCs w:val="20"/>
                <w:color w:val="auto"/>
              </w:rPr>
            </w:pPr>
            <w:r>
              <w:rPr>
                <w:rFonts w:ascii="Arial" w:cs="Arial" w:eastAsia="Arial" w:hAnsi="Arial"/>
                <w:sz w:val="18"/>
                <w:szCs w:val="18"/>
                <w:color w:val="auto"/>
              </w:rPr>
              <w:t>5.71%</w:t>
            </w:r>
          </w:p>
        </w:tc>
        <w:tc>
          <w:tcPr>
            <w:tcW w:w="0" w:type="dxa"/>
            <w:vAlign w:val="bottom"/>
          </w:tcPr>
          <w:p>
            <w:pPr>
              <w:spacing w:after="0" w:line="20" w:lineRule="exact"/>
              <w:rPr>
                <w:sz w:val="1"/>
                <w:szCs w:val="1"/>
                <w:color w:val="auto"/>
              </w:rPr>
            </w:pPr>
          </w:p>
        </w:tc>
      </w:tr>
      <w:tr>
        <w:trPr>
          <w:trHeight w:val="210"/>
        </w:trPr>
        <w:tc>
          <w:tcPr>
            <w:tcW w:w="62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Rate paid **</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5.38%</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6.26%</w:t>
            </w: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b w:val="1"/>
          <w:bCs w:val="1"/>
          <w:i w:val="1"/>
          <w:iCs w:val="1"/>
          <w:color w:val="auto"/>
        </w:rPr>
      </w:pPr>
      <w:r>
        <w:rPr>
          <w:rFonts w:ascii="Arial" w:cs="Arial" w:eastAsia="Arial" w:hAnsi="Arial"/>
          <w:sz w:val="18"/>
          <w:szCs w:val="18"/>
          <w:i w:val="1"/>
          <w:iCs w:val="1"/>
          <w:color w:val="auto"/>
        </w:rPr>
        <w:t>Computed as an annualized percentage of average earning assets or interest-bearing liabilities</w:t>
      </w:r>
      <w:r>
        <w:rPr>
          <w:rFonts w:ascii="Arial" w:cs="Arial" w:eastAsia="Arial" w:hAnsi="Arial"/>
          <w:sz w:val="18"/>
          <w:szCs w:val="18"/>
          <w:color w:val="auto"/>
        </w:rPr>
        <w:t>.</w:t>
      </w:r>
    </w:p>
    <w:p>
      <w:pPr>
        <w:spacing w:after="0" w:line="77"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b w:val="1"/>
          <w:bCs w:val="1"/>
          <w:i w:val="1"/>
          <w:iCs w:val="1"/>
          <w:color w:val="auto"/>
        </w:rPr>
      </w:pPr>
      <w:r>
        <w:rPr>
          <w:rFonts w:ascii="Arial" w:cs="Arial" w:eastAsia="Arial" w:hAnsi="Arial"/>
          <w:sz w:val="18"/>
          <w:szCs w:val="18"/>
          <w:i w:val="1"/>
          <w:iCs w:val="1"/>
          <w:color w:val="auto"/>
        </w:rPr>
        <w:t>Weighted-average rate paid or received on interest rate swap agreements in effect during the period.</w:t>
      </w:r>
    </w:p>
    <w:p>
      <w:pPr>
        <w:spacing w:after="0" w:line="117" w:lineRule="exact"/>
        <w:rPr>
          <w:sz w:val="20"/>
          <w:szCs w:val="20"/>
          <w:color w:val="auto"/>
        </w:rPr>
      </w:pPr>
    </w:p>
    <w:p>
      <w:pPr>
        <w:ind w:right="80" w:firstLine="215"/>
        <w:spacing w:after="0" w:line="269" w:lineRule="auto"/>
        <w:rPr>
          <w:sz w:val="20"/>
          <w:szCs w:val="20"/>
          <w:color w:val="auto"/>
        </w:rPr>
      </w:pPr>
      <w:r>
        <w:rPr>
          <w:rFonts w:ascii="Arial" w:cs="Arial" w:eastAsia="Arial" w:hAnsi="Arial"/>
          <w:sz w:val="17"/>
          <w:szCs w:val="17"/>
          <w:color w:val="auto"/>
        </w:rPr>
        <w:t>As a financial intermediary, the Company is exposed to various risks, including liquidity and market risk. Liquidity refers to the Company’s ability to ensure that sufficient cash flow and liquid assets are available to satisfy current and future obligations, including demand for loans and deposit withdrawals, funding operating costs, and other corporate purposes. Liquidity risk arises whenever the maturities of financial instruments included in assets and liabilities differ. M&amp;T’s banking subsidiaries have access to additional funding sources through borrowings from the FHLB of New York, lines of credit with the Federal Reserve Bank of New York, and other available borrowing facilities. The Company has, from time to time, issued subordinated capital notes to provide liquidity and enhance regulatory capital ratios. Such notes qualify for inclusion in the Company’s total capital as defined by federal regulators. In December 2007, M&amp;T Bank issued $400 million of subordinated notes. The notes bear a fixed rate of interest of 6.625% and mature in December 2017. As an additional source of funding, the Company maintains a $500 million revolving asset-backed structured borrowing which is collateralized by automobile loans and related assets that have been transferred to a special purpose subsidiary of M&amp;T Bank. That subsidiary, the loans and the borrowing are included in the Company’s consolidated financial statements. As existing loans of the subsidiary pay down, monthly proceeds, after payment of certain fees and debt service costs, are used to obtain additional automobile loans from M&amp;T Bank or other subsidiaries to replenish the collateral and maintain the existing borrowing base.</w:t>
      </w:r>
    </w:p>
    <w:p>
      <w:pPr>
        <w:spacing w:after="0" w:line="72" w:lineRule="exact"/>
        <w:rPr>
          <w:sz w:val="20"/>
          <w:szCs w:val="20"/>
          <w:color w:val="auto"/>
        </w:rPr>
      </w:pPr>
    </w:p>
    <w:p>
      <w:pPr>
        <w:ind w:right="140" w:firstLine="222"/>
        <w:spacing w:after="0" w:line="272" w:lineRule="auto"/>
        <w:rPr>
          <w:sz w:val="20"/>
          <w:szCs w:val="20"/>
          <w:color w:val="auto"/>
        </w:rPr>
      </w:pPr>
      <w:r>
        <w:rPr>
          <w:rFonts w:ascii="Arial" w:cs="Arial" w:eastAsia="Arial" w:hAnsi="Arial"/>
          <w:sz w:val="17"/>
          <w:szCs w:val="17"/>
          <w:color w:val="auto"/>
        </w:rPr>
        <w:t>The Company has informal and sometimes reciprocal sources of funding available through various arrangements for unsecured short-term borrowings from a wide group of banks and other financial institutions. Short-term federal funds borrowings aggregated $4.1 billion at March 31, 2008, $4.2 billion at December 31, 2007 and $3.3 billion at March 31, 2007. In general, those borrowings were unsecured and matured on the following business day. As already noted, offshore branch deposits and brokered certificates of deposit have been used by the Company as an alternative to short-term borrowings. Offshore branch deposits also generally mature on the next business day and totaled $5.7 billion, $4.8 billion and $5.9 billion at March 31, 2008, March 31, 2007 and December 31, 2007, respectively. At March 31, 2008, the weighted-average remaining term to maturity of brokered time deposits was 9 months. Certain of these brokered time deposits have provisions that allow for early redemption.</w:t>
      </w:r>
    </w:p>
    <w:p>
      <w:pPr>
        <w:spacing w:after="0" w:line="70" w:lineRule="exact"/>
        <w:rPr>
          <w:sz w:val="20"/>
          <w:szCs w:val="20"/>
          <w:color w:val="auto"/>
        </w:rPr>
      </w:pPr>
    </w:p>
    <w:p>
      <w:pPr>
        <w:ind w:right="800" w:firstLine="222"/>
        <w:spacing w:after="0" w:line="342" w:lineRule="auto"/>
        <w:rPr>
          <w:sz w:val="20"/>
          <w:szCs w:val="20"/>
          <w:color w:val="auto"/>
        </w:rPr>
      </w:pPr>
      <w:r>
        <w:rPr>
          <w:rFonts w:ascii="Arial" w:cs="Arial" w:eastAsia="Arial" w:hAnsi="Arial"/>
          <w:sz w:val="16"/>
          <w:szCs w:val="16"/>
          <w:color w:val="auto"/>
        </w:rPr>
        <w:t>The Company’s ability to obtain funding from these or other sources could be negatively impacted should the Company experience a substantial deterioration in its financial condition or its debt ratings, or should the availability of short-term funding become restricted due to a disruption in</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financial markets. The Company attempts to quantify such credit-event risk by modeling scenarios that estimate the liquidity impact resulting from a short-term ratings downgrade over various grading levels. Such impact is estimated by attempting to measure the effect on available unsecured lines of credit, available capacity from secured borrowing sources and securitizable assets. In addition to deposits and borrowings, other sources of liquidity include maturities of investment securities and other earning assets, repayments of loans and investment securities, and cash generated from operations, such as fees collected for services.</w:t>
      </w:r>
    </w:p>
    <w:p>
      <w:pPr>
        <w:spacing w:after="0" w:line="80" w:lineRule="exact"/>
        <w:rPr>
          <w:sz w:val="20"/>
          <w:szCs w:val="20"/>
          <w:color w:val="auto"/>
        </w:rPr>
      </w:pPr>
    </w:p>
    <w:p>
      <w:pPr>
        <w:ind w:right="20" w:firstLine="225"/>
        <w:spacing w:after="0" w:line="255" w:lineRule="auto"/>
        <w:rPr>
          <w:sz w:val="20"/>
          <w:szCs w:val="20"/>
          <w:color w:val="auto"/>
        </w:rPr>
      </w:pPr>
      <w:r>
        <w:rPr>
          <w:rFonts w:ascii="Arial" w:cs="Arial" w:eastAsia="Arial" w:hAnsi="Arial"/>
          <w:sz w:val="18"/>
          <w:szCs w:val="18"/>
          <w:color w:val="auto"/>
        </w:rPr>
        <w:t>Certain customers of the Company obtain financing through the issuance of variable rate demand bonds (“VRDBs”). The VRDBs are generally enhanced by direct-pay letters of credit provided by M&amp;T Bank. M&amp;T Bank oftentimes acts as remarketing agent for the VRDBs and, at its discretion, may from time-to-time own some of the VRDBs while such instruments are remarketed. When this occurs, the VRDBs are classified as trading assets in the Company’s consolidated balance sheet. Nevertheless, M&amp;T Bank is not contractually obligated to purchase the VRDBs. The value of VRDBs in the Company’s trading account totaled $9 million at March 31, 2008, $26 million at March 31, 2007 and $63 million at December 31, 2007. The total amount of VRDBs outstanding backed by M&amp;T Bank letters of credit was $1.7 billion at March 31, 2008, March 31, 2007 and December 31, 2007. M&amp;T Bank also serves as remarketing agent for most of those bonds.</w:t>
      </w:r>
    </w:p>
    <w:p>
      <w:pPr>
        <w:spacing w:after="0" w:line="81" w:lineRule="exact"/>
        <w:rPr>
          <w:sz w:val="20"/>
          <w:szCs w:val="20"/>
          <w:color w:val="auto"/>
        </w:rPr>
      </w:pPr>
    </w:p>
    <w:p>
      <w:pPr>
        <w:ind w:right="220" w:firstLine="222"/>
        <w:spacing w:after="0" w:line="255" w:lineRule="auto"/>
        <w:rPr>
          <w:sz w:val="20"/>
          <w:szCs w:val="20"/>
          <w:color w:val="auto"/>
        </w:rPr>
      </w:pPr>
      <w:r>
        <w:rPr>
          <w:rFonts w:ascii="Arial" w:cs="Arial" w:eastAsia="Arial" w:hAnsi="Arial"/>
          <w:sz w:val="18"/>
          <w:szCs w:val="18"/>
          <w:color w:val="auto"/>
        </w:rPr>
        <w:t>The Company enters into contractual obligations in the normal course of business which require future cash payments. Such obligations include, among others, payments related to deposits, borrowings, leases, and other contractual commitments. Off-balance sheet commitments to customers may impact liquidity, including commitments to extend credit, standby letters of credit, commercial letters of credit, financial guarantees and indemnification contracts, and commitments to sell real estate loans. Because many of these commitments or contracts expire without being funded in whole or in part, the contract amounts are not necessarily indicative of future cash flows. Further information about these commitments is provided in note 6 of Notes to Financial Statements.</w:t>
      </w:r>
    </w:p>
    <w:p>
      <w:pPr>
        <w:spacing w:after="0" w:line="85" w:lineRule="exact"/>
        <w:rPr>
          <w:sz w:val="20"/>
          <w:szCs w:val="20"/>
          <w:color w:val="auto"/>
        </w:rPr>
      </w:pPr>
    </w:p>
    <w:p>
      <w:pPr>
        <w:ind w:right="140" w:firstLine="225"/>
        <w:spacing w:after="0" w:line="290" w:lineRule="auto"/>
        <w:rPr>
          <w:sz w:val="20"/>
          <w:szCs w:val="20"/>
          <w:color w:val="auto"/>
        </w:rPr>
      </w:pPr>
      <w:r>
        <w:rPr>
          <w:rFonts w:ascii="Arial" w:cs="Arial" w:eastAsia="Arial" w:hAnsi="Arial"/>
          <w:sz w:val="16"/>
          <w:szCs w:val="16"/>
          <w:color w:val="auto"/>
        </w:rPr>
        <w:t>M&amp;T’s primary source of funds to pay for operating expenses, shareholder dividends and treasury stock repurchases has historically been the receipt of dividends from its banking subsidiaries, which are subject to various regulatory limitations. Dividends from any banking subsidiary to M&amp;T are limited by the amount of earnings of the banking subsidiary in the current year and the two preceding years. For purposes of the test, at March 31, 2008 approximately $407 million was available for payment of dividends to M&amp;T from banking subsidiaries without prior regulatory approval. These historic sources of cash flow have been augmented in the past by the issuance of trust preferred securities, including $350 million of Enhanced Trust Preferred Securities issued by M&amp;T in January 2008, and the issuance by M&amp;T of $300 million of senior notes payable during the second quarter of 2007. Information regarding trust preferred securities and the related junior subordinated debentures is included in note 4 of Notes to Financial Statements. M&amp;T also maintains a $30 million line of credit with an unaffiliated commercial bank, of which there were no borrowings outstanding at March 31, 2008 or at December 31, 2007.</w:t>
      </w:r>
    </w:p>
    <w:p>
      <w:pPr>
        <w:spacing w:after="0" w:line="58"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color w:val="auto"/>
        </w:rPr>
        <w:t>Management closely monitors the Company’s liquidity position for compliance with internal policies and believes that available sources of liquidity are adequate to meet funding needs anticipated in the normal course of business. Management does not anticipate engaging in any activities, either currently or in the long-term, for which adequate funding would not be available and would therefore result in a significant strain on liquidity at either M&amp;T or its subsidiary banks.</w:t>
      </w:r>
    </w:p>
    <w:p>
      <w:pPr>
        <w:spacing w:after="0" w:line="79" w:lineRule="exact"/>
        <w:rPr>
          <w:sz w:val="20"/>
          <w:szCs w:val="20"/>
          <w:color w:val="auto"/>
        </w:rPr>
      </w:pPr>
    </w:p>
    <w:p>
      <w:pPr>
        <w:ind w:right="100" w:firstLine="225"/>
        <w:spacing w:after="0" w:line="277" w:lineRule="auto"/>
        <w:rPr>
          <w:sz w:val="20"/>
          <w:szCs w:val="20"/>
          <w:color w:val="auto"/>
        </w:rPr>
      </w:pPr>
      <w:r>
        <w:rPr>
          <w:rFonts w:ascii="Arial" w:cs="Arial" w:eastAsia="Arial" w:hAnsi="Arial"/>
          <w:sz w:val="18"/>
          <w:szCs w:val="18"/>
          <w:color w:val="auto"/>
        </w:rPr>
        <w:t>Market risk is the risk of loss from adverse changes in the market prices and/or interest rates of the Company’s financial instruments. The primary market risk the Company is exposed to is interest rate risk. Interest rate risk arises from the Company’s core banking activities of</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lending and deposit-taking, because assets and liabilities reprice at different times and by different amounts as interest rates change. As a result, net interest income earned by the Company is subject to the effects of changing interest rates. The Company measures interest rate risk by calculating the variability of net interest income in future periods under various interest rate scenarios using projected balances for earning assets, interest-bearing liabilities and derivatives used to hedge interest rate risk. Management’s philosophy toward interest rate risk management is to limit the variability of net interest income. The balances of financial instruments used in the projections are based on expected growth from forecasted business opportunities, anticipated prepayments of loans and investment securities, and expected maturities of investment securities, loans and deposits. Management uses a “value of equity” model to supplement the modeling technique described above. Those supplemental analyses are based on discounted cash flows associated with on- and off-balance sheet financial instruments. Such analyses are modeled to reflect changes in interest rates and provide management with a long-term interest rate risk metric.</w:t>
      </w:r>
    </w:p>
    <w:p>
      <w:pPr>
        <w:spacing w:after="0" w:line="58" w:lineRule="exact"/>
        <w:rPr>
          <w:sz w:val="20"/>
          <w:szCs w:val="20"/>
          <w:color w:val="auto"/>
        </w:rPr>
      </w:pPr>
    </w:p>
    <w:p>
      <w:pPr>
        <w:ind w:right="20" w:firstLine="222"/>
        <w:spacing w:after="0" w:line="269" w:lineRule="auto"/>
        <w:rPr>
          <w:sz w:val="20"/>
          <w:szCs w:val="20"/>
          <w:color w:val="auto"/>
        </w:rPr>
      </w:pPr>
      <w:r>
        <w:rPr>
          <w:rFonts w:ascii="Arial" w:cs="Arial" w:eastAsia="Arial" w:hAnsi="Arial"/>
          <w:sz w:val="17"/>
          <w:szCs w:val="17"/>
          <w:color w:val="auto"/>
        </w:rPr>
        <w:t>The Company’s Risk Management Committee, which includes members of senior management, monitors the sensitivity of the Company’s net interest income to changes in interest rates with the aid of a computer model that forecasts net interest income under different interest rate scenarios. In modeling changing interest rates, the Company considers different yield curve shapes that consider both parallel (that is, simultaneous changes in interest rates at each point on the yield curve) and non-parallel (that is, allowing interest rates at points on the yield curve to vary by different amounts) shifts in the yield curve. In utilizing the model, market implied forward interest rates over the subsequent twelve months are generally used to determine a base interest rate scenario for the net interest income simulation. That calculated base net interest income is then compared to the income calculated under the varying interest rate scenarios. The model considers the impact of ongoing lending and deposit-gathering activities, as well as interrelationships in the magnitude and timing of the repricing of financial instruments, including the effect of changing interest rates on expected prepayments and maturities. When deemed prudent, management has taken actions to mitigate exposure to interest rate risk through the use of on- or off-balance sheet financial instruments and intends to do so in the future. Possible actions include, but are not limited to, changes in the pricing of loan and deposit products, modifying the composition of earning assets and interest-bearing liabilities, and adding to, modifying or terminating existing interest rate swap agreements or other financial instruments used for interest rate risk management purposes.</w:t>
      </w:r>
    </w:p>
    <w:p>
      <w:pPr>
        <w:spacing w:after="0" w:line="72" w:lineRule="exact"/>
        <w:rPr>
          <w:sz w:val="20"/>
          <w:szCs w:val="20"/>
          <w:color w:val="auto"/>
        </w:rPr>
      </w:pPr>
    </w:p>
    <w:p>
      <w:pPr>
        <w:jc w:val="both"/>
        <w:ind w:right="280" w:firstLine="222"/>
        <w:spacing w:after="0" w:line="342" w:lineRule="auto"/>
        <w:rPr>
          <w:sz w:val="20"/>
          <w:szCs w:val="20"/>
          <w:color w:val="auto"/>
        </w:rPr>
      </w:pPr>
      <w:r>
        <w:rPr>
          <w:rFonts w:ascii="Arial" w:cs="Arial" w:eastAsia="Arial" w:hAnsi="Arial"/>
          <w:sz w:val="16"/>
          <w:szCs w:val="16"/>
          <w:color w:val="auto"/>
        </w:rPr>
        <w:t>The accompanying table as of March 31, 2008 and December 31, 2007 displays the estimated impact on net interest income from non-trading financial instruments in the base scenario described above resulting from parallel changes in interest rates across repricing categories during the first modeling year.</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SENSITIVITY OF NET INTEREST INCOME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TO CHANGES IN INTEREST RATES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380" w:type="dxa"/>
            <w:vAlign w:val="bottom"/>
            <w:gridSpan w:val="3"/>
          </w:tcPr>
          <w:p>
            <w:pPr>
              <w:jc w:val="right"/>
              <w:ind w:right="759"/>
              <w:spacing w:after="0"/>
              <w:rPr>
                <w:sz w:val="20"/>
                <w:szCs w:val="20"/>
                <w:color w:val="auto"/>
              </w:rPr>
            </w:pPr>
            <w:r>
              <w:rPr>
                <w:rFonts w:ascii="Arial" w:cs="Arial" w:eastAsia="Arial" w:hAnsi="Arial"/>
                <w:sz w:val="14"/>
                <w:szCs w:val="14"/>
                <w:color w:val="auto"/>
              </w:rPr>
              <w:t>Calculated increase(decrease)</w:t>
            </w:r>
          </w:p>
        </w:tc>
      </w:tr>
      <w:tr>
        <w:trPr>
          <w:trHeight w:val="149"/>
        </w:trPr>
        <w:tc>
          <w:tcPr>
            <w:tcW w:w="20" w:type="dxa"/>
            <w:vAlign w:val="bottom"/>
          </w:tcPr>
          <w:p>
            <w:pPr>
              <w:spacing w:after="0"/>
              <w:rPr>
                <w:sz w:val="12"/>
                <w:szCs w:val="12"/>
                <w:color w:val="auto"/>
              </w:rPr>
            </w:pPr>
          </w:p>
        </w:tc>
        <w:tc>
          <w:tcPr>
            <w:tcW w:w="75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380" w:type="dxa"/>
            <w:vAlign w:val="bottom"/>
            <w:gridSpan w:val="3"/>
          </w:tcPr>
          <w:p>
            <w:pPr>
              <w:jc w:val="right"/>
              <w:ind w:right="699"/>
              <w:spacing w:after="0" w:line="149" w:lineRule="exact"/>
              <w:rPr>
                <w:sz w:val="20"/>
                <w:szCs w:val="20"/>
                <w:color w:val="auto"/>
              </w:rPr>
            </w:pPr>
            <w:r>
              <w:rPr>
                <w:rFonts w:ascii="Arial" w:cs="Arial" w:eastAsia="Arial" w:hAnsi="Arial"/>
                <w:sz w:val="14"/>
                <w:szCs w:val="14"/>
                <w:color w:val="auto"/>
              </w:rPr>
              <w:t>in projected net interest income</w:t>
            </w:r>
          </w:p>
        </w:tc>
      </w:tr>
      <w:tr>
        <w:trPr>
          <w:trHeight w:val="167"/>
        </w:trPr>
        <w:tc>
          <w:tcPr>
            <w:tcW w:w="7540" w:type="dxa"/>
            <w:vAlign w:val="bottom"/>
            <w:gridSpan w:val="2"/>
          </w:tcPr>
          <w:p>
            <w:pPr>
              <w:spacing w:after="0"/>
              <w:rPr>
                <w:sz w:val="20"/>
                <w:szCs w:val="20"/>
                <w:color w:val="auto"/>
              </w:rPr>
            </w:pPr>
            <w:r>
              <w:rPr>
                <w:rFonts w:ascii="Arial" w:cs="Arial" w:eastAsia="Arial" w:hAnsi="Arial"/>
                <w:sz w:val="14"/>
                <w:szCs w:val="14"/>
                <w:color w:val="auto"/>
              </w:rPr>
              <w:t>Changes in interest rates</w:t>
            </w:r>
          </w:p>
        </w:tc>
        <w:tc>
          <w:tcPr>
            <w:tcW w:w="500" w:type="dxa"/>
            <w:vAlign w:val="bottom"/>
          </w:tcPr>
          <w:p>
            <w:pPr>
              <w:spacing w:after="0"/>
              <w:rPr>
                <w:sz w:val="14"/>
                <w:szCs w:val="14"/>
                <w:color w:val="auto"/>
              </w:rPr>
            </w:pPr>
          </w:p>
        </w:tc>
        <w:tc>
          <w:tcPr>
            <w:tcW w:w="1340" w:type="dxa"/>
            <w:vAlign w:val="bottom"/>
          </w:tcPr>
          <w:p>
            <w:pPr>
              <w:jc w:val="right"/>
              <w:ind w:right="144"/>
              <w:spacing w:after="0"/>
              <w:rPr>
                <w:sz w:val="20"/>
                <w:szCs w:val="20"/>
                <w:color w:val="auto"/>
              </w:rPr>
            </w:pPr>
            <w:r>
              <w:rPr>
                <w:rFonts w:ascii="Arial" w:cs="Arial" w:eastAsia="Arial" w:hAnsi="Arial"/>
                <w:sz w:val="14"/>
                <w:szCs w:val="14"/>
                <w:color w:val="auto"/>
              </w:rPr>
              <w:t>March 31, 2008</w:t>
            </w:r>
          </w:p>
        </w:tc>
        <w:tc>
          <w:tcPr>
            <w:tcW w:w="500" w:type="dxa"/>
            <w:vAlign w:val="bottom"/>
          </w:tcPr>
          <w:p>
            <w:pPr>
              <w:spacing w:after="0"/>
              <w:rPr>
                <w:sz w:val="14"/>
                <w:szCs w:val="14"/>
                <w:color w:val="auto"/>
              </w:rPr>
            </w:pPr>
          </w:p>
        </w:tc>
        <w:tc>
          <w:tcPr>
            <w:tcW w:w="1540" w:type="dxa"/>
            <w:vAlign w:val="bottom"/>
          </w:tcPr>
          <w:p>
            <w:pPr>
              <w:jc w:val="right"/>
              <w:ind w:right="119"/>
              <w:spacing w:after="0"/>
              <w:rPr>
                <w:sz w:val="20"/>
                <w:szCs w:val="20"/>
                <w:color w:val="auto"/>
              </w:rPr>
            </w:pPr>
            <w:r>
              <w:rPr>
                <w:rFonts w:ascii="Arial" w:cs="Arial" w:eastAsia="Arial" w:hAnsi="Arial"/>
                <w:sz w:val="14"/>
                <w:szCs w:val="14"/>
                <w:color w:val="auto"/>
              </w:rPr>
              <w:t>December 31, 2007</w:t>
            </w:r>
          </w:p>
        </w:tc>
      </w:tr>
      <w:tr>
        <w:trPr>
          <w:trHeight w:val="210"/>
        </w:trPr>
        <w:tc>
          <w:tcPr>
            <w:tcW w:w="20" w:type="dxa"/>
            <w:vAlign w:val="bottom"/>
          </w:tcPr>
          <w:p>
            <w:pPr>
              <w:spacing w:after="0"/>
              <w:rPr>
                <w:sz w:val="18"/>
                <w:szCs w:val="18"/>
                <w:color w:val="auto"/>
              </w:rPr>
            </w:pPr>
          </w:p>
        </w:tc>
        <w:tc>
          <w:tcPr>
            <w:tcW w:w="7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+200 basis points</w:t>
            </w:r>
          </w:p>
        </w:tc>
        <w:tc>
          <w:tcPr>
            <w:tcW w:w="500" w:type="dxa"/>
            <w:vAlign w:val="bottom"/>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ind w:right="264"/>
              <w:spacing w:after="0"/>
              <w:rPr>
                <w:sz w:val="20"/>
                <w:szCs w:val="20"/>
                <w:color w:val="auto"/>
              </w:rPr>
            </w:pPr>
            <w:r>
              <w:rPr>
                <w:rFonts w:ascii="Arial" w:cs="Arial" w:eastAsia="Arial" w:hAnsi="Arial"/>
                <w:sz w:val="18"/>
                <w:szCs w:val="18"/>
                <w:color w:val="auto"/>
              </w:rPr>
              <w:t>$ (1,512)</w:t>
            </w:r>
          </w:p>
        </w:tc>
        <w:tc>
          <w:tcPr>
            <w:tcW w:w="500" w:type="dxa"/>
            <w:vAlign w:val="bottom"/>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right"/>
              <w:ind w:right="399"/>
              <w:spacing w:after="0"/>
              <w:rPr>
                <w:sz w:val="20"/>
                <w:szCs w:val="20"/>
                <w:color w:val="auto"/>
              </w:rPr>
            </w:pPr>
            <w:r>
              <w:rPr>
                <w:rFonts w:ascii="Arial" w:cs="Arial" w:eastAsia="Arial" w:hAnsi="Arial"/>
                <w:sz w:val="18"/>
                <w:szCs w:val="18"/>
                <w:color w:val="auto"/>
              </w:rPr>
              <w:t>4,707</w:t>
            </w: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+100 basis points</w:t>
            </w:r>
          </w:p>
        </w:tc>
        <w:tc>
          <w:tcPr>
            <w:tcW w:w="1840" w:type="dxa"/>
            <w:vAlign w:val="bottom"/>
            <w:gridSpan w:val="2"/>
          </w:tcPr>
          <w:p>
            <w:pPr>
              <w:jc w:val="right"/>
              <w:ind w:right="264"/>
              <w:spacing w:after="0"/>
              <w:rPr>
                <w:sz w:val="20"/>
                <w:szCs w:val="20"/>
                <w:color w:val="auto"/>
              </w:rPr>
            </w:pPr>
            <w:r>
              <w:rPr>
                <w:rFonts w:ascii="Arial" w:cs="Arial" w:eastAsia="Arial" w:hAnsi="Arial"/>
                <w:sz w:val="18"/>
                <w:szCs w:val="18"/>
                <w:color w:val="auto"/>
              </w:rPr>
              <w:t>(4,204)</w:t>
            </w:r>
          </w:p>
        </w:tc>
        <w:tc>
          <w:tcPr>
            <w:tcW w:w="2040" w:type="dxa"/>
            <w:vAlign w:val="bottom"/>
            <w:gridSpan w:val="2"/>
          </w:tcPr>
          <w:p>
            <w:pPr>
              <w:jc w:val="right"/>
              <w:ind w:right="339"/>
              <w:spacing w:after="0"/>
              <w:rPr>
                <w:sz w:val="20"/>
                <w:szCs w:val="20"/>
                <w:color w:val="auto"/>
              </w:rPr>
            </w:pPr>
            <w:r>
              <w:rPr>
                <w:rFonts w:ascii="Arial" w:cs="Arial" w:eastAsia="Arial" w:hAnsi="Arial"/>
                <w:sz w:val="18"/>
                <w:szCs w:val="18"/>
                <w:color w:val="auto"/>
              </w:rPr>
              <w:t>(996)</w:t>
            </w: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-100 basis points</w:t>
            </w:r>
          </w:p>
        </w:tc>
        <w:tc>
          <w:tcPr>
            <w:tcW w:w="1840" w:type="dxa"/>
            <w:vAlign w:val="bottom"/>
            <w:gridSpan w:val="2"/>
            <w:shd w:val="clear" w:color="auto" w:fill="CCEEFF"/>
          </w:tcPr>
          <w:p>
            <w:pPr>
              <w:jc w:val="right"/>
              <w:ind w:right="264"/>
              <w:spacing w:after="0"/>
              <w:rPr>
                <w:sz w:val="20"/>
                <w:szCs w:val="20"/>
                <w:color w:val="auto"/>
              </w:rPr>
            </w:pPr>
            <w:r>
              <w:rPr>
                <w:rFonts w:ascii="Arial" w:cs="Arial" w:eastAsia="Arial" w:hAnsi="Arial"/>
                <w:sz w:val="18"/>
                <w:szCs w:val="18"/>
                <w:color w:val="auto"/>
              </w:rPr>
              <w:t>(3,682)</w:t>
            </w:r>
          </w:p>
        </w:tc>
        <w:tc>
          <w:tcPr>
            <w:tcW w:w="2040" w:type="dxa"/>
            <w:vAlign w:val="bottom"/>
            <w:gridSpan w:val="2"/>
            <w:shd w:val="clear" w:color="auto" w:fill="CCEEFF"/>
          </w:tcPr>
          <w:p>
            <w:pPr>
              <w:jc w:val="right"/>
              <w:ind w:right="339"/>
              <w:spacing w:after="0"/>
              <w:rPr>
                <w:sz w:val="20"/>
                <w:szCs w:val="20"/>
                <w:color w:val="auto"/>
              </w:rPr>
            </w:pPr>
            <w:r>
              <w:rPr>
                <w:rFonts w:ascii="Arial" w:cs="Arial" w:eastAsia="Arial" w:hAnsi="Arial"/>
                <w:sz w:val="18"/>
                <w:szCs w:val="18"/>
                <w:color w:val="auto"/>
              </w:rPr>
              <w:t>(16,432)</w:t>
            </w:r>
          </w:p>
        </w:tc>
      </w:tr>
      <w:tr>
        <w:trPr>
          <w:trHeight w:val="230"/>
        </w:trPr>
        <w:tc>
          <w:tcPr>
            <w:tcW w:w="20" w:type="dxa"/>
            <w:vAlign w:val="bottom"/>
          </w:tcPr>
          <w:p>
            <w:pPr>
              <w:spacing w:after="0"/>
              <w:rPr>
                <w:sz w:val="20"/>
                <w:szCs w:val="20"/>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-200 basis points</w:t>
            </w:r>
          </w:p>
        </w:tc>
        <w:tc>
          <w:tcPr>
            <w:tcW w:w="1840" w:type="dxa"/>
            <w:vAlign w:val="bottom"/>
            <w:gridSpan w:val="2"/>
          </w:tcPr>
          <w:p>
            <w:pPr>
              <w:jc w:val="right"/>
              <w:ind w:right="264"/>
              <w:spacing w:after="0"/>
              <w:rPr>
                <w:sz w:val="20"/>
                <w:szCs w:val="20"/>
                <w:color w:val="auto"/>
              </w:rPr>
            </w:pPr>
            <w:r>
              <w:rPr>
                <w:rFonts w:ascii="Arial" w:cs="Arial" w:eastAsia="Arial" w:hAnsi="Arial"/>
                <w:sz w:val="18"/>
                <w:szCs w:val="18"/>
                <w:color w:val="auto"/>
              </w:rPr>
              <w:t>(17,332)</w:t>
            </w:r>
          </w:p>
        </w:tc>
        <w:tc>
          <w:tcPr>
            <w:tcW w:w="2040" w:type="dxa"/>
            <w:vAlign w:val="bottom"/>
            <w:gridSpan w:val="2"/>
          </w:tcPr>
          <w:p>
            <w:pPr>
              <w:jc w:val="right"/>
              <w:ind w:right="339"/>
              <w:spacing w:after="0"/>
              <w:rPr>
                <w:sz w:val="20"/>
                <w:szCs w:val="20"/>
                <w:color w:val="auto"/>
              </w:rPr>
            </w:pPr>
            <w:r>
              <w:rPr>
                <w:rFonts w:ascii="Arial" w:cs="Arial" w:eastAsia="Arial" w:hAnsi="Arial"/>
                <w:sz w:val="18"/>
                <w:szCs w:val="18"/>
                <w:color w:val="auto"/>
              </w:rPr>
              <w:t>(24,284)</w:t>
            </w:r>
          </w:p>
        </w:tc>
      </w:tr>
    </w:tbl>
    <w:p>
      <w:pPr>
        <w:spacing w:after="0" w:line="79" w:lineRule="exact"/>
        <w:rPr>
          <w:sz w:val="20"/>
          <w:szCs w:val="20"/>
          <w:color w:val="auto"/>
        </w:rPr>
      </w:pPr>
    </w:p>
    <w:p>
      <w:pPr>
        <w:ind w:right="280" w:firstLine="222"/>
        <w:spacing w:after="0" w:line="308" w:lineRule="auto"/>
        <w:rPr>
          <w:sz w:val="20"/>
          <w:szCs w:val="20"/>
          <w:color w:val="auto"/>
        </w:rPr>
      </w:pPr>
      <w:r>
        <w:rPr>
          <w:rFonts w:ascii="Arial" w:cs="Arial" w:eastAsia="Arial" w:hAnsi="Arial"/>
          <w:sz w:val="17"/>
          <w:szCs w:val="17"/>
          <w:color w:val="auto"/>
        </w:rPr>
        <w:t>The Company utilized many assumptions to calculate the impact that changes in interest rates may have on net interest income. The more significant of those assumptions included the rate of prepayments of mortgage-related assets, cash flows from derivative and other financial</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70" w:lineRule="auto"/>
        <w:rPr>
          <w:sz w:val="20"/>
          <w:szCs w:val="20"/>
          <w:color w:val="auto"/>
        </w:rPr>
      </w:pPr>
      <w:r>
        <w:rPr>
          <w:rFonts w:ascii="Arial" w:cs="Arial" w:eastAsia="Arial" w:hAnsi="Arial"/>
          <w:sz w:val="17"/>
          <w:szCs w:val="17"/>
          <w:color w:val="auto"/>
        </w:rPr>
        <w:t>instruments held for non-trading purposes, loan and deposit volumes and pricing, and deposit maturities. In the scenarios presented, the Company also assumed gradual changes in rates during a twelve-month period of 100 and 200 basis points as compared with the assumed base scenario. In the event that a 100 or 200 basis point rate change cannot be achieved, the applicable rate changes are limited to lesser amounts such that interest rates cannot be less than zero. The assumptions used in interest rate sensitivity modeling are inherently uncertain and, as a result, the Company cannot precisely predict the impact of changes in interest rates on net interest income. Actual results may differ significantly from those presented due to the timing, magnitude and frequency of changes in interest rates and changes in market conditions and interest rate differentials (spreads) between maturity/repricing categories, as well as any actions, such as those previously described, which management may take to counter such changes. In light of the uncertainties and assumptions associated with the process, the amounts presented in the table and changes in such amounts are not considered significant to the Company’s past or projected net interest income.</w:t>
      </w:r>
    </w:p>
    <w:p>
      <w:pPr>
        <w:spacing w:after="0" w:line="74" w:lineRule="exact"/>
        <w:rPr>
          <w:sz w:val="20"/>
          <w:szCs w:val="20"/>
          <w:color w:val="auto"/>
        </w:rPr>
      </w:pPr>
    </w:p>
    <w:p>
      <w:pPr>
        <w:jc w:val="both"/>
        <w:ind w:firstLine="225"/>
        <w:spacing w:after="0" w:line="264" w:lineRule="auto"/>
        <w:rPr>
          <w:sz w:val="20"/>
          <w:szCs w:val="20"/>
          <w:color w:val="auto"/>
        </w:rPr>
      </w:pPr>
      <w:r>
        <w:rPr>
          <w:rFonts w:ascii="Arial" w:cs="Arial" w:eastAsia="Arial" w:hAnsi="Arial"/>
          <w:sz w:val="18"/>
          <w:szCs w:val="18"/>
          <w:color w:val="auto"/>
        </w:rPr>
        <w:t>Changes in fair value of the Company’s financial instruments can also result from a lack of trading activity for similar instruments in the financial markets. That impact is most notable on the values assigned to the Company’s investment securities. Information about the fair valuation of such securities is presented herein under the heading “Capital” and in note 10 of Notes to Financial Statements.</w:t>
      </w:r>
    </w:p>
    <w:p>
      <w:pPr>
        <w:spacing w:after="0" w:line="73" w:lineRule="exact"/>
        <w:rPr>
          <w:sz w:val="20"/>
          <w:szCs w:val="20"/>
          <w:color w:val="auto"/>
        </w:rPr>
      </w:pPr>
    </w:p>
    <w:p>
      <w:pPr>
        <w:ind w:right="80" w:firstLine="222"/>
        <w:spacing w:after="0" w:line="270" w:lineRule="auto"/>
        <w:rPr>
          <w:sz w:val="20"/>
          <w:szCs w:val="20"/>
          <w:color w:val="auto"/>
        </w:rPr>
      </w:pPr>
      <w:r>
        <w:rPr>
          <w:rFonts w:ascii="Arial" w:cs="Arial" w:eastAsia="Arial" w:hAnsi="Arial"/>
          <w:sz w:val="17"/>
          <w:szCs w:val="17"/>
          <w:color w:val="auto"/>
        </w:rPr>
        <w:t>The Company engages in trading activities to meet the financial needs of customers, to fund the Company’s obligations under certain deferred compensation plans and, to a limited extent, to profit from perceived market opportunities. Financial instruments utilized in trading activities consist predominantly of interest rate contracts, such as swap agreements, and forward and futures contracts related to foreign currencies, but have also included forward and futures contracts related to mortgage-backed securities and investments in U.S. Treasury and other government securities, mortgage-backed securities and mutual funds, and as previously described, a limited number of VRDB’s. The Company generally mitigates the foreign currency and interest rate risk associated with trading activities by entering into offsetting trading positions. The amounts of gross and net trading positions, as well as the type of trading activities conducted by the Company, are subject to a well-defined series of potential loss exposure limits established by management and approved by M&amp;T’s Board of Directors. However, as with any non-government guaranteed financial instrument, the Company is exposed to credit risk associated with counterparties to the Company’s trading activities.</w:t>
      </w:r>
    </w:p>
    <w:p>
      <w:pPr>
        <w:spacing w:after="0" w:line="74" w:lineRule="exact"/>
        <w:rPr>
          <w:sz w:val="20"/>
          <w:szCs w:val="20"/>
          <w:color w:val="auto"/>
        </w:rPr>
      </w:pPr>
    </w:p>
    <w:p>
      <w:pPr>
        <w:ind w:right="20" w:firstLine="222"/>
        <w:spacing w:after="0" w:line="284" w:lineRule="auto"/>
        <w:rPr>
          <w:sz w:val="20"/>
          <w:szCs w:val="20"/>
          <w:color w:val="auto"/>
        </w:rPr>
      </w:pPr>
      <w:r>
        <w:rPr>
          <w:rFonts w:ascii="Arial" w:cs="Arial" w:eastAsia="Arial" w:hAnsi="Arial"/>
          <w:sz w:val="16"/>
          <w:szCs w:val="16"/>
          <w:color w:val="auto"/>
        </w:rPr>
        <w:t>The notional amounts of interest rate contracts entered into for trading purposes aggregated $12.8 billion at March 31, 2008, compared with $8.1 billion at March 31, 2007 and $11.7 billion at December 31, 2007. The increase in the notional amounts of such contracts from March 31, 2007 to the two most recent quarter-ends was due largely to increased commercial lending volumes and the desire of commercial customers to use swap agreements to modify the characteristics of their borrowings. The notional amounts of foreign currency and other option and futures contracts entered into for trading purposes totaled $902 million at March 31, 2008, compared with $678 million and $801 million at March 31, 2007 and December 31, 2007, respectively. Although the notional amounts of these interest rate and foreign currency trading transactions are not recorded in the consolidated balance sheet, the fair values of all financial instruments used for trading activities are recorded in the consolidated balance sheet. The fair values of all trading account assets and liabilities were $372 million and $290 million, respectively, at March 31, 2008, $154 million and $61 million, respectively, at March 31, 2007, and $281 million and</w:t>
      </w:r>
    </w:p>
    <w:p>
      <w:pPr>
        <w:spacing w:after="0" w:line="1"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$143 million, respectively, at December 31, 2007. The higher asset and liability balances at the recent quarter-end as compared with a year earlier and at the 2007 year-end were the result of higher interest rate swap agreements in the trading portfolio, for which the related</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fair values largely offset each other, as the Company generally enters into offsetting positions. Included in trading account assets were assets related to deferred compensation plans totaling $43 million and $45 million at March 31, 2008 and 2007, respectively, and $47 million at December 31, 2007. Changes in the fair values of such assets are recorded as trading account and foreign exchange gains in the consolidated statement of income. Included in other liabilities in the consolidated balance sheet at March 31, 2008 and March 31, 2007 were $47 million and $49 million, respectively, of liabilities related to deferred compensation plans, compared with $50 million at December 31, 2007. Changes in the balances of such liabilities due to the valuation of allocated investment options to which the liabilities are indexed are recorded in “other costs of operations” in the consolidated statement of income.</w:t>
      </w:r>
    </w:p>
    <w:p>
      <w:pPr>
        <w:spacing w:after="0" w:line="57" w:lineRule="exact"/>
        <w:rPr>
          <w:sz w:val="20"/>
          <w:szCs w:val="20"/>
          <w:color w:val="auto"/>
        </w:rPr>
      </w:pPr>
    </w:p>
    <w:p>
      <w:pPr>
        <w:jc w:val="both"/>
        <w:ind w:right="420" w:firstLine="225"/>
        <w:spacing w:after="0" w:line="264" w:lineRule="auto"/>
        <w:rPr>
          <w:sz w:val="20"/>
          <w:szCs w:val="20"/>
          <w:color w:val="auto"/>
        </w:rPr>
      </w:pPr>
      <w:r>
        <w:rPr>
          <w:rFonts w:ascii="Arial" w:cs="Arial" w:eastAsia="Arial" w:hAnsi="Arial"/>
          <w:sz w:val="18"/>
          <w:szCs w:val="18"/>
          <w:color w:val="auto"/>
        </w:rPr>
        <w:t>Given the Company’s policies, limits and positions, management believes that the potential loss exposure to the Company resulting from market risk associated with trading activities was not material, however, as previously noted, the Company is exposed to credit risk associated with counterparties to transactions associated with the Company’s trading activities.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for Credit Losses</w:t>
      </w:r>
    </w:p>
    <w:p>
      <w:pPr>
        <w:spacing w:after="0" w:line="121"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The Company maintains an allowance for credit losses that in management’s judgment is adequate to absorb losses inherent in the loan and lease portfolio. A provision for credit losses is recorded to adjust the level of the allowance as deemed necessary by management. The provision for credit losses in the first quarter of 2008 was $60 million, compared with $27 million in the year-earlier quarter and $101 million in the fourth quarter of 2007. The higher level of the provision in the recent quarter as compared with the first quarter of 2007 reflects changes in the loan portfolio, the impact of declining residential real estate valuations and higher delinquencies and charge-offs related to the Alt-A residential real estate loan portfolio, and declining real estate values related to residential real estate builder and developer collateral. The lower level of the provision as compared with the fourth quarter of 2007 was due, in part, to provisions established during the final 2007 quarter related to Alt-A residential real estate loans and two residential builders and developers resulting from declining real estate valuations. Net loan charge-offs were $46 million and $17 million in the first quarter of 2008 and 2007, respectively, compared with $53 million during the last quarter of 2007. Net charge-offs as an annualized percentage of average loans and leases were .38% in the first quarter of 2008, compared with .16% and .46% in the first and fourth quarters of 2007, respectively. A summary of net charge-offs by loan type follows:</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NET CHARGE-OFFS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LOAN/LEASE TYPE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tcPr>
          <w:p>
            <w:pPr>
              <w:spacing w:after="0"/>
              <w:rPr>
                <w:sz w:val="14"/>
                <w:szCs w:val="14"/>
                <w:color w:val="auto"/>
              </w:rPr>
            </w:pPr>
          </w:p>
        </w:tc>
        <w:tc>
          <w:tcPr>
            <w:tcW w:w="1060" w:type="dxa"/>
            <w:vAlign w:val="bottom"/>
            <w:gridSpan w:val="5"/>
          </w:tcPr>
          <w:p>
            <w:pPr>
              <w:spacing w:after="0"/>
              <w:rPr>
                <w:sz w:val="20"/>
                <w:szCs w:val="20"/>
                <w:color w:val="auto"/>
              </w:rPr>
            </w:pPr>
            <w:r>
              <w:rPr>
                <w:rFonts w:ascii="Arial" w:cs="Arial" w:eastAsia="Arial" w:hAnsi="Arial"/>
                <w:sz w:val="14"/>
                <w:szCs w:val="14"/>
                <w:color w:val="auto"/>
              </w:rPr>
              <w:t>First Quarter</w:t>
            </w:r>
          </w:p>
        </w:tc>
        <w:tc>
          <w:tcPr>
            <w:tcW w:w="1400" w:type="dxa"/>
            <w:vAlign w:val="bottom"/>
            <w:gridSpan w:val="3"/>
          </w:tcPr>
          <w:p>
            <w:pPr>
              <w:ind w:left="340"/>
              <w:spacing w:after="0"/>
              <w:rPr>
                <w:sz w:val="20"/>
                <w:szCs w:val="20"/>
                <w:color w:val="auto"/>
              </w:rPr>
            </w:pPr>
            <w:r>
              <w:rPr>
                <w:rFonts w:ascii="Arial" w:cs="Arial" w:eastAsia="Arial" w:hAnsi="Arial"/>
                <w:sz w:val="14"/>
                <w:szCs w:val="14"/>
                <w:color w:val="auto"/>
              </w:rPr>
              <w:t>First Quarter</w:t>
            </w:r>
          </w:p>
        </w:tc>
        <w:tc>
          <w:tcPr>
            <w:tcW w:w="1280" w:type="dxa"/>
            <w:vAlign w:val="bottom"/>
            <w:gridSpan w:val="3"/>
          </w:tcPr>
          <w:p>
            <w:pPr>
              <w:ind w:left="320"/>
              <w:spacing w:after="0"/>
              <w:rPr>
                <w:sz w:val="20"/>
                <w:szCs w:val="20"/>
                <w:color w:val="auto"/>
              </w:rPr>
            </w:pPr>
            <w:r>
              <w:rPr>
                <w:rFonts w:ascii="Arial" w:cs="Arial" w:eastAsia="Arial" w:hAnsi="Arial"/>
                <w:sz w:val="14"/>
                <w:szCs w:val="14"/>
                <w:color w:val="auto"/>
              </w:rPr>
              <w:t>Fourth Quarter</w:t>
            </w:r>
          </w:p>
        </w:tc>
      </w:tr>
      <w:tr>
        <w:trPr>
          <w:trHeight w:val="167"/>
        </w:trPr>
        <w:tc>
          <w:tcPr>
            <w:tcW w:w="7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color w:val="auto"/>
              </w:rPr>
              <w:t>2008</w:t>
            </w: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color w:val="auto"/>
              </w:rPr>
              <w:t>2007</w:t>
            </w: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color w:val="auto"/>
              </w:rPr>
              <w:t>2007</w:t>
            </w:r>
          </w:p>
        </w:tc>
        <w:tc>
          <w:tcPr>
            <w:tcW w:w="100" w:type="dxa"/>
            <w:vAlign w:val="bottom"/>
          </w:tcPr>
          <w:p>
            <w:pPr>
              <w:spacing w:after="0"/>
              <w:rPr>
                <w:sz w:val="14"/>
                <w:szCs w:val="14"/>
                <w:color w:val="auto"/>
              </w:rPr>
            </w:pPr>
          </w:p>
        </w:tc>
      </w:tr>
      <w:tr>
        <w:trPr>
          <w:trHeight w:val="210"/>
        </w:trPr>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Commercial, financial, etc.</w:t>
            </w:r>
          </w:p>
        </w:tc>
        <w:tc>
          <w:tcPr>
            <w:tcW w:w="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4,377</w:t>
            </w:r>
          </w:p>
        </w:tc>
        <w:tc>
          <w:tcPr>
            <w:tcW w:w="32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4,533</w:t>
            </w:r>
          </w:p>
        </w:tc>
        <w:tc>
          <w:tcPr>
            <w:tcW w:w="1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8,997</w:t>
            </w:r>
          </w:p>
        </w:tc>
      </w:tr>
      <w:tr>
        <w:trPr>
          <w:trHeight w:val="216"/>
        </w:trPr>
        <w:tc>
          <w:tcPr>
            <w:tcW w:w="7680" w:type="dxa"/>
            <w:vAlign w:val="bottom"/>
          </w:tcPr>
          <w:p>
            <w:pPr>
              <w:spacing w:after="0"/>
              <w:rPr>
                <w:sz w:val="20"/>
                <w:szCs w:val="20"/>
                <w:color w:val="auto"/>
              </w:rPr>
            </w:pPr>
            <w:r>
              <w:rPr>
                <w:rFonts w:ascii="Arial" w:cs="Arial" w:eastAsia="Arial" w:hAnsi="Arial"/>
                <w:sz w:val="18"/>
                <w:szCs w:val="18"/>
                <w:color w:val="auto"/>
              </w:rPr>
              <w:t>Real estate: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Commercial</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4,380</w:t>
            </w:r>
          </w:p>
        </w:tc>
        <w:tc>
          <w:tcPr>
            <w:tcW w:w="32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671</w:t>
            </w:r>
          </w:p>
        </w:tc>
        <w:tc>
          <w:tcPr>
            <w:tcW w:w="1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4,528</w:t>
            </w:r>
          </w:p>
        </w:tc>
      </w:tr>
      <w:tr>
        <w:trPr>
          <w:trHeight w:val="216"/>
        </w:trPr>
        <w:tc>
          <w:tcPr>
            <w:tcW w:w="7680" w:type="dxa"/>
            <w:vAlign w:val="bottom"/>
          </w:tcPr>
          <w:p>
            <w:pPr>
              <w:ind w:left="220"/>
              <w:spacing w:after="0"/>
              <w:rPr>
                <w:sz w:val="20"/>
                <w:szCs w:val="20"/>
                <w:color w:val="auto"/>
              </w:rPr>
            </w:pPr>
            <w:r>
              <w:rPr>
                <w:rFonts w:ascii="Arial" w:cs="Arial" w:eastAsia="Arial" w:hAnsi="Arial"/>
                <w:sz w:val="18"/>
                <w:szCs w:val="18"/>
                <w:color w:val="auto"/>
              </w:rPr>
              <w:t>Residential</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15,097</w:t>
            </w:r>
          </w:p>
        </w:tc>
        <w:tc>
          <w:tcPr>
            <w:tcW w:w="320" w:type="dxa"/>
            <w:vAlign w:val="bottom"/>
          </w:tcPr>
          <w:p>
            <w:pPr>
              <w:spacing w:after="0"/>
              <w:rPr>
                <w:sz w:val="18"/>
                <w:szCs w:val="18"/>
                <w:color w:val="auto"/>
              </w:rPr>
            </w:pPr>
          </w:p>
        </w:tc>
        <w:tc>
          <w:tcPr>
            <w:tcW w:w="1400" w:type="dxa"/>
            <w:vAlign w:val="bottom"/>
            <w:gridSpan w:val="3"/>
          </w:tcPr>
          <w:p>
            <w:pPr>
              <w:jc w:val="right"/>
              <w:ind w:right="340"/>
              <w:spacing w:after="0"/>
              <w:rPr>
                <w:sz w:val="20"/>
                <w:szCs w:val="20"/>
                <w:color w:val="auto"/>
              </w:rPr>
            </w:pPr>
            <w:r>
              <w:rPr>
                <w:rFonts w:ascii="Arial" w:cs="Arial" w:eastAsia="Arial" w:hAnsi="Arial"/>
                <w:sz w:val="18"/>
                <w:szCs w:val="18"/>
                <w:color w:val="auto"/>
              </w:rPr>
              <w:t>1,369</w:t>
            </w:r>
          </w:p>
        </w:tc>
        <w:tc>
          <w:tcPr>
            <w:tcW w:w="1280" w:type="dxa"/>
            <w:vAlign w:val="bottom"/>
            <w:gridSpan w:val="3"/>
          </w:tcPr>
          <w:p>
            <w:pPr>
              <w:jc w:val="right"/>
              <w:ind w:right="100"/>
              <w:spacing w:after="0"/>
              <w:rPr>
                <w:sz w:val="20"/>
                <w:szCs w:val="20"/>
                <w:color w:val="auto"/>
              </w:rPr>
            </w:pPr>
            <w:r>
              <w:rPr>
                <w:rFonts w:ascii="Arial" w:cs="Arial" w:eastAsia="Arial" w:hAnsi="Arial"/>
                <w:sz w:val="18"/>
                <w:szCs w:val="18"/>
                <w:color w:val="auto"/>
              </w:rPr>
              <w:t>10,488</w:t>
            </w:r>
          </w:p>
        </w:tc>
      </w:tr>
      <w:tr>
        <w:trPr>
          <w:trHeight w:val="216"/>
        </w:trPr>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Consumer</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21,961</w:t>
            </w:r>
          </w:p>
        </w:tc>
        <w:tc>
          <w:tcPr>
            <w:tcW w:w="32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10,618</w:t>
            </w:r>
          </w:p>
        </w:tc>
        <w:tc>
          <w:tcPr>
            <w:tcW w:w="1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29,292</w:t>
            </w:r>
          </w:p>
        </w:tc>
      </w:tr>
      <w:tr>
        <w:trPr>
          <w:trHeight w:val="223"/>
        </w:trPr>
        <w:tc>
          <w:tcPr>
            <w:tcW w:w="76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45,815</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17,191</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53,305</w:t>
            </w:r>
          </w:p>
        </w:tc>
        <w:tc>
          <w:tcPr>
            <w:tcW w:w="100" w:type="dxa"/>
            <w:vAlign w:val="bottom"/>
          </w:tcPr>
          <w:p>
            <w:pPr>
              <w:spacing w:after="0"/>
              <w:rPr>
                <w:sz w:val="19"/>
                <w:szCs w:val="19"/>
                <w:color w:val="auto"/>
              </w:rPr>
            </w:pPr>
          </w:p>
        </w:tc>
      </w:tr>
      <w:tr>
        <w:trPr>
          <w:trHeight w:val="20"/>
        </w:trPr>
        <w:tc>
          <w:tcPr>
            <w:tcW w:w="7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60" w:firstLine="225"/>
        <w:spacing w:after="0" w:line="302" w:lineRule="auto"/>
        <w:rPr>
          <w:sz w:val="20"/>
          <w:szCs w:val="20"/>
          <w:color w:val="auto"/>
        </w:rPr>
      </w:pPr>
      <w:r>
        <w:rPr>
          <w:rFonts w:ascii="Arial" w:cs="Arial" w:eastAsia="Arial" w:hAnsi="Arial"/>
          <w:sz w:val="16"/>
          <w:szCs w:val="16"/>
          <w:color w:val="auto"/>
        </w:rPr>
        <w:t>Nonperforming loans, consisting of nonaccrual and restructured loans, totaled $495 million or 1.00% of total loans and leases outstanding at March 31, 2008, compared with $273 million or .63% a year earlier and $447 million or .93% at December 31, 2007. Major factors contributing to the rise in nonperforming loans from the first quarter of 2007 were a $146 million increase in residential real estate loans and a $91 million rise in loans to residential builders and developers. The increase in nonperforming residential real estate loans was the result of the residential real estate market turmoil and its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impact on the portfolio of Alt-A loans and also reflected a change in accounting procedure in December 2007 whereby residential real estate loans previously classified as nonaccrual when payments were 180 days past due now stop accruing interest when principal or interest is delinquent 90 days. The impact of the acceleration of the classification of such loans as nonaccrual resulted in an increase in nonperforming loans of $79 million and $84 million at March 31, 2008 and December 31, 2007, respectively. The higher level of nonaccrual loans to builders and developers was largely due to deteriorating residential real estate values.</w:t>
      </w:r>
    </w:p>
    <w:p>
      <w:pPr>
        <w:spacing w:after="0" w:line="80" w:lineRule="exact"/>
        <w:rPr>
          <w:sz w:val="20"/>
          <w:szCs w:val="20"/>
          <w:color w:val="auto"/>
        </w:rPr>
      </w:pPr>
    </w:p>
    <w:p>
      <w:pPr>
        <w:ind w:firstLine="215"/>
        <w:spacing w:after="0" w:line="289" w:lineRule="auto"/>
        <w:rPr>
          <w:sz w:val="20"/>
          <w:szCs w:val="20"/>
          <w:color w:val="auto"/>
        </w:rPr>
      </w:pPr>
      <w:r>
        <w:rPr>
          <w:rFonts w:ascii="Arial" w:cs="Arial" w:eastAsia="Arial" w:hAnsi="Arial"/>
          <w:sz w:val="16"/>
          <w:szCs w:val="16"/>
          <w:color w:val="auto"/>
        </w:rPr>
        <w:t>Accruing loans past due 90 days or more were $81 million or .17% of total loans and leases at March 31, 2008, compared with $118 million or .27% at March 31, 2007 and $77 million or .16% at December 31, 2007. Those loans included $77 million, $71 million and $73 million at March 31, 2008, March 31, 2007 and December 31, 2007, respectively, of loans guaranteed by government-related entities. Such guaranteed loans included one-to-four family residential mortgage loans serviced by the Company that were repurchased to reduce associated servicing costs, including a requirement to advance principal and interest payments that had not been received from individual mortgagors. Despite the loans being purchased by the Company, the insurance or guarantee by the applicable government-related entity remains in force. The outstanding principal balances of the repurchased loans are fully guaranteed by government-related entities and totaled $72 million and $61 million as of March 31, 2008 and 2007, respectively, and $67 million at December 31, 2007. Loans past due 90 days or more and accruing interest that were guaranteed by government-related entities also included foreign commercial and industrial loans supported by the Export-Import Bank of the United States that totaled $4 million at March 31, 2008, $10 million at March 31, 2007 and $5 million at December 31, 2007.</w:t>
      </w:r>
    </w:p>
    <w:p>
      <w:pPr>
        <w:spacing w:after="0" w:line="59" w:lineRule="exact"/>
        <w:rPr>
          <w:sz w:val="20"/>
          <w:szCs w:val="20"/>
          <w:color w:val="auto"/>
        </w:rPr>
      </w:pPr>
    </w:p>
    <w:p>
      <w:pPr>
        <w:jc w:val="both"/>
        <w:ind w:right="240" w:firstLine="225"/>
        <w:spacing w:after="0" w:line="264" w:lineRule="auto"/>
        <w:rPr>
          <w:sz w:val="20"/>
          <w:szCs w:val="20"/>
          <w:color w:val="auto"/>
        </w:rPr>
      </w:pPr>
      <w:r>
        <w:rPr>
          <w:rFonts w:ascii="Arial" w:cs="Arial" w:eastAsia="Arial" w:hAnsi="Arial"/>
          <w:sz w:val="18"/>
          <w:szCs w:val="18"/>
          <w:color w:val="auto"/>
        </w:rPr>
        <w:t>Commercial loans and leases classified as nonperforming aggregated $85 million at March 31, 2008, $113 million at March 31, 2007 and $79 million at December 31, 2007. The decline in such loans from March 31, 2007 to the last two quarter-ends was due, in part, to a reduction of nonperforming loans to automobile dealers predominantly due to payments received.</w:t>
      </w:r>
    </w:p>
    <w:p>
      <w:pPr>
        <w:spacing w:after="0" w:line="73" w:lineRule="exact"/>
        <w:rPr>
          <w:sz w:val="20"/>
          <w:szCs w:val="20"/>
          <w:color w:val="auto"/>
        </w:rPr>
      </w:pPr>
    </w:p>
    <w:p>
      <w:pPr>
        <w:ind w:right="40" w:firstLine="225"/>
        <w:spacing w:after="0" w:line="257" w:lineRule="auto"/>
        <w:rPr>
          <w:sz w:val="20"/>
          <w:szCs w:val="20"/>
          <w:color w:val="auto"/>
        </w:rPr>
      </w:pPr>
      <w:r>
        <w:rPr>
          <w:rFonts w:ascii="Arial" w:cs="Arial" w:eastAsia="Arial" w:hAnsi="Arial"/>
          <w:sz w:val="18"/>
          <w:szCs w:val="18"/>
          <w:color w:val="auto"/>
        </w:rPr>
        <w:t>Nonperforming commercial real estate loans totaled $141 million at March 31, 2008, $64 million at March 31, 2007 and $118 million at December 31, 2007. The rise in such loans at March 31, 2008 as compared with the end of the first quarter of 2007 was the result of the addition of $91 million of loans to residential homebuilders and developers, reflecting the impact of the downturn in the residential real estate market, including declining real estate values. The collateral securing those loans is largely located in the Mid-Atlantic region. The increase from the 2007 year-end was due, in part, to the net addition of $11 million of loans to residential homebuilders and developers.</w:t>
      </w:r>
    </w:p>
    <w:p>
      <w:pPr>
        <w:spacing w:after="0" w:line="80" w:lineRule="exact"/>
        <w:rPr>
          <w:sz w:val="20"/>
          <w:szCs w:val="20"/>
          <w:color w:val="auto"/>
        </w:rPr>
      </w:pPr>
    </w:p>
    <w:p>
      <w:pPr>
        <w:ind w:right="160" w:firstLine="225"/>
        <w:spacing w:after="0" w:line="284" w:lineRule="auto"/>
        <w:rPr>
          <w:sz w:val="20"/>
          <w:szCs w:val="20"/>
          <w:color w:val="auto"/>
        </w:rPr>
      </w:pPr>
      <w:r>
        <w:rPr>
          <w:rFonts w:ascii="Arial" w:cs="Arial" w:eastAsia="Arial" w:hAnsi="Arial"/>
          <w:sz w:val="16"/>
          <w:szCs w:val="16"/>
          <w:color w:val="auto"/>
        </w:rPr>
        <w:t>Residential real estate loans classified as nonperforming were $198 million at March 31, 2008, compared with $50 million at March 31, 2007 and $181 million at December 31, 2007. As already noted, the significant increase in such loans from March 31, 2007 includes the effect of the change in accounting procedure for nonaccrual residential real estate loans. Declining real estate values and higher levels of delinquencies have also contributed to the rise in residential real estate loans classified as nonaccrual, largely in the Company’s Alt-A portfolio, and to the level of charge-offs. Included in residential real estate loans net charge-offs and nonperforming loans were net charge-offs of Alt-A loans in the first quarter of 2008 of $12 million, compared with $1 million and $7 million during the quarters ended March 31, 2007 and December 31, 2007, respectively, while nonperforming Alt-A loans totaled</w:t>
      </w:r>
    </w:p>
    <w:p>
      <w:pPr>
        <w:spacing w:after="0" w:line="5" w:lineRule="exact"/>
        <w:rPr>
          <w:sz w:val="20"/>
          <w:szCs w:val="20"/>
          <w:color w:val="auto"/>
        </w:rPr>
      </w:pPr>
    </w:p>
    <w:p>
      <w:pPr>
        <w:ind w:right="340"/>
        <w:spacing w:after="0" w:line="290" w:lineRule="auto"/>
        <w:rPr>
          <w:sz w:val="20"/>
          <w:szCs w:val="20"/>
          <w:color w:val="auto"/>
        </w:rPr>
      </w:pPr>
      <w:r>
        <w:rPr>
          <w:rFonts w:ascii="Arial" w:cs="Arial" w:eastAsia="Arial" w:hAnsi="Arial"/>
          <w:sz w:val="17"/>
          <w:szCs w:val="17"/>
          <w:color w:val="auto"/>
        </w:rPr>
        <w:t>$107 million, $14 million and $90 million at March 31, 2008, March 31, 2007 and December 31, 2007, respectively. Residential real estate loans past due 90 days or more and accruing interest totaled $72 million at March 31, 2008, compared with $96 million a year earlier and $66 million at</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December 31, 2007. A substantial portion of such amounts relate to guaranteed loans repurchased from government-related entities.</w:t>
      </w:r>
    </w:p>
    <w:p>
      <w:pPr>
        <w:spacing w:after="0" w:line="117" w:lineRule="exact"/>
        <w:rPr>
          <w:sz w:val="20"/>
          <w:szCs w:val="20"/>
          <w:color w:val="auto"/>
        </w:rPr>
      </w:pPr>
    </w:p>
    <w:p>
      <w:pPr>
        <w:ind w:right="100" w:firstLine="225"/>
        <w:spacing w:after="0" w:line="272" w:lineRule="auto"/>
        <w:rPr>
          <w:sz w:val="20"/>
          <w:szCs w:val="20"/>
          <w:color w:val="auto"/>
        </w:rPr>
      </w:pPr>
      <w:r>
        <w:rPr>
          <w:rFonts w:ascii="Arial" w:cs="Arial" w:eastAsia="Arial" w:hAnsi="Arial"/>
          <w:sz w:val="17"/>
          <w:szCs w:val="17"/>
          <w:color w:val="auto"/>
        </w:rPr>
        <w:t>Nonperforming consumer loans and leases aggregated $71 million at March 31, 2008, compared with $46 million at March 31, 2007 and $69 million at December 31, 2007. Included in nonperforming consumer loans and leases at March 31, 2008, March 31, 2007 and December 31, 2007 were indirect automobile loans of $18 million, $8 million and $16 million, respectively; recreational vehicle loans of $12 million, $6 million and $11 million, respectively; and outstanding balances of home equity lines of credit of $13 million, $9 million and $12 million, respectively. As a percentage of consumer loan balances outstanding, nonperforming consumer loans and leases were .63% at March 31, 2008, compared with .47% and .61% at March 31, 2007 and December 31, 2007, respectively. The Company experienced a rise in delinquencies in the consumer loan portfolio over the last several quarters, largely related to indirect automobile and recreational vehicle loans.</w:t>
      </w:r>
    </w:p>
    <w:p>
      <w:pPr>
        <w:spacing w:after="0" w:line="70" w:lineRule="exact"/>
        <w:rPr>
          <w:sz w:val="20"/>
          <w:szCs w:val="20"/>
          <w:color w:val="auto"/>
        </w:rPr>
      </w:pPr>
    </w:p>
    <w:p>
      <w:pPr>
        <w:ind w:right="340" w:firstLine="215"/>
        <w:spacing w:after="0" w:line="277" w:lineRule="auto"/>
        <w:rPr>
          <w:sz w:val="20"/>
          <w:szCs w:val="20"/>
          <w:color w:val="auto"/>
        </w:rPr>
      </w:pPr>
      <w:r>
        <w:rPr>
          <w:rFonts w:ascii="Arial" w:cs="Arial" w:eastAsia="Arial" w:hAnsi="Arial"/>
          <w:sz w:val="18"/>
          <w:szCs w:val="18"/>
          <w:color w:val="auto"/>
        </w:rPr>
        <w:t>Assets acquired in settlement of defaulted loans were $53 million at March 31, 2008, compared with $15 million at March 31, 2007 and $40 million at December 31, 2007. The increases from 2007 resulted from higher residential real estate loan defaults.</w:t>
      </w:r>
    </w:p>
    <w:p>
      <w:pPr>
        <w:spacing w:after="0" w:line="62" w:lineRule="exact"/>
        <w:rPr>
          <w:sz w:val="20"/>
          <w:szCs w:val="20"/>
          <w:color w:val="auto"/>
        </w:rPr>
      </w:pPr>
    </w:p>
    <w:p>
      <w:pPr>
        <w:ind w:right="100" w:firstLine="215"/>
        <w:spacing w:after="0" w:line="277" w:lineRule="auto"/>
        <w:rPr>
          <w:sz w:val="20"/>
          <w:szCs w:val="20"/>
          <w:color w:val="auto"/>
        </w:rPr>
      </w:pPr>
      <w:r>
        <w:rPr>
          <w:rFonts w:ascii="Arial" w:cs="Arial" w:eastAsia="Arial" w:hAnsi="Arial"/>
          <w:sz w:val="18"/>
          <w:szCs w:val="18"/>
          <w:color w:val="auto"/>
        </w:rPr>
        <w:t>A comparative summary of nonperforming assets and certain past due loan data and credit quality ratios as of the end of the periods indicated is presented in the accompanying table.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NONPERFORMING ASSET AND PAST DUE LOAN DATA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ind w:right="132"/>
              <w:spacing w:after="0"/>
              <w:rPr>
                <w:sz w:val="20"/>
                <w:szCs w:val="20"/>
                <w:color w:val="auto"/>
              </w:rPr>
            </w:pPr>
            <w:r>
              <w:rPr>
                <w:rFonts w:ascii="Arial" w:cs="Arial" w:eastAsia="Arial" w:hAnsi="Arial"/>
                <w:sz w:val="14"/>
                <w:szCs w:val="14"/>
                <w:color w:val="auto"/>
              </w:rPr>
              <w:t>2008</w:t>
            </w: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500" w:type="dxa"/>
            <w:vAlign w:val="bottom"/>
            <w:gridSpan w:val="3"/>
          </w:tcPr>
          <w:p>
            <w:pPr>
              <w:ind w:left="660"/>
              <w:spacing w:after="0"/>
              <w:rPr>
                <w:sz w:val="20"/>
                <w:szCs w:val="20"/>
                <w:color w:val="auto"/>
              </w:rPr>
            </w:pPr>
            <w:r>
              <w:rPr>
                <w:rFonts w:ascii="Arial" w:cs="Arial" w:eastAsia="Arial" w:hAnsi="Arial"/>
                <w:sz w:val="14"/>
                <w:szCs w:val="14"/>
                <w:color w:val="auto"/>
                <w:w w:val="91"/>
              </w:rPr>
              <w:t>2007 Quarters</w:t>
            </w: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1920" w:type="dxa"/>
            <w:vAlign w:val="bottom"/>
            <w:gridSpan w:val="4"/>
          </w:tcPr>
          <w:p>
            <w:pPr>
              <w:ind w:left="500"/>
              <w:spacing w:after="0"/>
              <w:rPr>
                <w:sz w:val="20"/>
                <w:szCs w:val="20"/>
                <w:color w:val="auto"/>
              </w:rPr>
            </w:pPr>
            <w:r>
              <w:rPr>
                <w:rFonts w:ascii="Arial" w:cs="Arial" w:eastAsia="Arial" w:hAnsi="Arial"/>
                <w:sz w:val="14"/>
                <w:szCs w:val="14"/>
                <w:color w:val="auto"/>
              </w:rPr>
              <w:t>First Quarter</w:t>
            </w:r>
          </w:p>
        </w:tc>
        <w:tc>
          <w:tcPr>
            <w:tcW w:w="1400" w:type="dxa"/>
            <w:vAlign w:val="bottom"/>
            <w:gridSpan w:val="2"/>
          </w:tcPr>
          <w:p>
            <w:pPr>
              <w:jc w:val="right"/>
              <w:ind w:right="860"/>
              <w:spacing w:after="0"/>
              <w:rPr>
                <w:sz w:val="20"/>
                <w:szCs w:val="20"/>
                <w:color w:val="auto"/>
              </w:rPr>
            </w:pPr>
            <w:r>
              <w:rPr>
                <w:rFonts w:ascii="Arial" w:cs="Arial" w:eastAsia="Arial" w:hAnsi="Arial"/>
                <w:sz w:val="14"/>
                <w:szCs w:val="14"/>
                <w:color w:val="auto"/>
              </w:rPr>
              <w:t>Fourth</w:t>
            </w:r>
          </w:p>
        </w:tc>
        <w:tc>
          <w:tcPr>
            <w:tcW w:w="1500" w:type="dxa"/>
            <w:vAlign w:val="bottom"/>
            <w:gridSpan w:val="3"/>
          </w:tcPr>
          <w:p>
            <w:pPr>
              <w:ind w:left="200"/>
              <w:spacing w:after="0"/>
              <w:rPr>
                <w:sz w:val="20"/>
                <w:szCs w:val="20"/>
                <w:color w:val="auto"/>
              </w:rPr>
            </w:pPr>
            <w:r>
              <w:rPr>
                <w:rFonts w:ascii="Arial" w:cs="Arial" w:eastAsia="Arial" w:hAnsi="Arial"/>
                <w:sz w:val="14"/>
                <w:szCs w:val="14"/>
                <w:color w:val="auto"/>
              </w:rPr>
              <w:t>Third</w:t>
            </w:r>
          </w:p>
        </w:tc>
        <w:tc>
          <w:tcPr>
            <w:tcW w:w="1320" w:type="dxa"/>
            <w:vAlign w:val="bottom"/>
            <w:gridSpan w:val="2"/>
          </w:tcPr>
          <w:p>
            <w:pPr>
              <w:ind w:left="60"/>
              <w:spacing w:after="0"/>
              <w:rPr>
                <w:sz w:val="20"/>
                <w:szCs w:val="20"/>
                <w:color w:val="auto"/>
              </w:rPr>
            </w:pPr>
            <w:r>
              <w:rPr>
                <w:rFonts w:ascii="Arial" w:cs="Arial" w:eastAsia="Arial" w:hAnsi="Arial"/>
                <w:sz w:val="14"/>
                <w:szCs w:val="14"/>
                <w:color w:val="auto"/>
              </w:rPr>
              <w:t>Second</w:t>
            </w:r>
          </w:p>
        </w:tc>
        <w:tc>
          <w:tcPr>
            <w:tcW w:w="860" w:type="dxa"/>
            <w:vAlign w:val="bottom"/>
            <w:gridSpan w:val="2"/>
          </w:tcPr>
          <w:p>
            <w:pPr>
              <w:ind w:left="220"/>
              <w:spacing w:after="0"/>
              <w:rPr>
                <w:sz w:val="20"/>
                <w:szCs w:val="20"/>
                <w:color w:val="auto"/>
              </w:rPr>
            </w:pPr>
            <w:r>
              <w:rPr>
                <w:rFonts w:ascii="Arial" w:cs="Arial" w:eastAsia="Arial" w:hAnsi="Arial"/>
                <w:sz w:val="14"/>
                <w:szCs w:val="14"/>
                <w:color w:val="auto"/>
              </w:rPr>
              <w:t>First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Nonaccrual loans</w:t>
            </w:r>
          </w:p>
        </w:tc>
        <w:tc>
          <w:tcPr>
            <w:tcW w:w="6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w w:val="92"/>
              </w:rPr>
              <w:t>477,436</w:t>
            </w:r>
          </w:p>
        </w:tc>
        <w:tc>
          <w:tcPr>
            <w:tcW w:w="14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431,282</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356,438</w:t>
            </w: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w w:val="92"/>
              </w:rPr>
              <w:t>282,133</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259,015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Renegotiated loans</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17,084</w:t>
            </w:r>
          </w:p>
        </w:tc>
        <w:tc>
          <w:tcPr>
            <w:tcW w:w="700" w:type="dxa"/>
            <w:vAlign w:val="bottom"/>
          </w:tcPr>
          <w:p>
            <w:pPr>
              <w:spacing w:after="0"/>
              <w:rPr>
                <w:sz w:val="18"/>
                <w:szCs w:val="18"/>
                <w:color w:val="auto"/>
              </w:rPr>
            </w:pPr>
          </w:p>
        </w:tc>
        <w:tc>
          <w:tcPr>
            <w:tcW w:w="1400" w:type="dxa"/>
            <w:vAlign w:val="bottom"/>
            <w:gridSpan w:val="2"/>
          </w:tcPr>
          <w:p>
            <w:pPr>
              <w:jc w:val="right"/>
              <w:ind w:right="700"/>
              <w:spacing w:after="0"/>
              <w:rPr>
                <w:sz w:val="20"/>
                <w:szCs w:val="20"/>
                <w:color w:val="auto"/>
              </w:rPr>
            </w:pPr>
            <w:r>
              <w:rPr>
                <w:rFonts w:ascii="Arial" w:cs="Arial" w:eastAsia="Arial" w:hAnsi="Arial"/>
                <w:sz w:val="18"/>
                <w:szCs w:val="18"/>
                <w:color w:val="auto"/>
              </w:rPr>
              <w:t>15,884</w:t>
            </w:r>
          </w:p>
        </w:tc>
        <w:tc>
          <w:tcPr>
            <w:tcW w:w="1420" w:type="dxa"/>
            <w:vAlign w:val="bottom"/>
            <w:gridSpan w:val="2"/>
          </w:tcPr>
          <w:p>
            <w:pPr>
              <w:jc w:val="right"/>
              <w:ind w:right="720"/>
              <w:spacing w:after="0"/>
              <w:rPr>
                <w:sz w:val="20"/>
                <w:szCs w:val="20"/>
                <w:color w:val="auto"/>
              </w:rPr>
            </w:pPr>
            <w:r>
              <w:rPr>
                <w:rFonts w:ascii="Arial" w:cs="Arial" w:eastAsia="Arial" w:hAnsi="Arial"/>
                <w:sz w:val="18"/>
                <w:szCs w:val="18"/>
                <w:color w:val="auto"/>
              </w:rPr>
              <w:t>14,953</w:t>
            </w:r>
          </w:p>
        </w:tc>
        <w:tc>
          <w:tcPr>
            <w:tcW w:w="80" w:type="dxa"/>
            <w:vAlign w:val="bottom"/>
          </w:tcPr>
          <w:p>
            <w:pPr>
              <w:spacing w:after="0"/>
              <w:rPr>
                <w:sz w:val="18"/>
                <w:szCs w:val="18"/>
                <w:color w:val="auto"/>
              </w:rPr>
            </w:pPr>
          </w:p>
        </w:tc>
        <w:tc>
          <w:tcPr>
            <w:tcW w:w="1320" w:type="dxa"/>
            <w:vAlign w:val="bottom"/>
            <w:gridSpan w:val="2"/>
          </w:tcPr>
          <w:p>
            <w:pPr>
              <w:jc w:val="right"/>
              <w:ind w:right="700"/>
              <w:spacing w:after="0"/>
              <w:rPr>
                <w:sz w:val="20"/>
                <w:szCs w:val="20"/>
                <w:color w:val="auto"/>
              </w:rPr>
            </w:pPr>
            <w:r>
              <w:rPr>
                <w:rFonts w:ascii="Arial" w:cs="Arial" w:eastAsia="Arial" w:hAnsi="Arial"/>
                <w:sz w:val="18"/>
                <w:szCs w:val="18"/>
                <w:color w:val="auto"/>
              </w:rPr>
              <w:t>13,706</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14,210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Total nonperforming loans</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494,520</w:t>
            </w:r>
          </w:p>
        </w:tc>
        <w:tc>
          <w:tcPr>
            <w:tcW w:w="7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447,166</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371,391</w:t>
            </w: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w w:val="92"/>
              </w:rPr>
              <w:t>295,839</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273,225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Real estate and other assets owned</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52,805</w:t>
            </w:r>
          </w:p>
        </w:tc>
        <w:tc>
          <w:tcPr>
            <w:tcW w:w="700" w:type="dxa"/>
            <w:vAlign w:val="bottom"/>
          </w:tcPr>
          <w:p>
            <w:pPr>
              <w:spacing w:after="0"/>
              <w:rPr>
                <w:sz w:val="18"/>
                <w:szCs w:val="18"/>
                <w:color w:val="auto"/>
              </w:rPr>
            </w:pPr>
          </w:p>
        </w:tc>
        <w:tc>
          <w:tcPr>
            <w:tcW w:w="1400" w:type="dxa"/>
            <w:vAlign w:val="bottom"/>
            <w:gridSpan w:val="2"/>
          </w:tcPr>
          <w:p>
            <w:pPr>
              <w:jc w:val="right"/>
              <w:ind w:right="700"/>
              <w:spacing w:after="0"/>
              <w:rPr>
                <w:sz w:val="20"/>
                <w:szCs w:val="20"/>
                <w:color w:val="auto"/>
              </w:rPr>
            </w:pPr>
            <w:r>
              <w:rPr>
                <w:rFonts w:ascii="Arial" w:cs="Arial" w:eastAsia="Arial" w:hAnsi="Arial"/>
                <w:sz w:val="18"/>
                <w:szCs w:val="18"/>
                <w:color w:val="auto"/>
              </w:rPr>
              <w:t>40,175</w:t>
            </w:r>
          </w:p>
        </w:tc>
        <w:tc>
          <w:tcPr>
            <w:tcW w:w="1420" w:type="dxa"/>
            <w:vAlign w:val="bottom"/>
            <w:gridSpan w:val="2"/>
          </w:tcPr>
          <w:p>
            <w:pPr>
              <w:jc w:val="right"/>
              <w:ind w:right="720"/>
              <w:spacing w:after="0"/>
              <w:rPr>
                <w:sz w:val="20"/>
                <w:szCs w:val="20"/>
                <w:color w:val="auto"/>
              </w:rPr>
            </w:pPr>
            <w:r>
              <w:rPr>
                <w:rFonts w:ascii="Arial" w:cs="Arial" w:eastAsia="Arial" w:hAnsi="Arial"/>
                <w:sz w:val="18"/>
                <w:szCs w:val="18"/>
                <w:color w:val="auto"/>
              </w:rPr>
              <w:t>22,080</w:t>
            </w:r>
          </w:p>
        </w:tc>
        <w:tc>
          <w:tcPr>
            <w:tcW w:w="80" w:type="dxa"/>
            <w:vAlign w:val="bottom"/>
          </w:tcPr>
          <w:p>
            <w:pPr>
              <w:spacing w:after="0"/>
              <w:rPr>
                <w:sz w:val="18"/>
                <w:szCs w:val="18"/>
                <w:color w:val="auto"/>
              </w:rPr>
            </w:pPr>
          </w:p>
        </w:tc>
        <w:tc>
          <w:tcPr>
            <w:tcW w:w="1320" w:type="dxa"/>
            <w:vAlign w:val="bottom"/>
            <w:gridSpan w:val="2"/>
          </w:tcPr>
          <w:p>
            <w:pPr>
              <w:jc w:val="right"/>
              <w:ind w:right="700"/>
              <w:spacing w:after="0"/>
              <w:rPr>
                <w:sz w:val="20"/>
                <w:szCs w:val="20"/>
                <w:color w:val="auto"/>
              </w:rPr>
            </w:pPr>
            <w:r>
              <w:rPr>
                <w:rFonts w:ascii="Arial" w:cs="Arial" w:eastAsia="Arial" w:hAnsi="Arial"/>
                <w:sz w:val="18"/>
                <w:szCs w:val="18"/>
                <w:color w:val="auto"/>
              </w:rPr>
              <w:t>17,837</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15,095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Total nonperforming assets</w:t>
            </w:r>
          </w:p>
        </w:tc>
        <w:tc>
          <w:tcPr>
            <w:tcW w:w="6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w w:val="92"/>
              </w:rPr>
              <w:t>547,325</w:t>
            </w:r>
          </w:p>
        </w:tc>
        <w:tc>
          <w:tcPr>
            <w:tcW w:w="14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487,341</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393,471</w:t>
            </w: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w w:val="92"/>
              </w:rPr>
              <w:t>313,676</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288,320</w:t>
            </w:r>
          </w:p>
        </w:tc>
        <w:tc>
          <w:tcPr>
            <w:tcW w:w="0" w:type="dxa"/>
            <w:vAlign w:val="bottom"/>
          </w:tcPr>
          <w:p>
            <w:pPr>
              <w:spacing w:after="0"/>
              <w:rPr>
                <w:sz w:val="1"/>
                <w:szCs w:val="1"/>
                <w:color w:val="auto"/>
              </w:rPr>
            </w:pPr>
          </w:p>
        </w:tc>
      </w:tr>
      <w:tr>
        <w:trPr>
          <w:trHeight w:val="20"/>
        </w:trPr>
        <w:tc>
          <w:tcPr>
            <w:tcW w:w="44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420" w:type="dxa"/>
            <w:vAlign w:val="bottom"/>
            <w:gridSpan w:val="2"/>
          </w:tcPr>
          <w:p>
            <w:pPr>
              <w:spacing w:after="0"/>
              <w:rPr>
                <w:sz w:val="20"/>
                <w:szCs w:val="20"/>
                <w:color w:val="auto"/>
              </w:rPr>
            </w:pPr>
            <w:r>
              <w:rPr>
                <w:rFonts w:ascii="Arial" w:cs="Arial" w:eastAsia="Arial" w:hAnsi="Arial"/>
                <w:sz w:val="18"/>
                <w:szCs w:val="18"/>
                <w:color w:val="auto"/>
              </w:rPr>
              <w:t>Accruing loans past due 90 days or more*</w:t>
            </w:r>
          </w:p>
        </w:tc>
        <w:tc>
          <w:tcPr>
            <w:tcW w:w="600" w:type="dxa"/>
            <w:vAlign w:val="bottom"/>
            <w:gridSpan w:val="2"/>
          </w:tcPr>
          <w:p>
            <w:pPr>
              <w:ind w:left="50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700"/>
              <w:spacing w:after="0"/>
              <w:rPr>
                <w:sz w:val="20"/>
                <w:szCs w:val="20"/>
                <w:color w:val="auto"/>
              </w:rPr>
            </w:pPr>
            <w:r>
              <w:rPr>
                <w:rFonts w:ascii="Arial" w:cs="Arial" w:eastAsia="Arial" w:hAnsi="Arial"/>
                <w:sz w:val="18"/>
                <w:szCs w:val="18"/>
                <w:color w:val="auto"/>
              </w:rPr>
              <w:t>81,316</w:t>
            </w:r>
          </w:p>
        </w:tc>
        <w:tc>
          <w:tcPr>
            <w:tcW w:w="1400" w:type="dxa"/>
            <w:vAlign w:val="bottom"/>
            <w:gridSpan w:val="2"/>
          </w:tcPr>
          <w:p>
            <w:pPr>
              <w:jc w:val="right"/>
              <w:ind w:right="700"/>
              <w:spacing w:after="0"/>
              <w:rPr>
                <w:sz w:val="20"/>
                <w:szCs w:val="20"/>
                <w:color w:val="auto"/>
              </w:rPr>
            </w:pPr>
            <w:r>
              <w:rPr>
                <w:rFonts w:ascii="Arial" w:cs="Arial" w:eastAsia="Arial" w:hAnsi="Arial"/>
                <w:sz w:val="18"/>
                <w:szCs w:val="18"/>
                <w:color w:val="auto"/>
              </w:rPr>
              <w:t>77,319</w:t>
            </w:r>
          </w:p>
        </w:tc>
        <w:tc>
          <w:tcPr>
            <w:tcW w:w="700" w:type="dxa"/>
            <w:vAlign w:val="bottom"/>
          </w:tcPr>
          <w:p>
            <w:pPr>
              <w:jc w:val="right"/>
              <w:spacing w:after="0"/>
              <w:rPr>
                <w:sz w:val="20"/>
                <w:szCs w:val="20"/>
                <w:color w:val="auto"/>
              </w:rPr>
            </w:pPr>
            <w:r>
              <w:rPr>
                <w:rFonts w:ascii="Arial" w:cs="Arial" w:eastAsia="Arial" w:hAnsi="Arial"/>
                <w:sz w:val="18"/>
                <w:szCs w:val="18"/>
                <w:color w:val="auto"/>
              </w:rPr>
              <w:t>140,313</w:t>
            </w: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gridSpan w:val="2"/>
          </w:tcPr>
          <w:p>
            <w:pPr>
              <w:jc w:val="right"/>
              <w:ind w:right="700"/>
              <w:spacing w:after="0"/>
              <w:rPr>
                <w:sz w:val="20"/>
                <w:szCs w:val="20"/>
                <w:color w:val="auto"/>
              </w:rPr>
            </w:pPr>
            <w:r>
              <w:rPr>
                <w:rFonts w:ascii="Arial" w:cs="Arial" w:eastAsia="Arial" w:hAnsi="Arial"/>
                <w:sz w:val="18"/>
                <w:szCs w:val="18"/>
                <w:color w:val="auto"/>
                <w:w w:val="92"/>
              </w:rPr>
              <w:t>134,906</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118,094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Government guaranteed loans included in totals above</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200"/>
              <w:spacing w:after="0"/>
              <w:rPr>
                <w:sz w:val="20"/>
                <w:szCs w:val="20"/>
                <w:color w:val="auto"/>
              </w:rPr>
            </w:pPr>
            <w:r>
              <w:rPr>
                <w:rFonts w:ascii="Arial" w:cs="Arial" w:eastAsia="Arial" w:hAnsi="Arial"/>
                <w:sz w:val="18"/>
                <w:szCs w:val="18"/>
                <w:color w:val="auto"/>
              </w:rPr>
              <w:t>Nonperforming loans</w:t>
            </w:r>
          </w:p>
        </w:tc>
        <w:tc>
          <w:tcPr>
            <w:tcW w:w="600" w:type="dxa"/>
            <w:vAlign w:val="bottom"/>
            <w:gridSpan w:val="2"/>
          </w:tcPr>
          <w:p>
            <w:pPr>
              <w:ind w:left="50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700"/>
              <w:spacing w:after="0"/>
              <w:rPr>
                <w:sz w:val="20"/>
                <w:szCs w:val="20"/>
                <w:color w:val="auto"/>
              </w:rPr>
            </w:pPr>
            <w:r>
              <w:rPr>
                <w:rFonts w:ascii="Arial" w:cs="Arial" w:eastAsia="Arial" w:hAnsi="Arial"/>
                <w:sz w:val="18"/>
                <w:szCs w:val="18"/>
                <w:color w:val="auto"/>
              </w:rPr>
              <w:t>22,320</w:t>
            </w:r>
          </w:p>
        </w:tc>
        <w:tc>
          <w:tcPr>
            <w:tcW w:w="1400" w:type="dxa"/>
            <w:vAlign w:val="bottom"/>
            <w:gridSpan w:val="2"/>
          </w:tcPr>
          <w:p>
            <w:pPr>
              <w:jc w:val="right"/>
              <w:ind w:right="700"/>
              <w:spacing w:after="0"/>
              <w:rPr>
                <w:sz w:val="20"/>
                <w:szCs w:val="20"/>
                <w:color w:val="auto"/>
              </w:rPr>
            </w:pPr>
            <w:r>
              <w:rPr>
                <w:rFonts w:ascii="Arial" w:cs="Arial" w:eastAsia="Arial" w:hAnsi="Arial"/>
                <w:sz w:val="18"/>
                <w:szCs w:val="18"/>
                <w:color w:val="auto"/>
              </w:rPr>
              <w:t>19,125</w:t>
            </w:r>
          </w:p>
        </w:tc>
        <w:tc>
          <w:tcPr>
            <w:tcW w:w="1420" w:type="dxa"/>
            <w:vAlign w:val="bottom"/>
            <w:gridSpan w:val="2"/>
          </w:tcPr>
          <w:p>
            <w:pPr>
              <w:jc w:val="right"/>
              <w:ind w:right="720"/>
              <w:spacing w:after="0"/>
              <w:rPr>
                <w:sz w:val="20"/>
                <w:szCs w:val="20"/>
                <w:color w:val="auto"/>
              </w:rPr>
            </w:pPr>
            <w:r>
              <w:rPr>
                <w:rFonts w:ascii="Arial" w:cs="Arial" w:eastAsia="Arial" w:hAnsi="Arial"/>
                <w:sz w:val="18"/>
                <w:szCs w:val="18"/>
                <w:color w:val="auto"/>
              </w:rPr>
              <w:t>15,999</w:t>
            </w:r>
          </w:p>
        </w:tc>
        <w:tc>
          <w:tcPr>
            <w:tcW w:w="80" w:type="dxa"/>
            <w:vAlign w:val="bottom"/>
          </w:tcPr>
          <w:p>
            <w:pPr>
              <w:spacing w:after="0"/>
              <w:rPr>
                <w:sz w:val="18"/>
                <w:szCs w:val="18"/>
                <w:color w:val="auto"/>
              </w:rPr>
            </w:pPr>
          </w:p>
        </w:tc>
        <w:tc>
          <w:tcPr>
            <w:tcW w:w="1320" w:type="dxa"/>
            <w:vAlign w:val="bottom"/>
            <w:gridSpan w:val="2"/>
          </w:tcPr>
          <w:p>
            <w:pPr>
              <w:jc w:val="right"/>
              <w:ind w:right="700"/>
              <w:spacing w:after="0"/>
              <w:rPr>
                <w:sz w:val="20"/>
                <w:szCs w:val="20"/>
                <w:color w:val="auto"/>
              </w:rPr>
            </w:pPr>
            <w:r>
              <w:rPr>
                <w:rFonts w:ascii="Arial" w:cs="Arial" w:eastAsia="Arial" w:hAnsi="Arial"/>
                <w:sz w:val="18"/>
                <w:szCs w:val="18"/>
                <w:color w:val="auto"/>
              </w:rPr>
              <w:t>16,717</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18,007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Accruing loans past due 90 days or more</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76,511</w:t>
            </w:r>
          </w:p>
        </w:tc>
        <w:tc>
          <w:tcPr>
            <w:tcW w:w="14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72,705</w:t>
            </w:r>
          </w:p>
        </w:tc>
        <w:tc>
          <w:tcPr>
            <w:tcW w:w="14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69,956</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69,563</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70,626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Nonperforming loans to total loans and leases, net of</w:t>
            </w:r>
          </w:p>
        </w:tc>
        <w:tc>
          <w:tcPr>
            <w:tcW w:w="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0"/>
        </w:trPr>
        <w:tc>
          <w:tcPr>
            <w:tcW w:w="4920" w:type="dxa"/>
            <w:vAlign w:val="bottom"/>
          </w:tcPr>
          <w:p>
            <w:pPr>
              <w:ind w:left="220"/>
              <w:spacing w:after="0"/>
              <w:rPr>
                <w:sz w:val="20"/>
                <w:szCs w:val="20"/>
                <w:color w:val="auto"/>
              </w:rPr>
            </w:pPr>
            <w:r>
              <w:rPr>
                <w:rFonts w:ascii="Arial" w:cs="Arial" w:eastAsia="Arial" w:hAnsi="Arial"/>
                <w:sz w:val="18"/>
                <w:szCs w:val="18"/>
                <w:color w:val="auto"/>
              </w:rPr>
              <w:t>unearned discount</w:t>
            </w:r>
          </w:p>
        </w:tc>
        <w:tc>
          <w:tcPr>
            <w:tcW w:w="1420" w:type="dxa"/>
            <w:vAlign w:val="bottom"/>
            <w:gridSpan w:val="2"/>
          </w:tcPr>
          <w:p>
            <w:pPr>
              <w:jc w:val="right"/>
              <w:ind w:right="560"/>
              <w:spacing w:after="0"/>
              <w:rPr>
                <w:sz w:val="20"/>
                <w:szCs w:val="20"/>
                <w:color w:val="auto"/>
              </w:rPr>
            </w:pPr>
            <w:r>
              <w:rPr>
                <w:rFonts w:ascii="Arial" w:cs="Arial" w:eastAsia="Arial" w:hAnsi="Arial"/>
                <w:sz w:val="18"/>
                <w:szCs w:val="18"/>
                <w:color w:val="auto"/>
              </w:rPr>
              <w:t>1.00%</w:t>
            </w:r>
          </w:p>
        </w:tc>
        <w:tc>
          <w:tcPr>
            <w:tcW w:w="1400" w:type="dxa"/>
            <w:vAlign w:val="bottom"/>
            <w:gridSpan w:val="2"/>
          </w:tcPr>
          <w:p>
            <w:pPr>
              <w:jc w:val="right"/>
              <w:ind w:right="540"/>
              <w:spacing w:after="0"/>
              <w:rPr>
                <w:sz w:val="20"/>
                <w:szCs w:val="20"/>
                <w:color w:val="auto"/>
              </w:rPr>
            </w:pPr>
            <w:r>
              <w:rPr>
                <w:rFonts w:ascii="Arial" w:cs="Arial" w:eastAsia="Arial" w:hAnsi="Arial"/>
                <w:sz w:val="18"/>
                <w:szCs w:val="18"/>
                <w:color w:val="auto"/>
              </w:rPr>
              <w:t>.93%</w:t>
            </w:r>
          </w:p>
        </w:tc>
        <w:tc>
          <w:tcPr>
            <w:tcW w:w="1420" w:type="dxa"/>
            <w:vAlign w:val="bottom"/>
            <w:gridSpan w:val="2"/>
          </w:tcPr>
          <w:p>
            <w:pPr>
              <w:jc w:val="right"/>
              <w:ind w:right="560"/>
              <w:spacing w:after="0"/>
              <w:rPr>
                <w:sz w:val="20"/>
                <w:szCs w:val="20"/>
                <w:color w:val="auto"/>
              </w:rPr>
            </w:pPr>
            <w:r>
              <w:rPr>
                <w:rFonts w:ascii="Arial" w:cs="Arial" w:eastAsia="Arial" w:hAnsi="Arial"/>
                <w:sz w:val="18"/>
                <w:szCs w:val="18"/>
                <w:color w:val="auto"/>
              </w:rPr>
              <w:t>.83%</w:t>
            </w:r>
          </w:p>
        </w:tc>
        <w:tc>
          <w:tcPr>
            <w:tcW w:w="1400" w:type="dxa"/>
            <w:vAlign w:val="bottom"/>
            <w:gridSpan w:val="2"/>
          </w:tcPr>
          <w:p>
            <w:pPr>
              <w:jc w:val="right"/>
              <w:ind w:right="560"/>
              <w:spacing w:after="0"/>
              <w:rPr>
                <w:sz w:val="20"/>
                <w:szCs w:val="20"/>
                <w:color w:val="auto"/>
              </w:rPr>
            </w:pPr>
            <w:r>
              <w:rPr>
                <w:rFonts w:ascii="Arial" w:cs="Arial" w:eastAsia="Arial" w:hAnsi="Arial"/>
                <w:sz w:val="18"/>
                <w:szCs w:val="18"/>
                <w:color w:val="auto"/>
              </w:rPr>
              <w:t>.68%</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.63%</w:t>
            </w:r>
          </w:p>
        </w:tc>
      </w:tr>
      <w:tr>
        <w:trPr>
          <w:trHeight w:val="202"/>
        </w:trPr>
        <w:tc>
          <w:tcPr>
            <w:tcW w:w="49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Nonperforming assets to total net loans and leases and real</w:t>
            </w:r>
          </w:p>
        </w:tc>
        <w:tc>
          <w:tcPr>
            <w:tcW w:w="7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0"/>
        </w:trPr>
        <w:tc>
          <w:tcPr>
            <w:tcW w:w="4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estate and other assets owned</w:t>
            </w:r>
          </w:p>
        </w:tc>
        <w:tc>
          <w:tcPr>
            <w:tcW w:w="14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1.11%</w:t>
            </w:r>
          </w:p>
        </w:tc>
        <w:tc>
          <w:tcPr>
            <w:tcW w:w="14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1.01%</w:t>
            </w:r>
          </w:p>
        </w:tc>
        <w:tc>
          <w:tcPr>
            <w:tcW w:w="14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.88%</w:t>
            </w:r>
          </w:p>
        </w:tc>
        <w:tc>
          <w:tcPr>
            <w:tcW w:w="14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.72%</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w:t>
            </w:r>
          </w:p>
        </w:tc>
      </w:tr>
      <w:tr>
        <w:trPr>
          <w:trHeight w:val="202"/>
        </w:trPr>
        <w:tc>
          <w:tcPr>
            <w:tcW w:w="4920" w:type="dxa"/>
            <w:vAlign w:val="bottom"/>
          </w:tcPr>
          <w:p>
            <w:pPr>
              <w:spacing w:after="0" w:line="201" w:lineRule="exact"/>
              <w:rPr>
                <w:sz w:val="20"/>
                <w:szCs w:val="20"/>
                <w:color w:val="auto"/>
              </w:rPr>
            </w:pPr>
            <w:r>
              <w:rPr>
                <w:rFonts w:ascii="Arial" w:cs="Arial" w:eastAsia="Arial" w:hAnsi="Arial"/>
                <w:sz w:val="18"/>
                <w:szCs w:val="18"/>
                <w:color w:val="auto"/>
              </w:rPr>
              <w:t>Accruing loans past due 90 days or more to total loans and</w:t>
            </w:r>
          </w:p>
        </w:tc>
        <w:tc>
          <w:tcPr>
            <w:tcW w:w="7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0"/>
        </w:trPr>
        <w:tc>
          <w:tcPr>
            <w:tcW w:w="4920" w:type="dxa"/>
            <w:vAlign w:val="bottom"/>
          </w:tcPr>
          <w:p>
            <w:pPr>
              <w:ind w:left="220"/>
              <w:spacing w:after="0"/>
              <w:rPr>
                <w:sz w:val="20"/>
                <w:szCs w:val="20"/>
                <w:color w:val="auto"/>
              </w:rPr>
            </w:pPr>
            <w:r>
              <w:rPr>
                <w:rFonts w:ascii="Arial" w:cs="Arial" w:eastAsia="Arial" w:hAnsi="Arial"/>
                <w:sz w:val="18"/>
                <w:szCs w:val="18"/>
                <w:color w:val="auto"/>
              </w:rPr>
              <w:t>leases, net of unearned discount</w:t>
            </w:r>
          </w:p>
        </w:tc>
        <w:tc>
          <w:tcPr>
            <w:tcW w:w="1420" w:type="dxa"/>
            <w:vAlign w:val="bottom"/>
            <w:gridSpan w:val="2"/>
          </w:tcPr>
          <w:p>
            <w:pPr>
              <w:jc w:val="right"/>
              <w:ind w:right="560"/>
              <w:spacing w:after="0"/>
              <w:rPr>
                <w:sz w:val="20"/>
                <w:szCs w:val="20"/>
                <w:color w:val="auto"/>
              </w:rPr>
            </w:pPr>
            <w:r>
              <w:rPr>
                <w:rFonts w:ascii="Arial" w:cs="Arial" w:eastAsia="Arial" w:hAnsi="Arial"/>
                <w:sz w:val="18"/>
                <w:szCs w:val="18"/>
                <w:color w:val="auto"/>
              </w:rPr>
              <w:t>.17%</w:t>
            </w:r>
          </w:p>
        </w:tc>
        <w:tc>
          <w:tcPr>
            <w:tcW w:w="1400" w:type="dxa"/>
            <w:vAlign w:val="bottom"/>
            <w:gridSpan w:val="2"/>
          </w:tcPr>
          <w:p>
            <w:pPr>
              <w:jc w:val="right"/>
              <w:ind w:right="540"/>
              <w:spacing w:after="0"/>
              <w:rPr>
                <w:sz w:val="20"/>
                <w:szCs w:val="20"/>
                <w:color w:val="auto"/>
              </w:rPr>
            </w:pPr>
            <w:r>
              <w:rPr>
                <w:rFonts w:ascii="Arial" w:cs="Arial" w:eastAsia="Arial" w:hAnsi="Arial"/>
                <w:sz w:val="18"/>
                <w:szCs w:val="18"/>
                <w:color w:val="auto"/>
              </w:rPr>
              <w:t>.16%</w:t>
            </w:r>
          </w:p>
        </w:tc>
        <w:tc>
          <w:tcPr>
            <w:tcW w:w="1420" w:type="dxa"/>
            <w:vAlign w:val="bottom"/>
            <w:gridSpan w:val="2"/>
          </w:tcPr>
          <w:p>
            <w:pPr>
              <w:jc w:val="right"/>
              <w:ind w:right="560"/>
              <w:spacing w:after="0"/>
              <w:rPr>
                <w:sz w:val="20"/>
                <w:szCs w:val="20"/>
                <w:color w:val="auto"/>
              </w:rPr>
            </w:pPr>
            <w:r>
              <w:rPr>
                <w:rFonts w:ascii="Arial" w:cs="Arial" w:eastAsia="Arial" w:hAnsi="Arial"/>
                <w:sz w:val="18"/>
                <w:szCs w:val="18"/>
                <w:color w:val="auto"/>
              </w:rPr>
              <w:t>.31%</w:t>
            </w:r>
          </w:p>
        </w:tc>
        <w:tc>
          <w:tcPr>
            <w:tcW w:w="1400" w:type="dxa"/>
            <w:vAlign w:val="bottom"/>
            <w:gridSpan w:val="2"/>
          </w:tcPr>
          <w:p>
            <w:pPr>
              <w:jc w:val="right"/>
              <w:ind w:right="560"/>
              <w:spacing w:after="0"/>
              <w:rPr>
                <w:sz w:val="20"/>
                <w:szCs w:val="20"/>
                <w:color w:val="auto"/>
              </w:rPr>
            </w:pPr>
            <w:r>
              <w:rPr>
                <w:rFonts w:ascii="Arial" w:cs="Arial" w:eastAsia="Arial" w:hAnsi="Arial"/>
                <w:sz w:val="18"/>
                <w:szCs w:val="18"/>
                <w:color w:val="auto"/>
              </w:rPr>
              <w:t>.31%</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r>
      <w:tr>
        <w:trPr>
          <w:trHeight w:val="20"/>
        </w:trPr>
        <w:tc>
          <w:tcPr>
            <w:tcW w:w="49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b w:val="1"/>
          <w:bCs w:val="1"/>
          <w:color w:val="auto"/>
        </w:rPr>
      </w:pPr>
      <w:r>
        <w:rPr>
          <w:rFonts w:ascii="Arial" w:cs="Arial" w:eastAsia="Arial" w:hAnsi="Arial"/>
          <w:sz w:val="18"/>
          <w:szCs w:val="18"/>
          <w:i w:val="1"/>
          <w:iCs w:val="1"/>
          <w:color w:val="auto"/>
        </w:rPr>
        <w:t>Predominately residential mortgage loans.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225"/>
        <w:spacing w:after="0" w:line="284" w:lineRule="auto"/>
        <w:rPr>
          <w:sz w:val="20"/>
          <w:szCs w:val="20"/>
          <w:color w:val="auto"/>
        </w:rPr>
      </w:pPr>
      <w:r>
        <w:rPr>
          <w:rFonts w:ascii="Arial" w:cs="Arial" w:eastAsia="Arial" w:hAnsi="Arial"/>
          <w:sz w:val="16"/>
          <w:szCs w:val="16"/>
          <w:color w:val="auto"/>
        </w:rPr>
        <w:t>Management regularly assesses the adequacy of the allowance for credit losses by performing ongoing evaluations of the loan and lease portfolio, including such factors as the differing economic risks associated with each loan category, the financial condition of specific borrowers, the economic environment in which borrowers operate, the level of delinquent loans, the value of any collateral and, where applicable, the existence of any guarantees or indemnifications. Management evaluated the impact of changes in interest rates and overall economic conditions on the ability of borrowers to meet repayment obligations when quantifying the Company’s exposure to credit losses and assessing the adequacy of the Company’s allowance for such losses as of each reporting date. Factors also considered by management when performing its assessment, in addition to general economic conditions and the other factors described above, included, but were not limited to: (i) the impact of declining residential real estate values in the Company’s portfolio of loans to residential real estate builders and developers; (ii) the repayment performance associated with the Company’s portfolio of Alt-A residential mortgage loans;</w:t>
      </w:r>
    </w:p>
    <w:p>
      <w:pPr>
        <w:spacing w:after="0" w:line="1" w:lineRule="exact"/>
        <w:rPr>
          <w:sz w:val="20"/>
          <w:szCs w:val="20"/>
          <w:color w:val="auto"/>
        </w:rPr>
      </w:pPr>
    </w:p>
    <w:p>
      <w:pPr>
        <w:ind w:right="60" w:firstLine="8"/>
        <w:spacing w:after="0" w:line="252" w:lineRule="auto"/>
        <w:tabs>
          <w:tab w:leader="none" w:pos="31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concentration of commercial real estate loans in the Company’s loan portfolio, particularly the large concentration of loans secured by properties in New York State, in general, and in the New York City metropolitan area, in particular; (iv) the amount of commercial and industrial loans to businesses in areas of New York State outside of the New York City metropolitan area and in central Pennsylvania that have historically experienced less economic growth and vitality than the vast majority of other regions of the country; and (v) the size of the Company’s portfolio of loans to individual consumers, which historically have experienced higher net charge-offs as a percentage of loans outstanding than other loan types. The level of the allowance is adjusted based on the results of management’s analysis.</w:t>
      </w:r>
    </w:p>
    <w:p>
      <w:pPr>
        <w:spacing w:after="0" w:line="86" w:lineRule="exact"/>
        <w:rPr>
          <w:sz w:val="20"/>
          <w:szCs w:val="20"/>
          <w:color w:val="auto"/>
        </w:rPr>
      </w:pPr>
    </w:p>
    <w:p>
      <w:pPr>
        <w:ind w:firstLine="225"/>
        <w:spacing w:after="0" w:line="270" w:lineRule="auto"/>
        <w:rPr>
          <w:sz w:val="20"/>
          <w:szCs w:val="20"/>
          <w:color w:val="auto"/>
        </w:rPr>
      </w:pPr>
      <w:r>
        <w:rPr>
          <w:rFonts w:ascii="Arial" w:cs="Arial" w:eastAsia="Arial" w:hAnsi="Arial"/>
          <w:sz w:val="17"/>
          <w:szCs w:val="17"/>
          <w:color w:val="auto"/>
        </w:rPr>
        <w:t>Management cautiously and conservatively evaluated the allowance for credit losses as of March 31, 2008 in light of (i) the declining residential real estate values and emergence of higher levels of delinquencies of residential real estate loans; (ii) the sluggish pace of economic growth in many of the markets served by the Company; (iii) continuing weakness in industrial employment in upstate New York and central Pennsylvania; (iv) the significant subjectivity involved in commercial real estate valuations for properties located in areas with stagnant or low growth economies; and (v) the amount of loan growth experienced by the Company in late 2007 and early 2008. Although the national economy experienced moderate growth in 2007 with inflation being reasonably well contained, concerns exist in 2008 about a deepening economic downturn in both national and international markets; the level and volatility of energy prices; a weakened housing market; the troubled state of financial and credit markets; Federal Reserve positioning of monetary policy; sluggish job creation and rising unemployment, which could cause consumer spending to slow; the underlying impact on businesses’ operations and abilities to repay loans should consumer spending slow; continued stagnant population growth in the upstate New York and central Pennsylvania regions; and continued slowing of domestic automobile sales.</w:t>
      </w:r>
    </w:p>
    <w:p>
      <w:pPr>
        <w:spacing w:after="0" w:line="70" w:lineRule="exact"/>
        <w:rPr>
          <w:sz w:val="20"/>
          <w:szCs w:val="20"/>
          <w:color w:val="auto"/>
        </w:rPr>
      </w:pPr>
    </w:p>
    <w:p>
      <w:pPr>
        <w:ind w:right="180" w:firstLine="225"/>
        <w:spacing w:after="0" w:line="273" w:lineRule="auto"/>
        <w:rPr>
          <w:sz w:val="20"/>
          <w:szCs w:val="20"/>
          <w:color w:val="auto"/>
        </w:rPr>
      </w:pPr>
      <w:r>
        <w:rPr>
          <w:rFonts w:ascii="Arial" w:cs="Arial" w:eastAsia="Arial" w:hAnsi="Arial"/>
          <w:sz w:val="17"/>
          <w:szCs w:val="17"/>
          <w:color w:val="auto"/>
        </w:rPr>
        <w:t>Factors that influence the Company’s credit loss experience include overall economic conditions affecting businesses and consumers generally, such as those described above, but also residential and commercial real estate valuations, in particular, given the size of the real estate loan portfolios. Commercial real estate valuations can be highly subjective, as they are based upon many assumptions. Such valuations can be significantly affected over relatively short periods of time by changes in business climate, economic conditions, interest rates and, in many cases, the results of operations of businesses and other occupants of the real property. Similarly, residential real estate valuations can be impacted by housing trends, the availability of financing at reasonable interest rates, and general economic conditions affecting consumers.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225"/>
        <w:spacing w:after="0" w:line="270" w:lineRule="auto"/>
        <w:rPr>
          <w:sz w:val="20"/>
          <w:szCs w:val="20"/>
          <w:color w:val="auto"/>
        </w:rPr>
      </w:pPr>
      <w:r>
        <w:rPr>
          <w:rFonts w:ascii="Arial" w:cs="Arial" w:eastAsia="Arial" w:hAnsi="Arial"/>
          <w:sz w:val="17"/>
          <w:szCs w:val="17"/>
          <w:color w:val="auto"/>
        </w:rPr>
        <w:t>Management believes that the allowance for credit losses at March 31, 2008 was adequate to absorb credit losses inherent in the portfolio as of that date. The allowance for credit losses was $774 million, or 1.57% of total loans and leases at March 31, 2008, compared with $660 million or 1.52% at the end of the initial quarter of 2007 and $759 million or 1.58% at December 31, 2007. The increase in the level of the allowance as a percentage of outstanding loans and leases from March 31, 2007 to the two most recent quarter-ends reflects management’s evaluation of the loan and lease portfolio as described herein, including the impact of lower residential real estate values and higher levels of delinquencies and charge-offs in the Company’s portfolio of Alt-A loans and lower residential real estate valuations related to loans to residential builders and developers. Should the various credit factors considered by management in establishing the allowance for credit losses change and should management’s assessment of losses inherent in the loan portfolio also change, the level of the allowance as a percentage of loans could increase or decrease in future periods. The ratio of the allowance for credit losses to nonperforming loans was 156% at March 31, 2008, compared with 241% a year earlier and 170% at December 31, 2007. The level of the allowance reflects management’s evaluation of the loan and lease portfolio as of each respective date.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Other income totaled $313 million in the first quarter of 2008, up 32% from $236 million in the corresponding 2007 quarter and 95% higher than</w:t>
      </w:r>
    </w:p>
    <w:p>
      <w:pPr>
        <w:spacing w:after="0" w:line="23"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$160 million in the fourth quarter of 2007. The increase in the level of such income in the recent quarter as compared with the first quarter of 2007 was largely due to the $33 million gain realized in 2008’s initial quarter from the mandatory sale of a portion of M&amp;T Bank’s common stock holdings of Visa, and higher mortgage banking revenues and service charges on deposit accounts. The significant rise from the fourth quarter of 2007 was the result of that quarter’s $127 million other-than-temporary impairment charge related to collateralized debt obligations held in the Company’s available-for-sale investment securities portfolio and the recent quarter’s Visa gain. Also contributing to the improvement were higher mortgage banking revenues. The impact of these items was partially offset by a decline in the contribution from M&amp;T’s pro-rata portion of the operating results of BLG.</w:t>
      </w:r>
    </w:p>
    <w:p>
      <w:pPr>
        <w:spacing w:after="0" w:line="71" w:lineRule="exact"/>
        <w:rPr>
          <w:sz w:val="20"/>
          <w:szCs w:val="20"/>
          <w:color w:val="auto"/>
        </w:rPr>
      </w:pPr>
    </w:p>
    <w:p>
      <w:pPr>
        <w:ind w:right="60" w:firstLine="225"/>
        <w:spacing w:after="0" w:line="259" w:lineRule="auto"/>
        <w:rPr>
          <w:sz w:val="20"/>
          <w:szCs w:val="20"/>
          <w:color w:val="auto"/>
        </w:rPr>
      </w:pPr>
      <w:r>
        <w:rPr>
          <w:rFonts w:ascii="Arial" w:cs="Arial" w:eastAsia="Arial" w:hAnsi="Arial"/>
          <w:sz w:val="18"/>
          <w:szCs w:val="18"/>
          <w:color w:val="auto"/>
        </w:rPr>
        <w:t>Mortgage banking revenues totaled $40 million in the recently completed quarter, compared with $14 million in the year-earlier quarter and $31 million in the fourth quarter of 2007. Mortgage banking revenues are comprised of both residential and commercial mortgage banking activities. The Company’s involvement in commercial mortgage banking activities is largely comprised of the origination, sales and servicing of loans in conjunction with the FNMA Delegated Underwriting and Servicing (“DUS”) program.</w:t>
      </w:r>
    </w:p>
    <w:p>
      <w:pPr>
        <w:spacing w:after="0" w:line="79" w:lineRule="exact"/>
        <w:rPr>
          <w:sz w:val="20"/>
          <w:szCs w:val="20"/>
          <w:color w:val="auto"/>
        </w:rPr>
      </w:pPr>
    </w:p>
    <w:p>
      <w:pPr>
        <w:ind w:firstLine="225"/>
        <w:spacing w:after="0" w:line="270" w:lineRule="auto"/>
        <w:rPr>
          <w:sz w:val="20"/>
          <w:szCs w:val="20"/>
          <w:color w:val="auto"/>
        </w:rPr>
      </w:pPr>
      <w:r>
        <w:rPr>
          <w:rFonts w:ascii="Arial" w:cs="Arial" w:eastAsia="Arial" w:hAnsi="Arial"/>
          <w:sz w:val="17"/>
          <w:szCs w:val="17"/>
          <w:color w:val="auto"/>
        </w:rPr>
        <w:t>Residential mortgage banking revenues, consisting of realized gains from sales of residential mortgage loans and loan servicing rights, unrealized gains and losses on residential mortgage loans held for sale and related commitments, residential mortgage loan servicing fees, and other residential mortgage loan-related fees and income, were $32 million in the first quarter of 2008, compared with $7 million in 2007’s initial quarter and $24 million in the final quarter of 2007. Contributing to the increased revenues in the recent quarter was the adoption of SEC Staff Accounting Bulletin (“SAB”) No. 109 for written loan commitments issued or modified after January 1, 2008. In November 2007, the SEC issued SAB No. 109, which reversed previous conclusions expressed by the SEC staff regarding written loan commitments that are accounted for at fair value through earnings. Specifically, the SEC staff now believes that the expected net future cash flows related to the associated servicing of the loan should be included in the fair value measurement of the derivative loan commitment. In accordance with SAB No. 105, “Application of Accounting Principles to Loan Commitments,” the Company had not included such amounts in the value of loan commitments accounted for as derivatives at December 31, 2007. As a result of</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300"/>
        <w:spacing w:after="0" w:line="264" w:lineRule="auto"/>
        <w:rPr>
          <w:sz w:val="20"/>
          <w:szCs w:val="20"/>
          <w:color w:val="auto"/>
        </w:rPr>
      </w:pPr>
      <w:r>
        <w:rPr>
          <w:rFonts w:ascii="Arial" w:cs="Arial" w:eastAsia="Arial" w:hAnsi="Arial"/>
          <w:sz w:val="18"/>
          <w:szCs w:val="18"/>
          <w:color w:val="auto"/>
        </w:rPr>
        <w:t>the Company’s adoption of required changes in accounting pronouncements on January 1, 2008, there was an acceleration of the recognition of residential mortgage banking revenues of approximately $5 million during the first quarter of 2008. If not for the changes in GAAP, those revenues would have been recognized later in 2008 when the underlying loans were sold.</w:t>
      </w:r>
    </w:p>
    <w:p>
      <w:pPr>
        <w:spacing w:after="0" w:line="73" w:lineRule="exact"/>
        <w:rPr>
          <w:sz w:val="20"/>
          <w:szCs w:val="20"/>
          <w:color w:val="auto"/>
        </w:rPr>
      </w:pPr>
    </w:p>
    <w:p>
      <w:pPr>
        <w:ind w:right="120" w:firstLine="215"/>
        <w:spacing w:after="0" w:line="268" w:lineRule="auto"/>
        <w:rPr>
          <w:sz w:val="20"/>
          <w:szCs w:val="20"/>
          <w:color w:val="auto"/>
        </w:rPr>
      </w:pPr>
      <w:r>
        <w:rPr>
          <w:rFonts w:ascii="Arial" w:cs="Arial" w:eastAsia="Arial" w:hAnsi="Arial"/>
          <w:sz w:val="17"/>
          <w:szCs w:val="17"/>
          <w:color w:val="auto"/>
        </w:rPr>
        <w:t>As already noted, residential mortgage banking revenues in the first quarter of 2007 were reduced by $18 million as a result of unfavorable market conditions related to the Company’s Alt-A residential mortgage lending business. Those unfavorable market conditions and a lack of market liquidity impacted the Company’s willingness to sell Alt-A mortgage loans during the first quarter of 2007. As a result, the Company reclassified $883 million of Alt-A loans previously held for sale (including $808 million of first mortgage loans and $75 million of second mortgage loans) to its held-for-investment portfolio. In accordance with GAAP, loans held for sale must be recorded at the lower of cost or market value. Accordingly, prior to reclassifying the</w:t>
      </w:r>
    </w:p>
    <w:p>
      <w:pPr>
        <w:spacing w:after="0" w:line="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$883 million of Alt-A mortgage loans to held for investment, the carrying value of such loans was reduced by $12 million to reflect estimated market value. The loans were reclassified to the held-for-investment portfolio because the Company’s management believed at the time that the economic value of those Alt-A mortgage loans was greater than the market value implied by the few bidders for such loans during the first quarter of 2007. In addition, the Company is contractually obligated to repurchase previously sold Alt-A loans that do not ultimately meet investor sale criteria, including instances when mortgagors fail to make timely payments during the first 90 days subsequent to the sale date. As a result, during the first quarter of 2007, the Company accrued $6 million to provide for declines in market value of previously sold Alt-A mortgage loans that the Company may be required to repurchase. The higher residential mortgage banking revenues in the recent quarter as compared with the immediately preceding quarter were predominantly the result of the adoption of SAB No. 109.</w:t>
      </w:r>
    </w:p>
    <w:p>
      <w:pPr>
        <w:spacing w:after="0" w:line="84" w:lineRule="exact"/>
        <w:rPr>
          <w:sz w:val="20"/>
          <w:szCs w:val="20"/>
          <w:color w:val="auto"/>
        </w:rPr>
      </w:pPr>
    </w:p>
    <w:p>
      <w:pPr>
        <w:ind w:right="80" w:firstLine="225"/>
        <w:spacing w:after="0" w:line="269" w:lineRule="auto"/>
        <w:rPr>
          <w:sz w:val="20"/>
          <w:szCs w:val="20"/>
          <w:color w:val="auto"/>
        </w:rPr>
      </w:pPr>
      <w:r>
        <w:rPr>
          <w:rFonts w:ascii="Arial" w:cs="Arial" w:eastAsia="Arial" w:hAnsi="Arial"/>
          <w:sz w:val="17"/>
          <w:szCs w:val="17"/>
          <w:color w:val="auto"/>
        </w:rPr>
        <w:t>Residential mortgage loans originated for sale to other investors were approximately $1.4 billion during each of the three-month periods ended March 31, 2008, March 31, 2007 and December 31, 2007. Included in originations for the first quarter of 2007 were $326 million of Alt-A mortgage loans that were transferred to the Company’s held-for-investment portfolio in March 2007. Residential mortgage loans sold to investors totaled $1.1 billion in the recently completed quarter, compared with $1.4 billion and $1.3 billion in the first and fourth quarter, respectively, of 2007. Realized gains from sales of residential mortgage loans and loan servicing rights and recognized net unrealized gains and losses attributable to residential mortgage loans held for sale, commitments to originate loans for sale and commitments to sell loans totaled to a gain of $10 million in the first quarter of 2008, compared with a loss of $13 million in the first quarter of 2007 (including the $18 million of losses described above) and a gain of $2 million in the fourth quarter of 2007. Revenues from servicing residential mortgage loans for others were $20 million during the quarter ended March 31, 2008, compared with $18 million in the year-earlier quarter and $19 million in the fourth quarter of 2007. Included in servicing revenues were amounts related to purchased servicing rights associated with small balance commercial mortgage loans which totaled $7 million in the most recent quarter, compared with $5 million and $6 million in the first and fourth quarters of 2007, respectively.</w:t>
      </w:r>
    </w:p>
    <w:p>
      <w:pPr>
        <w:spacing w:after="0" w:line="75" w:lineRule="exact"/>
        <w:rPr>
          <w:sz w:val="20"/>
          <w:szCs w:val="20"/>
          <w:color w:val="auto"/>
        </w:rPr>
      </w:pPr>
    </w:p>
    <w:p>
      <w:pPr>
        <w:ind w:right="160" w:firstLine="225"/>
        <w:spacing w:after="0" w:line="297" w:lineRule="auto"/>
        <w:rPr>
          <w:sz w:val="20"/>
          <w:szCs w:val="20"/>
          <w:color w:val="auto"/>
        </w:rPr>
      </w:pPr>
      <w:r>
        <w:rPr>
          <w:rFonts w:ascii="Arial" w:cs="Arial" w:eastAsia="Arial" w:hAnsi="Arial"/>
          <w:sz w:val="16"/>
          <w:szCs w:val="16"/>
          <w:color w:val="auto"/>
        </w:rPr>
        <w:t>Residential mortgage loans serviced for others totaled $19.7 billion at March 31, 2008, compared with $17.2 billion a year earlier and $19.4 billion at December 31, 2007, including the small balance commercial mortgage loans noted above of approximately $5.1 billion at March 31, 2008, $3.6 billion at March 31, 2007 and $4.9 billion at December 31, 2007. Capitalized residential mortgage servicing assets, net of a valuation allowance for impairment, were $163 million at March 31, 2008, compared with $152 million at March 31, 2007 and $170 million at December 31, 2007. Included in capitalized residential mortgage servicing assets were $63 million at March 31, 2008, $38 million at March 31, 2007 and $57 million at December 31, 2007</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of purchased servicing rights associated with the small balance commercial mortgage loans noted above. Servicing rights for the small balance commercial mortgage loans were purchased from BLG or its affiliates. In addition, at March 31, 2008, capitalized servicing rights included $36 million for servicing rights for $4.5 billion of residential real estate loans that were purchased from affiliates of BLG. Additional information about the Company’s relationship with BLG and its affiliates is provided in note 9 of Notes to Financial Statements.</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7"/>
          <w:szCs w:val="17"/>
          <w:color w:val="auto"/>
        </w:rPr>
        <w:t>Loans held for sale that are secured by residential real estate totaled $803 million and $973 million at March 31, 2008 and 2007, respectively, and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$774 million at December 31, 2007. Commitments to sell loans and commitments to originate loans for sale at pre-determined rates were $966 million and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$835 million, respectively, at March 31, 2008, $946 million and $495 million, respectively, at March 31, 2007, and $772 million and $492 million,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respectively, at December 31, 2007. Net unrealized losses on residential mortgage loans held for sale, commitments to sell loans, and commitments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originate loans for sale were $2 million at March 31, 2008, $7 million at December 31, 2007 and were less than $1 million at March 31, 2007. Changes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such net unrealized gains and losses are recorded in mortgage banking revenues and resulted in a net increase in revenues of $5 million in the first quarter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2008, compared with net decreases in revenues of $3 million in the first quarter of 2007 and $2 million in the fourth quarter of 2007. The $3 million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unrealized loss noted for the first quarter of 2007 does not include any portion of the $18 million of losses related to Alt-A mortgage loans described earlier.</w:t>
      </w:r>
    </w:p>
    <w:p>
      <w:pPr>
        <w:spacing w:after="0" w:line="126" w:lineRule="exact"/>
        <w:rPr>
          <w:sz w:val="20"/>
          <w:szCs w:val="20"/>
          <w:color w:val="auto"/>
        </w:rPr>
      </w:pPr>
    </w:p>
    <w:p>
      <w:pPr>
        <w:ind w:firstLine="225"/>
        <w:spacing w:after="0" w:line="284" w:lineRule="auto"/>
        <w:rPr>
          <w:sz w:val="20"/>
          <w:szCs w:val="20"/>
          <w:color w:val="auto"/>
        </w:rPr>
      </w:pPr>
      <w:r>
        <w:rPr>
          <w:rFonts w:ascii="Arial" w:cs="Arial" w:eastAsia="Arial" w:hAnsi="Arial"/>
          <w:sz w:val="16"/>
          <w:szCs w:val="16"/>
          <w:color w:val="auto"/>
        </w:rPr>
        <w:t>Commercial mortgage banking revenues were $8 million in the first quarter of 2008, compared with $7 million in each of the year-earlier quarter and the fourth quarter of 2007. Included in such amounts were revenues from loan origination and sales activities of $5 million in the first 2008 quarter, $3 million in the first quarter of 2007 and $4 million in the final 2007 quarter. The aforementioned adoption of required accounting changes prescribed by SAB No. 109 for written loan commitments accounted for as derivatives resulted in the accelerated recognition of approximately $2 million of commercial mortgage banking revenues during the first quarter of 2008. Commercial mortgage loan servicing revenues were $3 million in each of the quarters ended March 31, 2008 and December 31, 2007, and $4 million in the first quarter of 2007. Capitalized commercial mortgage servicing assets totaled $21 million at March 31, 2008, compared with $20 million at each of March 31 and December 31, 2007. Commercial mortgage loans held for sale at March 31, 2008 and 2007 were</w:t>
      </w:r>
    </w:p>
    <w:p>
      <w:pPr>
        <w:spacing w:after="0" w:line="3"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$154 million and $66 million, respectively, and were $79 million at December 31, 2007. Commitments to sell commercial mortgage loans and commitments to originate commercial mortgage loans for sale were $333 million and $179 million, respectively, at March 31, 2008, $93 million and $27 million, respectively, at March 31, 2007 and $176 million and $97 million, respectively, at December 31, 2007. Net unrealized gains on commercial mortgage loans held for sale, commitments to sell commercial mortgage loans, and commitments to originate commercial mortgage loans for sale were $2 million at March 31, 2008. There were no net unrealized gains or losses on commercial mortgage loans held for sale and the related commitments at March 31 or December 31, 2007.</w:t>
      </w:r>
    </w:p>
    <w:p>
      <w:pPr>
        <w:spacing w:after="0" w:line="86" w:lineRule="exact"/>
        <w:rPr>
          <w:sz w:val="20"/>
          <w:szCs w:val="20"/>
          <w:color w:val="auto"/>
        </w:rPr>
      </w:pPr>
    </w:p>
    <w:p>
      <w:pPr>
        <w:ind w:left="240"/>
        <w:spacing w:after="0"/>
        <w:rPr>
          <w:sz w:val="20"/>
          <w:szCs w:val="20"/>
          <w:color w:val="auto"/>
        </w:rPr>
      </w:pPr>
      <w:r>
        <w:rPr>
          <w:rFonts w:ascii="Arial" w:cs="Arial" w:eastAsia="Arial" w:hAnsi="Arial"/>
          <w:sz w:val="17"/>
          <w:szCs w:val="17"/>
          <w:color w:val="auto"/>
        </w:rPr>
        <w:t>Service charges on deposit accounts aggregated $103 million in the first quarter of 2008, compared with $95 million in the year-earlier quarter and</w:t>
      </w:r>
    </w:p>
    <w:p>
      <w:pPr>
        <w:spacing w:after="0" w:line="3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$106 million in the final 2007 quarter. The increase from the year-earlier quarter reflects higher consumer overdraft and debit card interchange fees, as well as increased commercial service charges. Such increase also reflects the impact of the fourth quarter 2007 acquisition transactions. The modestly lower first quarter revenues as compared with 2007’s fourth quarter were largely due to traditional fourth quarter seasonality, offset, in part, by the impact of the acquisition transactions. Trust income aggregated $40 million in each of the last two quarters, and $37 million in the initial quarter of 2007. Brokerage services income, which includes revenues from the sale of mutual funds and</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annuities and securities brokerage fees, totaled $15 million in each of the first quarters of 2008 and 2007, compared with $13 million in the fourth quarter of 2007. Trading account and foreign exchange activity resulted in gains of $5 million during the quarter ended March 31, 2008, $6 million in the first quarter of 2007 and $10 million in 2007’s fourth quarter. The decline in such revenues from the final 2007 quarter was due, in part, to market value losses in the recent quarter on assets related to deferred compensation plans. The higher level of trading account gains in the final 2007 quarter was due to higher revenues from interest rate swap agreements that resulted from higher volumes of transactions executed on behalf of commercial customers.</w:t>
      </w:r>
    </w:p>
    <w:p>
      <w:pPr>
        <w:spacing w:after="0" w:line="50" w:lineRule="exact"/>
        <w:rPr>
          <w:sz w:val="20"/>
          <w:szCs w:val="20"/>
          <w:color w:val="auto"/>
        </w:rPr>
      </w:pPr>
    </w:p>
    <w:p>
      <w:pPr>
        <w:ind w:right="20" w:firstLine="225"/>
        <w:spacing w:after="0" w:line="257" w:lineRule="auto"/>
        <w:rPr>
          <w:sz w:val="20"/>
          <w:szCs w:val="20"/>
          <w:color w:val="auto"/>
        </w:rPr>
      </w:pPr>
      <w:r>
        <w:rPr>
          <w:rFonts w:ascii="Arial" w:cs="Arial" w:eastAsia="Arial" w:hAnsi="Arial"/>
          <w:sz w:val="18"/>
          <w:szCs w:val="18"/>
          <w:color w:val="auto"/>
        </w:rPr>
        <w:t>During the first quarter of 2008, the Company realized gains on investment securities of $33 million, compared with gains of $1 million in the year-earlier quarter and losses of $127 million in the fourth quarter of 2007. As previously described, recognized in the most recent quarter was the $33 million gain from the redemption of common shares of Visa, and in the fourth quarter of 2007, an other-than-temporary impairment charge of $127 million was recorded as a result of declines in market value of the Company’s collateralized debt obligations backed by residential mortgage-backed securities and held in the available-for-sale investment securities portfolio.</w:t>
      </w:r>
    </w:p>
    <w:p>
      <w:pPr>
        <w:spacing w:after="0" w:line="80" w:lineRule="exact"/>
        <w:rPr>
          <w:sz w:val="20"/>
          <w:szCs w:val="20"/>
          <w:color w:val="auto"/>
        </w:rPr>
      </w:pPr>
    </w:p>
    <w:p>
      <w:pPr>
        <w:ind w:firstLine="225"/>
        <w:spacing w:after="0" w:line="267" w:lineRule="auto"/>
        <w:rPr>
          <w:sz w:val="20"/>
          <w:szCs w:val="20"/>
          <w:color w:val="auto"/>
        </w:rPr>
      </w:pPr>
      <w:r>
        <w:rPr>
          <w:rFonts w:ascii="Arial" w:cs="Arial" w:eastAsia="Arial" w:hAnsi="Arial"/>
          <w:sz w:val="17"/>
          <w:szCs w:val="17"/>
          <w:color w:val="auto"/>
        </w:rPr>
        <w:t>M&amp;T’s pro-rata share of the operating income or loss of BLG in the recent quarter was a loss of $1 million, compared with a loss of $2 million in the first quarter of 2007 and a gain of $15 million in the final 2007 quarter. The decline in M&amp;T’s share of BLG’s operating results in the first quarter of 2008 as compared with the fourth quarter of 2007 was primarily due to lower gains from securitizations resulting from recent significant disruptions in the commercial mortgage-backed securities market. That decrease in income was muted by the effect of restructurings by BLG of certain forward contracts to sell securities as part of BLG’s contingent liquidity plan. M&amp;T’s pro-rata share of the gains recognized by BLG for such restructurings was $9 million. Despite the credit and liquidity crises that began in 2007, BLG had been successfully securitizing and selling significant volumes of small-balance commercial real estate loans up until the first quarter of 2008. In response to the deteriorating market conditions, BLG has reduced its originations activities, scaled back its workforce and begun using its contingent liquidity sources. The Company anticipates operating losses at BLG in the second quarter of 2008 due to costs associated with severance and certain lease terminations, but believes BLG has sufficient liquidity and an appropriately-sized business plan to preserve the franchise through this time of reduced liquidity in the securitization market. BLG is also evaluating alternatives for its placement of small-balance commercial real estate loan originations should the securitization market not improve. Significant fluctuations are expected as part of the normal business cycle of any mortgage origination and securitization business. The Company believes that the fundamental business model of BLG has not been significantly altered as a result of the market turmoil in the first quarter of 2008 and that when sufficient liquidity returns to the marketplace, BLG will be capable of returning to a normalized business plan. However, should liquidity conditions in the securitization market not improve and BLG be unable to find alternative sources of funding for its loan production, the Company may be required to recognize an other-than-temporary impairment charge for some portion or all of the $308 million book value of its investment in BLG. Information about the Company’s relationship with BLG and its affiliates is included in note 9 of Notes to Financial Statements.</w:t>
      </w:r>
    </w:p>
    <w:p>
      <w:pPr>
        <w:spacing w:after="0" w:line="85" w:lineRule="exact"/>
        <w:rPr>
          <w:sz w:val="20"/>
          <w:szCs w:val="20"/>
          <w:color w:val="auto"/>
        </w:rPr>
      </w:pPr>
    </w:p>
    <w:p>
      <w:pPr>
        <w:ind w:left="240"/>
        <w:spacing w:after="0"/>
        <w:rPr>
          <w:sz w:val="20"/>
          <w:szCs w:val="20"/>
          <w:color w:val="auto"/>
        </w:rPr>
      </w:pPr>
      <w:r>
        <w:rPr>
          <w:rFonts w:ascii="Arial" w:cs="Arial" w:eastAsia="Arial" w:hAnsi="Arial"/>
          <w:sz w:val="17"/>
          <w:szCs w:val="17"/>
          <w:color w:val="auto"/>
        </w:rPr>
        <w:t>Other revenues from operations totaled $76 million in the first quarter of 2008, compared with $71 million in the corresponding 2007 quarter and</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$74 million in the fourth quarter of 2007. Included in other revenues from operations were the following significant components. Letter of credit and other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credit-related fees totaled $28 million in the recent quarter, $21 million in the first quarter of 2007 and $18 million in 2007’s final quarter.</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Tax-exempt income from bank owned life insurance, which includes increases in the cash surrender value of life insurance policies and benefits received, totaled $12 million during the first quarter of 2008, compared with $11 million in each of the first and fourth quarters of 2007, respectively. Revenues from merchant discount and credit card fees were $10 million in the quarter ended March 31, 2008, compared with $8 million and $9 million in the first and fourth quarters of 2007. Insurance-related sales commissions and other revenues totaled $9 million in each of the last two quarters and $8 million in the year-earlier quarter. Partially offsetting the increases in revenues within the components noted above were declines in several categories, none of which exceeded $3 million.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Expense</w:t>
      </w:r>
    </w:p>
    <w:p>
      <w:pPr>
        <w:spacing w:after="0" w:line="12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Other expense totaled $426 million in the first quarter of 2008, 7% higher than $399 million in the similar quarter of 2007, but 4% below $445 million in the final 2007 quarter. Included in the amounts noted above are expenses considered by management to be “nonoperating” in nature consisting of amortization of core deposit and other intangible assets of $18 million in each of the first quarters of 2008 and 2007, and $16 million in the fourth quarter of 2007, and merger-related expenses of $4 million and $15 million in the three-month periods ended March 31, 2008 and December 31, 2007, respectively. There were no similar merger-related expenses in the initial 2007 quarter. Exclusive of these nonoperating expenses, noninterest operating expenses totaled $404 million in the first three months of 2008, compared with $381 million and $415 million in the first and fourth quarters of 2007, respectively. Table 2 provides a reconciliation of other expense to noninterest operating expense.</w:t>
      </w:r>
    </w:p>
    <w:p>
      <w:pPr>
        <w:spacing w:after="0" w:line="70" w:lineRule="exact"/>
        <w:rPr>
          <w:sz w:val="20"/>
          <w:szCs w:val="20"/>
          <w:color w:val="auto"/>
        </w:rPr>
      </w:pPr>
    </w:p>
    <w:p>
      <w:pPr>
        <w:ind w:left="240"/>
        <w:spacing w:after="0"/>
        <w:rPr>
          <w:sz w:val="20"/>
          <w:szCs w:val="20"/>
          <w:color w:val="auto"/>
        </w:rPr>
      </w:pPr>
      <w:r>
        <w:rPr>
          <w:rFonts w:ascii="Arial" w:cs="Arial" w:eastAsia="Arial" w:hAnsi="Arial"/>
          <w:sz w:val="17"/>
          <w:szCs w:val="17"/>
          <w:color w:val="auto"/>
        </w:rPr>
        <w:t>Salaries and employee benefits expense totaled $252 million in the recent quarter, compared with $237 million in the first quarter of 2007 and</w:t>
      </w:r>
    </w:p>
    <w:p>
      <w:pPr>
        <w:spacing w:after="0" w:line="35"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$226 million in 2007’s fourth quarter. The higher expense level for the three months ended March 31, 2008 as compared with the similar 2007 period was largely the result of higher salaries-related costs, reflecting the impact of the fourth quarter 2007 acquisition transactions, annual merit increases, and stock-based and other incentive compensation costs. Higher costs for employee benefits, including health insurance and pension and other retirement benefits, which increased approximately $4 million from the first quarter of 2007 to the first quarter of 2008, also contributed to the year-over-year rise. Contributing to the increase in salaries and employee benefits expense in the recent quarter as compared with the fourth quarter of 2007, in addition to the impact of the acquisition transactions, were higher stock-based and other incentive compensation, payroll-related taxes and the Company’s contributions for retirement savings plan benefits related to incentive compensation payments. The Company accounts for stock-based compensation in accordance with Statement of Financial Accounting Standards (“SFAS”) No. 123 (revised 2004), “Shared-Based Payment,” (“SFAS No. 123R”). As required, the Company has accelerated the recognition of compensation costs for stock-based awards granted to retirement-eligible employees and employees who will become retirement-eligible prior to full vesting of the award. As a result, stock-based compensation expense during each of the first quarters of 2008 and 2007 included $8 million that would have been recognized over the normal four-year vesting period if not for the accelerated expense recognition provisions of SFAS No. 123R. That acceleration had no effect on the value of stock-based compensation awarded to employees. Salaries and benefits expense included stock-based compensation of $18 million, $19 million and $11 million in the quarters ended March 31, 2008, March 31, 2007 and December 31, 2007, respectively. The number of full-time equivalent employees was 12,854 at March 31, 2008, compared with 12,628 and 13,246 at March 31, 2007 and December 31, 2007, respectively.</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215"/>
        <w:spacing w:after="0" w:line="289" w:lineRule="auto"/>
        <w:rPr>
          <w:sz w:val="20"/>
          <w:szCs w:val="20"/>
          <w:color w:val="auto"/>
        </w:rPr>
      </w:pPr>
      <w:r>
        <w:rPr>
          <w:rFonts w:ascii="Arial" w:cs="Arial" w:eastAsia="Arial" w:hAnsi="Arial"/>
          <w:sz w:val="16"/>
          <w:szCs w:val="16"/>
          <w:color w:val="auto"/>
        </w:rPr>
        <w:t>As noted previously, during the first quarter of 2008, the Company reversed approximately $15 million of the $23 million accrued during the fourth quarter of 2007 for the Visa Covered Litigation. Excluding the nonoperating expenses described earlier from each quarter and the impact of the Covered Litigation-related accrual activity from the first quarter of 2008 and the fourth quarter of 2007, nonpersonnel operating expenses were $167 million in each of the last two quarters, and $144 million in the first quarter of 2007. The rise in nonpersonnel operating expenses in 2008’s initial quarter as compared with the year-earlier quarter was due, in part, to higher costs for professional services, increased expenses related to the foreclosure process for residential real estate properties, costs related to the operations acquired in the 2007 acquisition transactions and a $5 million addition to the valuation allowance for the impairment of capitalized residential mortgage servicing rights, compared with a partial reversal of the valuation allowance of $1 million during the first quarter of 2007. In the fourth quarter of 2007, $2 million was added to that valuation allowance. Lower costs for professional services and advertising in the recent quarter as compared with the fourth quarter of 2007 offset the higher addition to the valuation allowance.</w:t>
      </w:r>
    </w:p>
    <w:p>
      <w:pPr>
        <w:spacing w:after="0" w:line="59" w:lineRule="exact"/>
        <w:rPr>
          <w:sz w:val="20"/>
          <w:szCs w:val="20"/>
          <w:color w:val="auto"/>
        </w:rPr>
      </w:pPr>
    </w:p>
    <w:p>
      <w:pPr>
        <w:ind w:right="100" w:firstLine="222"/>
        <w:spacing w:after="0" w:line="273" w:lineRule="auto"/>
        <w:rPr>
          <w:sz w:val="20"/>
          <w:szCs w:val="20"/>
          <w:color w:val="auto"/>
        </w:rPr>
      </w:pPr>
      <w:r>
        <w:rPr>
          <w:rFonts w:ascii="Arial" w:cs="Arial" w:eastAsia="Arial" w:hAnsi="Arial"/>
          <w:sz w:val="17"/>
          <w:szCs w:val="17"/>
          <w:color w:val="auto"/>
        </w:rPr>
        <w:t>The efficiency ratio, or noninterest operating expenses (as defined above) divided by the sum of taxable-equivalent net interest income and noninterest income (exclusive of gains and losses from bank investment securities) measures the relationship of noninterest operating expenses to revenues. The Company’s efficiency ratio was 52.8% in the first quarter of 2008, compared with 55.1% in the year-earlier period and 54.3% in the fourth quarter of 2007. Noninterest operating expenses used in calculating the efficiency ratio do not include the amortization of core deposit and other intangible assets, as noted earlier. If charges for amortization of core deposit and other intangible assets were included, the efficiency ratio for the three-month periods ended March 31, 2008, March 31, 2007 and December 31, 2007 would have been 55.3%, 57.8% and 56.4%, respectively.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The provision for income taxes for the quarter ended March 31, 2008 was $104 million, compared with $85 million and $19 million in the first and fourth quarters of 2007, respectively. The effective tax rates were 33.9%, 32.5% and 22.9% for the quarters ended March 31, 2008, March 31, 2007 and December 31, 2007, respectively. The effective tax rate is affected by the level of income earned that is exempt from tax and by the level of income allocated to the various state and local jurisdictions where the Company operates, because tax rates differ among such jurisdictions. The lower effective tax rate in the fourth quarter of 2007 resulted from a lower level of taxable income due largely to the events already noted that adversely impacted that quarter’s financial results.</w:t>
      </w:r>
    </w:p>
    <w:p>
      <w:pPr>
        <w:spacing w:after="0" w:line="50" w:lineRule="exact"/>
        <w:rPr>
          <w:sz w:val="20"/>
          <w:szCs w:val="20"/>
          <w:color w:val="auto"/>
        </w:rPr>
      </w:pPr>
    </w:p>
    <w:p>
      <w:pPr>
        <w:ind w:right="200" w:firstLine="222"/>
        <w:spacing w:after="0" w:line="297" w:lineRule="auto"/>
        <w:rPr>
          <w:sz w:val="20"/>
          <w:szCs w:val="20"/>
          <w:color w:val="auto"/>
        </w:rPr>
      </w:pPr>
      <w:r>
        <w:rPr>
          <w:rFonts w:ascii="Arial" w:cs="Arial" w:eastAsia="Arial" w:hAnsi="Arial"/>
          <w:sz w:val="16"/>
          <w:szCs w:val="16"/>
          <w:color w:val="auto"/>
        </w:rPr>
        <w:t>The Company’s effective tax rate in future periods will be affected by the results of operations allocated to the various tax jurisdictions within which the Company operates, any change in income tax regulations within those jurisdictions, or interpretations of income tax regulations that differ from the Company’s interpretations by any of various tax authorities that may examine tax returns filed by M&amp;T or any of its subsidiaries. During the first quarter of 2008, the Company settled various federal and state examinations. The settlement of these examinations resulted in a decrease of $5.9 million of unrecognized tax benefits that did not affect the effective tax rate, but rather reduced the carrying value of goodwill associated with a past acquisition.</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Stockholders’ equity was $6.5 billion at March 31, 2008, representing 9.82% of total assets, compared with $6.3 billion or 10.81% at March 31, 2007 and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$6.5 billion or 10.00% at December 31, 2007. On a per share basis, stockholders’ equity was $58.92 at March 31, 2008, compared with $57.32 a year earlier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$58.99 at December 31, 2007. Tangible equity per share, which excludes goodwill and core deposit and other intangible assets and applicable deferred tax</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balances, was $28.14 at March 31, 2008, $28.77 at March 31, 2007 and $27.98 at December 31, 2007. A reconciliation of total stockholders’ equity and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tangible equity as of each of those respective dates is presented 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table 2.</w:t>
      </w:r>
    </w:p>
    <w:p>
      <w:pPr>
        <w:spacing w:after="0" w:line="103" w:lineRule="exact"/>
        <w:rPr>
          <w:sz w:val="20"/>
          <w:szCs w:val="20"/>
          <w:color w:val="auto"/>
        </w:rPr>
      </w:pPr>
    </w:p>
    <w:p>
      <w:pPr>
        <w:ind w:right="20" w:firstLine="225"/>
        <w:spacing w:after="0" w:line="268" w:lineRule="auto"/>
        <w:rPr>
          <w:sz w:val="20"/>
          <w:szCs w:val="20"/>
          <w:color w:val="auto"/>
        </w:rPr>
      </w:pPr>
      <w:r>
        <w:rPr>
          <w:rFonts w:ascii="Arial" w:cs="Arial" w:eastAsia="Arial" w:hAnsi="Arial"/>
          <w:sz w:val="17"/>
          <w:szCs w:val="17"/>
          <w:color w:val="auto"/>
        </w:rPr>
        <w:t>Stockholders’ equity reflects accumulated other comprehensive income or loss, which includes the net after-tax impact of unrealized gains or losses on investment securities classified as available for sale, gains or losses associated with interest rate swap agreements designated as cash flow hedges, and adjustments to reflect the funded status of defined benefit pension and other postretirement plans. Net unrealized losses on available-for-sale investment securities, net of applicable tax effect, were $194 million, or $1.76 per common share, at March 31, 2008, compared with similar losses of $8 million, or $.07 per share, at March 31, 2007 and $59 million, or $.54 per share at December 31, 2007. Such unrealized losses are generally due to changes in interest rates and/or a temporary lack of liquidity in the market, and represent the difference, net of applicable income tax effect, between the estimated fair value and amortized cost of investment securities classified as available for sale. Reflected in net unrealized losses at March 31, 2008 were pre-tax effect unrealized losses of $351 million on available-for-sale investment securities with an amortized cost of $4.0 billion and pre-tax effect unrealized gains of $74 million on securities with an amortized cost of $4.4 billion. The pre-tax effect unrealized losses reflect $267 million of losses on $2.9 billion of privately issued collateralized mortgage obligations ($93 million of such unrealized losses were on $632 million of securities using a Level 3 valuation, with the remainder classified as Level 2 valuations), $48 million of losses on $162 million of preferred stock issued by FNMA and the Federal Home Loan Mortgage Corporation (considered Level 2 valuations), and $22 million of losses on $206 million of trust preferred securities issued by financial institutions (considered Level 2 valuations).</w:t>
      </w:r>
    </w:p>
    <w:p>
      <w:pPr>
        <w:spacing w:after="0" w:line="80" w:lineRule="exact"/>
        <w:rPr>
          <w:sz w:val="20"/>
          <w:szCs w:val="20"/>
          <w:color w:val="auto"/>
        </w:rPr>
      </w:pPr>
    </w:p>
    <w:p>
      <w:pPr>
        <w:ind w:right="60" w:firstLine="215"/>
        <w:spacing w:after="0" w:line="270" w:lineRule="auto"/>
        <w:rPr>
          <w:sz w:val="20"/>
          <w:szCs w:val="20"/>
          <w:color w:val="auto"/>
        </w:rPr>
      </w:pPr>
      <w:r>
        <w:rPr>
          <w:rFonts w:ascii="Arial" w:cs="Arial" w:eastAsia="Arial" w:hAnsi="Arial"/>
          <w:sz w:val="17"/>
          <w:szCs w:val="17"/>
          <w:color w:val="auto"/>
        </w:rPr>
        <w:t>As of March 31, 2008, based on a review of each of the collateralized mortgage obligations noted above, the Company believed that it will receive all principal and interest payments on such securities. Accordingly, the Company concluded that the decline in value was temporary and that an other-than-temporary impairment charge was not appropriate at March 31, 2008. Substantially all of the $48 million of unrealized losses on the variable-rate preferred stock issuances of government-sponsored entities occurred in late-2007. The Company concluded that as of March 31, 2008, the impairment was the result of a lack of trading activity for such securities, reflecting the housing market downturn and its impact on those government-sponsored agencies that resulted in the issuance of new, higher yielding preferred stock in late-2007. As such, the Company believed that as of March 31, 2008 it was too soon to conclude that the unrealized losses on those securities represented an other-than-temporary impairment. The majority of the $22 million of unrealized losses on the trust preferred securities occurred in the last two quarters. Due to the short-term duration of the unrealized losses and the fact that the Company fully expects to receive all principal and interest payments on those securities, the Company concluded that the decline in the value was temporary and that an other-than-temporary impairment charge was not appropriate at March 31, 2008.</w:t>
      </w:r>
    </w:p>
    <w:p>
      <w:pPr>
        <w:spacing w:after="0" w:line="70" w:lineRule="exact"/>
        <w:rPr>
          <w:sz w:val="20"/>
          <w:szCs w:val="20"/>
          <w:color w:val="auto"/>
        </w:rPr>
      </w:pPr>
    </w:p>
    <w:p>
      <w:pPr>
        <w:ind w:right="40" w:firstLine="215"/>
        <w:spacing w:after="0" w:line="277" w:lineRule="auto"/>
        <w:rPr>
          <w:sz w:val="20"/>
          <w:szCs w:val="20"/>
          <w:color w:val="auto"/>
        </w:rPr>
      </w:pPr>
      <w:r>
        <w:rPr>
          <w:rFonts w:ascii="Arial" w:cs="Arial" w:eastAsia="Arial" w:hAnsi="Arial"/>
          <w:sz w:val="18"/>
          <w:szCs w:val="18"/>
          <w:color w:val="auto"/>
        </w:rPr>
        <w:t>As of March 31, 2008, the Company had the ability and intent to hold each of the impaired securities to recovery. The Company intends to closely monitor the performance of the privately issued mortgage-backed securities,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the preferred stock of the government-sponsored agencies, and other securities to assess if changes in their underlying credit performance or other events cause the cost basis of those securities to become other than temporarily impaired. However, because the unrealized losses described have already been reflected in the financial statement values for investment securities and stockholders’ equity, any recognition of an other-than-temporary decline in value of these investment securities would have no effect on the Company’s consolidated financial condition. Additional information concerning fair value measurements and the Company’s approach to and classification of such measurements is included in note 10 of Notes to Financial Statements.</w:t>
      </w:r>
    </w:p>
    <w:p>
      <w:pPr>
        <w:spacing w:after="0" w:line="50" w:lineRule="exact"/>
        <w:rPr>
          <w:sz w:val="20"/>
          <w:szCs w:val="20"/>
          <w:color w:val="auto"/>
        </w:rPr>
      </w:pPr>
    </w:p>
    <w:p>
      <w:pPr>
        <w:ind w:right="360" w:firstLine="215"/>
        <w:spacing w:after="0" w:line="291" w:lineRule="auto"/>
        <w:rPr>
          <w:sz w:val="20"/>
          <w:szCs w:val="20"/>
          <w:color w:val="auto"/>
        </w:rPr>
      </w:pPr>
      <w:r>
        <w:rPr>
          <w:rFonts w:ascii="Arial" w:cs="Arial" w:eastAsia="Arial" w:hAnsi="Arial"/>
          <w:sz w:val="16"/>
          <w:szCs w:val="16"/>
          <w:color w:val="auto"/>
        </w:rPr>
        <w:t>Also reflected in accumulated other comprehensive income were net losses of $19 million, or $.17 per share, representing the remaining unamortized losses related to the termination of interest rate swap agreements designated as cash flow hedges. Included in this amount were unamortized losses of</w:t>
      </w:r>
    </w:p>
    <w:p>
      <w:pPr>
        <w:spacing w:after="0"/>
        <w:rPr>
          <w:sz w:val="20"/>
          <w:szCs w:val="20"/>
          <w:color w:val="auto"/>
        </w:rPr>
      </w:pPr>
      <w:r>
        <w:rPr>
          <w:rFonts w:ascii="Arial" w:cs="Arial" w:eastAsia="Arial" w:hAnsi="Arial"/>
          <w:sz w:val="16"/>
          <w:szCs w:val="16"/>
          <w:color w:val="auto"/>
        </w:rPr>
        <w:t>$20 million related to swap agreements terminated by the Company during the first quarter of 2008 that had originally been entered into as a cash flow hedge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variable rate long-term borrowings. Net unrealized fair value losses associated with interest rate swap agreements designated as cash flow hedges were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$10 million, or $.09 per share, at December 31, 2007. There were no outstanding interest rate swap agreements designated as cash flow hedges at March 31,</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2007 or March 31, 2008. Adjustments to reflect the funded status of defined benefit pension and other postretirement plans as required under SFAS No. 158,</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net of applicable tax effect, reduced accumulated other comprehensive income by $47 million, or $.42 per share, at March 31, 2008, $28 million, or $.26 per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share, at March 31, 2007, and $46 million, or $.42 per share, at December 31, 2007.</w:t>
      </w:r>
    </w:p>
    <w:p>
      <w:pPr>
        <w:spacing w:after="0" w:line="103" w:lineRule="exact"/>
        <w:rPr>
          <w:sz w:val="20"/>
          <w:szCs w:val="20"/>
          <w:color w:val="auto"/>
        </w:rPr>
      </w:pPr>
    </w:p>
    <w:p>
      <w:pPr>
        <w:ind w:right="60" w:firstLine="225"/>
        <w:spacing w:after="0" w:line="264" w:lineRule="auto"/>
        <w:rPr>
          <w:sz w:val="20"/>
          <w:szCs w:val="20"/>
          <w:color w:val="auto"/>
        </w:rPr>
      </w:pPr>
      <w:r>
        <w:rPr>
          <w:rFonts w:ascii="Arial" w:cs="Arial" w:eastAsia="Arial" w:hAnsi="Arial"/>
          <w:sz w:val="18"/>
          <w:szCs w:val="18"/>
          <w:color w:val="auto"/>
        </w:rPr>
        <w:t>In February 2007, M&amp;T announced that it had been authorized by its Board of Directors to purchase up to 5,000,000 shares of its common stock. There were no repurchases during the first quarter of 2008. Through March 31, 2008, M&amp;T had repurchased a total of 2,818,500 shares of common stock pursuant to that authorization at an average cost of $108.30 per share.</w:t>
      </w:r>
    </w:p>
    <w:p>
      <w:pPr>
        <w:spacing w:after="0" w:line="73" w:lineRule="exact"/>
        <w:rPr>
          <w:sz w:val="20"/>
          <w:szCs w:val="20"/>
          <w:color w:val="auto"/>
        </w:rPr>
      </w:pPr>
    </w:p>
    <w:p>
      <w:pPr>
        <w:ind w:right="60" w:firstLine="225"/>
        <w:spacing w:after="0" w:line="293" w:lineRule="auto"/>
        <w:rPr>
          <w:sz w:val="20"/>
          <w:szCs w:val="20"/>
          <w:color w:val="auto"/>
        </w:rPr>
      </w:pPr>
      <w:r>
        <w:rPr>
          <w:rFonts w:ascii="Arial" w:cs="Arial" w:eastAsia="Arial" w:hAnsi="Arial"/>
          <w:sz w:val="16"/>
          <w:szCs w:val="16"/>
          <w:color w:val="auto"/>
        </w:rPr>
        <w:t>Federal regulators generally require banking institutions to maintain “core capital” and “total capital” ratios of at least 4% and 8%, respectively, of risk-adjusted total assets. In addition to the risk-based measures, Federal bank regulators have also implemented a minimum “leverage” ratio guideline of 3% of the quarterly average of total assets. As of March 31, 2008, core capital included $1.1 billion of trust preferred securities described in note 4 of Notes to Financial Statements and total capital further included $1.7 billion of subordinated capital notes. As previously noted, in December 2007, M&amp;T Bank issued $400 million of 6.625% fixed rate subordinated notes due 2017 and in January 2008 M&amp;T issued $350 million of Enhanced Trust Preferred Securities that pay a fixed rate of interest of 8.50%. For further discussion of the Enhanced Trust Preferred Securities, see note 4 of Notes to Financial Statements.</w:t>
      </w:r>
    </w:p>
    <w:p>
      <w:pPr>
        <w:spacing w:after="0" w:line="57" w:lineRule="exact"/>
        <w:rPr>
          <w:sz w:val="20"/>
          <w:szCs w:val="20"/>
          <w:color w:val="auto"/>
        </w:rPr>
      </w:pPr>
    </w:p>
    <w:p>
      <w:pPr>
        <w:ind w:right="380" w:firstLine="222"/>
        <w:spacing w:after="0" w:line="264" w:lineRule="auto"/>
        <w:rPr>
          <w:sz w:val="20"/>
          <w:szCs w:val="20"/>
          <w:color w:val="auto"/>
        </w:rPr>
      </w:pPr>
      <w:r>
        <w:rPr>
          <w:rFonts w:ascii="Arial" w:cs="Arial" w:eastAsia="Arial" w:hAnsi="Arial"/>
          <w:sz w:val="18"/>
          <w:szCs w:val="18"/>
          <w:color w:val="auto"/>
        </w:rPr>
        <w:t>The Company generates significant amounts of regulatory capital from its ongoing operations. The rate of regulatory core capital generation, or net operating income as previously defined, less dividends paid, expressed as an annualized percentage of regulatory “core capital” at the beginning of each period, was 14.32% during the first quarter of 2008 and 12.80% during the first quarter of 2007.</w:t>
      </w:r>
    </w:p>
    <w:p>
      <w:pPr>
        <w:spacing w:after="0" w:line="15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regulatory capital ratios of the Company, M&amp;T Bank and M&amp;T Bank, N.A. as of March 31, 2008 are presented in the accompanying table.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REGULATORY CAPITAL RATIOS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31, 2008</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20" w:type="dxa"/>
            <w:vAlign w:val="bottom"/>
          </w:tcPr>
          <w:p>
            <w:pPr>
              <w:spacing w:after="0"/>
              <w:rPr>
                <w:sz w:val="14"/>
                <w:szCs w:val="14"/>
                <w:color w:val="auto"/>
              </w:rPr>
            </w:pPr>
          </w:p>
        </w:tc>
        <w:tc>
          <w:tcPr>
            <w:tcW w:w="1120" w:type="dxa"/>
            <w:vAlign w:val="bottom"/>
          </w:tcPr>
          <w:p>
            <w:pPr>
              <w:jc w:val="right"/>
              <w:ind w:right="317"/>
              <w:spacing w:after="0"/>
              <w:rPr>
                <w:sz w:val="20"/>
                <w:szCs w:val="20"/>
                <w:color w:val="auto"/>
              </w:rPr>
            </w:pPr>
            <w:r>
              <w:rPr>
                <w:rFonts w:ascii="Arial" w:cs="Arial" w:eastAsia="Arial" w:hAnsi="Arial"/>
                <w:sz w:val="14"/>
                <w:szCs w:val="14"/>
                <w:color w:val="auto"/>
              </w:rPr>
              <w:t>M&amp;T</w:t>
            </w:r>
          </w:p>
        </w:tc>
        <w:tc>
          <w:tcPr>
            <w:tcW w:w="540" w:type="dxa"/>
            <w:vAlign w:val="bottom"/>
          </w:tcPr>
          <w:p>
            <w:pPr>
              <w:spacing w:after="0"/>
              <w:rPr>
                <w:sz w:val="14"/>
                <w:szCs w:val="14"/>
                <w:color w:val="auto"/>
              </w:rPr>
            </w:pPr>
          </w:p>
        </w:tc>
        <w:tc>
          <w:tcPr>
            <w:tcW w:w="1040" w:type="dxa"/>
            <w:vAlign w:val="bottom"/>
          </w:tcPr>
          <w:p>
            <w:pPr>
              <w:jc w:val="right"/>
              <w:ind w:right="288"/>
              <w:spacing w:after="0"/>
              <w:rPr>
                <w:sz w:val="20"/>
                <w:szCs w:val="20"/>
                <w:color w:val="auto"/>
              </w:rPr>
            </w:pPr>
            <w:r>
              <w:rPr>
                <w:rFonts w:ascii="Arial" w:cs="Arial" w:eastAsia="Arial" w:hAnsi="Arial"/>
                <w:sz w:val="14"/>
                <w:szCs w:val="14"/>
                <w:color w:val="auto"/>
              </w:rPr>
              <w:t>M&amp;T</w:t>
            </w:r>
          </w:p>
        </w:tc>
        <w:tc>
          <w:tcPr>
            <w:tcW w:w="520" w:type="dxa"/>
            <w:vAlign w:val="bottom"/>
          </w:tcPr>
          <w:p>
            <w:pPr>
              <w:spacing w:after="0"/>
              <w:rPr>
                <w:sz w:val="14"/>
                <w:szCs w:val="14"/>
                <w:color w:val="auto"/>
              </w:rPr>
            </w:pPr>
          </w:p>
        </w:tc>
        <w:tc>
          <w:tcPr>
            <w:tcW w:w="1080" w:type="dxa"/>
            <w:vAlign w:val="bottom"/>
          </w:tcPr>
          <w:p>
            <w:pPr>
              <w:jc w:val="right"/>
              <w:ind w:right="308"/>
              <w:spacing w:after="0"/>
              <w:rPr>
                <w:sz w:val="20"/>
                <w:szCs w:val="20"/>
                <w:color w:val="auto"/>
              </w:rPr>
            </w:pPr>
            <w:r>
              <w:rPr>
                <w:rFonts w:ascii="Arial" w:cs="Arial" w:eastAsia="Arial" w:hAnsi="Arial"/>
                <w:sz w:val="14"/>
                <w:szCs w:val="14"/>
                <w:color w:val="auto"/>
              </w:rPr>
              <w:t>M&amp;T</w:t>
            </w:r>
          </w:p>
        </w:tc>
      </w:tr>
      <w:tr>
        <w:trPr>
          <w:trHeight w:val="167"/>
        </w:trPr>
        <w:tc>
          <w:tcPr>
            <w:tcW w:w="7120" w:type="dxa"/>
            <w:vAlign w:val="bottom"/>
          </w:tcPr>
          <w:p>
            <w:pPr>
              <w:spacing w:after="0"/>
              <w:rPr>
                <w:sz w:val="14"/>
                <w:szCs w:val="14"/>
                <w:color w:val="auto"/>
              </w:rPr>
            </w:pPr>
          </w:p>
        </w:tc>
        <w:tc>
          <w:tcPr>
            <w:tcW w:w="112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color w:val="auto"/>
              </w:rPr>
              <w:t>(Consolidated)</w:t>
            </w:r>
          </w:p>
        </w:tc>
        <w:tc>
          <w:tcPr>
            <w:tcW w:w="540" w:type="dxa"/>
            <w:vAlign w:val="bottom"/>
          </w:tcPr>
          <w:p>
            <w:pPr>
              <w:spacing w:after="0"/>
              <w:rPr>
                <w:sz w:val="14"/>
                <w:szCs w:val="14"/>
                <w:color w:val="auto"/>
              </w:rPr>
            </w:pPr>
          </w:p>
        </w:tc>
        <w:tc>
          <w:tcPr>
            <w:tcW w:w="10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Bank</w:t>
            </w:r>
          </w:p>
        </w:tc>
        <w:tc>
          <w:tcPr>
            <w:tcW w:w="520" w:type="dxa"/>
            <w:vAlign w:val="bottom"/>
          </w:tcPr>
          <w:p>
            <w:pPr>
              <w:spacing w:after="0"/>
              <w:rPr>
                <w:sz w:val="14"/>
                <w:szCs w:val="14"/>
                <w:color w:val="auto"/>
              </w:rPr>
            </w:pPr>
          </w:p>
        </w:tc>
        <w:tc>
          <w:tcPr>
            <w:tcW w:w="10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Bank, N.A.</w:t>
            </w:r>
          </w:p>
        </w:tc>
      </w:tr>
      <w:tr>
        <w:trPr>
          <w:trHeight w:val="210"/>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Core capital</w:t>
            </w:r>
          </w:p>
        </w:tc>
        <w:tc>
          <w:tcPr>
            <w:tcW w:w="112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rPr>
              <w:t>7.61%</w:t>
            </w:r>
          </w:p>
        </w:tc>
        <w:tc>
          <w:tcPr>
            <w:tcW w:w="158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6.57%</w:t>
            </w:r>
          </w:p>
        </w:tc>
        <w:tc>
          <w:tcPr>
            <w:tcW w:w="160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45.88%</w:t>
            </w: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Total capital</w:t>
            </w:r>
          </w:p>
        </w:tc>
        <w:tc>
          <w:tcPr>
            <w:tcW w:w="1120" w:type="dxa"/>
            <w:vAlign w:val="bottom"/>
          </w:tcPr>
          <w:p>
            <w:pPr>
              <w:jc w:val="right"/>
              <w:ind w:right="117"/>
              <w:spacing w:after="0"/>
              <w:rPr>
                <w:sz w:val="20"/>
                <w:szCs w:val="20"/>
                <w:color w:val="auto"/>
              </w:rPr>
            </w:pPr>
            <w:r>
              <w:rPr>
                <w:rFonts w:ascii="Arial" w:cs="Arial" w:eastAsia="Arial" w:hAnsi="Arial"/>
                <w:sz w:val="18"/>
                <w:szCs w:val="18"/>
                <w:color w:val="auto"/>
              </w:rPr>
              <w:t>11.90%</w:t>
            </w:r>
          </w:p>
        </w:tc>
        <w:tc>
          <w:tcPr>
            <w:tcW w:w="1580" w:type="dxa"/>
            <w:vAlign w:val="bottom"/>
            <w:gridSpan w:val="2"/>
          </w:tcPr>
          <w:p>
            <w:pPr>
              <w:jc w:val="right"/>
              <w:ind w:right="108"/>
              <w:spacing w:after="0"/>
              <w:rPr>
                <w:sz w:val="20"/>
                <w:szCs w:val="20"/>
                <w:color w:val="auto"/>
              </w:rPr>
            </w:pPr>
            <w:r>
              <w:rPr>
                <w:rFonts w:ascii="Arial" w:cs="Arial" w:eastAsia="Arial" w:hAnsi="Arial"/>
                <w:sz w:val="18"/>
                <w:szCs w:val="18"/>
                <w:color w:val="auto"/>
              </w:rPr>
              <w:t>10.86%</w:t>
            </w:r>
          </w:p>
        </w:tc>
        <w:tc>
          <w:tcPr>
            <w:tcW w:w="1600" w:type="dxa"/>
            <w:vAlign w:val="bottom"/>
            <w:gridSpan w:val="2"/>
          </w:tcPr>
          <w:p>
            <w:pPr>
              <w:jc w:val="right"/>
              <w:ind w:right="108"/>
              <w:spacing w:after="0"/>
              <w:rPr>
                <w:sz w:val="20"/>
                <w:szCs w:val="20"/>
                <w:color w:val="auto"/>
              </w:rPr>
            </w:pPr>
            <w:r>
              <w:rPr>
                <w:rFonts w:ascii="Arial" w:cs="Arial" w:eastAsia="Arial" w:hAnsi="Arial"/>
                <w:sz w:val="18"/>
                <w:szCs w:val="18"/>
                <w:color w:val="auto"/>
              </w:rPr>
              <w:t>46.79%</w:t>
            </w: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Leverage</w:t>
            </w:r>
          </w:p>
        </w:tc>
        <w:tc>
          <w:tcPr>
            <w:tcW w:w="112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rPr>
              <w:t>7.04%</w:t>
            </w:r>
          </w:p>
        </w:tc>
        <w:tc>
          <w:tcPr>
            <w:tcW w:w="158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6.10%</w:t>
            </w:r>
          </w:p>
        </w:tc>
        <w:tc>
          <w:tcPr>
            <w:tcW w:w="160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21.59%</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Information</w:t>
      </w:r>
    </w:p>
    <w:p>
      <w:pPr>
        <w:spacing w:after="0" w:line="121"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In accordance with SFAS No. 131, “Disclosures About Segments of an Enterprise and Related Information,” the Company’s reportable segments have been determined based upon its internal profitability reporting system, which is organized by strategic business unit. Financial information about the Company’s segments is presented in note 5 of Notes to Financial Statements.</w:t>
      </w:r>
    </w:p>
    <w:p>
      <w:pPr>
        <w:spacing w:after="0" w:line="73" w:lineRule="exact"/>
        <w:rPr>
          <w:sz w:val="20"/>
          <w:szCs w:val="20"/>
          <w:color w:val="auto"/>
        </w:rPr>
      </w:pPr>
    </w:p>
    <w:p>
      <w:pPr>
        <w:ind w:right="20" w:firstLine="222"/>
        <w:spacing w:after="0" w:line="276" w:lineRule="auto"/>
        <w:rPr>
          <w:sz w:val="20"/>
          <w:szCs w:val="20"/>
          <w:color w:val="auto"/>
        </w:rPr>
      </w:pPr>
      <w:r>
        <w:rPr>
          <w:rFonts w:ascii="Arial" w:cs="Arial" w:eastAsia="Arial" w:hAnsi="Arial"/>
          <w:sz w:val="17"/>
          <w:szCs w:val="17"/>
          <w:color w:val="auto"/>
        </w:rPr>
        <w:t>The Business Banking segment’s net income totaled $33 million in the first quarter of 2008, compared with $32 million in each of the first and fourth quarters of 2007. The slight improvement from the first quarter of 2007 resulted from a $4 million increase in net interest income, of which approximately half was attributable to the acquisition transactions completed in 2007, partially offset by a $2 million increase in the provision for credit losses, primarily due to higher net charge-offs of loans. A $2 million reduction in the provision for credit losses, resulting from lower net charge-offs of loans, was the main factor for the improved performance in the recent quarter as compared with the fourth quarter of 2007.</w:t>
      </w:r>
    </w:p>
    <w:p>
      <w:pPr>
        <w:spacing w:after="0" w:line="64" w:lineRule="exact"/>
        <w:rPr>
          <w:sz w:val="20"/>
          <w:szCs w:val="20"/>
          <w:color w:val="auto"/>
        </w:rPr>
      </w:pPr>
    </w:p>
    <w:p>
      <w:pPr>
        <w:ind w:right="120" w:firstLine="225"/>
        <w:spacing w:after="0" w:line="271" w:lineRule="auto"/>
        <w:rPr>
          <w:sz w:val="20"/>
          <w:szCs w:val="20"/>
          <w:color w:val="auto"/>
        </w:rPr>
      </w:pPr>
      <w:r>
        <w:rPr>
          <w:rFonts w:ascii="Arial" w:cs="Arial" w:eastAsia="Arial" w:hAnsi="Arial"/>
          <w:sz w:val="17"/>
          <w:szCs w:val="17"/>
          <w:color w:val="auto"/>
        </w:rPr>
        <w:t>Net income earned by the Commercial Banking segment totaled $67 million during the first three months of 2008, up 23% from $54 million in the initial quarter of 2007 and 19% higher than $56 million in 2007’s final quarter. The increase from the first quarter of 2007 was predominantly due to higher net interest income of $16 million, resulting largely from a $1.8 billion increase in average loan balances outstanding and an 11 basis point widening of the net interest margin associated with such loans. Also contributing to the increase were higher fees of $7 million received for providing loan syndication services and a $2 million increase in service charges on deposit accounts. Partially offsetting these positive factors was a $2 million rise in personnel costs. The improvement in the recent quarter’s net income as compared with the fourth quarter of 2007 resulted from higher net interest income of $13 million, due to a 27 basis point widening of the net interest margin on loans and an increase in average loans outstanding of $968 million, and a $7 million increase in fees received for providing loan syndication and corporate advisory services.</w:t>
      </w:r>
    </w:p>
    <w:p>
      <w:pPr>
        <w:spacing w:after="0" w:line="71" w:lineRule="exact"/>
        <w:rPr>
          <w:sz w:val="20"/>
          <w:szCs w:val="20"/>
          <w:color w:val="auto"/>
        </w:rPr>
      </w:pPr>
    </w:p>
    <w:p>
      <w:pPr>
        <w:ind w:right="100" w:firstLine="222"/>
        <w:spacing w:after="0" w:line="297" w:lineRule="auto"/>
        <w:rPr>
          <w:sz w:val="20"/>
          <w:szCs w:val="20"/>
          <w:color w:val="auto"/>
        </w:rPr>
      </w:pPr>
      <w:r>
        <w:rPr>
          <w:rFonts w:ascii="Arial" w:cs="Arial" w:eastAsia="Arial" w:hAnsi="Arial"/>
          <w:sz w:val="16"/>
          <w:szCs w:val="16"/>
          <w:color w:val="auto"/>
        </w:rPr>
        <w:t>The Commercial Real Estate segment contributed net income in the first quarter of 2008 of $43 million, up 25% from $34 million in the year-earlier quarter and 18% above $36 million in the fourth quarter of 2007. The improved results as compared with the first quarter of 2007 were mainly due to higher net interest income of $12 million, driven by a $1.8 billion rise in average loan balances outstanding and a $141 million increase in average deposit balances. The increase from 2007’s fourth quarter was the result of a $6 million rise in net interest income, largely due to a $868 million increase in average loan balances outstanding, and a $4 million decrease in the provision for credit losses, primarily the result of lower net charge-offs of loans.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222"/>
        <w:spacing w:after="0" w:line="269" w:lineRule="auto"/>
        <w:rPr>
          <w:sz w:val="20"/>
          <w:szCs w:val="20"/>
          <w:color w:val="auto"/>
        </w:rPr>
      </w:pPr>
      <w:r>
        <w:rPr>
          <w:rFonts w:ascii="Arial" w:cs="Arial" w:eastAsia="Arial" w:hAnsi="Arial"/>
          <w:sz w:val="17"/>
          <w:szCs w:val="17"/>
          <w:color w:val="auto"/>
        </w:rPr>
        <w:t>The Discretionary Portfolio segment earned $16 million in the first quarter of 2008, compared with net income of $19 million recorded in the first quarter of 2007 and a $68 million net loss incurred in the fourth quarter of 2007. The unfavorable performance compared with last year’s first quarter was primarily due to a $16 million increase in the provision for credit losses, the result of higher net charge-offs of Alt-A mortgage loans, and a $4 million increase in noninterest expenses, largely from foreclosure-related costs, offset, in part, by a $15 million increase in net interest income. Factors contributing to the increase in net interest income included higher average balances of investment securities and loans of $1.7 billion and $1.1 billion, respectively, and a 21 basis point widening of the net interest margin on investment securities. The increase in investment securities was predominantly the result of the Partners Trust acquisition, while the increase in loans reflects the higher average balance impact of loans transferred to held for investment in March 2007. The main factor contributing to the loss in the fourth quarter of 2007 was the previously discussed other-than-temporary impairment charge on collateralized debt obligations backed by sub-prime residential mortgage securities of $127 million. Higher net interest income of $13 million in 2008’s initial quarter also contributed to the improved performance as compared with the immediately preceding quarter and predominantly resulted from a widening of the segment’s net interest margin.</w:t>
      </w:r>
    </w:p>
    <w:p>
      <w:pPr>
        <w:spacing w:after="0" w:line="75" w:lineRule="exact"/>
        <w:rPr>
          <w:sz w:val="20"/>
          <w:szCs w:val="20"/>
          <w:color w:val="auto"/>
        </w:rPr>
      </w:pPr>
    </w:p>
    <w:p>
      <w:pPr>
        <w:ind w:firstLine="222"/>
        <w:spacing w:after="0" w:line="286" w:lineRule="auto"/>
        <w:rPr>
          <w:sz w:val="20"/>
          <w:szCs w:val="20"/>
          <w:color w:val="auto"/>
        </w:rPr>
      </w:pPr>
      <w:r>
        <w:rPr>
          <w:rFonts w:ascii="Arial" w:cs="Arial" w:eastAsia="Arial" w:hAnsi="Arial"/>
          <w:sz w:val="16"/>
          <w:szCs w:val="16"/>
          <w:color w:val="auto"/>
        </w:rPr>
        <w:t>The Residential Mortgage Banking segment contributed net income of $5 million in the initial quarter of 2008, up from the net losses incurred in the first and fourth quarters of 2007 of $3 million and $1 million, respectively. The improvement as compared with the first quarter of 2007 was primarily due to a $27 million increase in mortgage banking revenues. That increase largely resulted from the previously described $18 million of charges recorded in the first quarter of 2007 related to Alt-A mortgage loans, $5 million resulting from required changes from accounting pronouncements that were effective January 1, 2008 which accelerated the recognition of certain mortgage banking revenues, and a $3 million increase in residential mortgage servicing revenues. Partially offsetting those higher residential mortgage banking revenues was a $6 million decrease in net interest income that resulted from a $973 million decline in average loan balances outstanding, reflecting the full-year’s impact from the Alt-A mortgage loans transferred to the Discretionary Portfolio segment during the first quarter of 2007, and the recent quarter addition to the capitalized mortgage servicing rights valuation allowance of $5 million, compared with a partial reversal of such allowance of $1 million in last year’s first quarter. The favorable performance as compared with the fourth quarter of 2007 was largely due to higher revenues from the origination and sales of residential mortgage loans of $9 million, including the $5 million impact in the recent quarter from the adoption of accounting pronouncements that accelerated the recognition of certain mortgage banking revenues. Also contributing to the improvement from the previous quarter was a $4 million increase in net interest income, the result of a 59 basis point widening of the loan interest margin, offset, in part, by a higher addition to the capitalized mortgage servicing rights valuation allowance of $3 million.</w:t>
      </w:r>
    </w:p>
    <w:p>
      <w:pPr>
        <w:spacing w:after="0" w:line="67" w:lineRule="exact"/>
        <w:rPr>
          <w:sz w:val="20"/>
          <w:szCs w:val="20"/>
          <w:color w:val="auto"/>
        </w:rPr>
      </w:pPr>
    </w:p>
    <w:p>
      <w:pPr>
        <w:ind w:right="100" w:firstLine="225"/>
        <w:spacing w:after="0" w:line="273" w:lineRule="auto"/>
        <w:rPr>
          <w:sz w:val="20"/>
          <w:szCs w:val="20"/>
          <w:color w:val="auto"/>
        </w:rPr>
      </w:pPr>
      <w:r>
        <w:rPr>
          <w:rFonts w:ascii="Arial" w:cs="Arial" w:eastAsia="Arial" w:hAnsi="Arial"/>
          <w:sz w:val="17"/>
          <w:szCs w:val="17"/>
          <w:color w:val="auto"/>
        </w:rPr>
        <w:t>Net income for the Retail Banking segment totaled $75 million in the first quarter of 2008, compared with $76 million recorded in the year-earlier quarter and $74 million in the final 2007 quarter. When comparing the results of 2008’s first quarter with the year-earlier quarter, a rise in net interest income of $17 million was offset by higher personnel costs of $11 million (including the impact of the 2007 acquisition transactions) and a $6 million increase in the provision for credit losses, mainly due to higher net charge-offs of loans. Contributing to the increase in net interest income were higher average loan and deposit balances of $1.4 billion and $618 million, respectively, that include the impact of the 2007 acquisition transactions. The favorable performance as compared with the fourth quarter of 2007 was due to a $3 million increase in net interest income, and a $3</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million decrease in the provision for credit losses, largely offset by lower service charges on deposit accounts of $5 million. The higher net interest income resulted mainly from a $586 million increase in average loan balances outstanding that also resulted largely from the acquisition transactions, and a 10 basis point widening of the net interest margin associated with such balances.</w:t>
      </w:r>
    </w:p>
    <w:p>
      <w:pPr>
        <w:spacing w:after="0" w:line="73" w:lineRule="exact"/>
        <w:rPr>
          <w:sz w:val="20"/>
          <w:szCs w:val="20"/>
          <w:color w:val="auto"/>
        </w:rPr>
      </w:pPr>
    </w:p>
    <w:p>
      <w:pPr>
        <w:ind w:firstLine="222"/>
        <w:spacing w:after="0" w:line="285" w:lineRule="auto"/>
        <w:rPr>
          <w:sz w:val="20"/>
          <w:szCs w:val="20"/>
          <w:color w:val="auto"/>
        </w:rPr>
      </w:pPr>
      <w:r>
        <w:rPr>
          <w:rFonts w:ascii="Arial" w:cs="Arial" w:eastAsia="Arial" w:hAnsi="Arial"/>
          <w:sz w:val="16"/>
          <w:szCs w:val="16"/>
          <w:color w:val="auto"/>
        </w:rPr>
        <w:t>The “All Other” category reflects other activities of the Company that are not directly attributable to the reported segments as determined in accordance with SFAS No. 131, such as the M&amp;T Investment Group, which includes the Company’s trust, brokerage and insurance businesses. Also reflected in this category are the amortization of core deposit and other intangible assets resulting from the acquisitions of financial institutions, M&amp;T’s equity in the earnings of BLG, merger-related expenses resulting from acquisitions and the net impact of the Company’s allocation methodologies for internal funds transfer pricing and the provision for credit losses. The various components of the “All Other” category resulted in net losses of $37 million in each of the first quarters of 2008 and 2007, and $65 million in the fourth quarter of 2007. As compared with the initial quarter of 2007, the previously discussed $33 million gain realized from the mandatory partial redemption of Visa stock owned by M&amp;T Bank and $15 million related to the reversal of Visa litigation-related accruals made in the fourth quarter of 2007 were offset by the Company’s allocation methodologies for internal transfers for funding charges and credits associated with earning assets and interest-bearing liabilities of the Company’s reportable segments and the provision for credit losses, $4 million of merger-related expenses recorded in the initial quarter of 2008 compared with no such expenses in 2007’s first quarter, and a $3 million reduction of net income in the current quarter resulting from M&amp;T’s investment in BLG (inclusive of interest expense to fund that investment). The lower net loss incurred in 2008’s first quarter as compared with the fourth quarter of 2007 resulted from several favorable factors, including the $33 million gain from the sale of a portion of Visa stock owned by M&amp;T Bank; the impact from the $23 million accrual recorded in the final quarter of 2007 related to Visa litigation and the subsequent $15 million partial reversal of such accrual in the recent quarter; a $7 million reduction of professional service costs related to the business and support units included in the “All Other” category; and lower merger-related expenses of $11 million. Partially offsetting those favorable factors were higher personnel-related costs of $22 million, including stock-based compensation expense, payroll-related taxes and other employee benefits, and the Company’s allocation methodologies for internal transfers for funding charges and credits associated with earning assets and interest-bearing liabilities of the Company’s reportable segments and the provision for credit losses. The recent quarter’s performance also reflects a $3 million reduction of net income from M&amp;T’s investment in BLG, inclusive of interest expense to fund that investment, while the fourth quarter of 2007’s results include a $6 million addition to net income from that investment.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Developments</w:t>
      </w:r>
    </w:p>
    <w:p>
      <w:pPr>
        <w:spacing w:after="0" w:line="121"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Effective January 1, 2008, the Company adopted SFAS No. 157, “Fair Value Measurements,” for fair value measurements of certain of its financial instruments. The provisions of SFAS No. 157 that pertain to measurement of non-financial assets and liabilities have been deferred by the FASB until 2009. SFAS No. 157 defines fair value, establishes a framework for measuring fair value in GAAP, and expands disclosures about fair value measurements. SFAS No. 157 applies to fair value measurements required or permitted under other accounting pronouncements, but does not require any new fair value measurements. The definition of fair value is clarified by SFAS No. 157 to be the price that would be received to sell an asset or paid to transfer a liability in an orderly transaction between market participants at the measurement date. The adoption of SFAS No. 157 did not have a material</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effect on the Company’s financial position or results of operations. At March 31, 2008, approximately $1.2 billion or 12% of the Company’s $9.8 billion of assets and liabilities measured using fair value measurements on a recurring basis were classified as Level 3 valuations. The Level 3 classified assets and liabilities are primarily comprised of approximately $1.2 billion of available-for-sale investment securities. Such securities are mainly comprised of privately issued collateralized mortgage obligations that have been classified as a Level 3 valuation because of limited trading activities or less observable valuation inputs. Fair valuation losses on Level 3 available for sale investment securities of $62 million were recognized during the first quarter of 2008 as a reduction of other comprehensive income, with no gains or losses recognized through earnings. As previously disclosed, as of March 31, 2008 the Company believed that all principal and interest payments on its portfolio of collateralized mortgage obligations will be received and therefore, the Company believed that the aforementioned unrealized losses will not ultimately be realized. Approximately $29 million of available for sale investment securities were transferred out of a Level 3 classification and into a Level 2 classification during the first quarter of 2008 due to increased transparency in the inputs used to determine fair value. Additionally, at March 31, 2008 commitments to originate mortgage loans for sale with a net fair value of $8 million have been classified as a Level 3 valuation. Approximately $13 million of fair value changes on commitments to originate mortgage loans for sale were recognized in mortgage banking revenues during the first quarter of 2008. Upon loan origination, the fair value of the derivative loan commitments becomes part of the basis of the closed loan held for sale. Approximately $7 million of fair value was transferred from Level 3 to Level 2 classification to reflect the closing of commitments into originated loans held for sale during the first quarter of 2008. Additional information concerning fair value measurements and the Company’s approach to and classification of such measurements is included in note 10 of Notes to Financial Statements.</w:t>
      </w:r>
    </w:p>
    <w:p>
      <w:pPr>
        <w:spacing w:after="0" w:line="61" w:lineRule="exact"/>
        <w:rPr>
          <w:sz w:val="20"/>
          <w:szCs w:val="20"/>
          <w:color w:val="auto"/>
        </w:rPr>
      </w:pPr>
    </w:p>
    <w:p>
      <w:pPr>
        <w:ind w:firstLine="225"/>
        <w:spacing w:after="0" w:line="286" w:lineRule="auto"/>
        <w:rPr>
          <w:sz w:val="20"/>
          <w:szCs w:val="20"/>
          <w:color w:val="auto"/>
        </w:rPr>
      </w:pPr>
      <w:r>
        <w:rPr>
          <w:rFonts w:ascii="Arial" w:cs="Arial" w:eastAsia="Arial" w:hAnsi="Arial"/>
          <w:sz w:val="16"/>
          <w:szCs w:val="16"/>
          <w:color w:val="auto"/>
        </w:rPr>
        <w:t>In December 2007, the Financial Accounting Standards Board (“FASB”) issued a revised SFAS No. 141, “Business Combinations” (“SFAS No. 141R”). SFAS No. 141R retains the fundamental requirements of SFAS No. 141 that the acquisition method of accounting be used for all business combinations and for an acquirer to be identified for each business combination. SFAS No. 141R defines the acquirer as the entity that obtains control of one or more businesses in the business combination and establishes the acquisition date as the date the acquirer achieves control. SFAS No. 141R retains the guidance in SFAS</w:t>
      </w:r>
    </w:p>
    <w:p>
      <w:pPr>
        <w:spacing w:after="0" w:line="2"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No. 141 for identifying and recognizing intangible assets separately from goodwill. With limited exceptions, the statement requires an acquirer to recognize the assets acquired, the liabilities assumed and any noncontrolling interest in the acquiree at the acquisition date, measured at their fair value as of that date. That replaces SFAS No. 141’s cost-allocation process, which required the cost of an acquisition to be allocated to the individual assets acquired and liabilities assumed based on their estimated fair values. As a result, certain acquisition-related costs previously included in the cost of an acquisition will be required to be expensed as incurred. In addition, certain restructuring costs previously recognized as if they were an assumed liability from an acquisition, will be required to be expensed. SFAS No. 141R also requires the acquirer in a business combination achieved in stages (sometimes referred to as a step acquisition) to recognize the identifiable assets and liabilities, as well as the noncontrolling interest in the acquiree, at the full amounts of their fair values. SFAS No. 141R also requires an acquirer to recognize assets acquired and liabilities assumed arising from contractual contingencies as of the acquisition date, measured at their acquisition-date fair values. An acquirer is required to recognize assets or liabilities arising from all other contingencies (noncontractual contingencies) as of the acquisition date, measured at their acquisition-date fair values, only if it is more likely than not that they meet the definition of an asset or a liability in FASB Concepts Statement No. 6, “Elements of Financial Statements.” The statement requires the acquirer to recognize</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goodwill as of the acquisition date measured as a residual, which in most types of business combinations will result in measuring goodwill as the excess of the consideration transferred plus the fair value of any noncontrolling interest in the acquiree at the acquisition date over the fair value of the identifiable net assets acquired. SFAS No. 141R also eliminates the recognition of a separate valuation allowance, such as an allowance for credit losses, as of the acquisition date for assets acquired in a business combination that are measured at their acquisition-date fair values because the effects of uncertainty about future cash flows should be included in the fair value measurement of those assets. SFAS No. 141R should be applied prospectively to business combinations for which the acquisition date is on or after the beginning of the first annual reporting period beginning on or after December 15, 2008. Earlier adoption is prohibited. The Company is still evaluating the provisions of SFAS No. 141R, but believes that its adoption will significantly impact its accounting for any acquisitions it may consummate in 2009 and beyond.</w:t>
      </w:r>
    </w:p>
    <w:p>
      <w:pPr>
        <w:spacing w:after="0" w:line="71" w:lineRule="exact"/>
        <w:rPr>
          <w:sz w:val="20"/>
          <w:szCs w:val="20"/>
          <w:color w:val="auto"/>
        </w:rPr>
      </w:pPr>
    </w:p>
    <w:p>
      <w:pPr>
        <w:ind w:right="40" w:firstLine="215"/>
        <w:spacing w:after="0" w:line="253" w:lineRule="auto"/>
        <w:rPr>
          <w:sz w:val="20"/>
          <w:szCs w:val="20"/>
          <w:color w:val="auto"/>
        </w:rPr>
      </w:pPr>
      <w:r>
        <w:rPr>
          <w:rFonts w:ascii="Arial" w:cs="Arial" w:eastAsia="Arial" w:hAnsi="Arial"/>
          <w:sz w:val="18"/>
          <w:szCs w:val="18"/>
          <w:color w:val="auto"/>
        </w:rPr>
        <w:t>Also in December 2007, the FASB issued SFAS No. 160, “Noncontrolling Interests in Consolidated Financial Statements — an amendment of ARB No. 51.” A noncontrolling interest, sometimes called a minority interest, is a portion of equity in a subsidiary not attributable, directly or indirectly, to a parent. SFAS No. 160 requires that the ownership interest in subsidiaries held by parties other than the parent be clearly identified, labeled and presented in the consolidated statement of financial position within equity, but separate from the parent’s equity. The amount of consolidated net income attributable to the parent and to the noncontrolling interest is required to be clearly identified and presented on the face of the consolidated statement of income. SFAS No. 160 also requires entities to provide disclosures that clearly identify and distinguish between the interests of the parent and the interests of the noncontrolling owners. SFAS No. 160 should be applied prospectively as of the beginning of a fiscal year beginning on or after December 15, 2008. Earlier adoption is prohibited. The Company does not anticipate that the adoption of SFAS No. 160 will have a significant impact on the reporting of its financial position or results of its operations.</w:t>
      </w:r>
    </w:p>
    <w:p>
      <w:pPr>
        <w:spacing w:after="0" w:line="89" w:lineRule="exact"/>
        <w:rPr>
          <w:sz w:val="20"/>
          <w:szCs w:val="20"/>
          <w:color w:val="auto"/>
        </w:rPr>
      </w:pPr>
    </w:p>
    <w:p>
      <w:pPr>
        <w:ind w:firstLine="225"/>
        <w:spacing w:after="0" w:line="289" w:lineRule="auto"/>
        <w:rPr>
          <w:sz w:val="20"/>
          <w:szCs w:val="20"/>
          <w:color w:val="auto"/>
        </w:rPr>
      </w:pPr>
      <w:r>
        <w:rPr>
          <w:rFonts w:ascii="Arial" w:cs="Arial" w:eastAsia="Arial" w:hAnsi="Arial"/>
          <w:sz w:val="16"/>
          <w:szCs w:val="16"/>
          <w:color w:val="auto"/>
        </w:rPr>
        <w:t>In February 2008, the FASB issued FASB Staff Position FAS 140-3, “Accounting for Transfers and Servicing of Financial Assets and Extinguishment of Liabilities” (“FSP FAS 140-3”). FSP FAS 140-3 was issued to provide guidance on accounting for a transfer of a financial asset and repurchase financing. FSP FAS 140-3 presumes that an initial transfer of a financial asset and a repurchase financing are considered part of the same arrangement (“linked transaction”) under SFAS No. 140, “Accounting for Transfers and Servicing of Financial Assets and Extinguishments of Liabilities.” However, if certain criteria are met, the initial transfer and repurchase financing should not be evaluated as a linked transaction and should be evaluated separately under SFAS No. 140. FSP FAS 140-3 is effective for financial statements issued for fiscal years beginning after November 15, 2008 and interim periods within those fiscal years. Earlier application is not permitted. FSP FAS 140-3 should be applied prospectively to initial transfers and repurchase financings for which the initial transfer is executed on or after the beginning of the fiscal year for which FSP FAS 140-3 is effective. The Company is still evaluating the provisions of FSP FAS 140-3, but does not believe its adoption will have a material impact on its financial position or results of operations.</w:t>
      </w:r>
    </w:p>
    <w:p>
      <w:pPr>
        <w:spacing w:after="0" w:line="59" w:lineRule="exact"/>
        <w:rPr>
          <w:sz w:val="20"/>
          <w:szCs w:val="20"/>
          <w:color w:val="auto"/>
        </w:rPr>
      </w:pPr>
    </w:p>
    <w:p>
      <w:pPr>
        <w:ind w:right="20" w:firstLine="222"/>
        <w:spacing w:after="0" w:line="302" w:lineRule="auto"/>
        <w:rPr>
          <w:sz w:val="20"/>
          <w:szCs w:val="20"/>
          <w:color w:val="auto"/>
        </w:rPr>
      </w:pPr>
      <w:r>
        <w:rPr>
          <w:rFonts w:ascii="Arial" w:cs="Arial" w:eastAsia="Arial" w:hAnsi="Arial"/>
          <w:sz w:val="16"/>
          <w:szCs w:val="16"/>
          <w:color w:val="auto"/>
        </w:rPr>
        <w:t>The FASB issued SFAS No. 161, “Disclosures about Derivative Instruments and Hedging Activities,” in March 2008. SFAS No. 161 requires enhanced disclosures about an entity’s derivative and hedging activities including (a) how and why an entity uses derivative instruments, (b) how derivative instruments and related hedging items are accounted for under SFAS No. 133, “Accounting for Derivative Instruments and Hedging Activities,” and its related interpretations, and (c) how derivative instruments and related hedged items affect an entity’s financial position, financial performance and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cash flows. SFAS No. 161 is effective for financial statements issued for fiscal years and interim periods beginning after November 15, 2008, with earlier application encouraged. The Company is currently evaluating SFAS No. 161 and intends to comply with its disclosure requirements as required.</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Management’s Discussion and Analysis of Financial Condition and Results of Operations and other sections of this quarterly report contain forward-looking statements that are based on current expectations, estimates and projections about the Company’s business, management’s beliefs and assumptions made by management. These statements are not guarantees of future performance and involve certain risks, uncertainties and assumptions (“Future Factors”) which are difficult to predict. Therefore, actual outcomes and results may differ materially from what is expressed or forecasted in such forward-looking statements.</w:t>
      </w:r>
    </w:p>
    <w:p>
      <w:pPr>
        <w:spacing w:after="0" w:line="46" w:lineRule="exact"/>
        <w:rPr>
          <w:sz w:val="20"/>
          <w:szCs w:val="20"/>
          <w:color w:val="auto"/>
        </w:rPr>
      </w:pPr>
    </w:p>
    <w:p>
      <w:pPr>
        <w:ind w:firstLine="225"/>
        <w:spacing w:after="0" w:line="268" w:lineRule="auto"/>
        <w:rPr>
          <w:sz w:val="20"/>
          <w:szCs w:val="20"/>
          <w:color w:val="auto"/>
        </w:rPr>
      </w:pPr>
      <w:r>
        <w:rPr>
          <w:rFonts w:ascii="Arial" w:cs="Arial" w:eastAsia="Arial" w:hAnsi="Arial"/>
          <w:sz w:val="17"/>
          <w:szCs w:val="17"/>
          <w:color w:val="auto"/>
        </w:rPr>
        <w:t>Future Factors include changes in interest rates, spreads on earning assets and interest-bearing liabilities, and interest rate sensitivity; prepayment speeds, loan originations, credit losses and market values of loans, other assets and collateral securing loans; sources of liquidity; common shares outstanding; common stock price volatility; fair value of and number of stock-based compensation awards to be issued in future periods; legislation affecting the financial services industry as a whole, and M&amp;T and its subsidiaries individually or collectively, including tax legislation; regulatory supervision and oversight, including monetary policy and required capital levels; changes in accounting policies or procedures as may be required by the Financial Accounting Standards Board or other regulatory agencies; increasing price and product/service competition by competitors, including new entrants; rapid technological developments and changes; the ability to continue to introduce competitive new products and services on a timely, cost-effective basis; the mix of products/services; containing costs and expenses; governmental and public policy changes; protection and validity of intellectual property rights; reliance on large customers; technological, implementation and cost/financial risks in large, multi-year contracts; the outcome of pending and future litigation and governmental proceedings, including tax-related examinations and other matters; continued availability of financing; financial resources in the amounts, at the times and on the terms required to support M&amp;T and its subsidiaries’ future businesses; and material differences in the actual financial results of merger, acquisition and investment activities compared with M&amp;T’s initial expectations, including the full realization of anticipated cost savings and revenue enhancements.</w:t>
      </w:r>
    </w:p>
    <w:p>
      <w:pPr>
        <w:spacing w:after="0" w:line="80" w:lineRule="exact"/>
        <w:rPr>
          <w:sz w:val="20"/>
          <w:szCs w:val="20"/>
          <w:color w:val="auto"/>
        </w:rPr>
      </w:pPr>
    </w:p>
    <w:p>
      <w:pPr>
        <w:ind w:right="120" w:firstLine="222"/>
        <w:spacing w:after="0" w:line="259" w:lineRule="auto"/>
        <w:rPr>
          <w:sz w:val="20"/>
          <w:szCs w:val="20"/>
          <w:color w:val="auto"/>
        </w:rPr>
      </w:pPr>
      <w:r>
        <w:rPr>
          <w:rFonts w:ascii="Arial" w:cs="Arial" w:eastAsia="Arial" w:hAnsi="Arial"/>
          <w:sz w:val="18"/>
          <w:szCs w:val="18"/>
          <w:color w:val="auto"/>
        </w:rPr>
        <w:t>These are representative of the Future Factors that could affect the outcome of the forward-looking statements. In addition, such statements could be affected by general industry and market conditions and growth rates, general economic and political conditions, either nationally or in the areas in which M&amp;T and its subsidiaries do business, including interest rate and currency exchange rate fluctuations, changes and trends in the securities markets, and other Future Factors.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M&amp;T BANK CORPORATION AND SUBSIDIARIES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320" w:type="dxa"/>
            <w:vAlign w:val="bottom"/>
            <w:gridSpan w:val="2"/>
          </w:tcPr>
          <w:p>
            <w:pPr>
              <w:ind w:left="760"/>
              <w:spacing w:after="0"/>
              <w:rPr>
                <w:sz w:val="20"/>
                <w:szCs w:val="20"/>
                <w:color w:val="auto"/>
              </w:rPr>
            </w:pPr>
            <w:r>
              <w:rPr>
                <w:rFonts w:ascii="Arial" w:cs="Arial" w:eastAsia="Arial" w:hAnsi="Arial"/>
                <w:sz w:val="18"/>
                <w:szCs w:val="18"/>
                <w:color w:val="auto"/>
                <w:w w:val="89"/>
              </w:rPr>
              <w:t>Table 1</w:t>
            </w:r>
          </w:p>
        </w:tc>
      </w:tr>
      <w:tr>
        <w:trPr>
          <w:trHeight w:val="432"/>
        </w:trPr>
        <w:tc>
          <w:tcPr>
            <w:tcW w:w="3600" w:type="dxa"/>
            <w:vAlign w:val="bottom"/>
            <w:gridSpan w:val="2"/>
          </w:tcPr>
          <w:p>
            <w:pPr>
              <w:spacing w:after="0"/>
              <w:rPr>
                <w:sz w:val="20"/>
                <w:szCs w:val="20"/>
                <w:color w:val="auto"/>
              </w:rPr>
            </w:pPr>
            <w:r>
              <w:rPr>
                <w:rFonts w:ascii="Arial" w:cs="Arial" w:eastAsia="Arial" w:hAnsi="Arial"/>
                <w:sz w:val="18"/>
                <w:szCs w:val="18"/>
                <w:color w:val="auto"/>
              </w:rPr>
              <w:t>QUARTERLY TRENDS</w:t>
            </w:r>
          </w:p>
        </w:tc>
        <w:tc>
          <w:tcPr>
            <w:tcW w:w="6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65"/>
        </w:trPr>
        <w:tc>
          <w:tcPr>
            <w:tcW w:w="20" w:type="dxa"/>
            <w:vAlign w:val="bottom"/>
          </w:tcPr>
          <w:p>
            <w:pPr>
              <w:spacing w:after="0"/>
              <w:rPr>
                <w:sz w:val="24"/>
                <w:szCs w:val="24"/>
                <w:color w:val="auto"/>
              </w:rPr>
            </w:pPr>
          </w:p>
        </w:tc>
        <w:tc>
          <w:tcPr>
            <w:tcW w:w="35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610"/>
              <w:spacing w:after="0"/>
              <w:rPr>
                <w:sz w:val="20"/>
                <w:szCs w:val="20"/>
                <w:color w:val="auto"/>
              </w:rPr>
            </w:pPr>
            <w:r>
              <w:rPr>
                <w:rFonts w:ascii="Arial" w:cs="Arial" w:eastAsia="Arial" w:hAnsi="Arial"/>
                <w:sz w:val="14"/>
                <w:szCs w:val="14"/>
                <w:color w:val="auto"/>
              </w:rPr>
              <w:t>2008</w:t>
            </w:r>
          </w:p>
        </w:tc>
        <w:tc>
          <w:tcPr>
            <w:tcW w:w="156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2007 Quarters</w:t>
            </w:r>
          </w:p>
        </w:tc>
        <w:tc>
          <w:tcPr>
            <w:tcW w:w="1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49"/>
        </w:trPr>
        <w:tc>
          <w:tcPr>
            <w:tcW w:w="20" w:type="dxa"/>
            <w:vAlign w:val="bottom"/>
          </w:tcPr>
          <w:p>
            <w:pPr>
              <w:spacing w:after="0"/>
              <w:rPr>
                <w:sz w:val="12"/>
                <w:szCs w:val="12"/>
                <w:color w:val="auto"/>
              </w:rPr>
            </w:pPr>
          </w:p>
        </w:tc>
        <w:tc>
          <w:tcPr>
            <w:tcW w:w="3580" w:type="dxa"/>
            <w:vAlign w:val="bottom"/>
            <w:tcBorders>
              <w:bottom w:val="single" w:sz="8" w:color="auto"/>
            </w:tcBorders>
          </w:tcPr>
          <w:p>
            <w:pPr>
              <w:spacing w:after="0"/>
              <w:rPr>
                <w:sz w:val="12"/>
                <w:szCs w:val="12"/>
                <w:color w:val="auto"/>
              </w:rPr>
            </w:pPr>
          </w:p>
        </w:tc>
        <w:tc>
          <w:tcPr>
            <w:tcW w:w="1820" w:type="dxa"/>
            <w:vAlign w:val="bottom"/>
            <w:tcBorders>
              <w:bottom w:val="single" w:sz="8" w:color="auto"/>
            </w:tcBorders>
            <w:gridSpan w:val="2"/>
          </w:tcPr>
          <w:p>
            <w:pPr>
              <w:jc w:val="right"/>
              <w:ind w:right="390"/>
              <w:spacing w:after="0" w:line="142" w:lineRule="exact"/>
              <w:rPr>
                <w:sz w:val="20"/>
                <w:szCs w:val="20"/>
                <w:color w:val="auto"/>
              </w:rPr>
            </w:pPr>
            <w:r>
              <w:rPr>
                <w:rFonts w:ascii="Arial" w:cs="Arial" w:eastAsia="Arial" w:hAnsi="Arial"/>
                <w:sz w:val="14"/>
                <w:szCs w:val="14"/>
                <w:color w:val="auto"/>
              </w:rPr>
              <w:t>First Quarter</w:t>
            </w:r>
          </w:p>
        </w:tc>
        <w:tc>
          <w:tcPr>
            <w:tcW w:w="1560" w:type="dxa"/>
            <w:vAlign w:val="bottom"/>
            <w:tcBorders>
              <w:bottom w:val="single" w:sz="8" w:color="auto"/>
            </w:tcBorders>
          </w:tcPr>
          <w:p>
            <w:pPr>
              <w:jc w:val="right"/>
              <w:ind w:right="550"/>
              <w:spacing w:after="0" w:line="142" w:lineRule="exact"/>
              <w:rPr>
                <w:sz w:val="20"/>
                <w:szCs w:val="20"/>
                <w:color w:val="auto"/>
              </w:rPr>
            </w:pPr>
            <w:r>
              <w:rPr>
                <w:rFonts w:ascii="Arial" w:cs="Arial" w:eastAsia="Arial" w:hAnsi="Arial"/>
                <w:sz w:val="14"/>
                <w:szCs w:val="14"/>
                <w:color w:val="auto"/>
              </w:rPr>
              <w:t>Fourth</w:t>
            </w:r>
          </w:p>
        </w:tc>
        <w:tc>
          <w:tcPr>
            <w:tcW w:w="1960" w:type="dxa"/>
            <w:vAlign w:val="bottom"/>
            <w:tcBorders>
              <w:bottom w:val="single" w:sz="8" w:color="auto"/>
            </w:tcBorders>
          </w:tcPr>
          <w:p>
            <w:pPr>
              <w:jc w:val="right"/>
              <w:ind w:right="971"/>
              <w:spacing w:after="0" w:line="142" w:lineRule="exact"/>
              <w:rPr>
                <w:sz w:val="20"/>
                <w:szCs w:val="20"/>
                <w:color w:val="auto"/>
              </w:rPr>
            </w:pPr>
            <w:r>
              <w:rPr>
                <w:rFonts w:ascii="Arial" w:cs="Arial" w:eastAsia="Arial" w:hAnsi="Arial"/>
                <w:sz w:val="14"/>
                <w:szCs w:val="14"/>
                <w:color w:val="auto"/>
              </w:rPr>
              <w:t>Third</w:t>
            </w:r>
          </w:p>
        </w:tc>
        <w:tc>
          <w:tcPr>
            <w:tcW w:w="1180" w:type="dxa"/>
            <w:vAlign w:val="bottom"/>
            <w:tcBorders>
              <w:bottom w:val="single" w:sz="8" w:color="auto"/>
            </w:tcBorders>
          </w:tcPr>
          <w:p>
            <w:pPr>
              <w:jc w:val="right"/>
              <w:ind w:right="530"/>
              <w:spacing w:after="0" w:line="142" w:lineRule="exact"/>
              <w:rPr>
                <w:sz w:val="20"/>
                <w:szCs w:val="20"/>
                <w:color w:val="auto"/>
              </w:rPr>
            </w:pPr>
            <w:r>
              <w:rPr>
                <w:rFonts w:ascii="Arial" w:cs="Arial" w:eastAsia="Arial" w:hAnsi="Arial"/>
                <w:sz w:val="14"/>
                <w:szCs w:val="14"/>
                <w:color w:val="auto"/>
              </w:rPr>
              <w:t>Second</w:t>
            </w:r>
          </w:p>
        </w:tc>
        <w:tc>
          <w:tcPr>
            <w:tcW w:w="1300" w:type="dxa"/>
            <w:vAlign w:val="bottom"/>
            <w:tcBorders>
              <w:bottom w:val="single" w:sz="8" w:color="auto"/>
            </w:tcBorders>
          </w:tcPr>
          <w:p>
            <w:pPr>
              <w:jc w:val="right"/>
              <w:ind w:right="350"/>
              <w:spacing w:after="0" w:line="142" w:lineRule="exact"/>
              <w:rPr>
                <w:sz w:val="20"/>
                <w:szCs w:val="20"/>
                <w:color w:val="auto"/>
              </w:rPr>
            </w:pPr>
            <w:r>
              <w:rPr>
                <w:rFonts w:ascii="Arial" w:cs="Arial" w:eastAsia="Arial" w:hAnsi="Arial"/>
                <w:sz w:val="14"/>
                <w:szCs w:val="14"/>
                <w:color w:val="auto"/>
              </w:rPr>
              <w:t>First</w:t>
            </w:r>
          </w:p>
        </w:tc>
        <w:tc>
          <w:tcPr>
            <w:tcW w:w="2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Earnings and dividends</w:t>
            </w:r>
          </w:p>
        </w:tc>
        <w:tc>
          <w:tcPr>
            <w:tcW w:w="6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Amounts in thousands, except per share</w:t>
            </w:r>
          </w:p>
        </w:tc>
        <w:tc>
          <w:tcPr>
            <w:tcW w:w="6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Interest income (taxable-equivalent basis)</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450"/>
              <w:spacing w:after="0"/>
              <w:rPr>
                <w:sz w:val="20"/>
                <w:szCs w:val="20"/>
                <w:color w:val="auto"/>
              </w:rPr>
            </w:pPr>
            <w:r>
              <w:rPr>
                <w:rFonts w:ascii="Arial" w:cs="Arial" w:eastAsia="Arial" w:hAnsi="Arial"/>
                <w:sz w:val="18"/>
                <w:szCs w:val="18"/>
                <w:color w:val="auto"/>
                <w:w w:val="89"/>
              </w:rPr>
              <w:t>889,945</w:t>
            </w:r>
          </w:p>
        </w:tc>
        <w:tc>
          <w:tcPr>
            <w:tcW w:w="1560" w:type="dxa"/>
            <w:vAlign w:val="bottom"/>
          </w:tcPr>
          <w:p>
            <w:pPr>
              <w:jc w:val="right"/>
              <w:ind w:right="470"/>
              <w:spacing w:after="0"/>
              <w:rPr>
                <w:sz w:val="20"/>
                <w:szCs w:val="20"/>
                <w:color w:val="auto"/>
              </w:rPr>
            </w:pPr>
            <w:r>
              <w:rPr>
                <w:rFonts w:ascii="Arial" w:cs="Arial" w:eastAsia="Arial" w:hAnsi="Arial"/>
                <w:sz w:val="18"/>
                <w:szCs w:val="18"/>
                <w:color w:val="auto"/>
              </w:rPr>
              <w:t>918,200</w:t>
            </w:r>
          </w:p>
        </w:tc>
        <w:tc>
          <w:tcPr>
            <w:tcW w:w="1960" w:type="dxa"/>
            <w:vAlign w:val="bottom"/>
          </w:tcPr>
          <w:p>
            <w:pPr>
              <w:jc w:val="right"/>
              <w:ind w:right="871"/>
              <w:spacing w:after="0"/>
              <w:rPr>
                <w:sz w:val="20"/>
                <w:szCs w:val="20"/>
                <w:color w:val="auto"/>
              </w:rPr>
            </w:pPr>
            <w:r>
              <w:rPr>
                <w:rFonts w:ascii="Arial" w:cs="Arial" w:eastAsia="Arial" w:hAnsi="Arial"/>
                <w:sz w:val="18"/>
                <w:szCs w:val="18"/>
                <w:color w:val="auto"/>
              </w:rPr>
              <w:t>898,126</w:t>
            </w:r>
          </w:p>
        </w:tc>
        <w:tc>
          <w:tcPr>
            <w:tcW w:w="1180" w:type="dxa"/>
            <w:vAlign w:val="bottom"/>
          </w:tcPr>
          <w:p>
            <w:pPr>
              <w:jc w:val="right"/>
              <w:ind w:right="470"/>
              <w:spacing w:after="0"/>
              <w:rPr>
                <w:sz w:val="20"/>
                <w:szCs w:val="20"/>
                <w:color w:val="auto"/>
              </w:rPr>
            </w:pPr>
            <w:r>
              <w:rPr>
                <w:rFonts w:ascii="Arial" w:cs="Arial" w:eastAsia="Arial" w:hAnsi="Arial"/>
                <w:sz w:val="18"/>
                <w:szCs w:val="18"/>
                <w:color w:val="auto"/>
                <w:w w:val="92"/>
              </w:rPr>
              <w:t>883,148</w:t>
            </w:r>
          </w:p>
        </w:tc>
        <w:tc>
          <w:tcPr>
            <w:tcW w:w="1300" w:type="dxa"/>
            <w:vAlign w:val="bottom"/>
          </w:tcPr>
          <w:p>
            <w:pPr>
              <w:jc w:val="right"/>
              <w:ind w:right="210"/>
              <w:spacing w:after="0"/>
              <w:rPr>
                <w:sz w:val="20"/>
                <w:szCs w:val="20"/>
                <w:color w:val="auto"/>
              </w:rPr>
            </w:pPr>
            <w:r>
              <w:rPr>
                <w:rFonts w:ascii="Arial" w:cs="Arial" w:eastAsia="Arial" w:hAnsi="Arial"/>
                <w:sz w:val="18"/>
                <w:szCs w:val="18"/>
                <w:color w:val="auto"/>
              </w:rPr>
              <w:t>866,172</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6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w w:val="89"/>
              </w:rPr>
              <w:t>405,312</w:t>
            </w:r>
          </w:p>
        </w:tc>
        <w:tc>
          <w:tcPr>
            <w:tcW w:w="156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442,364</w:t>
            </w:r>
          </w:p>
        </w:tc>
        <w:tc>
          <w:tcPr>
            <w:tcW w:w="1960" w:type="dxa"/>
            <w:vAlign w:val="bottom"/>
            <w:tcBorders>
              <w:bottom w:val="single" w:sz="8" w:color="auto"/>
            </w:tcBorders>
            <w:shd w:val="clear" w:color="auto" w:fill="CCEEFF"/>
          </w:tcPr>
          <w:p>
            <w:pPr>
              <w:jc w:val="right"/>
              <w:ind w:right="871"/>
              <w:spacing w:after="0"/>
              <w:rPr>
                <w:sz w:val="20"/>
                <w:szCs w:val="20"/>
                <w:color w:val="auto"/>
              </w:rPr>
            </w:pPr>
            <w:r>
              <w:rPr>
                <w:rFonts w:ascii="Arial" w:cs="Arial" w:eastAsia="Arial" w:hAnsi="Arial"/>
                <w:sz w:val="18"/>
                <w:szCs w:val="18"/>
                <w:color w:val="auto"/>
              </w:rPr>
              <w:t>425,326</w:t>
            </w:r>
          </w:p>
        </w:tc>
        <w:tc>
          <w:tcPr>
            <w:tcW w:w="118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92"/>
              </w:rPr>
              <w:t>416,264</w:t>
            </w:r>
          </w:p>
        </w:tc>
        <w:tc>
          <w:tcPr>
            <w:tcW w:w="13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410,622</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Net interest income</w:t>
            </w:r>
          </w:p>
        </w:tc>
        <w:tc>
          <w:tcPr>
            <w:tcW w:w="680" w:type="dxa"/>
            <w:vAlign w:val="bottom"/>
          </w:tcPr>
          <w:p>
            <w:pPr>
              <w:spacing w:after="0"/>
              <w:rPr>
                <w:sz w:val="19"/>
                <w:szCs w:val="19"/>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color w:val="auto"/>
                <w:w w:val="89"/>
              </w:rPr>
              <w:t>484,633</w:t>
            </w:r>
          </w:p>
        </w:tc>
        <w:tc>
          <w:tcPr>
            <w:tcW w:w="1560" w:type="dxa"/>
            <w:vAlign w:val="bottom"/>
          </w:tcPr>
          <w:p>
            <w:pPr>
              <w:jc w:val="right"/>
              <w:ind w:right="470"/>
              <w:spacing w:after="0"/>
              <w:rPr>
                <w:sz w:val="20"/>
                <w:szCs w:val="20"/>
                <w:color w:val="auto"/>
              </w:rPr>
            </w:pPr>
            <w:r>
              <w:rPr>
                <w:rFonts w:ascii="Arial" w:cs="Arial" w:eastAsia="Arial" w:hAnsi="Arial"/>
                <w:sz w:val="18"/>
                <w:szCs w:val="18"/>
                <w:color w:val="auto"/>
              </w:rPr>
              <w:t>475,836</w:t>
            </w:r>
          </w:p>
        </w:tc>
        <w:tc>
          <w:tcPr>
            <w:tcW w:w="1960" w:type="dxa"/>
            <w:vAlign w:val="bottom"/>
          </w:tcPr>
          <w:p>
            <w:pPr>
              <w:jc w:val="right"/>
              <w:ind w:right="871"/>
              <w:spacing w:after="0"/>
              <w:rPr>
                <w:sz w:val="20"/>
                <w:szCs w:val="20"/>
                <w:color w:val="auto"/>
              </w:rPr>
            </w:pPr>
            <w:r>
              <w:rPr>
                <w:rFonts w:ascii="Arial" w:cs="Arial" w:eastAsia="Arial" w:hAnsi="Arial"/>
                <w:sz w:val="18"/>
                <w:szCs w:val="18"/>
                <w:color w:val="auto"/>
              </w:rPr>
              <w:t>472,800</w:t>
            </w:r>
          </w:p>
        </w:tc>
        <w:tc>
          <w:tcPr>
            <w:tcW w:w="1180" w:type="dxa"/>
            <w:vAlign w:val="bottom"/>
          </w:tcPr>
          <w:p>
            <w:pPr>
              <w:jc w:val="right"/>
              <w:ind w:right="470"/>
              <w:spacing w:after="0"/>
              <w:rPr>
                <w:sz w:val="20"/>
                <w:szCs w:val="20"/>
                <w:color w:val="auto"/>
              </w:rPr>
            </w:pPr>
            <w:r>
              <w:rPr>
                <w:rFonts w:ascii="Arial" w:cs="Arial" w:eastAsia="Arial" w:hAnsi="Arial"/>
                <w:sz w:val="18"/>
                <w:szCs w:val="18"/>
                <w:color w:val="auto"/>
                <w:w w:val="92"/>
              </w:rPr>
              <w:t>466,884</w:t>
            </w:r>
          </w:p>
        </w:tc>
        <w:tc>
          <w:tcPr>
            <w:tcW w:w="1300" w:type="dxa"/>
            <w:vAlign w:val="bottom"/>
          </w:tcPr>
          <w:p>
            <w:pPr>
              <w:jc w:val="right"/>
              <w:ind w:right="210"/>
              <w:spacing w:after="0"/>
              <w:rPr>
                <w:sz w:val="20"/>
                <w:szCs w:val="20"/>
                <w:color w:val="auto"/>
              </w:rPr>
            </w:pPr>
            <w:r>
              <w:rPr>
                <w:rFonts w:ascii="Arial" w:cs="Arial" w:eastAsia="Arial" w:hAnsi="Arial"/>
                <w:sz w:val="18"/>
                <w:szCs w:val="18"/>
                <w:color w:val="auto"/>
              </w:rPr>
              <w:t>455,550</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Less: provision for credit losses</w:t>
            </w:r>
          </w:p>
        </w:tc>
        <w:tc>
          <w:tcPr>
            <w:tcW w:w="6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60,000</w:t>
            </w:r>
          </w:p>
        </w:tc>
        <w:tc>
          <w:tcPr>
            <w:tcW w:w="15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101,000</w:t>
            </w:r>
          </w:p>
        </w:tc>
        <w:tc>
          <w:tcPr>
            <w:tcW w:w="1960" w:type="dxa"/>
            <w:vAlign w:val="bottom"/>
            <w:shd w:val="clear" w:color="auto" w:fill="CCEEFF"/>
          </w:tcPr>
          <w:p>
            <w:pPr>
              <w:jc w:val="right"/>
              <w:ind w:right="871"/>
              <w:spacing w:after="0"/>
              <w:rPr>
                <w:sz w:val="20"/>
                <w:szCs w:val="20"/>
                <w:color w:val="auto"/>
              </w:rPr>
            </w:pPr>
            <w:r>
              <w:rPr>
                <w:rFonts w:ascii="Arial" w:cs="Arial" w:eastAsia="Arial" w:hAnsi="Arial"/>
                <w:sz w:val="18"/>
                <w:szCs w:val="18"/>
                <w:color w:val="auto"/>
              </w:rPr>
              <w:t>34,000</w:t>
            </w:r>
          </w:p>
        </w:tc>
        <w:tc>
          <w:tcPr>
            <w:tcW w:w="11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30,000</w:t>
            </w:r>
          </w:p>
        </w:tc>
        <w:tc>
          <w:tcPr>
            <w:tcW w:w="13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27,000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Other income</w:t>
            </w:r>
          </w:p>
        </w:tc>
        <w:tc>
          <w:tcPr>
            <w:tcW w:w="680" w:type="dxa"/>
            <w:vAlign w:val="bottom"/>
          </w:tcPr>
          <w:p>
            <w:pPr>
              <w:spacing w:after="0"/>
              <w:rPr>
                <w:sz w:val="18"/>
                <w:szCs w:val="18"/>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color w:val="auto"/>
                <w:w w:val="89"/>
              </w:rPr>
              <w:t>312,663</w:t>
            </w:r>
          </w:p>
        </w:tc>
        <w:tc>
          <w:tcPr>
            <w:tcW w:w="1560" w:type="dxa"/>
            <w:vAlign w:val="bottom"/>
          </w:tcPr>
          <w:p>
            <w:pPr>
              <w:jc w:val="right"/>
              <w:ind w:right="470"/>
              <w:spacing w:after="0"/>
              <w:rPr>
                <w:sz w:val="20"/>
                <w:szCs w:val="20"/>
                <w:color w:val="auto"/>
              </w:rPr>
            </w:pPr>
            <w:r>
              <w:rPr>
                <w:rFonts w:ascii="Arial" w:cs="Arial" w:eastAsia="Arial" w:hAnsi="Arial"/>
                <w:sz w:val="18"/>
                <w:szCs w:val="18"/>
                <w:color w:val="auto"/>
              </w:rPr>
              <w:t>160,490</w:t>
            </w:r>
          </w:p>
        </w:tc>
        <w:tc>
          <w:tcPr>
            <w:tcW w:w="1960" w:type="dxa"/>
            <w:vAlign w:val="bottom"/>
          </w:tcPr>
          <w:p>
            <w:pPr>
              <w:jc w:val="right"/>
              <w:ind w:right="871"/>
              <w:spacing w:after="0"/>
              <w:rPr>
                <w:sz w:val="20"/>
                <w:szCs w:val="20"/>
                <w:color w:val="auto"/>
              </w:rPr>
            </w:pPr>
            <w:r>
              <w:rPr>
                <w:rFonts w:ascii="Arial" w:cs="Arial" w:eastAsia="Arial" w:hAnsi="Arial"/>
                <w:sz w:val="18"/>
                <w:szCs w:val="18"/>
                <w:color w:val="auto"/>
              </w:rPr>
              <w:t>252,899</w:t>
            </w:r>
          </w:p>
        </w:tc>
        <w:tc>
          <w:tcPr>
            <w:tcW w:w="1180" w:type="dxa"/>
            <w:vAlign w:val="bottom"/>
          </w:tcPr>
          <w:p>
            <w:pPr>
              <w:jc w:val="right"/>
              <w:ind w:right="470"/>
              <w:spacing w:after="0"/>
              <w:rPr>
                <w:sz w:val="20"/>
                <w:szCs w:val="20"/>
                <w:color w:val="auto"/>
              </w:rPr>
            </w:pPr>
            <w:r>
              <w:rPr>
                <w:rFonts w:ascii="Arial" w:cs="Arial" w:eastAsia="Arial" w:hAnsi="Arial"/>
                <w:sz w:val="18"/>
                <w:szCs w:val="18"/>
                <w:color w:val="auto"/>
                <w:w w:val="92"/>
              </w:rPr>
              <w:t>283,117</w:t>
            </w:r>
          </w:p>
        </w:tc>
        <w:tc>
          <w:tcPr>
            <w:tcW w:w="1300" w:type="dxa"/>
            <w:vAlign w:val="bottom"/>
          </w:tcPr>
          <w:p>
            <w:pPr>
              <w:jc w:val="right"/>
              <w:ind w:right="210"/>
              <w:spacing w:after="0"/>
              <w:rPr>
                <w:sz w:val="20"/>
                <w:szCs w:val="20"/>
                <w:color w:val="auto"/>
              </w:rPr>
            </w:pPr>
            <w:r>
              <w:rPr>
                <w:rFonts w:ascii="Arial" w:cs="Arial" w:eastAsia="Arial" w:hAnsi="Arial"/>
                <w:sz w:val="18"/>
                <w:szCs w:val="18"/>
                <w:color w:val="auto"/>
              </w:rPr>
              <w:t>236,483</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Less: other expense</w:t>
            </w:r>
          </w:p>
        </w:tc>
        <w:tc>
          <w:tcPr>
            <w:tcW w:w="6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w w:val="89"/>
              </w:rPr>
              <w:t>425,704</w:t>
            </w:r>
          </w:p>
        </w:tc>
        <w:tc>
          <w:tcPr>
            <w:tcW w:w="156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445,473</w:t>
            </w:r>
          </w:p>
        </w:tc>
        <w:tc>
          <w:tcPr>
            <w:tcW w:w="1960" w:type="dxa"/>
            <w:vAlign w:val="bottom"/>
            <w:tcBorders>
              <w:bottom w:val="single" w:sz="8" w:color="auto"/>
            </w:tcBorders>
            <w:shd w:val="clear" w:color="auto" w:fill="CCEEFF"/>
          </w:tcPr>
          <w:p>
            <w:pPr>
              <w:jc w:val="right"/>
              <w:ind w:right="871"/>
              <w:spacing w:after="0"/>
              <w:rPr>
                <w:sz w:val="20"/>
                <w:szCs w:val="20"/>
                <w:color w:val="auto"/>
              </w:rPr>
            </w:pPr>
            <w:r>
              <w:rPr>
                <w:rFonts w:ascii="Arial" w:cs="Arial" w:eastAsia="Arial" w:hAnsi="Arial"/>
                <w:sz w:val="18"/>
                <w:szCs w:val="18"/>
                <w:color w:val="auto"/>
              </w:rPr>
              <w:t>390,528</w:t>
            </w:r>
          </w:p>
        </w:tc>
        <w:tc>
          <w:tcPr>
            <w:tcW w:w="118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92"/>
              </w:rPr>
              <w:t>392,651</w:t>
            </w:r>
          </w:p>
        </w:tc>
        <w:tc>
          <w:tcPr>
            <w:tcW w:w="13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399,037</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680" w:type="dxa"/>
            <w:vAlign w:val="bottom"/>
          </w:tcPr>
          <w:p>
            <w:pPr>
              <w:spacing w:after="0"/>
              <w:rPr>
                <w:sz w:val="19"/>
                <w:szCs w:val="19"/>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color w:val="auto"/>
                <w:w w:val="89"/>
              </w:rPr>
              <w:t>311,592</w:t>
            </w:r>
          </w:p>
        </w:tc>
        <w:tc>
          <w:tcPr>
            <w:tcW w:w="1560" w:type="dxa"/>
            <w:vAlign w:val="bottom"/>
          </w:tcPr>
          <w:p>
            <w:pPr>
              <w:jc w:val="right"/>
              <w:ind w:right="470"/>
              <w:spacing w:after="0"/>
              <w:rPr>
                <w:sz w:val="20"/>
                <w:szCs w:val="20"/>
                <w:color w:val="auto"/>
              </w:rPr>
            </w:pPr>
            <w:r>
              <w:rPr>
                <w:rFonts w:ascii="Arial" w:cs="Arial" w:eastAsia="Arial" w:hAnsi="Arial"/>
                <w:sz w:val="18"/>
                <w:szCs w:val="18"/>
                <w:color w:val="auto"/>
              </w:rPr>
              <w:t>89,853</w:t>
            </w:r>
          </w:p>
        </w:tc>
        <w:tc>
          <w:tcPr>
            <w:tcW w:w="1960" w:type="dxa"/>
            <w:vAlign w:val="bottom"/>
          </w:tcPr>
          <w:p>
            <w:pPr>
              <w:jc w:val="right"/>
              <w:ind w:right="871"/>
              <w:spacing w:after="0"/>
              <w:rPr>
                <w:sz w:val="20"/>
                <w:szCs w:val="20"/>
                <w:color w:val="auto"/>
              </w:rPr>
            </w:pPr>
            <w:r>
              <w:rPr>
                <w:rFonts w:ascii="Arial" w:cs="Arial" w:eastAsia="Arial" w:hAnsi="Arial"/>
                <w:sz w:val="18"/>
                <w:szCs w:val="18"/>
                <w:color w:val="auto"/>
              </w:rPr>
              <w:t>301,171</w:t>
            </w:r>
          </w:p>
        </w:tc>
        <w:tc>
          <w:tcPr>
            <w:tcW w:w="1180" w:type="dxa"/>
            <w:vAlign w:val="bottom"/>
          </w:tcPr>
          <w:p>
            <w:pPr>
              <w:jc w:val="right"/>
              <w:ind w:right="470"/>
              <w:spacing w:after="0"/>
              <w:rPr>
                <w:sz w:val="20"/>
                <w:szCs w:val="20"/>
                <w:color w:val="auto"/>
              </w:rPr>
            </w:pPr>
            <w:r>
              <w:rPr>
                <w:rFonts w:ascii="Arial" w:cs="Arial" w:eastAsia="Arial" w:hAnsi="Arial"/>
                <w:sz w:val="18"/>
                <w:szCs w:val="18"/>
                <w:color w:val="auto"/>
                <w:w w:val="92"/>
              </w:rPr>
              <w:t>327,350</w:t>
            </w:r>
          </w:p>
        </w:tc>
        <w:tc>
          <w:tcPr>
            <w:tcW w:w="1300" w:type="dxa"/>
            <w:vAlign w:val="bottom"/>
          </w:tcPr>
          <w:p>
            <w:pPr>
              <w:jc w:val="right"/>
              <w:ind w:right="210"/>
              <w:spacing w:after="0"/>
              <w:rPr>
                <w:sz w:val="20"/>
                <w:szCs w:val="20"/>
                <w:color w:val="auto"/>
              </w:rPr>
            </w:pPr>
            <w:r>
              <w:rPr>
                <w:rFonts w:ascii="Arial" w:cs="Arial" w:eastAsia="Arial" w:hAnsi="Arial"/>
                <w:sz w:val="18"/>
                <w:szCs w:val="18"/>
                <w:color w:val="auto"/>
              </w:rPr>
              <w:t>265,996</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Applicable income taxes</w:t>
            </w:r>
          </w:p>
        </w:tc>
        <w:tc>
          <w:tcPr>
            <w:tcW w:w="6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w w:val="89"/>
              </w:rPr>
              <w:t>103,613</w:t>
            </w:r>
          </w:p>
        </w:tc>
        <w:tc>
          <w:tcPr>
            <w:tcW w:w="15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19,297</w:t>
            </w:r>
          </w:p>
        </w:tc>
        <w:tc>
          <w:tcPr>
            <w:tcW w:w="1960" w:type="dxa"/>
            <w:vAlign w:val="bottom"/>
            <w:shd w:val="clear" w:color="auto" w:fill="CCEEFF"/>
          </w:tcPr>
          <w:p>
            <w:pPr>
              <w:jc w:val="right"/>
              <w:ind w:right="871"/>
              <w:spacing w:after="0"/>
              <w:rPr>
                <w:sz w:val="20"/>
                <w:szCs w:val="20"/>
                <w:color w:val="auto"/>
              </w:rPr>
            </w:pPr>
            <w:r>
              <w:rPr>
                <w:rFonts w:ascii="Arial" w:cs="Arial" w:eastAsia="Arial" w:hAnsi="Arial"/>
                <w:sz w:val="18"/>
                <w:szCs w:val="18"/>
                <w:color w:val="auto"/>
              </w:rPr>
              <w:t>96,872</w:t>
            </w:r>
          </w:p>
        </w:tc>
        <w:tc>
          <w:tcPr>
            <w:tcW w:w="11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92"/>
              </w:rPr>
              <w:t>108,209</w:t>
            </w:r>
          </w:p>
        </w:tc>
        <w:tc>
          <w:tcPr>
            <w:tcW w:w="13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84,900</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Taxable-equivalent adjustment</w:t>
            </w:r>
          </w:p>
        </w:tc>
        <w:tc>
          <w:tcPr>
            <w:tcW w:w="6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5,783</w:t>
            </w:r>
          </w:p>
        </w:tc>
        <w:tc>
          <w:tcPr>
            <w:tcW w:w="15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5,626</w:t>
            </w:r>
          </w:p>
        </w:tc>
        <w:tc>
          <w:tcPr>
            <w:tcW w:w="1960" w:type="dxa"/>
            <w:vAlign w:val="bottom"/>
            <w:tcBorders>
              <w:bottom w:val="single" w:sz="8" w:color="auto"/>
            </w:tcBorders>
          </w:tcPr>
          <w:p>
            <w:pPr>
              <w:jc w:val="right"/>
              <w:ind w:right="871"/>
              <w:spacing w:after="0"/>
              <w:rPr>
                <w:sz w:val="20"/>
                <w:szCs w:val="20"/>
                <w:color w:val="auto"/>
              </w:rPr>
            </w:pPr>
            <w:r>
              <w:rPr>
                <w:rFonts w:ascii="Arial" w:cs="Arial" w:eastAsia="Arial" w:hAnsi="Arial"/>
                <w:sz w:val="18"/>
                <w:szCs w:val="18"/>
                <w:color w:val="auto"/>
              </w:rPr>
              <w:t>5,112</w:t>
            </w:r>
          </w:p>
        </w:tc>
        <w:tc>
          <w:tcPr>
            <w:tcW w:w="11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4,972</w:t>
            </w:r>
          </w:p>
        </w:tc>
        <w:tc>
          <w:tcPr>
            <w:tcW w:w="13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5,123</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5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w w:val="89"/>
              </w:rPr>
              <w:t>202,196</w:t>
            </w:r>
          </w:p>
        </w:tc>
        <w:tc>
          <w:tcPr>
            <w:tcW w:w="156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64,930</w:t>
            </w:r>
          </w:p>
        </w:tc>
        <w:tc>
          <w:tcPr>
            <w:tcW w:w="1960" w:type="dxa"/>
            <w:vAlign w:val="bottom"/>
            <w:tcBorders>
              <w:bottom w:val="single" w:sz="8" w:color="auto"/>
            </w:tcBorders>
            <w:shd w:val="clear" w:color="auto" w:fill="CCEEFF"/>
          </w:tcPr>
          <w:p>
            <w:pPr>
              <w:jc w:val="right"/>
              <w:ind w:right="871"/>
              <w:spacing w:after="0"/>
              <w:rPr>
                <w:sz w:val="20"/>
                <w:szCs w:val="20"/>
                <w:color w:val="auto"/>
              </w:rPr>
            </w:pPr>
            <w:r>
              <w:rPr>
                <w:rFonts w:ascii="Arial" w:cs="Arial" w:eastAsia="Arial" w:hAnsi="Arial"/>
                <w:sz w:val="18"/>
                <w:szCs w:val="18"/>
                <w:color w:val="auto"/>
              </w:rPr>
              <w:t>199,187</w:t>
            </w:r>
          </w:p>
        </w:tc>
        <w:tc>
          <w:tcPr>
            <w:tcW w:w="118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92"/>
              </w:rPr>
              <w:t>214,169</w:t>
            </w:r>
          </w:p>
        </w:tc>
        <w:tc>
          <w:tcPr>
            <w:tcW w:w="13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175,973</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Per common share data</w:t>
            </w:r>
          </w:p>
        </w:tc>
        <w:tc>
          <w:tcPr>
            <w:tcW w:w="6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 earnings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1.84</w:t>
            </w:r>
          </w:p>
        </w:tc>
        <w:tc>
          <w:tcPr>
            <w:tcW w:w="15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.60</w:t>
            </w:r>
          </w:p>
        </w:tc>
        <w:tc>
          <w:tcPr>
            <w:tcW w:w="1960" w:type="dxa"/>
            <w:vAlign w:val="bottom"/>
            <w:shd w:val="clear" w:color="auto" w:fill="CCEEFF"/>
          </w:tcPr>
          <w:p>
            <w:pPr>
              <w:jc w:val="right"/>
              <w:ind w:right="871"/>
              <w:spacing w:after="0"/>
              <w:rPr>
                <w:sz w:val="20"/>
                <w:szCs w:val="20"/>
                <w:color w:val="auto"/>
              </w:rPr>
            </w:pPr>
            <w:r>
              <w:rPr>
                <w:rFonts w:ascii="Arial" w:cs="Arial" w:eastAsia="Arial" w:hAnsi="Arial"/>
                <w:sz w:val="18"/>
                <w:szCs w:val="18"/>
                <w:color w:val="auto"/>
              </w:rPr>
              <w:t>1.86</w:t>
            </w:r>
          </w:p>
        </w:tc>
        <w:tc>
          <w:tcPr>
            <w:tcW w:w="11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1.98</w:t>
            </w:r>
          </w:p>
        </w:tc>
        <w:tc>
          <w:tcPr>
            <w:tcW w:w="13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1.60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80" w:type="dxa"/>
            <w:vAlign w:val="bottom"/>
          </w:tcPr>
          <w:p>
            <w:pPr>
              <w:ind w:left="200"/>
              <w:spacing w:after="0"/>
              <w:rPr>
                <w:sz w:val="20"/>
                <w:szCs w:val="20"/>
                <w:color w:val="auto"/>
              </w:rPr>
            </w:pPr>
            <w:r>
              <w:rPr>
                <w:rFonts w:ascii="Arial" w:cs="Arial" w:eastAsia="Arial" w:hAnsi="Arial"/>
                <w:sz w:val="18"/>
                <w:szCs w:val="18"/>
                <w:color w:val="auto"/>
              </w:rPr>
              <w:t>Diluted earnings</w:t>
            </w:r>
          </w:p>
        </w:tc>
        <w:tc>
          <w:tcPr>
            <w:tcW w:w="680" w:type="dxa"/>
            <w:vAlign w:val="bottom"/>
          </w:tcPr>
          <w:p>
            <w:pPr>
              <w:spacing w:after="0"/>
              <w:rPr>
                <w:sz w:val="18"/>
                <w:szCs w:val="18"/>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color w:val="auto"/>
              </w:rPr>
              <w:t>1.82</w:t>
            </w:r>
          </w:p>
        </w:tc>
        <w:tc>
          <w:tcPr>
            <w:tcW w:w="1560" w:type="dxa"/>
            <w:vAlign w:val="bottom"/>
          </w:tcPr>
          <w:p>
            <w:pPr>
              <w:jc w:val="right"/>
              <w:ind w:right="470"/>
              <w:spacing w:after="0"/>
              <w:rPr>
                <w:sz w:val="20"/>
                <w:szCs w:val="20"/>
                <w:color w:val="auto"/>
              </w:rPr>
            </w:pPr>
            <w:r>
              <w:rPr>
                <w:rFonts w:ascii="Arial" w:cs="Arial" w:eastAsia="Arial" w:hAnsi="Arial"/>
                <w:sz w:val="18"/>
                <w:szCs w:val="18"/>
                <w:color w:val="auto"/>
              </w:rPr>
              <w:t>.60</w:t>
            </w:r>
          </w:p>
        </w:tc>
        <w:tc>
          <w:tcPr>
            <w:tcW w:w="1960" w:type="dxa"/>
            <w:vAlign w:val="bottom"/>
          </w:tcPr>
          <w:p>
            <w:pPr>
              <w:jc w:val="right"/>
              <w:ind w:right="871"/>
              <w:spacing w:after="0"/>
              <w:rPr>
                <w:sz w:val="20"/>
                <w:szCs w:val="20"/>
                <w:color w:val="auto"/>
              </w:rPr>
            </w:pPr>
            <w:r>
              <w:rPr>
                <w:rFonts w:ascii="Arial" w:cs="Arial" w:eastAsia="Arial" w:hAnsi="Arial"/>
                <w:sz w:val="18"/>
                <w:szCs w:val="18"/>
                <w:color w:val="auto"/>
              </w:rPr>
              <w:t>1.83</w:t>
            </w:r>
          </w:p>
        </w:tc>
        <w:tc>
          <w:tcPr>
            <w:tcW w:w="1180" w:type="dxa"/>
            <w:vAlign w:val="bottom"/>
          </w:tcPr>
          <w:p>
            <w:pPr>
              <w:jc w:val="right"/>
              <w:ind w:right="470"/>
              <w:spacing w:after="0"/>
              <w:rPr>
                <w:sz w:val="20"/>
                <w:szCs w:val="20"/>
                <w:color w:val="auto"/>
              </w:rPr>
            </w:pPr>
            <w:r>
              <w:rPr>
                <w:rFonts w:ascii="Arial" w:cs="Arial" w:eastAsia="Arial" w:hAnsi="Arial"/>
                <w:sz w:val="18"/>
                <w:szCs w:val="18"/>
                <w:color w:val="auto"/>
              </w:rPr>
              <w:t>1.95</w:t>
            </w:r>
          </w:p>
        </w:tc>
        <w:tc>
          <w:tcPr>
            <w:tcW w:w="1300" w:type="dxa"/>
            <w:vAlign w:val="bottom"/>
          </w:tcPr>
          <w:p>
            <w:pPr>
              <w:jc w:val="right"/>
              <w:ind w:right="210"/>
              <w:spacing w:after="0"/>
              <w:rPr>
                <w:sz w:val="20"/>
                <w:szCs w:val="20"/>
                <w:color w:val="auto"/>
              </w:rPr>
            </w:pPr>
            <w:r>
              <w:rPr>
                <w:rFonts w:ascii="Arial" w:cs="Arial" w:eastAsia="Arial" w:hAnsi="Arial"/>
                <w:sz w:val="18"/>
                <w:szCs w:val="18"/>
                <w:color w:val="auto"/>
              </w:rPr>
              <w:t>1.57</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dividends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.70</w:t>
            </w:r>
          </w:p>
        </w:tc>
        <w:tc>
          <w:tcPr>
            <w:tcW w:w="15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.70</w:t>
            </w:r>
          </w:p>
        </w:tc>
        <w:tc>
          <w:tcPr>
            <w:tcW w:w="1960" w:type="dxa"/>
            <w:vAlign w:val="bottom"/>
            <w:shd w:val="clear" w:color="auto" w:fill="CCEEFF"/>
          </w:tcPr>
          <w:p>
            <w:pPr>
              <w:jc w:val="right"/>
              <w:ind w:right="871"/>
              <w:spacing w:after="0"/>
              <w:rPr>
                <w:sz w:val="20"/>
                <w:szCs w:val="20"/>
                <w:color w:val="auto"/>
              </w:rPr>
            </w:pPr>
            <w:r>
              <w:rPr>
                <w:rFonts w:ascii="Arial" w:cs="Arial" w:eastAsia="Arial" w:hAnsi="Arial"/>
                <w:sz w:val="18"/>
                <w:szCs w:val="18"/>
                <w:color w:val="auto"/>
              </w:rPr>
              <w:t>.70</w:t>
            </w:r>
          </w:p>
        </w:tc>
        <w:tc>
          <w:tcPr>
            <w:tcW w:w="11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.60</w:t>
            </w:r>
          </w:p>
        </w:tc>
        <w:tc>
          <w:tcPr>
            <w:tcW w:w="13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.60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Average common shares outstanding</w:t>
            </w:r>
          </w:p>
        </w:tc>
        <w:tc>
          <w:tcPr>
            <w:tcW w:w="6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6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w w:val="89"/>
              </w:rPr>
              <w:t>110,017</w:t>
            </w:r>
          </w:p>
        </w:tc>
        <w:tc>
          <w:tcPr>
            <w:tcW w:w="15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107,859</w:t>
            </w:r>
          </w:p>
        </w:tc>
        <w:tc>
          <w:tcPr>
            <w:tcW w:w="1960" w:type="dxa"/>
            <w:vAlign w:val="bottom"/>
            <w:shd w:val="clear" w:color="auto" w:fill="CCEEFF"/>
          </w:tcPr>
          <w:p>
            <w:pPr>
              <w:jc w:val="right"/>
              <w:ind w:right="871"/>
              <w:spacing w:after="0"/>
              <w:rPr>
                <w:sz w:val="20"/>
                <w:szCs w:val="20"/>
                <w:color w:val="auto"/>
              </w:rPr>
            </w:pPr>
            <w:r>
              <w:rPr>
                <w:rFonts w:ascii="Arial" w:cs="Arial" w:eastAsia="Arial" w:hAnsi="Arial"/>
                <w:sz w:val="18"/>
                <w:szCs w:val="18"/>
                <w:color w:val="auto"/>
              </w:rPr>
              <w:t>107,056</w:t>
            </w:r>
          </w:p>
        </w:tc>
        <w:tc>
          <w:tcPr>
            <w:tcW w:w="11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92"/>
              </w:rPr>
              <w:t>107,939</w:t>
            </w:r>
          </w:p>
        </w:tc>
        <w:tc>
          <w:tcPr>
            <w:tcW w:w="13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109,694</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58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Diluted</w:t>
            </w:r>
          </w:p>
        </w:tc>
        <w:tc>
          <w:tcPr>
            <w:tcW w:w="6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w w:val="89"/>
              </w:rPr>
              <w:t>110,967</w:t>
            </w:r>
          </w:p>
        </w:tc>
        <w:tc>
          <w:tcPr>
            <w:tcW w:w="15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109,034</w:t>
            </w:r>
          </w:p>
        </w:tc>
        <w:tc>
          <w:tcPr>
            <w:tcW w:w="1960" w:type="dxa"/>
            <w:vAlign w:val="bottom"/>
            <w:tcBorders>
              <w:bottom w:val="single" w:sz="8" w:color="auto"/>
            </w:tcBorders>
          </w:tcPr>
          <w:p>
            <w:pPr>
              <w:jc w:val="right"/>
              <w:ind w:right="871"/>
              <w:spacing w:after="0"/>
              <w:rPr>
                <w:sz w:val="20"/>
                <w:szCs w:val="20"/>
                <w:color w:val="auto"/>
              </w:rPr>
            </w:pPr>
            <w:r>
              <w:rPr>
                <w:rFonts w:ascii="Arial" w:cs="Arial" w:eastAsia="Arial" w:hAnsi="Arial"/>
                <w:sz w:val="18"/>
                <w:szCs w:val="18"/>
                <w:color w:val="auto"/>
              </w:rPr>
              <w:t>108,957</w:t>
            </w:r>
          </w:p>
        </w:tc>
        <w:tc>
          <w:tcPr>
            <w:tcW w:w="11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w w:val="92"/>
              </w:rPr>
              <w:t>109,919</w:t>
            </w:r>
          </w:p>
        </w:tc>
        <w:tc>
          <w:tcPr>
            <w:tcW w:w="13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112,187</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Performance ratios, annualized</w:t>
            </w:r>
          </w:p>
        </w:tc>
        <w:tc>
          <w:tcPr>
            <w:tcW w:w="6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Return on</w:t>
            </w:r>
          </w:p>
        </w:tc>
        <w:tc>
          <w:tcPr>
            <w:tcW w:w="6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Average assets</w:t>
            </w:r>
          </w:p>
        </w:tc>
        <w:tc>
          <w:tcPr>
            <w:tcW w:w="6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1.25%</w:t>
            </w:r>
          </w:p>
        </w:tc>
        <w:tc>
          <w:tcPr>
            <w:tcW w:w="15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.42%</w:t>
            </w:r>
          </w:p>
        </w:tc>
        <w:tc>
          <w:tcPr>
            <w:tcW w:w="1960" w:type="dxa"/>
            <w:vAlign w:val="bottom"/>
            <w:shd w:val="clear" w:color="auto" w:fill="CCEEFF"/>
          </w:tcPr>
          <w:p>
            <w:pPr>
              <w:jc w:val="right"/>
              <w:ind w:right="711"/>
              <w:spacing w:after="0"/>
              <w:rPr>
                <w:sz w:val="20"/>
                <w:szCs w:val="20"/>
                <w:color w:val="auto"/>
              </w:rPr>
            </w:pPr>
            <w:r>
              <w:rPr>
                <w:rFonts w:ascii="Arial" w:cs="Arial" w:eastAsia="Arial" w:hAnsi="Arial"/>
                <w:sz w:val="18"/>
                <w:szCs w:val="18"/>
                <w:color w:val="auto"/>
              </w:rPr>
              <w:t>1.37%</w:t>
            </w:r>
          </w:p>
        </w:tc>
        <w:tc>
          <w:tcPr>
            <w:tcW w:w="11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1.49%</w:t>
            </w:r>
          </w:p>
        </w:tc>
        <w:tc>
          <w:tcPr>
            <w:tcW w:w="1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1.25%</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80" w:type="dxa"/>
            <w:vAlign w:val="bottom"/>
          </w:tcPr>
          <w:p>
            <w:pPr>
              <w:ind w:left="200"/>
              <w:spacing w:after="0"/>
              <w:rPr>
                <w:sz w:val="20"/>
                <w:szCs w:val="20"/>
                <w:color w:val="auto"/>
              </w:rPr>
            </w:pPr>
            <w:r>
              <w:rPr>
                <w:rFonts w:ascii="Arial" w:cs="Arial" w:eastAsia="Arial" w:hAnsi="Arial"/>
                <w:sz w:val="18"/>
                <w:szCs w:val="18"/>
                <w:color w:val="auto"/>
              </w:rPr>
              <w:t>Average common stockholders’ equity</w:t>
            </w:r>
          </w:p>
        </w:tc>
        <w:tc>
          <w:tcPr>
            <w:tcW w:w="680" w:type="dxa"/>
            <w:vAlign w:val="bottom"/>
          </w:tcPr>
          <w:p>
            <w:pPr>
              <w:spacing w:after="0"/>
              <w:rPr>
                <w:sz w:val="18"/>
                <w:szCs w:val="18"/>
                <w:color w:val="auto"/>
              </w:rPr>
            </w:pPr>
          </w:p>
        </w:tc>
        <w:tc>
          <w:tcPr>
            <w:tcW w:w="1140" w:type="dxa"/>
            <w:vAlign w:val="bottom"/>
          </w:tcPr>
          <w:p>
            <w:pPr>
              <w:jc w:val="right"/>
              <w:ind w:right="310"/>
              <w:spacing w:after="0"/>
              <w:rPr>
                <w:sz w:val="20"/>
                <w:szCs w:val="20"/>
                <w:color w:val="auto"/>
              </w:rPr>
            </w:pPr>
            <w:r>
              <w:rPr>
                <w:rFonts w:ascii="Arial" w:cs="Arial" w:eastAsia="Arial" w:hAnsi="Arial"/>
                <w:sz w:val="18"/>
                <w:szCs w:val="18"/>
                <w:color w:val="auto"/>
              </w:rPr>
              <w:t>12.49%</w:t>
            </w:r>
          </w:p>
        </w:tc>
        <w:tc>
          <w:tcPr>
            <w:tcW w:w="1560" w:type="dxa"/>
            <w:vAlign w:val="bottom"/>
          </w:tcPr>
          <w:p>
            <w:pPr>
              <w:jc w:val="right"/>
              <w:ind w:right="310"/>
              <w:spacing w:after="0"/>
              <w:rPr>
                <w:sz w:val="20"/>
                <w:szCs w:val="20"/>
                <w:color w:val="auto"/>
              </w:rPr>
            </w:pPr>
            <w:r>
              <w:rPr>
                <w:rFonts w:ascii="Arial" w:cs="Arial" w:eastAsia="Arial" w:hAnsi="Arial"/>
                <w:sz w:val="18"/>
                <w:szCs w:val="18"/>
                <w:color w:val="auto"/>
              </w:rPr>
              <w:t>4.05%</w:t>
            </w:r>
          </w:p>
        </w:tc>
        <w:tc>
          <w:tcPr>
            <w:tcW w:w="1960" w:type="dxa"/>
            <w:vAlign w:val="bottom"/>
          </w:tcPr>
          <w:p>
            <w:pPr>
              <w:jc w:val="right"/>
              <w:ind w:right="711"/>
              <w:spacing w:after="0"/>
              <w:rPr>
                <w:sz w:val="20"/>
                <w:szCs w:val="20"/>
                <w:color w:val="auto"/>
              </w:rPr>
            </w:pPr>
            <w:r>
              <w:rPr>
                <w:rFonts w:ascii="Arial" w:cs="Arial" w:eastAsia="Arial" w:hAnsi="Arial"/>
                <w:sz w:val="18"/>
                <w:szCs w:val="18"/>
                <w:color w:val="auto"/>
              </w:rPr>
              <w:t>12.78%</w:t>
            </w:r>
          </w:p>
        </w:tc>
        <w:tc>
          <w:tcPr>
            <w:tcW w:w="1180" w:type="dxa"/>
            <w:vAlign w:val="bottom"/>
          </w:tcPr>
          <w:p>
            <w:pPr>
              <w:jc w:val="right"/>
              <w:ind w:right="330"/>
              <w:spacing w:after="0"/>
              <w:rPr>
                <w:sz w:val="20"/>
                <w:szCs w:val="20"/>
                <w:color w:val="auto"/>
              </w:rPr>
            </w:pPr>
            <w:r>
              <w:rPr>
                <w:rFonts w:ascii="Arial" w:cs="Arial" w:eastAsia="Arial" w:hAnsi="Arial"/>
                <w:sz w:val="18"/>
                <w:szCs w:val="18"/>
                <w:color w:val="auto"/>
              </w:rPr>
              <w:t>13.92%</w:t>
            </w: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11.38%</w:t>
            </w:r>
          </w:p>
        </w:tc>
        <w:tc>
          <w:tcPr>
            <w:tcW w:w="2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35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Net interest margin on average earning assets</w:t>
            </w:r>
          </w:p>
        </w:tc>
        <w:tc>
          <w:tcPr>
            <w:tcW w:w="6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(taxable-equivalent basis)</w:t>
            </w:r>
          </w:p>
        </w:tc>
        <w:tc>
          <w:tcPr>
            <w:tcW w:w="68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3.38%</w:t>
            </w:r>
          </w:p>
        </w:tc>
        <w:tc>
          <w:tcPr>
            <w:tcW w:w="15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3.45%</w:t>
            </w:r>
          </w:p>
        </w:tc>
        <w:tc>
          <w:tcPr>
            <w:tcW w:w="1960" w:type="dxa"/>
            <w:vAlign w:val="bottom"/>
            <w:shd w:val="clear" w:color="auto" w:fill="CCEEFF"/>
          </w:tcPr>
          <w:p>
            <w:pPr>
              <w:jc w:val="right"/>
              <w:ind w:right="711"/>
              <w:spacing w:after="0"/>
              <w:rPr>
                <w:sz w:val="20"/>
                <w:szCs w:val="20"/>
                <w:color w:val="auto"/>
              </w:rPr>
            </w:pPr>
            <w:r>
              <w:rPr>
                <w:rFonts w:ascii="Arial" w:cs="Arial" w:eastAsia="Arial" w:hAnsi="Arial"/>
                <w:sz w:val="18"/>
                <w:szCs w:val="18"/>
                <w:color w:val="auto"/>
              </w:rPr>
              <w:t>3.65%</w:t>
            </w:r>
          </w:p>
        </w:tc>
        <w:tc>
          <w:tcPr>
            <w:tcW w:w="11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3.67%</w:t>
            </w:r>
          </w:p>
        </w:tc>
        <w:tc>
          <w:tcPr>
            <w:tcW w:w="1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3.64%</w:t>
            </w:r>
          </w:p>
        </w:tc>
        <w:tc>
          <w:tcPr>
            <w:tcW w:w="2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3580" w:type="dxa"/>
            <w:vAlign w:val="bottom"/>
          </w:tcPr>
          <w:p>
            <w:pPr>
              <w:spacing w:after="0" w:line="201" w:lineRule="exact"/>
              <w:rPr>
                <w:sz w:val="20"/>
                <w:szCs w:val="20"/>
                <w:color w:val="auto"/>
              </w:rPr>
            </w:pPr>
            <w:r>
              <w:rPr>
                <w:rFonts w:ascii="Arial" w:cs="Arial" w:eastAsia="Arial" w:hAnsi="Arial"/>
                <w:sz w:val="18"/>
                <w:szCs w:val="18"/>
                <w:color w:val="auto"/>
                <w:w w:val="95"/>
              </w:rPr>
              <w:t>Nonperforming loans to total loans and leases,</w:t>
            </w:r>
          </w:p>
        </w:tc>
        <w:tc>
          <w:tcPr>
            <w:tcW w:w="6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580" w:type="dxa"/>
            <w:vAlign w:val="bottom"/>
          </w:tcPr>
          <w:p>
            <w:pPr>
              <w:ind w:left="200"/>
              <w:spacing w:after="0"/>
              <w:rPr>
                <w:sz w:val="20"/>
                <w:szCs w:val="20"/>
                <w:color w:val="auto"/>
              </w:rPr>
            </w:pPr>
            <w:r>
              <w:rPr>
                <w:rFonts w:ascii="Arial" w:cs="Arial" w:eastAsia="Arial" w:hAnsi="Arial"/>
                <w:sz w:val="18"/>
                <w:szCs w:val="18"/>
                <w:color w:val="auto"/>
              </w:rPr>
              <w:t>net of unearned discount</w:t>
            </w:r>
          </w:p>
        </w:tc>
        <w:tc>
          <w:tcPr>
            <w:tcW w:w="680" w:type="dxa"/>
            <w:vAlign w:val="bottom"/>
          </w:tcPr>
          <w:p>
            <w:pPr>
              <w:spacing w:after="0"/>
              <w:rPr>
                <w:sz w:val="20"/>
                <w:szCs w:val="20"/>
                <w:color w:val="auto"/>
              </w:rPr>
            </w:pPr>
          </w:p>
        </w:tc>
        <w:tc>
          <w:tcPr>
            <w:tcW w:w="1140" w:type="dxa"/>
            <w:vAlign w:val="bottom"/>
          </w:tcPr>
          <w:p>
            <w:pPr>
              <w:jc w:val="right"/>
              <w:ind w:right="310"/>
              <w:spacing w:after="0"/>
              <w:rPr>
                <w:sz w:val="20"/>
                <w:szCs w:val="20"/>
                <w:color w:val="auto"/>
              </w:rPr>
            </w:pPr>
            <w:r>
              <w:rPr>
                <w:rFonts w:ascii="Arial" w:cs="Arial" w:eastAsia="Arial" w:hAnsi="Arial"/>
                <w:sz w:val="18"/>
                <w:szCs w:val="18"/>
                <w:color w:val="auto"/>
              </w:rPr>
              <w:t>1.00%</w:t>
            </w:r>
          </w:p>
        </w:tc>
        <w:tc>
          <w:tcPr>
            <w:tcW w:w="1560" w:type="dxa"/>
            <w:vAlign w:val="bottom"/>
          </w:tcPr>
          <w:p>
            <w:pPr>
              <w:jc w:val="right"/>
              <w:ind w:right="310"/>
              <w:spacing w:after="0"/>
              <w:rPr>
                <w:sz w:val="20"/>
                <w:szCs w:val="20"/>
                <w:color w:val="auto"/>
              </w:rPr>
            </w:pPr>
            <w:r>
              <w:rPr>
                <w:rFonts w:ascii="Arial" w:cs="Arial" w:eastAsia="Arial" w:hAnsi="Arial"/>
                <w:sz w:val="18"/>
                <w:szCs w:val="18"/>
                <w:color w:val="auto"/>
              </w:rPr>
              <w:t>.93%</w:t>
            </w:r>
          </w:p>
        </w:tc>
        <w:tc>
          <w:tcPr>
            <w:tcW w:w="1960" w:type="dxa"/>
            <w:vAlign w:val="bottom"/>
          </w:tcPr>
          <w:p>
            <w:pPr>
              <w:jc w:val="right"/>
              <w:ind w:right="711"/>
              <w:spacing w:after="0"/>
              <w:rPr>
                <w:sz w:val="20"/>
                <w:szCs w:val="20"/>
                <w:color w:val="auto"/>
              </w:rPr>
            </w:pPr>
            <w:r>
              <w:rPr>
                <w:rFonts w:ascii="Arial" w:cs="Arial" w:eastAsia="Arial" w:hAnsi="Arial"/>
                <w:sz w:val="18"/>
                <w:szCs w:val="18"/>
                <w:color w:val="auto"/>
              </w:rPr>
              <w:t>.83%</w:t>
            </w:r>
          </w:p>
        </w:tc>
        <w:tc>
          <w:tcPr>
            <w:tcW w:w="1180" w:type="dxa"/>
            <w:vAlign w:val="bottom"/>
          </w:tcPr>
          <w:p>
            <w:pPr>
              <w:jc w:val="right"/>
              <w:ind w:right="330"/>
              <w:spacing w:after="0"/>
              <w:rPr>
                <w:sz w:val="20"/>
                <w:szCs w:val="20"/>
                <w:color w:val="auto"/>
              </w:rPr>
            </w:pPr>
            <w:r>
              <w:rPr>
                <w:rFonts w:ascii="Arial" w:cs="Arial" w:eastAsia="Arial" w:hAnsi="Arial"/>
                <w:sz w:val="18"/>
                <w:szCs w:val="18"/>
                <w:color w:val="auto"/>
              </w:rPr>
              <w:t>.68%</w:t>
            </w: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.63%</w:t>
            </w:r>
          </w:p>
        </w:tc>
        <w:tc>
          <w:tcPr>
            <w:tcW w:w="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5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Efficiency ratio (a)</w:t>
            </w:r>
          </w:p>
        </w:tc>
        <w:tc>
          <w:tcPr>
            <w:tcW w:w="6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55.27%</w:t>
            </w:r>
          </w:p>
        </w:tc>
        <w:tc>
          <w:tcPr>
            <w:tcW w:w="156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56.39%</w:t>
            </w:r>
          </w:p>
        </w:tc>
        <w:tc>
          <w:tcPr>
            <w:tcW w:w="1960" w:type="dxa"/>
            <w:vAlign w:val="bottom"/>
            <w:tcBorders>
              <w:bottom w:val="single" w:sz="8" w:color="auto"/>
            </w:tcBorders>
            <w:shd w:val="clear" w:color="auto" w:fill="CCEEFF"/>
          </w:tcPr>
          <w:p>
            <w:pPr>
              <w:jc w:val="right"/>
              <w:ind w:right="711"/>
              <w:spacing w:after="0"/>
              <w:rPr>
                <w:sz w:val="20"/>
                <w:szCs w:val="20"/>
                <w:color w:val="auto"/>
              </w:rPr>
            </w:pPr>
            <w:r>
              <w:rPr>
                <w:rFonts w:ascii="Arial" w:cs="Arial" w:eastAsia="Arial" w:hAnsi="Arial"/>
                <w:sz w:val="18"/>
                <w:szCs w:val="18"/>
                <w:color w:val="auto"/>
              </w:rPr>
              <w:t>53.80%</w:t>
            </w:r>
          </w:p>
        </w:tc>
        <w:tc>
          <w:tcPr>
            <w:tcW w:w="118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52.37%</w:t>
            </w:r>
          </w:p>
        </w:tc>
        <w:tc>
          <w:tcPr>
            <w:tcW w:w="13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57.75%</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580" w:type="dxa"/>
            <w:vAlign w:val="bottom"/>
          </w:tcPr>
          <w:p>
            <w:pPr>
              <w:spacing w:after="0"/>
              <w:rPr>
                <w:sz w:val="20"/>
                <w:szCs w:val="20"/>
                <w:color w:val="auto"/>
              </w:rPr>
            </w:pPr>
            <w:r>
              <w:rPr>
                <w:rFonts w:ascii="Arial" w:cs="Arial" w:eastAsia="Arial" w:hAnsi="Arial"/>
                <w:sz w:val="18"/>
                <w:szCs w:val="18"/>
                <w:b w:val="1"/>
                <w:bCs w:val="1"/>
                <w:color w:val="auto"/>
              </w:rPr>
              <w:t>Net operating (tangible) results (b)</w:t>
            </w:r>
          </w:p>
        </w:tc>
        <w:tc>
          <w:tcPr>
            <w:tcW w:w="6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Net operating income (in thousands)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w w:val="89"/>
              </w:rPr>
              <w:t>215,597</w:t>
            </w:r>
          </w:p>
        </w:tc>
        <w:tc>
          <w:tcPr>
            <w:tcW w:w="15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83,719</w:t>
            </w:r>
          </w:p>
        </w:tc>
        <w:tc>
          <w:tcPr>
            <w:tcW w:w="1960" w:type="dxa"/>
            <w:vAlign w:val="bottom"/>
            <w:shd w:val="clear" w:color="auto" w:fill="CCEEFF"/>
          </w:tcPr>
          <w:p>
            <w:pPr>
              <w:jc w:val="right"/>
              <w:ind w:right="871"/>
              <w:spacing w:after="0"/>
              <w:rPr>
                <w:sz w:val="20"/>
                <w:szCs w:val="20"/>
                <w:color w:val="auto"/>
              </w:rPr>
            </w:pPr>
            <w:r>
              <w:rPr>
                <w:rFonts w:ascii="Arial" w:cs="Arial" w:eastAsia="Arial" w:hAnsi="Arial"/>
                <w:sz w:val="18"/>
                <w:szCs w:val="18"/>
                <w:color w:val="auto"/>
              </w:rPr>
              <w:t>208,749</w:t>
            </w:r>
          </w:p>
        </w:tc>
        <w:tc>
          <w:tcPr>
            <w:tcW w:w="11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92"/>
              </w:rPr>
              <w:t>224,190</w:t>
            </w:r>
          </w:p>
        </w:tc>
        <w:tc>
          <w:tcPr>
            <w:tcW w:w="13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187,162</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w w:val="92"/>
              </w:rPr>
              <w:t>Diluted net operating income per common share</w:t>
            </w:r>
          </w:p>
        </w:tc>
        <w:tc>
          <w:tcPr>
            <w:tcW w:w="680" w:type="dxa"/>
            <w:vAlign w:val="bottom"/>
          </w:tcPr>
          <w:p>
            <w:pPr>
              <w:spacing w:after="0"/>
              <w:rPr>
                <w:sz w:val="18"/>
                <w:szCs w:val="18"/>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color w:val="auto"/>
              </w:rPr>
              <w:t>1.94</w:t>
            </w:r>
          </w:p>
        </w:tc>
        <w:tc>
          <w:tcPr>
            <w:tcW w:w="1560" w:type="dxa"/>
            <w:vAlign w:val="bottom"/>
          </w:tcPr>
          <w:p>
            <w:pPr>
              <w:jc w:val="right"/>
              <w:ind w:right="470"/>
              <w:spacing w:after="0"/>
              <w:rPr>
                <w:sz w:val="20"/>
                <w:szCs w:val="20"/>
                <w:color w:val="auto"/>
              </w:rPr>
            </w:pPr>
            <w:r>
              <w:rPr>
                <w:rFonts w:ascii="Arial" w:cs="Arial" w:eastAsia="Arial" w:hAnsi="Arial"/>
                <w:sz w:val="18"/>
                <w:szCs w:val="18"/>
                <w:color w:val="auto"/>
              </w:rPr>
              <w:t>.77</w:t>
            </w:r>
          </w:p>
        </w:tc>
        <w:tc>
          <w:tcPr>
            <w:tcW w:w="1960" w:type="dxa"/>
            <w:vAlign w:val="bottom"/>
          </w:tcPr>
          <w:p>
            <w:pPr>
              <w:jc w:val="right"/>
              <w:ind w:right="871"/>
              <w:spacing w:after="0"/>
              <w:rPr>
                <w:sz w:val="20"/>
                <w:szCs w:val="20"/>
                <w:color w:val="auto"/>
              </w:rPr>
            </w:pPr>
            <w:r>
              <w:rPr>
                <w:rFonts w:ascii="Arial" w:cs="Arial" w:eastAsia="Arial" w:hAnsi="Arial"/>
                <w:sz w:val="18"/>
                <w:szCs w:val="18"/>
                <w:color w:val="auto"/>
              </w:rPr>
              <w:t>1.92</w:t>
            </w:r>
          </w:p>
        </w:tc>
        <w:tc>
          <w:tcPr>
            <w:tcW w:w="1180" w:type="dxa"/>
            <w:vAlign w:val="bottom"/>
          </w:tcPr>
          <w:p>
            <w:pPr>
              <w:jc w:val="right"/>
              <w:ind w:right="470"/>
              <w:spacing w:after="0"/>
              <w:rPr>
                <w:sz w:val="20"/>
                <w:szCs w:val="20"/>
                <w:color w:val="auto"/>
              </w:rPr>
            </w:pPr>
            <w:r>
              <w:rPr>
                <w:rFonts w:ascii="Arial" w:cs="Arial" w:eastAsia="Arial" w:hAnsi="Arial"/>
                <w:sz w:val="18"/>
                <w:szCs w:val="18"/>
                <w:color w:val="auto"/>
              </w:rPr>
              <w:t>2.04</w:t>
            </w:r>
          </w:p>
        </w:tc>
        <w:tc>
          <w:tcPr>
            <w:tcW w:w="1300" w:type="dxa"/>
            <w:vAlign w:val="bottom"/>
          </w:tcPr>
          <w:p>
            <w:pPr>
              <w:jc w:val="right"/>
              <w:ind w:right="210"/>
              <w:spacing w:after="0"/>
              <w:rPr>
                <w:sz w:val="20"/>
                <w:szCs w:val="20"/>
                <w:color w:val="auto"/>
              </w:rPr>
            </w:pPr>
            <w:r>
              <w:rPr>
                <w:rFonts w:ascii="Arial" w:cs="Arial" w:eastAsia="Arial" w:hAnsi="Arial"/>
                <w:sz w:val="18"/>
                <w:szCs w:val="18"/>
                <w:color w:val="auto"/>
              </w:rPr>
              <w:t>1.67</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Annualized return on</w:t>
            </w:r>
          </w:p>
        </w:tc>
        <w:tc>
          <w:tcPr>
            <w:tcW w:w="6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80" w:type="dxa"/>
            <w:vAlign w:val="bottom"/>
          </w:tcPr>
          <w:p>
            <w:pPr>
              <w:ind w:left="200"/>
              <w:spacing w:after="0"/>
              <w:rPr>
                <w:sz w:val="20"/>
                <w:szCs w:val="20"/>
                <w:color w:val="auto"/>
              </w:rPr>
            </w:pPr>
            <w:r>
              <w:rPr>
                <w:rFonts w:ascii="Arial" w:cs="Arial" w:eastAsia="Arial" w:hAnsi="Arial"/>
                <w:sz w:val="18"/>
                <w:szCs w:val="18"/>
                <w:color w:val="auto"/>
              </w:rPr>
              <w:t>Average tangible assets</w:t>
            </w:r>
          </w:p>
        </w:tc>
        <w:tc>
          <w:tcPr>
            <w:tcW w:w="680" w:type="dxa"/>
            <w:vAlign w:val="bottom"/>
          </w:tcPr>
          <w:p>
            <w:pPr>
              <w:spacing w:after="0"/>
              <w:rPr>
                <w:sz w:val="18"/>
                <w:szCs w:val="18"/>
                <w:color w:val="auto"/>
              </w:rPr>
            </w:pPr>
          </w:p>
        </w:tc>
        <w:tc>
          <w:tcPr>
            <w:tcW w:w="1140" w:type="dxa"/>
            <w:vAlign w:val="bottom"/>
          </w:tcPr>
          <w:p>
            <w:pPr>
              <w:jc w:val="right"/>
              <w:ind w:right="310"/>
              <w:spacing w:after="0"/>
              <w:rPr>
                <w:sz w:val="20"/>
                <w:szCs w:val="20"/>
                <w:color w:val="auto"/>
              </w:rPr>
            </w:pPr>
            <w:r>
              <w:rPr>
                <w:rFonts w:ascii="Arial" w:cs="Arial" w:eastAsia="Arial" w:hAnsi="Arial"/>
                <w:sz w:val="18"/>
                <w:szCs w:val="18"/>
                <w:color w:val="auto"/>
              </w:rPr>
              <w:t>1.41%</w:t>
            </w:r>
          </w:p>
        </w:tc>
        <w:tc>
          <w:tcPr>
            <w:tcW w:w="1560" w:type="dxa"/>
            <w:vAlign w:val="bottom"/>
          </w:tcPr>
          <w:p>
            <w:pPr>
              <w:jc w:val="right"/>
              <w:ind w:right="310"/>
              <w:spacing w:after="0"/>
              <w:rPr>
                <w:sz w:val="20"/>
                <w:szCs w:val="20"/>
                <w:color w:val="auto"/>
              </w:rPr>
            </w:pPr>
            <w:r>
              <w:rPr>
                <w:rFonts w:ascii="Arial" w:cs="Arial" w:eastAsia="Arial" w:hAnsi="Arial"/>
                <w:sz w:val="18"/>
                <w:szCs w:val="18"/>
                <w:color w:val="auto"/>
              </w:rPr>
              <w:t>.57%</w:t>
            </w:r>
          </w:p>
        </w:tc>
        <w:tc>
          <w:tcPr>
            <w:tcW w:w="1960" w:type="dxa"/>
            <w:vAlign w:val="bottom"/>
          </w:tcPr>
          <w:p>
            <w:pPr>
              <w:jc w:val="right"/>
              <w:ind w:right="711"/>
              <w:spacing w:after="0"/>
              <w:rPr>
                <w:sz w:val="20"/>
                <w:szCs w:val="20"/>
                <w:color w:val="auto"/>
              </w:rPr>
            </w:pPr>
            <w:r>
              <w:rPr>
                <w:rFonts w:ascii="Arial" w:cs="Arial" w:eastAsia="Arial" w:hAnsi="Arial"/>
                <w:sz w:val="18"/>
                <w:szCs w:val="18"/>
                <w:color w:val="auto"/>
              </w:rPr>
              <w:t>1.51%</w:t>
            </w:r>
          </w:p>
        </w:tc>
        <w:tc>
          <w:tcPr>
            <w:tcW w:w="1180" w:type="dxa"/>
            <w:vAlign w:val="bottom"/>
          </w:tcPr>
          <w:p>
            <w:pPr>
              <w:jc w:val="right"/>
              <w:ind w:right="330"/>
              <w:spacing w:after="0"/>
              <w:rPr>
                <w:sz w:val="20"/>
                <w:szCs w:val="20"/>
                <w:color w:val="auto"/>
              </w:rPr>
            </w:pPr>
            <w:r>
              <w:rPr>
                <w:rFonts w:ascii="Arial" w:cs="Arial" w:eastAsia="Arial" w:hAnsi="Arial"/>
                <w:sz w:val="18"/>
                <w:szCs w:val="18"/>
                <w:color w:val="auto"/>
              </w:rPr>
              <w:t>1.65%</w:t>
            </w: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1.40%</w:t>
            </w:r>
          </w:p>
        </w:tc>
        <w:tc>
          <w:tcPr>
            <w:tcW w:w="2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35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Average tangible common stockholders’</w:t>
            </w:r>
          </w:p>
        </w:tc>
        <w:tc>
          <w:tcPr>
            <w:tcW w:w="6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5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equity</w:t>
            </w:r>
          </w:p>
        </w:tc>
        <w:tc>
          <w:tcPr>
            <w:tcW w:w="68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27.86%</w:t>
            </w:r>
          </w:p>
        </w:tc>
        <w:tc>
          <w:tcPr>
            <w:tcW w:w="15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10.49%</w:t>
            </w:r>
          </w:p>
        </w:tc>
        <w:tc>
          <w:tcPr>
            <w:tcW w:w="1960" w:type="dxa"/>
            <w:vAlign w:val="bottom"/>
            <w:shd w:val="clear" w:color="auto" w:fill="CCEEFF"/>
          </w:tcPr>
          <w:p>
            <w:pPr>
              <w:jc w:val="right"/>
              <w:ind w:right="711"/>
              <w:spacing w:after="0"/>
              <w:rPr>
                <w:sz w:val="20"/>
                <w:szCs w:val="20"/>
                <w:color w:val="auto"/>
              </w:rPr>
            </w:pPr>
            <w:r>
              <w:rPr>
                <w:rFonts w:ascii="Arial" w:cs="Arial" w:eastAsia="Arial" w:hAnsi="Arial"/>
                <w:sz w:val="18"/>
                <w:szCs w:val="18"/>
                <w:color w:val="auto"/>
              </w:rPr>
              <w:t>26.80%</w:t>
            </w:r>
          </w:p>
        </w:tc>
        <w:tc>
          <w:tcPr>
            <w:tcW w:w="11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29.35%</w:t>
            </w:r>
          </w:p>
        </w:tc>
        <w:tc>
          <w:tcPr>
            <w:tcW w:w="1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24.11%</w:t>
            </w:r>
          </w:p>
        </w:tc>
        <w:tc>
          <w:tcPr>
            <w:tcW w:w="2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3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Efficiency ratio (a)</w:t>
            </w:r>
          </w:p>
        </w:tc>
        <w:tc>
          <w:tcPr>
            <w:tcW w:w="6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52.85%</w:t>
            </w:r>
          </w:p>
        </w:tc>
        <w:tc>
          <w:tcPr>
            <w:tcW w:w="15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54.30%</w:t>
            </w:r>
          </w:p>
        </w:tc>
        <w:tc>
          <w:tcPr>
            <w:tcW w:w="1960" w:type="dxa"/>
            <w:vAlign w:val="bottom"/>
            <w:tcBorders>
              <w:bottom w:val="single" w:sz="8" w:color="auto"/>
            </w:tcBorders>
          </w:tcPr>
          <w:p>
            <w:pPr>
              <w:jc w:val="right"/>
              <w:ind w:right="711"/>
              <w:spacing w:after="0"/>
              <w:rPr>
                <w:sz w:val="20"/>
                <w:szCs w:val="20"/>
                <w:color w:val="auto"/>
              </w:rPr>
            </w:pPr>
            <w:r>
              <w:rPr>
                <w:rFonts w:ascii="Arial" w:cs="Arial" w:eastAsia="Arial" w:hAnsi="Arial"/>
                <w:sz w:val="18"/>
                <w:szCs w:val="18"/>
                <w:color w:val="auto"/>
              </w:rPr>
              <w:t>51.64%</w:t>
            </w:r>
          </w:p>
        </w:tc>
        <w:tc>
          <w:tcPr>
            <w:tcW w:w="11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50.18%</w:t>
            </w:r>
          </w:p>
        </w:tc>
        <w:tc>
          <w:tcPr>
            <w:tcW w:w="13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55.09%</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6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In millions, except per share</w:t>
            </w:r>
          </w:p>
        </w:tc>
        <w:tc>
          <w:tcPr>
            <w:tcW w:w="6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Average balances</w:t>
            </w:r>
          </w:p>
        </w:tc>
        <w:tc>
          <w:tcPr>
            <w:tcW w:w="6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assets (c)</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65,015</w:t>
            </w:r>
          </w:p>
        </w:tc>
        <w:tc>
          <w:tcPr>
            <w:tcW w:w="15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61,549</w:t>
            </w:r>
          </w:p>
        </w:tc>
        <w:tc>
          <w:tcPr>
            <w:tcW w:w="1960" w:type="dxa"/>
            <w:vAlign w:val="bottom"/>
            <w:shd w:val="clear" w:color="auto" w:fill="CCEEFF"/>
          </w:tcPr>
          <w:p>
            <w:pPr>
              <w:jc w:val="right"/>
              <w:ind w:right="871"/>
              <w:spacing w:after="0"/>
              <w:rPr>
                <w:sz w:val="20"/>
                <w:szCs w:val="20"/>
                <w:color w:val="auto"/>
              </w:rPr>
            </w:pPr>
            <w:r>
              <w:rPr>
                <w:rFonts w:ascii="Arial" w:cs="Arial" w:eastAsia="Arial" w:hAnsi="Arial"/>
                <w:sz w:val="18"/>
                <w:szCs w:val="18"/>
                <w:color w:val="auto"/>
              </w:rPr>
              <w:t>57,862</w:t>
            </w:r>
          </w:p>
        </w:tc>
        <w:tc>
          <w:tcPr>
            <w:tcW w:w="11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57,523</w:t>
            </w:r>
          </w:p>
        </w:tc>
        <w:tc>
          <w:tcPr>
            <w:tcW w:w="13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57,207</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80" w:type="dxa"/>
            <w:vAlign w:val="bottom"/>
          </w:tcPr>
          <w:p>
            <w:pPr>
              <w:ind w:left="200"/>
              <w:spacing w:after="0"/>
              <w:rPr>
                <w:sz w:val="20"/>
                <w:szCs w:val="20"/>
                <w:color w:val="auto"/>
              </w:rPr>
            </w:pPr>
            <w:r>
              <w:rPr>
                <w:rFonts w:ascii="Arial" w:cs="Arial" w:eastAsia="Arial" w:hAnsi="Arial"/>
                <w:sz w:val="18"/>
                <w:szCs w:val="18"/>
                <w:color w:val="auto"/>
              </w:rPr>
              <w:t>Total tangible assets (c)</w:t>
            </w:r>
          </w:p>
        </w:tc>
        <w:tc>
          <w:tcPr>
            <w:tcW w:w="680" w:type="dxa"/>
            <w:vAlign w:val="bottom"/>
          </w:tcPr>
          <w:p>
            <w:pPr>
              <w:spacing w:after="0"/>
              <w:rPr>
                <w:sz w:val="18"/>
                <w:szCs w:val="18"/>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color w:val="auto"/>
              </w:rPr>
              <w:t>61,614</w:t>
            </w:r>
          </w:p>
        </w:tc>
        <w:tc>
          <w:tcPr>
            <w:tcW w:w="1560" w:type="dxa"/>
            <w:vAlign w:val="bottom"/>
          </w:tcPr>
          <w:p>
            <w:pPr>
              <w:jc w:val="right"/>
              <w:ind w:right="470"/>
              <w:spacing w:after="0"/>
              <w:rPr>
                <w:sz w:val="20"/>
                <w:szCs w:val="20"/>
                <w:color w:val="auto"/>
              </w:rPr>
            </w:pPr>
            <w:r>
              <w:rPr>
                <w:rFonts w:ascii="Arial" w:cs="Arial" w:eastAsia="Arial" w:hAnsi="Arial"/>
                <w:sz w:val="18"/>
                <w:szCs w:val="18"/>
                <w:color w:val="auto"/>
              </w:rPr>
              <w:t>58,355</w:t>
            </w:r>
          </w:p>
        </w:tc>
        <w:tc>
          <w:tcPr>
            <w:tcW w:w="1960" w:type="dxa"/>
            <w:vAlign w:val="bottom"/>
          </w:tcPr>
          <w:p>
            <w:pPr>
              <w:jc w:val="right"/>
              <w:ind w:right="871"/>
              <w:spacing w:after="0"/>
              <w:rPr>
                <w:sz w:val="20"/>
                <w:szCs w:val="20"/>
                <w:color w:val="auto"/>
              </w:rPr>
            </w:pPr>
            <w:r>
              <w:rPr>
                <w:rFonts w:ascii="Arial" w:cs="Arial" w:eastAsia="Arial" w:hAnsi="Arial"/>
                <w:sz w:val="18"/>
                <w:szCs w:val="18"/>
                <w:color w:val="auto"/>
              </w:rPr>
              <w:t>54,766</w:t>
            </w:r>
          </w:p>
        </w:tc>
        <w:tc>
          <w:tcPr>
            <w:tcW w:w="1180" w:type="dxa"/>
            <w:vAlign w:val="bottom"/>
          </w:tcPr>
          <w:p>
            <w:pPr>
              <w:jc w:val="right"/>
              <w:ind w:right="470"/>
              <w:spacing w:after="0"/>
              <w:rPr>
                <w:sz w:val="20"/>
                <w:szCs w:val="20"/>
                <w:color w:val="auto"/>
              </w:rPr>
            </w:pPr>
            <w:r>
              <w:rPr>
                <w:rFonts w:ascii="Arial" w:cs="Arial" w:eastAsia="Arial" w:hAnsi="Arial"/>
                <w:sz w:val="18"/>
                <w:szCs w:val="18"/>
                <w:color w:val="auto"/>
              </w:rPr>
              <w:t>54,415</w:t>
            </w:r>
          </w:p>
        </w:tc>
        <w:tc>
          <w:tcPr>
            <w:tcW w:w="1300" w:type="dxa"/>
            <w:vAlign w:val="bottom"/>
          </w:tcPr>
          <w:p>
            <w:pPr>
              <w:jc w:val="right"/>
              <w:ind w:right="210"/>
              <w:spacing w:after="0"/>
              <w:rPr>
                <w:sz w:val="20"/>
                <w:szCs w:val="20"/>
                <w:color w:val="auto"/>
              </w:rPr>
            </w:pPr>
            <w:r>
              <w:rPr>
                <w:rFonts w:ascii="Arial" w:cs="Arial" w:eastAsia="Arial" w:hAnsi="Arial"/>
                <w:sz w:val="18"/>
                <w:szCs w:val="18"/>
                <w:color w:val="auto"/>
              </w:rPr>
              <w:t>54,085</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Earning assets</w:t>
            </w:r>
          </w:p>
        </w:tc>
        <w:tc>
          <w:tcPr>
            <w:tcW w:w="6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57,713</w:t>
            </w:r>
          </w:p>
        </w:tc>
        <w:tc>
          <w:tcPr>
            <w:tcW w:w="15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54,765</w:t>
            </w:r>
          </w:p>
        </w:tc>
        <w:tc>
          <w:tcPr>
            <w:tcW w:w="1960" w:type="dxa"/>
            <w:vAlign w:val="bottom"/>
            <w:shd w:val="clear" w:color="auto" w:fill="CCEEFF"/>
          </w:tcPr>
          <w:p>
            <w:pPr>
              <w:jc w:val="right"/>
              <w:ind w:right="871"/>
              <w:spacing w:after="0"/>
              <w:rPr>
                <w:sz w:val="20"/>
                <w:szCs w:val="20"/>
                <w:color w:val="auto"/>
              </w:rPr>
            </w:pPr>
            <w:r>
              <w:rPr>
                <w:rFonts w:ascii="Arial" w:cs="Arial" w:eastAsia="Arial" w:hAnsi="Arial"/>
                <w:sz w:val="18"/>
                <w:szCs w:val="18"/>
                <w:color w:val="auto"/>
              </w:rPr>
              <w:t>51,325</w:t>
            </w:r>
          </w:p>
        </w:tc>
        <w:tc>
          <w:tcPr>
            <w:tcW w:w="11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50,982</w:t>
            </w:r>
          </w:p>
        </w:tc>
        <w:tc>
          <w:tcPr>
            <w:tcW w:w="13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50,693</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80" w:type="dxa"/>
            <w:vAlign w:val="bottom"/>
          </w:tcPr>
          <w:p>
            <w:pPr>
              <w:ind w:left="200"/>
              <w:spacing w:after="0"/>
              <w:rPr>
                <w:sz w:val="20"/>
                <w:szCs w:val="20"/>
                <w:color w:val="auto"/>
              </w:rPr>
            </w:pPr>
            <w:r>
              <w:rPr>
                <w:rFonts w:ascii="Arial" w:cs="Arial" w:eastAsia="Arial" w:hAnsi="Arial"/>
                <w:sz w:val="18"/>
                <w:szCs w:val="18"/>
                <w:color w:val="auto"/>
              </w:rPr>
              <w:t>Investment securities</w:t>
            </w:r>
          </w:p>
        </w:tc>
        <w:tc>
          <w:tcPr>
            <w:tcW w:w="680" w:type="dxa"/>
            <w:vAlign w:val="bottom"/>
          </w:tcPr>
          <w:p>
            <w:pPr>
              <w:spacing w:after="0"/>
              <w:rPr>
                <w:sz w:val="18"/>
                <w:szCs w:val="18"/>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color w:val="auto"/>
              </w:rPr>
              <w:t>8,924</w:t>
            </w:r>
          </w:p>
        </w:tc>
        <w:tc>
          <w:tcPr>
            <w:tcW w:w="1560" w:type="dxa"/>
            <w:vAlign w:val="bottom"/>
          </w:tcPr>
          <w:p>
            <w:pPr>
              <w:jc w:val="right"/>
              <w:ind w:right="470"/>
              <w:spacing w:after="0"/>
              <w:rPr>
                <w:sz w:val="20"/>
                <w:szCs w:val="20"/>
                <w:color w:val="auto"/>
              </w:rPr>
            </w:pPr>
            <w:r>
              <w:rPr>
                <w:rFonts w:ascii="Arial" w:cs="Arial" w:eastAsia="Arial" w:hAnsi="Arial"/>
                <w:sz w:val="18"/>
                <w:szCs w:val="18"/>
                <w:color w:val="auto"/>
              </w:rPr>
              <w:t>7,905</w:t>
            </w:r>
          </w:p>
        </w:tc>
        <w:tc>
          <w:tcPr>
            <w:tcW w:w="1960" w:type="dxa"/>
            <w:vAlign w:val="bottom"/>
          </w:tcPr>
          <w:p>
            <w:pPr>
              <w:jc w:val="right"/>
              <w:ind w:right="871"/>
              <w:spacing w:after="0"/>
              <w:rPr>
                <w:sz w:val="20"/>
                <w:szCs w:val="20"/>
                <w:color w:val="auto"/>
              </w:rPr>
            </w:pPr>
            <w:r>
              <w:rPr>
                <w:rFonts w:ascii="Arial" w:cs="Arial" w:eastAsia="Arial" w:hAnsi="Arial"/>
                <w:sz w:val="18"/>
                <w:szCs w:val="18"/>
                <w:color w:val="auto"/>
              </w:rPr>
              <w:t>7,260</w:t>
            </w:r>
          </w:p>
        </w:tc>
        <w:tc>
          <w:tcPr>
            <w:tcW w:w="1180" w:type="dxa"/>
            <w:vAlign w:val="bottom"/>
          </w:tcPr>
          <w:p>
            <w:pPr>
              <w:jc w:val="right"/>
              <w:ind w:right="470"/>
              <w:spacing w:after="0"/>
              <w:rPr>
                <w:sz w:val="20"/>
                <w:szCs w:val="20"/>
                <w:color w:val="auto"/>
              </w:rPr>
            </w:pPr>
            <w:r>
              <w:rPr>
                <w:rFonts w:ascii="Arial" w:cs="Arial" w:eastAsia="Arial" w:hAnsi="Arial"/>
                <w:sz w:val="18"/>
                <w:szCs w:val="18"/>
                <w:color w:val="auto"/>
              </w:rPr>
              <w:t>6,886</w:t>
            </w:r>
          </w:p>
        </w:tc>
        <w:tc>
          <w:tcPr>
            <w:tcW w:w="1300" w:type="dxa"/>
            <w:vAlign w:val="bottom"/>
          </w:tcPr>
          <w:p>
            <w:pPr>
              <w:jc w:val="right"/>
              <w:ind w:right="210"/>
              <w:spacing w:after="0"/>
              <w:rPr>
                <w:sz w:val="20"/>
                <w:szCs w:val="20"/>
                <w:color w:val="auto"/>
              </w:rPr>
            </w:pPr>
            <w:r>
              <w:rPr>
                <w:rFonts w:ascii="Arial" w:cs="Arial" w:eastAsia="Arial" w:hAnsi="Arial"/>
                <w:sz w:val="18"/>
                <w:szCs w:val="18"/>
                <w:color w:val="auto"/>
              </w:rPr>
              <w:t>7,214</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6"/>
              </w:rPr>
              <w:t>Loans and leases, net of unearned discount</w:t>
            </w:r>
          </w:p>
        </w:tc>
        <w:tc>
          <w:tcPr>
            <w:tcW w:w="6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48,575</w:t>
            </w:r>
          </w:p>
        </w:tc>
        <w:tc>
          <w:tcPr>
            <w:tcW w:w="15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46,055</w:t>
            </w:r>
          </w:p>
        </w:tc>
        <w:tc>
          <w:tcPr>
            <w:tcW w:w="1960" w:type="dxa"/>
            <w:vAlign w:val="bottom"/>
            <w:shd w:val="clear" w:color="auto" w:fill="CCEEFF"/>
          </w:tcPr>
          <w:p>
            <w:pPr>
              <w:jc w:val="right"/>
              <w:ind w:right="871"/>
              <w:spacing w:after="0"/>
              <w:rPr>
                <w:sz w:val="20"/>
                <w:szCs w:val="20"/>
                <w:color w:val="auto"/>
              </w:rPr>
            </w:pPr>
            <w:r>
              <w:rPr>
                <w:rFonts w:ascii="Arial" w:cs="Arial" w:eastAsia="Arial" w:hAnsi="Arial"/>
                <w:sz w:val="18"/>
                <w:szCs w:val="18"/>
                <w:color w:val="auto"/>
              </w:rPr>
              <w:t>43,750</w:t>
            </w:r>
          </w:p>
        </w:tc>
        <w:tc>
          <w:tcPr>
            <w:tcW w:w="11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43,572</w:t>
            </w:r>
          </w:p>
        </w:tc>
        <w:tc>
          <w:tcPr>
            <w:tcW w:w="13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43,114</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80" w:type="dxa"/>
            <w:vAlign w:val="bottom"/>
          </w:tcPr>
          <w:p>
            <w:pPr>
              <w:ind w:left="200"/>
              <w:spacing w:after="0"/>
              <w:rPr>
                <w:sz w:val="20"/>
                <w:szCs w:val="20"/>
                <w:color w:val="auto"/>
              </w:rPr>
            </w:pPr>
            <w:r>
              <w:rPr>
                <w:rFonts w:ascii="Arial" w:cs="Arial" w:eastAsia="Arial" w:hAnsi="Arial"/>
                <w:sz w:val="18"/>
                <w:szCs w:val="18"/>
                <w:color w:val="auto"/>
              </w:rPr>
              <w:t>Deposits</w:t>
            </w:r>
          </w:p>
        </w:tc>
        <w:tc>
          <w:tcPr>
            <w:tcW w:w="680" w:type="dxa"/>
            <w:vAlign w:val="bottom"/>
          </w:tcPr>
          <w:p>
            <w:pPr>
              <w:spacing w:after="0"/>
              <w:rPr>
                <w:sz w:val="18"/>
                <w:szCs w:val="18"/>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color w:val="auto"/>
              </w:rPr>
              <w:t>39,999</w:t>
            </w:r>
          </w:p>
        </w:tc>
        <w:tc>
          <w:tcPr>
            <w:tcW w:w="1560" w:type="dxa"/>
            <w:vAlign w:val="bottom"/>
          </w:tcPr>
          <w:p>
            <w:pPr>
              <w:jc w:val="right"/>
              <w:ind w:right="470"/>
              <w:spacing w:after="0"/>
              <w:rPr>
                <w:sz w:val="20"/>
                <w:szCs w:val="20"/>
                <w:color w:val="auto"/>
              </w:rPr>
            </w:pPr>
            <w:r>
              <w:rPr>
                <w:rFonts w:ascii="Arial" w:cs="Arial" w:eastAsia="Arial" w:hAnsi="Arial"/>
                <w:sz w:val="18"/>
                <w:szCs w:val="18"/>
                <w:color w:val="auto"/>
              </w:rPr>
              <w:t>38,565</w:t>
            </w:r>
          </w:p>
        </w:tc>
        <w:tc>
          <w:tcPr>
            <w:tcW w:w="1960" w:type="dxa"/>
            <w:vAlign w:val="bottom"/>
          </w:tcPr>
          <w:p>
            <w:pPr>
              <w:jc w:val="right"/>
              <w:ind w:right="871"/>
              <w:spacing w:after="0"/>
              <w:rPr>
                <w:sz w:val="20"/>
                <w:szCs w:val="20"/>
                <w:color w:val="auto"/>
              </w:rPr>
            </w:pPr>
            <w:r>
              <w:rPr>
                <w:rFonts w:ascii="Arial" w:cs="Arial" w:eastAsia="Arial" w:hAnsi="Arial"/>
                <w:sz w:val="18"/>
                <w:szCs w:val="18"/>
                <w:color w:val="auto"/>
              </w:rPr>
              <w:t>36,936</w:t>
            </w:r>
          </w:p>
        </w:tc>
        <w:tc>
          <w:tcPr>
            <w:tcW w:w="1180" w:type="dxa"/>
            <w:vAlign w:val="bottom"/>
          </w:tcPr>
          <w:p>
            <w:pPr>
              <w:jc w:val="right"/>
              <w:ind w:right="470"/>
              <w:spacing w:after="0"/>
              <w:rPr>
                <w:sz w:val="20"/>
                <w:szCs w:val="20"/>
                <w:color w:val="auto"/>
              </w:rPr>
            </w:pPr>
            <w:r>
              <w:rPr>
                <w:rFonts w:ascii="Arial" w:cs="Arial" w:eastAsia="Arial" w:hAnsi="Arial"/>
                <w:sz w:val="18"/>
                <w:szCs w:val="18"/>
                <w:color w:val="auto"/>
              </w:rPr>
              <w:t>37,048</w:t>
            </w:r>
          </w:p>
        </w:tc>
        <w:tc>
          <w:tcPr>
            <w:tcW w:w="1300" w:type="dxa"/>
            <w:vAlign w:val="bottom"/>
          </w:tcPr>
          <w:p>
            <w:pPr>
              <w:jc w:val="right"/>
              <w:ind w:right="210"/>
              <w:spacing w:after="0"/>
              <w:rPr>
                <w:sz w:val="20"/>
                <w:szCs w:val="20"/>
                <w:color w:val="auto"/>
              </w:rPr>
            </w:pPr>
            <w:r>
              <w:rPr>
                <w:rFonts w:ascii="Arial" w:cs="Arial" w:eastAsia="Arial" w:hAnsi="Arial"/>
                <w:sz w:val="18"/>
                <w:szCs w:val="18"/>
                <w:color w:val="auto"/>
              </w:rPr>
              <w:t>37,966</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Stockholders’ equity (c)</w:t>
            </w:r>
          </w:p>
        </w:tc>
        <w:tc>
          <w:tcPr>
            <w:tcW w:w="6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6,513</w:t>
            </w:r>
          </w:p>
        </w:tc>
        <w:tc>
          <w:tcPr>
            <w:tcW w:w="15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6,360</w:t>
            </w:r>
          </w:p>
        </w:tc>
        <w:tc>
          <w:tcPr>
            <w:tcW w:w="1960" w:type="dxa"/>
            <w:vAlign w:val="bottom"/>
            <w:shd w:val="clear" w:color="auto" w:fill="CCEEFF"/>
          </w:tcPr>
          <w:p>
            <w:pPr>
              <w:jc w:val="right"/>
              <w:ind w:right="871"/>
              <w:spacing w:after="0"/>
              <w:rPr>
                <w:sz w:val="20"/>
                <w:szCs w:val="20"/>
                <w:color w:val="auto"/>
              </w:rPr>
            </w:pPr>
            <w:r>
              <w:rPr>
                <w:rFonts w:ascii="Arial" w:cs="Arial" w:eastAsia="Arial" w:hAnsi="Arial"/>
                <w:sz w:val="18"/>
                <w:szCs w:val="18"/>
                <w:color w:val="auto"/>
              </w:rPr>
              <w:t>6,186</w:t>
            </w:r>
          </w:p>
        </w:tc>
        <w:tc>
          <w:tcPr>
            <w:tcW w:w="11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6,172</w:t>
            </w:r>
          </w:p>
        </w:tc>
        <w:tc>
          <w:tcPr>
            <w:tcW w:w="13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6,270</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58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Tangible stockholders’ equity (c)</w:t>
            </w:r>
          </w:p>
        </w:tc>
        <w:tc>
          <w:tcPr>
            <w:tcW w:w="6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3,112</w:t>
            </w:r>
          </w:p>
        </w:tc>
        <w:tc>
          <w:tcPr>
            <w:tcW w:w="15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3,166</w:t>
            </w:r>
          </w:p>
        </w:tc>
        <w:tc>
          <w:tcPr>
            <w:tcW w:w="1960" w:type="dxa"/>
            <w:vAlign w:val="bottom"/>
            <w:tcBorders>
              <w:bottom w:val="single" w:sz="8" w:color="auto"/>
            </w:tcBorders>
          </w:tcPr>
          <w:p>
            <w:pPr>
              <w:jc w:val="right"/>
              <w:ind w:right="871"/>
              <w:spacing w:after="0"/>
              <w:rPr>
                <w:sz w:val="20"/>
                <w:szCs w:val="20"/>
                <w:color w:val="auto"/>
              </w:rPr>
            </w:pPr>
            <w:r>
              <w:rPr>
                <w:rFonts w:ascii="Arial" w:cs="Arial" w:eastAsia="Arial" w:hAnsi="Arial"/>
                <w:sz w:val="18"/>
                <w:szCs w:val="18"/>
                <w:color w:val="auto"/>
              </w:rPr>
              <w:t>3,090</w:t>
            </w:r>
          </w:p>
        </w:tc>
        <w:tc>
          <w:tcPr>
            <w:tcW w:w="11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3,064</w:t>
            </w:r>
          </w:p>
        </w:tc>
        <w:tc>
          <w:tcPr>
            <w:tcW w:w="13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3,148</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At end of quarter</w:t>
            </w:r>
          </w:p>
        </w:tc>
        <w:tc>
          <w:tcPr>
            <w:tcW w:w="6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80" w:type="dxa"/>
            <w:vAlign w:val="bottom"/>
          </w:tcPr>
          <w:p>
            <w:pPr>
              <w:ind w:left="200"/>
              <w:spacing w:after="0"/>
              <w:rPr>
                <w:sz w:val="20"/>
                <w:szCs w:val="20"/>
                <w:color w:val="auto"/>
              </w:rPr>
            </w:pPr>
            <w:r>
              <w:rPr>
                <w:rFonts w:ascii="Arial" w:cs="Arial" w:eastAsia="Arial" w:hAnsi="Arial"/>
                <w:sz w:val="18"/>
                <w:szCs w:val="18"/>
                <w:color w:val="auto"/>
              </w:rPr>
              <w:t>Total assets (c)</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450"/>
              <w:spacing w:after="0"/>
              <w:rPr>
                <w:sz w:val="20"/>
                <w:szCs w:val="20"/>
                <w:color w:val="auto"/>
              </w:rPr>
            </w:pPr>
            <w:r>
              <w:rPr>
                <w:rFonts w:ascii="Arial" w:cs="Arial" w:eastAsia="Arial" w:hAnsi="Arial"/>
                <w:sz w:val="18"/>
                <w:szCs w:val="18"/>
                <w:color w:val="auto"/>
              </w:rPr>
              <w:t>66,086</w:t>
            </w:r>
          </w:p>
        </w:tc>
        <w:tc>
          <w:tcPr>
            <w:tcW w:w="1560" w:type="dxa"/>
            <w:vAlign w:val="bottom"/>
          </w:tcPr>
          <w:p>
            <w:pPr>
              <w:jc w:val="right"/>
              <w:ind w:right="470"/>
              <w:spacing w:after="0"/>
              <w:rPr>
                <w:sz w:val="20"/>
                <w:szCs w:val="20"/>
                <w:color w:val="auto"/>
              </w:rPr>
            </w:pPr>
            <w:r>
              <w:rPr>
                <w:rFonts w:ascii="Arial" w:cs="Arial" w:eastAsia="Arial" w:hAnsi="Arial"/>
                <w:sz w:val="18"/>
                <w:szCs w:val="18"/>
                <w:color w:val="auto"/>
              </w:rPr>
              <w:t>64,876</w:t>
            </w:r>
          </w:p>
        </w:tc>
        <w:tc>
          <w:tcPr>
            <w:tcW w:w="1960" w:type="dxa"/>
            <w:vAlign w:val="bottom"/>
          </w:tcPr>
          <w:p>
            <w:pPr>
              <w:jc w:val="right"/>
              <w:ind w:right="871"/>
              <w:spacing w:after="0"/>
              <w:rPr>
                <w:sz w:val="20"/>
                <w:szCs w:val="20"/>
                <w:color w:val="auto"/>
              </w:rPr>
            </w:pPr>
            <w:r>
              <w:rPr>
                <w:rFonts w:ascii="Arial" w:cs="Arial" w:eastAsia="Arial" w:hAnsi="Arial"/>
                <w:sz w:val="18"/>
                <w:szCs w:val="18"/>
                <w:color w:val="auto"/>
              </w:rPr>
              <w:t>60,008</w:t>
            </w:r>
          </w:p>
        </w:tc>
        <w:tc>
          <w:tcPr>
            <w:tcW w:w="1180" w:type="dxa"/>
            <w:vAlign w:val="bottom"/>
          </w:tcPr>
          <w:p>
            <w:pPr>
              <w:jc w:val="right"/>
              <w:ind w:right="470"/>
              <w:spacing w:after="0"/>
              <w:rPr>
                <w:sz w:val="20"/>
                <w:szCs w:val="20"/>
                <w:color w:val="auto"/>
              </w:rPr>
            </w:pPr>
            <w:r>
              <w:rPr>
                <w:rFonts w:ascii="Arial" w:cs="Arial" w:eastAsia="Arial" w:hAnsi="Arial"/>
                <w:sz w:val="18"/>
                <w:szCs w:val="18"/>
                <w:color w:val="auto"/>
              </w:rPr>
              <w:t>57,869</w:t>
            </w:r>
          </w:p>
        </w:tc>
        <w:tc>
          <w:tcPr>
            <w:tcW w:w="1300" w:type="dxa"/>
            <w:vAlign w:val="bottom"/>
          </w:tcPr>
          <w:p>
            <w:pPr>
              <w:jc w:val="right"/>
              <w:ind w:right="210"/>
              <w:spacing w:after="0"/>
              <w:rPr>
                <w:sz w:val="20"/>
                <w:szCs w:val="20"/>
                <w:color w:val="auto"/>
              </w:rPr>
            </w:pPr>
            <w:r>
              <w:rPr>
                <w:rFonts w:ascii="Arial" w:cs="Arial" w:eastAsia="Arial" w:hAnsi="Arial"/>
                <w:sz w:val="18"/>
                <w:szCs w:val="18"/>
                <w:color w:val="auto"/>
              </w:rPr>
              <w:t>57,842</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tangible assets (c)</w:t>
            </w:r>
          </w:p>
        </w:tc>
        <w:tc>
          <w:tcPr>
            <w:tcW w:w="6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62,696</w:t>
            </w:r>
          </w:p>
        </w:tc>
        <w:tc>
          <w:tcPr>
            <w:tcW w:w="15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61,467</w:t>
            </w:r>
          </w:p>
        </w:tc>
        <w:tc>
          <w:tcPr>
            <w:tcW w:w="1960" w:type="dxa"/>
            <w:vAlign w:val="bottom"/>
            <w:shd w:val="clear" w:color="auto" w:fill="CCEEFF"/>
          </w:tcPr>
          <w:p>
            <w:pPr>
              <w:jc w:val="right"/>
              <w:ind w:right="871"/>
              <w:spacing w:after="0"/>
              <w:rPr>
                <w:sz w:val="20"/>
                <w:szCs w:val="20"/>
                <w:color w:val="auto"/>
              </w:rPr>
            </w:pPr>
            <w:r>
              <w:rPr>
                <w:rFonts w:ascii="Arial" w:cs="Arial" w:eastAsia="Arial" w:hAnsi="Arial"/>
                <w:sz w:val="18"/>
                <w:szCs w:val="18"/>
                <w:color w:val="auto"/>
              </w:rPr>
              <w:t>56,919</w:t>
            </w:r>
          </w:p>
        </w:tc>
        <w:tc>
          <w:tcPr>
            <w:tcW w:w="11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54,767</w:t>
            </w:r>
          </w:p>
        </w:tc>
        <w:tc>
          <w:tcPr>
            <w:tcW w:w="13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54,727</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80" w:type="dxa"/>
            <w:vAlign w:val="bottom"/>
          </w:tcPr>
          <w:p>
            <w:pPr>
              <w:ind w:left="200"/>
              <w:spacing w:after="0"/>
              <w:rPr>
                <w:sz w:val="20"/>
                <w:szCs w:val="20"/>
                <w:color w:val="auto"/>
              </w:rPr>
            </w:pPr>
            <w:r>
              <w:rPr>
                <w:rFonts w:ascii="Arial" w:cs="Arial" w:eastAsia="Arial" w:hAnsi="Arial"/>
                <w:sz w:val="18"/>
                <w:szCs w:val="18"/>
                <w:color w:val="auto"/>
              </w:rPr>
              <w:t>Earning assets</w:t>
            </w:r>
          </w:p>
        </w:tc>
        <w:tc>
          <w:tcPr>
            <w:tcW w:w="680" w:type="dxa"/>
            <w:vAlign w:val="bottom"/>
          </w:tcPr>
          <w:p>
            <w:pPr>
              <w:spacing w:after="0"/>
              <w:rPr>
                <w:sz w:val="18"/>
                <w:szCs w:val="18"/>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color w:val="auto"/>
              </w:rPr>
              <w:t>58,030</w:t>
            </w:r>
          </w:p>
        </w:tc>
        <w:tc>
          <w:tcPr>
            <w:tcW w:w="1560" w:type="dxa"/>
            <w:vAlign w:val="bottom"/>
          </w:tcPr>
          <w:p>
            <w:pPr>
              <w:jc w:val="right"/>
              <w:ind w:right="470"/>
              <w:spacing w:after="0"/>
              <w:rPr>
                <w:sz w:val="20"/>
                <w:szCs w:val="20"/>
                <w:color w:val="auto"/>
              </w:rPr>
            </w:pPr>
            <w:r>
              <w:rPr>
                <w:rFonts w:ascii="Arial" w:cs="Arial" w:eastAsia="Arial" w:hAnsi="Arial"/>
                <w:sz w:val="18"/>
                <w:szCs w:val="18"/>
                <w:color w:val="auto"/>
              </w:rPr>
              <w:t>57,163</w:t>
            </w:r>
          </w:p>
        </w:tc>
        <w:tc>
          <w:tcPr>
            <w:tcW w:w="1960" w:type="dxa"/>
            <w:vAlign w:val="bottom"/>
          </w:tcPr>
          <w:p>
            <w:pPr>
              <w:jc w:val="right"/>
              <w:ind w:right="871"/>
              <w:spacing w:after="0"/>
              <w:rPr>
                <w:sz w:val="20"/>
                <w:szCs w:val="20"/>
                <w:color w:val="auto"/>
              </w:rPr>
            </w:pPr>
            <w:r>
              <w:rPr>
                <w:rFonts w:ascii="Arial" w:cs="Arial" w:eastAsia="Arial" w:hAnsi="Arial"/>
                <w:sz w:val="18"/>
                <w:szCs w:val="18"/>
                <w:color w:val="auto"/>
              </w:rPr>
              <w:t>53,267</w:t>
            </w:r>
          </w:p>
        </w:tc>
        <w:tc>
          <w:tcPr>
            <w:tcW w:w="1180" w:type="dxa"/>
            <w:vAlign w:val="bottom"/>
          </w:tcPr>
          <w:p>
            <w:pPr>
              <w:jc w:val="right"/>
              <w:ind w:right="470"/>
              <w:spacing w:after="0"/>
              <w:rPr>
                <w:sz w:val="20"/>
                <w:szCs w:val="20"/>
                <w:color w:val="auto"/>
              </w:rPr>
            </w:pPr>
            <w:r>
              <w:rPr>
                <w:rFonts w:ascii="Arial" w:cs="Arial" w:eastAsia="Arial" w:hAnsi="Arial"/>
                <w:sz w:val="18"/>
                <w:szCs w:val="18"/>
                <w:color w:val="auto"/>
              </w:rPr>
              <w:t>51,131</w:t>
            </w:r>
          </w:p>
        </w:tc>
        <w:tc>
          <w:tcPr>
            <w:tcW w:w="1300" w:type="dxa"/>
            <w:vAlign w:val="bottom"/>
          </w:tcPr>
          <w:p>
            <w:pPr>
              <w:jc w:val="right"/>
              <w:ind w:right="210"/>
              <w:spacing w:after="0"/>
              <w:rPr>
                <w:sz w:val="20"/>
                <w:szCs w:val="20"/>
                <w:color w:val="auto"/>
              </w:rPr>
            </w:pPr>
            <w:r>
              <w:rPr>
                <w:rFonts w:ascii="Arial" w:cs="Arial" w:eastAsia="Arial" w:hAnsi="Arial"/>
                <w:sz w:val="18"/>
                <w:szCs w:val="18"/>
                <w:color w:val="auto"/>
              </w:rPr>
              <w:t>51,046</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Investment securities</w:t>
            </w:r>
          </w:p>
        </w:tc>
        <w:tc>
          <w:tcPr>
            <w:tcW w:w="6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8,676</w:t>
            </w:r>
          </w:p>
        </w:tc>
        <w:tc>
          <w:tcPr>
            <w:tcW w:w="15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8,962</w:t>
            </w:r>
          </w:p>
        </w:tc>
        <w:tc>
          <w:tcPr>
            <w:tcW w:w="1960" w:type="dxa"/>
            <w:vAlign w:val="bottom"/>
            <w:shd w:val="clear" w:color="auto" w:fill="CCEEFF"/>
          </w:tcPr>
          <w:p>
            <w:pPr>
              <w:jc w:val="right"/>
              <w:ind w:right="871"/>
              <w:spacing w:after="0"/>
              <w:rPr>
                <w:sz w:val="20"/>
                <w:szCs w:val="20"/>
                <w:color w:val="auto"/>
              </w:rPr>
            </w:pPr>
            <w:r>
              <w:rPr>
                <w:rFonts w:ascii="Arial" w:cs="Arial" w:eastAsia="Arial" w:hAnsi="Arial"/>
                <w:sz w:val="18"/>
                <w:szCs w:val="18"/>
                <w:color w:val="auto"/>
              </w:rPr>
              <w:t>8,003</w:t>
            </w:r>
          </w:p>
        </w:tc>
        <w:tc>
          <w:tcPr>
            <w:tcW w:w="11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6,982</w:t>
            </w:r>
          </w:p>
        </w:tc>
        <w:tc>
          <w:tcPr>
            <w:tcW w:w="13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7,028</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80" w:type="dxa"/>
            <w:vAlign w:val="bottom"/>
          </w:tcPr>
          <w:p>
            <w:pPr>
              <w:ind w:left="200"/>
              <w:spacing w:after="0"/>
              <w:rPr>
                <w:sz w:val="20"/>
                <w:szCs w:val="20"/>
                <w:color w:val="auto"/>
              </w:rPr>
            </w:pPr>
            <w:r>
              <w:rPr>
                <w:rFonts w:ascii="Arial" w:cs="Arial" w:eastAsia="Arial" w:hAnsi="Arial"/>
                <w:sz w:val="18"/>
                <w:szCs w:val="18"/>
                <w:color w:val="auto"/>
                <w:w w:val="96"/>
              </w:rPr>
              <w:t>Loans and leases, net of unearned discount</w:t>
            </w:r>
          </w:p>
        </w:tc>
        <w:tc>
          <w:tcPr>
            <w:tcW w:w="680" w:type="dxa"/>
            <w:vAlign w:val="bottom"/>
          </w:tcPr>
          <w:p>
            <w:pPr>
              <w:spacing w:after="0"/>
              <w:rPr>
                <w:sz w:val="18"/>
                <w:szCs w:val="18"/>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color w:val="auto"/>
              </w:rPr>
              <w:t>49,279</w:t>
            </w:r>
          </w:p>
        </w:tc>
        <w:tc>
          <w:tcPr>
            <w:tcW w:w="1560" w:type="dxa"/>
            <w:vAlign w:val="bottom"/>
          </w:tcPr>
          <w:p>
            <w:pPr>
              <w:jc w:val="right"/>
              <w:ind w:right="470"/>
              <w:spacing w:after="0"/>
              <w:rPr>
                <w:sz w:val="20"/>
                <w:szCs w:val="20"/>
                <w:color w:val="auto"/>
              </w:rPr>
            </w:pPr>
            <w:r>
              <w:rPr>
                <w:rFonts w:ascii="Arial" w:cs="Arial" w:eastAsia="Arial" w:hAnsi="Arial"/>
                <w:sz w:val="18"/>
                <w:szCs w:val="18"/>
                <w:color w:val="auto"/>
              </w:rPr>
              <w:t>48,022</w:t>
            </w:r>
          </w:p>
        </w:tc>
        <w:tc>
          <w:tcPr>
            <w:tcW w:w="1960" w:type="dxa"/>
            <w:vAlign w:val="bottom"/>
          </w:tcPr>
          <w:p>
            <w:pPr>
              <w:jc w:val="right"/>
              <w:ind w:right="871"/>
              <w:spacing w:after="0"/>
              <w:rPr>
                <w:sz w:val="20"/>
                <w:szCs w:val="20"/>
                <w:color w:val="auto"/>
              </w:rPr>
            </w:pPr>
            <w:r>
              <w:rPr>
                <w:rFonts w:ascii="Arial" w:cs="Arial" w:eastAsia="Arial" w:hAnsi="Arial"/>
                <w:sz w:val="18"/>
                <w:szCs w:val="18"/>
                <w:color w:val="auto"/>
              </w:rPr>
              <w:t>44,778</w:t>
            </w:r>
          </w:p>
        </w:tc>
        <w:tc>
          <w:tcPr>
            <w:tcW w:w="1180" w:type="dxa"/>
            <w:vAlign w:val="bottom"/>
          </w:tcPr>
          <w:p>
            <w:pPr>
              <w:jc w:val="right"/>
              <w:ind w:right="470"/>
              <w:spacing w:after="0"/>
              <w:rPr>
                <w:sz w:val="20"/>
                <w:szCs w:val="20"/>
                <w:color w:val="auto"/>
              </w:rPr>
            </w:pPr>
            <w:r>
              <w:rPr>
                <w:rFonts w:ascii="Arial" w:cs="Arial" w:eastAsia="Arial" w:hAnsi="Arial"/>
                <w:sz w:val="18"/>
                <w:szCs w:val="18"/>
                <w:color w:val="auto"/>
              </w:rPr>
              <w:t>43,744</w:t>
            </w:r>
          </w:p>
        </w:tc>
        <w:tc>
          <w:tcPr>
            <w:tcW w:w="1300" w:type="dxa"/>
            <w:vAlign w:val="bottom"/>
          </w:tcPr>
          <w:p>
            <w:pPr>
              <w:jc w:val="right"/>
              <w:ind w:right="210"/>
              <w:spacing w:after="0"/>
              <w:rPr>
                <w:sz w:val="20"/>
                <w:szCs w:val="20"/>
                <w:color w:val="auto"/>
              </w:rPr>
            </w:pPr>
            <w:r>
              <w:rPr>
                <w:rFonts w:ascii="Arial" w:cs="Arial" w:eastAsia="Arial" w:hAnsi="Arial"/>
                <w:sz w:val="18"/>
                <w:szCs w:val="18"/>
                <w:color w:val="auto"/>
              </w:rPr>
              <w:t>43,507</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Deposits</w:t>
            </w:r>
          </w:p>
        </w:tc>
        <w:tc>
          <w:tcPr>
            <w:tcW w:w="6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41,533</w:t>
            </w:r>
          </w:p>
        </w:tc>
        <w:tc>
          <w:tcPr>
            <w:tcW w:w="15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41,266</w:t>
            </w:r>
          </w:p>
        </w:tc>
        <w:tc>
          <w:tcPr>
            <w:tcW w:w="1960" w:type="dxa"/>
            <w:vAlign w:val="bottom"/>
            <w:shd w:val="clear" w:color="auto" w:fill="CCEEFF"/>
          </w:tcPr>
          <w:p>
            <w:pPr>
              <w:jc w:val="right"/>
              <w:ind w:right="871"/>
              <w:spacing w:after="0"/>
              <w:rPr>
                <w:sz w:val="20"/>
                <w:szCs w:val="20"/>
                <w:color w:val="auto"/>
              </w:rPr>
            </w:pPr>
            <w:r>
              <w:rPr>
                <w:rFonts w:ascii="Arial" w:cs="Arial" w:eastAsia="Arial" w:hAnsi="Arial"/>
                <w:sz w:val="18"/>
                <w:szCs w:val="18"/>
                <w:color w:val="auto"/>
              </w:rPr>
              <w:t>38,473</w:t>
            </w:r>
          </w:p>
        </w:tc>
        <w:tc>
          <w:tcPr>
            <w:tcW w:w="11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39,419</w:t>
            </w:r>
          </w:p>
        </w:tc>
        <w:tc>
          <w:tcPr>
            <w:tcW w:w="13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38,938</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80" w:type="dxa"/>
            <w:vAlign w:val="bottom"/>
          </w:tcPr>
          <w:p>
            <w:pPr>
              <w:ind w:left="200"/>
              <w:spacing w:after="0"/>
              <w:rPr>
                <w:sz w:val="20"/>
                <w:szCs w:val="20"/>
                <w:color w:val="auto"/>
              </w:rPr>
            </w:pPr>
            <w:r>
              <w:rPr>
                <w:rFonts w:ascii="Arial" w:cs="Arial" w:eastAsia="Arial" w:hAnsi="Arial"/>
                <w:sz w:val="18"/>
                <w:szCs w:val="18"/>
                <w:color w:val="auto"/>
              </w:rPr>
              <w:t>Stockholders’ equity (c)</w:t>
            </w:r>
          </w:p>
        </w:tc>
        <w:tc>
          <w:tcPr>
            <w:tcW w:w="680" w:type="dxa"/>
            <w:vAlign w:val="bottom"/>
          </w:tcPr>
          <w:p>
            <w:pPr>
              <w:spacing w:after="0"/>
              <w:rPr>
                <w:sz w:val="18"/>
                <w:szCs w:val="18"/>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color w:val="auto"/>
              </w:rPr>
              <w:t>6,488</w:t>
            </w:r>
          </w:p>
        </w:tc>
        <w:tc>
          <w:tcPr>
            <w:tcW w:w="1560" w:type="dxa"/>
            <w:vAlign w:val="bottom"/>
          </w:tcPr>
          <w:p>
            <w:pPr>
              <w:jc w:val="right"/>
              <w:ind w:right="470"/>
              <w:spacing w:after="0"/>
              <w:rPr>
                <w:sz w:val="20"/>
                <w:szCs w:val="20"/>
                <w:color w:val="auto"/>
              </w:rPr>
            </w:pPr>
            <w:r>
              <w:rPr>
                <w:rFonts w:ascii="Arial" w:cs="Arial" w:eastAsia="Arial" w:hAnsi="Arial"/>
                <w:sz w:val="18"/>
                <w:szCs w:val="18"/>
                <w:color w:val="auto"/>
              </w:rPr>
              <w:t>6,485</w:t>
            </w:r>
          </w:p>
        </w:tc>
        <w:tc>
          <w:tcPr>
            <w:tcW w:w="1960" w:type="dxa"/>
            <w:vAlign w:val="bottom"/>
          </w:tcPr>
          <w:p>
            <w:pPr>
              <w:jc w:val="right"/>
              <w:ind w:right="871"/>
              <w:spacing w:after="0"/>
              <w:rPr>
                <w:sz w:val="20"/>
                <w:szCs w:val="20"/>
                <w:color w:val="auto"/>
              </w:rPr>
            </w:pPr>
            <w:r>
              <w:rPr>
                <w:rFonts w:ascii="Arial" w:cs="Arial" w:eastAsia="Arial" w:hAnsi="Arial"/>
                <w:sz w:val="18"/>
                <w:szCs w:val="18"/>
                <w:color w:val="auto"/>
              </w:rPr>
              <w:t>6,238</w:t>
            </w:r>
          </w:p>
        </w:tc>
        <w:tc>
          <w:tcPr>
            <w:tcW w:w="1180" w:type="dxa"/>
            <w:vAlign w:val="bottom"/>
          </w:tcPr>
          <w:p>
            <w:pPr>
              <w:jc w:val="right"/>
              <w:ind w:right="470"/>
              <w:spacing w:after="0"/>
              <w:rPr>
                <w:sz w:val="20"/>
                <w:szCs w:val="20"/>
                <w:color w:val="auto"/>
              </w:rPr>
            </w:pPr>
            <w:r>
              <w:rPr>
                <w:rFonts w:ascii="Arial" w:cs="Arial" w:eastAsia="Arial" w:hAnsi="Arial"/>
                <w:sz w:val="18"/>
                <w:szCs w:val="18"/>
                <w:color w:val="auto"/>
              </w:rPr>
              <w:t>6,175</w:t>
            </w:r>
          </w:p>
        </w:tc>
        <w:tc>
          <w:tcPr>
            <w:tcW w:w="1300" w:type="dxa"/>
            <w:vAlign w:val="bottom"/>
          </w:tcPr>
          <w:p>
            <w:pPr>
              <w:jc w:val="right"/>
              <w:ind w:right="210"/>
              <w:spacing w:after="0"/>
              <w:rPr>
                <w:sz w:val="20"/>
                <w:szCs w:val="20"/>
                <w:color w:val="auto"/>
              </w:rPr>
            </w:pPr>
            <w:r>
              <w:rPr>
                <w:rFonts w:ascii="Arial" w:cs="Arial" w:eastAsia="Arial" w:hAnsi="Arial"/>
                <w:sz w:val="18"/>
                <w:szCs w:val="18"/>
                <w:color w:val="auto"/>
              </w:rPr>
              <w:t>6,253</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Tangible stockholders’ equity (c)</w:t>
            </w:r>
          </w:p>
        </w:tc>
        <w:tc>
          <w:tcPr>
            <w:tcW w:w="6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3,098</w:t>
            </w:r>
          </w:p>
        </w:tc>
        <w:tc>
          <w:tcPr>
            <w:tcW w:w="15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3,076</w:t>
            </w:r>
          </w:p>
        </w:tc>
        <w:tc>
          <w:tcPr>
            <w:tcW w:w="1960" w:type="dxa"/>
            <w:vAlign w:val="bottom"/>
            <w:shd w:val="clear" w:color="auto" w:fill="CCEEFF"/>
          </w:tcPr>
          <w:p>
            <w:pPr>
              <w:jc w:val="right"/>
              <w:ind w:right="871"/>
              <w:spacing w:after="0"/>
              <w:rPr>
                <w:sz w:val="20"/>
                <w:szCs w:val="20"/>
                <w:color w:val="auto"/>
              </w:rPr>
            </w:pPr>
            <w:r>
              <w:rPr>
                <w:rFonts w:ascii="Arial" w:cs="Arial" w:eastAsia="Arial" w:hAnsi="Arial"/>
                <w:sz w:val="18"/>
                <w:szCs w:val="18"/>
                <w:color w:val="auto"/>
              </w:rPr>
              <w:t>3,149</w:t>
            </w:r>
          </w:p>
        </w:tc>
        <w:tc>
          <w:tcPr>
            <w:tcW w:w="11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3,073</w:t>
            </w:r>
          </w:p>
        </w:tc>
        <w:tc>
          <w:tcPr>
            <w:tcW w:w="13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3,138</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80" w:type="dxa"/>
            <w:vAlign w:val="bottom"/>
          </w:tcPr>
          <w:p>
            <w:pPr>
              <w:ind w:left="200"/>
              <w:spacing w:after="0"/>
              <w:rPr>
                <w:sz w:val="20"/>
                <w:szCs w:val="20"/>
                <w:color w:val="auto"/>
              </w:rPr>
            </w:pPr>
            <w:r>
              <w:rPr>
                <w:rFonts w:ascii="Arial" w:cs="Arial" w:eastAsia="Arial" w:hAnsi="Arial"/>
                <w:sz w:val="18"/>
                <w:szCs w:val="18"/>
                <w:color w:val="auto"/>
              </w:rPr>
              <w:t>Equity per common share</w:t>
            </w:r>
          </w:p>
        </w:tc>
        <w:tc>
          <w:tcPr>
            <w:tcW w:w="680" w:type="dxa"/>
            <w:vAlign w:val="bottom"/>
          </w:tcPr>
          <w:p>
            <w:pPr>
              <w:spacing w:after="0"/>
              <w:rPr>
                <w:sz w:val="18"/>
                <w:szCs w:val="18"/>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color w:val="auto"/>
              </w:rPr>
              <w:t>58.92</w:t>
            </w:r>
          </w:p>
        </w:tc>
        <w:tc>
          <w:tcPr>
            <w:tcW w:w="1560" w:type="dxa"/>
            <w:vAlign w:val="bottom"/>
          </w:tcPr>
          <w:p>
            <w:pPr>
              <w:jc w:val="right"/>
              <w:ind w:right="470"/>
              <w:spacing w:after="0"/>
              <w:rPr>
                <w:sz w:val="20"/>
                <w:szCs w:val="20"/>
                <w:color w:val="auto"/>
              </w:rPr>
            </w:pPr>
            <w:r>
              <w:rPr>
                <w:rFonts w:ascii="Arial" w:cs="Arial" w:eastAsia="Arial" w:hAnsi="Arial"/>
                <w:sz w:val="18"/>
                <w:szCs w:val="18"/>
                <w:color w:val="auto"/>
              </w:rPr>
              <w:t>58.99</w:t>
            </w:r>
          </w:p>
        </w:tc>
        <w:tc>
          <w:tcPr>
            <w:tcW w:w="1960" w:type="dxa"/>
            <w:vAlign w:val="bottom"/>
          </w:tcPr>
          <w:p>
            <w:pPr>
              <w:jc w:val="right"/>
              <w:ind w:right="871"/>
              <w:spacing w:after="0"/>
              <w:rPr>
                <w:sz w:val="20"/>
                <w:szCs w:val="20"/>
                <w:color w:val="auto"/>
              </w:rPr>
            </w:pPr>
            <w:r>
              <w:rPr>
                <w:rFonts w:ascii="Arial" w:cs="Arial" w:eastAsia="Arial" w:hAnsi="Arial"/>
                <w:sz w:val="18"/>
                <w:szCs w:val="18"/>
                <w:color w:val="auto"/>
              </w:rPr>
              <w:t>58.40</w:t>
            </w:r>
          </w:p>
        </w:tc>
        <w:tc>
          <w:tcPr>
            <w:tcW w:w="1180" w:type="dxa"/>
            <w:vAlign w:val="bottom"/>
          </w:tcPr>
          <w:p>
            <w:pPr>
              <w:jc w:val="right"/>
              <w:ind w:right="470"/>
              <w:spacing w:after="0"/>
              <w:rPr>
                <w:sz w:val="20"/>
                <w:szCs w:val="20"/>
                <w:color w:val="auto"/>
              </w:rPr>
            </w:pPr>
            <w:r>
              <w:rPr>
                <w:rFonts w:ascii="Arial" w:cs="Arial" w:eastAsia="Arial" w:hAnsi="Arial"/>
                <w:sz w:val="18"/>
                <w:szCs w:val="18"/>
                <w:color w:val="auto"/>
              </w:rPr>
              <w:t>57.59</w:t>
            </w:r>
          </w:p>
        </w:tc>
        <w:tc>
          <w:tcPr>
            <w:tcW w:w="1300" w:type="dxa"/>
            <w:vAlign w:val="bottom"/>
          </w:tcPr>
          <w:p>
            <w:pPr>
              <w:jc w:val="right"/>
              <w:ind w:right="210"/>
              <w:spacing w:after="0"/>
              <w:rPr>
                <w:sz w:val="20"/>
                <w:szCs w:val="20"/>
                <w:color w:val="auto"/>
              </w:rPr>
            </w:pPr>
            <w:r>
              <w:rPr>
                <w:rFonts w:ascii="Arial" w:cs="Arial" w:eastAsia="Arial" w:hAnsi="Arial"/>
                <w:sz w:val="18"/>
                <w:szCs w:val="18"/>
                <w:color w:val="auto"/>
              </w:rPr>
              <w:t>57.32</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8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Tangible equity per common share</w:t>
            </w:r>
          </w:p>
        </w:tc>
        <w:tc>
          <w:tcPr>
            <w:tcW w:w="6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rPr>
              <w:t>28.14</w:t>
            </w:r>
          </w:p>
        </w:tc>
        <w:tc>
          <w:tcPr>
            <w:tcW w:w="156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27.98</w:t>
            </w:r>
          </w:p>
        </w:tc>
        <w:tc>
          <w:tcPr>
            <w:tcW w:w="1960" w:type="dxa"/>
            <w:vAlign w:val="bottom"/>
            <w:tcBorders>
              <w:bottom w:val="single" w:sz="8" w:color="auto"/>
            </w:tcBorders>
            <w:shd w:val="clear" w:color="auto" w:fill="CCEEFF"/>
          </w:tcPr>
          <w:p>
            <w:pPr>
              <w:jc w:val="right"/>
              <w:ind w:right="871"/>
              <w:spacing w:after="0"/>
              <w:rPr>
                <w:sz w:val="20"/>
                <w:szCs w:val="20"/>
                <w:color w:val="auto"/>
              </w:rPr>
            </w:pPr>
            <w:r>
              <w:rPr>
                <w:rFonts w:ascii="Arial" w:cs="Arial" w:eastAsia="Arial" w:hAnsi="Arial"/>
                <w:sz w:val="18"/>
                <w:szCs w:val="18"/>
                <w:color w:val="auto"/>
              </w:rPr>
              <w:t>29.48</w:t>
            </w:r>
          </w:p>
        </w:tc>
        <w:tc>
          <w:tcPr>
            <w:tcW w:w="118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28.66</w:t>
            </w:r>
          </w:p>
        </w:tc>
        <w:tc>
          <w:tcPr>
            <w:tcW w:w="13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28.77</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580" w:type="dxa"/>
            <w:vAlign w:val="bottom"/>
          </w:tcPr>
          <w:p>
            <w:pPr>
              <w:spacing w:after="0"/>
              <w:rPr>
                <w:sz w:val="20"/>
                <w:szCs w:val="20"/>
                <w:color w:val="auto"/>
              </w:rPr>
            </w:pPr>
            <w:r>
              <w:rPr>
                <w:rFonts w:ascii="Arial" w:cs="Arial" w:eastAsia="Arial" w:hAnsi="Arial"/>
                <w:sz w:val="18"/>
                <w:szCs w:val="18"/>
                <w:b w:val="1"/>
                <w:bCs w:val="1"/>
                <w:color w:val="auto"/>
              </w:rPr>
              <w:t>Market price per common share</w:t>
            </w:r>
          </w:p>
        </w:tc>
        <w:tc>
          <w:tcPr>
            <w:tcW w:w="6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High</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94.03</w:t>
            </w:r>
          </w:p>
        </w:tc>
        <w:tc>
          <w:tcPr>
            <w:tcW w:w="15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108.32</w:t>
            </w:r>
          </w:p>
        </w:tc>
        <w:tc>
          <w:tcPr>
            <w:tcW w:w="1960" w:type="dxa"/>
            <w:vAlign w:val="bottom"/>
            <w:shd w:val="clear" w:color="auto" w:fill="CCEEFF"/>
          </w:tcPr>
          <w:p>
            <w:pPr>
              <w:jc w:val="right"/>
              <w:ind w:right="871"/>
              <w:spacing w:after="0"/>
              <w:rPr>
                <w:sz w:val="20"/>
                <w:szCs w:val="20"/>
                <w:color w:val="auto"/>
              </w:rPr>
            </w:pPr>
            <w:r>
              <w:rPr>
                <w:rFonts w:ascii="Arial" w:cs="Arial" w:eastAsia="Arial" w:hAnsi="Arial"/>
                <w:sz w:val="18"/>
                <w:szCs w:val="18"/>
                <w:color w:val="auto"/>
              </w:rPr>
              <w:t>115.81</w:t>
            </w:r>
          </w:p>
        </w:tc>
        <w:tc>
          <w:tcPr>
            <w:tcW w:w="11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114.33</w:t>
            </w:r>
          </w:p>
        </w:tc>
        <w:tc>
          <w:tcPr>
            <w:tcW w:w="13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125.13</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80" w:type="dxa"/>
            <w:vAlign w:val="bottom"/>
          </w:tcPr>
          <w:p>
            <w:pPr>
              <w:ind w:left="200"/>
              <w:spacing w:after="0"/>
              <w:rPr>
                <w:sz w:val="20"/>
                <w:szCs w:val="20"/>
                <w:color w:val="auto"/>
              </w:rPr>
            </w:pPr>
            <w:r>
              <w:rPr>
                <w:rFonts w:ascii="Arial" w:cs="Arial" w:eastAsia="Arial" w:hAnsi="Arial"/>
                <w:sz w:val="18"/>
                <w:szCs w:val="18"/>
                <w:color w:val="auto"/>
              </w:rPr>
              <w:t>Low</w:t>
            </w:r>
          </w:p>
        </w:tc>
        <w:tc>
          <w:tcPr>
            <w:tcW w:w="680" w:type="dxa"/>
            <w:vAlign w:val="bottom"/>
          </w:tcPr>
          <w:p>
            <w:pPr>
              <w:spacing w:after="0"/>
              <w:rPr>
                <w:sz w:val="18"/>
                <w:szCs w:val="18"/>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color w:val="auto"/>
              </w:rPr>
              <w:t>70.49</w:t>
            </w:r>
          </w:p>
        </w:tc>
        <w:tc>
          <w:tcPr>
            <w:tcW w:w="1560" w:type="dxa"/>
            <w:vAlign w:val="bottom"/>
          </w:tcPr>
          <w:p>
            <w:pPr>
              <w:jc w:val="right"/>
              <w:ind w:right="470"/>
              <w:spacing w:after="0"/>
              <w:rPr>
                <w:sz w:val="20"/>
                <w:szCs w:val="20"/>
                <w:color w:val="auto"/>
              </w:rPr>
            </w:pPr>
            <w:r>
              <w:rPr>
                <w:rFonts w:ascii="Arial" w:cs="Arial" w:eastAsia="Arial" w:hAnsi="Arial"/>
                <w:sz w:val="18"/>
                <w:szCs w:val="18"/>
                <w:color w:val="auto"/>
              </w:rPr>
              <w:t>77.39</w:t>
            </w:r>
          </w:p>
        </w:tc>
        <w:tc>
          <w:tcPr>
            <w:tcW w:w="1960" w:type="dxa"/>
            <w:vAlign w:val="bottom"/>
          </w:tcPr>
          <w:p>
            <w:pPr>
              <w:jc w:val="right"/>
              <w:ind w:right="871"/>
              <w:spacing w:after="0"/>
              <w:rPr>
                <w:sz w:val="20"/>
                <w:szCs w:val="20"/>
                <w:color w:val="auto"/>
              </w:rPr>
            </w:pPr>
            <w:r>
              <w:rPr>
                <w:rFonts w:ascii="Arial" w:cs="Arial" w:eastAsia="Arial" w:hAnsi="Arial"/>
                <w:sz w:val="18"/>
                <w:szCs w:val="18"/>
                <w:color w:val="auto"/>
              </w:rPr>
              <w:t>97.26</w:t>
            </w:r>
          </w:p>
        </w:tc>
        <w:tc>
          <w:tcPr>
            <w:tcW w:w="1180" w:type="dxa"/>
            <w:vAlign w:val="bottom"/>
          </w:tcPr>
          <w:p>
            <w:pPr>
              <w:jc w:val="right"/>
              <w:ind w:right="470"/>
              <w:spacing w:after="0"/>
              <w:rPr>
                <w:sz w:val="20"/>
                <w:szCs w:val="20"/>
                <w:color w:val="auto"/>
              </w:rPr>
            </w:pPr>
            <w:r>
              <w:rPr>
                <w:rFonts w:ascii="Arial" w:cs="Arial" w:eastAsia="Arial" w:hAnsi="Arial"/>
                <w:sz w:val="18"/>
                <w:szCs w:val="18"/>
                <w:color w:val="auto"/>
              </w:rPr>
              <w:t>104.00</w:t>
            </w:r>
          </w:p>
        </w:tc>
        <w:tc>
          <w:tcPr>
            <w:tcW w:w="1300" w:type="dxa"/>
            <w:vAlign w:val="bottom"/>
          </w:tcPr>
          <w:p>
            <w:pPr>
              <w:jc w:val="right"/>
              <w:ind w:right="210"/>
              <w:spacing w:after="0"/>
              <w:rPr>
                <w:sz w:val="20"/>
                <w:szCs w:val="20"/>
                <w:color w:val="auto"/>
              </w:rPr>
            </w:pPr>
            <w:r>
              <w:rPr>
                <w:rFonts w:ascii="Arial" w:cs="Arial" w:eastAsia="Arial" w:hAnsi="Arial"/>
                <w:sz w:val="18"/>
                <w:szCs w:val="18"/>
                <w:color w:val="auto"/>
              </w:rPr>
              <w:t>112.05</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8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Closing</w:t>
            </w:r>
          </w:p>
        </w:tc>
        <w:tc>
          <w:tcPr>
            <w:tcW w:w="6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rPr>
              <w:t>80.48</w:t>
            </w:r>
          </w:p>
        </w:tc>
        <w:tc>
          <w:tcPr>
            <w:tcW w:w="156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81.57</w:t>
            </w:r>
          </w:p>
        </w:tc>
        <w:tc>
          <w:tcPr>
            <w:tcW w:w="1960" w:type="dxa"/>
            <w:vAlign w:val="bottom"/>
            <w:tcBorders>
              <w:bottom w:val="single" w:sz="8" w:color="auto"/>
            </w:tcBorders>
            <w:shd w:val="clear" w:color="auto" w:fill="CCEEFF"/>
          </w:tcPr>
          <w:p>
            <w:pPr>
              <w:jc w:val="right"/>
              <w:ind w:right="871"/>
              <w:spacing w:after="0"/>
              <w:rPr>
                <w:sz w:val="20"/>
                <w:szCs w:val="20"/>
                <w:color w:val="auto"/>
              </w:rPr>
            </w:pPr>
            <w:r>
              <w:rPr>
                <w:rFonts w:ascii="Arial" w:cs="Arial" w:eastAsia="Arial" w:hAnsi="Arial"/>
                <w:sz w:val="18"/>
                <w:szCs w:val="18"/>
                <w:color w:val="auto"/>
              </w:rPr>
              <w:t>103.45</w:t>
            </w:r>
          </w:p>
        </w:tc>
        <w:tc>
          <w:tcPr>
            <w:tcW w:w="118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106.90</w:t>
            </w:r>
          </w:p>
        </w:tc>
        <w:tc>
          <w:tcPr>
            <w:tcW w:w="13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115.83</w:t>
            </w:r>
          </w:p>
        </w:tc>
        <w:tc>
          <w:tcPr>
            <w:tcW w:w="20" w:type="dxa"/>
            <w:vAlign w:val="bottom"/>
          </w:tcPr>
          <w:p>
            <w:pPr>
              <w:spacing w:after="0"/>
              <w:rPr>
                <w:sz w:val="18"/>
                <w:szCs w:val="18"/>
                <w:color w:val="auto"/>
              </w:rPr>
            </w:pPr>
          </w:p>
        </w:tc>
      </w:tr>
    </w:tbl>
    <w:p>
      <w:pPr>
        <w:sectPr>
          <w:pgSz w:w="11900" w:h="16838" w:orient="portrait"/>
          <w:cols w:equalWidth="0" w:num="1">
            <w:col w:w="11420"/>
          </w:cols>
          <w:pgMar w:left="240" w:top="419" w:right="239" w:bottom="9" w:gutter="0" w:footer="0" w:header="0"/>
        </w:sectPr>
      </w:pPr>
    </w:p>
    <w:bookmarkStart w:id="58" w:name="page59"/>
    <w:bookmarkEnd w:id="58"/>
    <w:p>
      <w:pPr>
        <w:ind w:left="452" w:hanging="452"/>
        <w:spacing w:after="0"/>
        <w:tabs>
          <w:tab w:leader="none" w:pos="452"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Excludes impact of merger-related expenses and net securities transactions.</w:t>
      </w:r>
    </w:p>
    <w:p>
      <w:pPr>
        <w:spacing w:after="0" w:line="76" w:lineRule="exact"/>
        <w:rPr>
          <w:rFonts w:ascii="Arial" w:cs="Arial" w:eastAsia="Arial" w:hAnsi="Arial"/>
          <w:sz w:val="18"/>
          <w:szCs w:val="18"/>
          <w:color w:val="auto"/>
        </w:rPr>
      </w:pPr>
    </w:p>
    <w:p>
      <w:pPr>
        <w:jc w:val="both"/>
        <w:ind w:left="452" w:hanging="452"/>
        <w:spacing w:after="0" w:line="325" w:lineRule="auto"/>
        <w:tabs>
          <w:tab w:leader="none" w:pos="452" w:val="left"/>
        </w:tabs>
        <w:numPr>
          <w:ilvl w:val="0"/>
          <w:numId w:val="12"/>
        </w:numPr>
        <w:rPr>
          <w:rFonts w:ascii="Arial" w:cs="Arial" w:eastAsia="Arial" w:hAnsi="Arial"/>
          <w:sz w:val="16"/>
          <w:szCs w:val="16"/>
          <w:color w:val="auto"/>
        </w:rPr>
      </w:pPr>
      <w:r>
        <w:rPr>
          <w:rFonts w:ascii="Arial" w:cs="Arial" w:eastAsia="Arial" w:hAnsi="Arial"/>
          <w:sz w:val="16"/>
          <w:szCs w:val="16"/>
          <w:color w:val="auto"/>
        </w:rPr>
        <w:t>Excludes amortization and balances related to goodwill and core deposit and other intangible assets and merger-related expenses which, except in the calculation of the efficiency ratio, are net of applicable income tax effects. A reconciliation of net income and net operating income appears in table 2.</w:t>
      </w:r>
    </w:p>
    <w:p>
      <w:pPr>
        <w:spacing w:after="0" w:line="1" w:lineRule="exact"/>
        <w:rPr>
          <w:rFonts w:ascii="Arial" w:cs="Arial" w:eastAsia="Arial" w:hAnsi="Arial"/>
          <w:sz w:val="16"/>
          <w:szCs w:val="16"/>
          <w:color w:val="auto"/>
        </w:rPr>
      </w:pPr>
    </w:p>
    <w:p>
      <w:pPr>
        <w:ind w:left="452" w:right="320" w:hanging="452"/>
        <w:spacing w:after="0" w:line="342" w:lineRule="auto"/>
        <w:tabs>
          <w:tab w:leader="none" w:pos="452"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difference between total assets and total tangible assets, and stockholders’ equity and tangible stockholders’ equity, represents goodwill, core deposit and other intangible assets, net of applicable deferred tax balances. A reconciliation of such balances appears in table 2.</w:t>
      </w:r>
    </w:p>
    <w:p>
      <w:pPr>
        <w:spacing w:after="0" w:line="96" w:lineRule="exact"/>
        <w:rPr>
          <w:rFonts w:ascii="Arial" w:cs="Arial" w:eastAsia="Arial" w:hAnsi="Arial"/>
          <w:sz w:val="16"/>
          <w:szCs w:val="16"/>
          <w:color w:val="auto"/>
        </w:rPr>
      </w:pPr>
    </w:p>
    <w:p>
      <w:pPr>
        <w:ind w:left="5612" w:hanging="101"/>
        <w:spacing w:after="0"/>
        <w:tabs>
          <w:tab w:leader="none" w:pos="5612" w:val="left"/>
        </w:tabs>
        <w:numPr>
          <w:ilvl w:val="1"/>
          <w:numId w:val="12"/>
        </w:numPr>
        <w:rPr>
          <w:rFonts w:ascii="Arial" w:cs="Arial" w:eastAsia="Arial" w:hAnsi="Arial"/>
          <w:sz w:val="18"/>
          <w:szCs w:val="18"/>
          <w:color w:val="auto"/>
        </w:rPr>
      </w:pPr>
      <w:r>
        <w:rPr>
          <w:rFonts w:ascii="Arial" w:cs="Arial" w:eastAsia="Arial" w:hAnsi="Arial"/>
          <w:sz w:val="18"/>
          <w:szCs w:val="18"/>
          <w:color w:val="auto"/>
        </w:rPr>
        <w:t>56 -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149860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52"/>
          </w:cols>
          <w:pgMar w:left="248" w:top="125" w:right="39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M&amp;T BANK CORPORATION AND SUBSIDIARIES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340" w:type="dxa"/>
            <w:vAlign w:val="bottom"/>
            <w:gridSpan w:val="2"/>
          </w:tcPr>
          <w:p>
            <w:pPr>
              <w:ind w:left="780"/>
              <w:spacing w:after="0"/>
              <w:rPr>
                <w:sz w:val="20"/>
                <w:szCs w:val="20"/>
                <w:color w:val="auto"/>
              </w:rPr>
            </w:pPr>
            <w:r>
              <w:rPr>
                <w:rFonts w:ascii="Arial" w:cs="Arial" w:eastAsia="Arial" w:hAnsi="Arial"/>
                <w:sz w:val="18"/>
                <w:szCs w:val="18"/>
                <w:color w:val="auto"/>
                <w:w w:val="89"/>
              </w:rPr>
              <w:t>Table 2</w:t>
            </w:r>
          </w:p>
        </w:tc>
      </w:tr>
      <w:tr>
        <w:trPr>
          <w:trHeight w:val="432"/>
        </w:trPr>
        <w:tc>
          <w:tcPr>
            <w:tcW w:w="5780" w:type="dxa"/>
            <w:vAlign w:val="bottom"/>
            <w:gridSpan w:val="4"/>
          </w:tcPr>
          <w:p>
            <w:pPr>
              <w:spacing w:after="0"/>
              <w:rPr>
                <w:sz w:val="20"/>
                <w:szCs w:val="20"/>
                <w:color w:val="auto"/>
              </w:rPr>
            </w:pPr>
            <w:r>
              <w:rPr>
                <w:rFonts w:ascii="Arial" w:cs="Arial" w:eastAsia="Arial" w:hAnsi="Arial"/>
                <w:sz w:val="18"/>
                <w:szCs w:val="18"/>
                <w:color w:val="auto"/>
                <w:w w:val="97"/>
              </w:rPr>
              <w:t>RECONCILIATION OF QUARTERLY GAAP TO NON-GAAP MEASURES</w:t>
            </w:r>
          </w:p>
        </w:tc>
        <w:tc>
          <w:tcPr>
            <w:tcW w:w="1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65"/>
        </w:trPr>
        <w:tc>
          <w:tcPr>
            <w:tcW w:w="20" w:type="dxa"/>
            <w:vAlign w:val="bottom"/>
          </w:tcPr>
          <w:p>
            <w:pPr>
              <w:spacing w:after="0"/>
              <w:rPr>
                <w:sz w:val="24"/>
                <w:szCs w:val="24"/>
                <w:color w:val="auto"/>
              </w:rPr>
            </w:pPr>
          </w:p>
        </w:tc>
        <w:tc>
          <w:tcPr>
            <w:tcW w:w="35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950"/>
              <w:spacing w:after="0"/>
              <w:rPr>
                <w:sz w:val="20"/>
                <w:szCs w:val="20"/>
                <w:color w:val="auto"/>
              </w:rPr>
            </w:pPr>
            <w:r>
              <w:rPr>
                <w:rFonts w:ascii="Arial" w:cs="Arial" w:eastAsia="Arial" w:hAnsi="Arial"/>
                <w:sz w:val="14"/>
                <w:szCs w:val="14"/>
                <w:color w:val="auto"/>
              </w:rPr>
              <w:t>2008</w:t>
            </w:r>
          </w:p>
        </w:tc>
        <w:tc>
          <w:tcPr>
            <w:tcW w:w="1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jc w:val="right"/>
              <w:ind w:right="1091"/>
              <w:spacing w:after="0"/>
              <w:rPr>
                <w:sz w:val="20"/>
                <w:szCs w:val="20"/>
                <w:color w:val="auto"/>
              </w:rPr>
            </w:pPr>
            <w:r>
              <w:rPr>
                <w:rFonts w:ascii="Arial" w:cs="Arial" w:eastAsia="Arial" w:hAnsi="Arial"/>
                <w:sz w:val="14"/>
                <w:szCs w:val="14"/>
                <w:color w:val="auto"/>
                <w:w w:val="91"/>
              </w:rPr>
              <w:t>2007 Quarters</w:t>
            </w:r>
          </w:p>
        </w:tc>
        <w:tc>
          <w:tcPr>
            <w:tcW w:w="13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49"/>
        </w:trPr>
        <w:tc>
          <w:tcPr>
            <w:tcW w:w="20" w:type="dxa"/>
            <w:vAlign w:val="bottom"/>
          </w:tcPr>
          <w:p>
            <w:pPr>
              <w:spacing w:after="0"/>
              <w:rPr>
                <w:sz w:val="12"/>
                <w:szCs w:val="12"/>
                <w:color w:val="auto"/>
              </w:rPr>
            </w:pPr>
          </w:p>
        </w:tc>
        <w:tc>
          <w:tcPr>
            <w:tcW w:w="3580" w:type="dxa"/>
            <w:vAlign w:val="bottom"/>
            <w:tcBorders>
              <w:bottom w:val="single" w:sz="8" w:color="auto"/>
            </w:tcBorders>
          </w:tcPr>
          <w:p>
            <w:pPr>
              <w:spacing w:after="0"/>
              <w:rPr>
                <w:sz w:val="12"/>
                <w:szCs w:val="12"/>
                <w:color w:val="auto"/>
              </w:rPr>
            </w:pPr>
          </w:p>
        </w:tc>
        <w:tc>
          <w:tcPr>
            <w:tcW w:w="2180" w:type="dxa"/>
            <w:vAlign w:val="bottom"/>
            <w:tcBorders>
              <w:bottom w:val="single" w:sz="8" w:color="auto"/>
            </w:tcBorders>
            <w:gridSpan w:val="2"/>
          </w:tcPr>
          <w:p>
            <w:pPr>
              <w:ind w:left="620"/>
              <w:spacing w:after="0" w:line="142" w:lineRule="exact"/>
              <w:rPr>
                <w:sz w:val="20"/>
                <w:szCs w:val="20"/>
                <w:color w:val="auto"/>
              </w:rPr>
            </w:pPr>
            <w:r>
              <w:rPr>
                <w:rFonts w:ascii="Arial" w:cs="Arial" w:eastAsia="Arial" w:hAnsi="Arial"/>
                <w:sz w:val="14"/>
                <w:szCs w:val="14"/>
                <w:color w:val="auto"/>
              </w:rPr>
              <w:t>First Quarter</w:t>
            </w:r>
          </w:p>
        </w:tc>
        <w:tc>
          <w:tcPr>
            <w:tcW w:w="1200" w:type="dxa"/>
            <w:vAlign w:val="bottom"/>
            <w:tcBorders>
              <w:bottom w:val="single" w:sz="8" w:color="auto"/>
            </w:tcBorders>
          </w:tcPr>
          <w:p>
            <w:pPr>
              <w:jc w:val="right"/>
              <w:ind w:right="550"/>
              <w:spacing w:after="0" w:line="142" w:lineRule="exact"/>
              <w:rPr>
                <w:sz w:val="20"/>
                <w:szCs w:val="20"/>
                <w:color w:val="auto"/>
              </w:rPr>
            </w:pPr>
            <w:r>
              <w:rPr>
                <w:rFonts w:ascii="Arial" w:cs="Arial" w:eastAsia="Arial" w:hAnsi="Arial"/>
                <w:sz w:val="14"/>
                <w:szCs w:val="14"/>
                <w:color w:val="auto"/>
              </w:rPr>
              <w:t>Fourth</w:t>
            </w:r>
          </w:p>
        </w:tc>
        <w:tc>
          <w:tcPr>
            <w:tcW w:w="1100" w:type="dxa"/>
            <w:vAlign w:val="bottom"/>
            <w:tcBorders>
              <w:bottom w:val="single" w:sz="8" w:color="auto"/>
            </w:tcBorders>
          </w:tcPr>
          <w:p>
            <w:pPr>
              <w:jc w:val="right"/>
              <w:ind w:right="110"/>
              <w:spacing w:after="0" w:line="142" w:lineRule="exact"/>
              <w:rPr>
                <w:sz w:val="20"/>
                <w:szCs w:val="20"/>
                <w:color w:val="auto"/>
              </w:rPr>
            </w:pPr>
            <w:r>
              <w:rPr>
                <w:rFonts w:ascii="Arial" w:cs="Arial" w:eastAsia="Arial" w:hAnsi="Arial"/>
                <w:sz w:val="14"/>
                <w:szCs w:val="14"/>
                <w:color w:val="auto"/>
              </w:rPr>
              <w:t>Third</w:t>
            </w:r>
          </w:p>
        </w:tc>
        <w:tc>
          <w:tcPr>
            <w:tcW w:w="2020" w:type="dxa"/>
            <w:vAlign w:val="bottom"/>
            <w:tcBorders>
              <w:bottom w:val="single" w:sz="8" w:color="auto"/>
            </w:tcBorders>
          </w:tcPr>
          <w:p>
            <w:pPr>
              <w:jc w:val="right"/>
              <w:ind w:right="511"/>
              <w:spacing w:after="0" w:line="142" w:lineRule="exact"/>
              <w:rPr>
                <w:sz w:val="20"/>
                <w:szCs w:val="20"/>
                <w:color w:val="auto"/>
              </w:rPr>
            </w:pPr>
            <w:r>
              <w:rPr>
                <w:rFonts w:ascii="Arial" w:cs="Arial" w:eastAsia="Arial" w:hAnsi="Arial"/>
                <w:sz w:val="14"/>
                <w:szCs w:val="14"/>
                <w:color w:val="auto"/>
              </w:rPr>
              <w:t>Second</w:t>
            </w:r>
          </w:p>
        </w:tc>
        <w:tc>
          <w:tcPr>
            <w:tcW w:w="1320" w:type="dxa"/>
            <w:vAlign w:val="bottom"/>
            <w:tcBorders>
              <w:bottom w:val="single" w:sz="8" w:color="auto"/>
            </w:tcBorders>
          </w:tcPr>
          <w:p>
            <w:pPr>
              <w:jc w:val="right"/>
              <w:ind w:right="350"/>
              <w:spacing w:after="0" w:line="142" w:lineRule="exact"/>
              <w:rPr>
                <w:sz w:val="20"/>
                <w:szCs w:val="20"/>
                <w:color w:val="auto"/>
              </w:rPr>
            </w:pPr>
            <w:r>
              <w:rPr>
                <w:rFonts w:ascii="Arial" w:cs="Arial" w:eastAsia="Arial" w:hAnsi="Arial"/>
                <w:sz w:val="14"/>
                <w:szCs w:val="14"/>
                <w:color w:val="auto"/>
              </w:rPr>
              <w:t>First</w:t>
            </w:r>
          </w:p>
        </w:tc>
        <w:tc>
          <w:tcPr>
            <w:tcW w:w="2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statement data</w:t>
            </w:r>
          </w:p>
        </w:tc>
        <w:tc>
          <w:tcPr>
            <w:tcW w:w="7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In thousands, except per share</w:t>
            </w:r>
          </w:p>
        </w:tc>
        <w:tc>
          <w:tcPr>
            <w:tcW w:w="7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7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700" w:type="dxa"/>
            <w:vAlign w:val="bottom"/>
            <w:shd w:val="clear" w:color="auto" w:fill="CCEEFF"/>
          </w:tcPr>
          <w:p>
            <w:pPr>
              <w:ind w:left="60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86"/>
              </w:rPr>
              <w:t>202,196</w:t>
            </w:r>
          </w:p>
        </w:tc>
        <w:tc>
          <w:tcPr>
            <w:tcW w:w="120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64,930</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199,187</w:t>
            </w:r>
          </w:p>
        </w:tc>
        <w:tc>
          <w:tcPr>
            <w:tcW w:w="2020" w:type="dxa"/>
            <w:vAlign w:val="bottom"/>
            <w:shd w:val="clear" w:color="auto" w:fill="CCEEFF"/>
          </w:tcPr>
          <w:p>
            <w:pPr>
              <w:jc w:val="right"/>
              <w:ind w:right="431"/>
              <w:spacing w:after="0"/>
              <w:rPr>
                <w:sz w:val="20"/>
                <w:szCs w:val="20"/>
                <w:color w:val="auto"/>
              </w:rPr>
            </w:pPr>
            <w:r>
              <w:rPr>
                <w:rFonts w:ascii="Arial" w:cs="Arial" w:eastAsia="Arial" w:hAnsi="Arial"/>
                <w:sz w:val="18"/>
                <w:szCs w:val="18"/>
                <w:color w:val="auto"/>
              </w:rPr>
              <w:t>214,169</w:t>
            </w:r>
          </w:p>
        </w:tc>
        <w:tc>
          <w:tcPr>
            <w:tcW w:w="13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175,973</w:t>
            </w:r>
          </w:p>
        </w:tc>
        <w:tc>
          <w:tcPr>
            <w:tcW w:w="2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3580" w:type="dxa"/>
            <w:vAlign w:val="bottom"/>
          </w:tcPr>
          <w:p>
            <w:pPr>
              <w:spacing w:after="0" w:line="201" w:lineRule="exact"/>
              <w:rPr>
                <w:sz w:val="20"/>
                <w:szCs w:val="20"/>
                <w:color w:val="auto"/>
              </w:rPr>
            </w:pPr>
            <w:r>
              <w:rPr>
                <w:rFonts w:ascii="Arial" w:cs="Arial" w:eastAsia="Arial" w:hAnsi="Arial"/>
                <w:sz w:val="18"/>
                <w:szCs w:val="18"/>
                <w:color w:val="auto"/>
                <w:w w:val="92"/>
              </w:rPr>
              <w:t>Amortization of core deposit and other intangible</w:t>
            </w:r>
          </w:p>
        </w:tc>
        <w:tc>
          <w:tcPr>
            <w:tcW w:w="7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580" w:type="dxa"/>
            <w:vAlign w:val="bottom"/>
          </w:tcPr>
          <w:p>
            <w:pPr>
              <w:ind w:left="200"/>
              <w:spacing w:after="0"/>
              <w:rPr>
                <w:sz w:val="20"/>
                <w:szCs w:val="20"/>
                <w:color w:val="auto"/>
              </w:rPr>
            </w:pPr>
            <w:r>
              <w:rPr>
                <w:rFonts w:ascii="Arial" w:cs="Arial" w:eastAsia="Arial" w:hAnsi="Arial"/>
                <w:sz w:val="18"/>
                <w:szCs w:val="18"/>
                <w:color w:val="auto"/>
              </w:rPr>
              <w:t>assets (a)</w:t>
            </w:r>
          </w:p>
        </w:tc>
        <w:tc>
          <w:tcPr>
            <w:tcW w:w="700" w:type="dxa"/>
            <w:vAlign w:val="bottom"/>
          </w:tcPr>
          <w:p>
            <w:pPr>
              <w:spacing w:after="0"/>
              <w:rPr>
                <w:sz w:val="20"/>
                <w:szCs w:val="20"/>
                <w:color w:val="auto"/>
              </w:rPr>
            </w:pPr>
          </w:p>
        </w:tc>
        <w:tc>
          <w:tcPr>
            <w:tcW w:w="1480" w:type="dxa"/>
            <w:vAlign w:val="bottom"/>
          </w:tcPr>
          <w:p>
            <w:pPr>
              <w:jc w:val="right"/>
              <w:ind w:right="810"/>
              <w:spacing w:after="0"/>
              <w:rPr>
                <w:sz w:val="20"/>
                <w:szCs w:val="20"/>
                <w:color w:val="auto"/>
              </w:rPr>
            </w:pPr>
            <w:r>
              <w:rPr>
                <w:rFonts w:ascii="Arial" w:cs="Arial" w:eastAsia="Arial" w:hAnsi="Arial"/>
                <w:sz w:val="18"/>
                <w:szCs w:val="18"/>
                <w:color w:val="auto"/>
              </w:rPr>
              <w:t>11,241</w:t>
            </w:r>
          </w:p>
        </w:tc>
        <w:tc>
          <w:tcPr>
            <w:tcW w:w="1200" w:type="dxa"/>
            <w:vAlign w:val="bottom"/>
          </w:tcPr>
          <w:p>
            <w:pPr>
              <w:jc w:val="right"/>
              <w:ind w:right="430"/>
              <w:spacing w:after="0"/>
              <w:rPr>
                <w:sz w:val="20"/>
                <w:szCs w:val="20"/>
                <w:color w:val="auto"/>
              </w:rPr>
            </w:pPr>
            <w:r>
              <w:rPr>
                <w:rFonts w:ascii="Arial" w:cs="Arial" w:eastAsia="Arial" w:hAnsi="Arial"/>
                <w:sz w:val="18"/>
                <w:szCs w:val="18"/>
                <w:color w:val="auto"/>
              </w:rPr>
              <w:t>9,719</w:t>
            </w:r>
          </w:p>
        </w:tc>
        <w:tc>
          <w:tcPr>
            <w:tcW w:w="1100" w:type="dxa"/>
            <w:vAlign w:val="bottom"/>
          </w:tcPr>
          <w:p>
            <w:pPr>
              <w:jc w:val="right"/>
              <w:spacing w:after="0"/>
              <w:rPr>
                <w:sz w:val="20"/>
                <w:szCs w:val="20"/>
                <w:color w:val="auto"/>
              </w:rPr>
            </w:pPr>
            <w:r>
              <w:rPr>
                <w:rFonts w:ascii="Arial" w:cs="Arial" w:eastAsia="Arial" w:hAnsi="Arial"/>
                <w:sz w:val="18"/>
                <w:szCs w:val="18"/>
                <w:color w:val="auto"/>
              </w:rPr>
              <w:t>9,562</w:t>
            </w:r>
          </w:p>
        </w:tc>
        <w:tc>
          <w:tcPr>
            <w:tcW w:w="2020" w:type="dxa"/>
            <w:vAlign w:val="bottom"/>
          </w:tcPr>
          <w:p>
            <w:pPr>
              <w:jc w:val="right"/>
              <w:ind w:right="431"/>
              <w:spacing w:after="0"/>
              <w:rPr>
                <w:sz w:val="20"/>
                <w:szCs w:val="20"/>
                <w:color w:val="auto"/>
              </w:rPr>
            </w:pPr>
            <w:r>
              <w:rPr>
                <w:rFonts w:ascii="Arial" w:cs="Arial" w:eastAsia="Arial" w:hAnsi="Arial"/>
                <w:sz w:val="18"/>
                <w:szCs w:val="18"/>
                <w:color w:val="auto"/>
              </w:rPr>
              <w:t>10,021</w:t>
            </w:r>
          </w:p>
        </w:tc>
        <w:tc>
          <w:tcPr>
            <w:tcW w:w="1320" w:type="dxa"/>
            <w:vAlign w:val="bottom"/>
          </w:tcPr>
          <w:p>
            <w:pPr>
              <w:jc w:val="right"/>
              <w:ind w:right="190"/>
              <w:spacing w:after="0"/>
              <w:rPr>
                <w:sz w:val="20"/>
                <w:szCs w:val="20"/>
                <w:color w:val="auto"/>
              </w:rPr>
            </w:pPr>
            <w:r>
              <w:rPr>
                <w:rFonts w:ascii="Arial" w:cs="Arial" w:eastAsia="Arial" w:hAnsi="Arial"/>
                <w:sz w:val="18"/>
                <w:szCs w:val="18"/>
                <w:color w:val="auto"/>
              </w:rPr>
              <w:t>11,189</w:t>
            </w:r>
          </w:p>
        </w:tc>
        <w:tc>
          <w:tcPr>
            <w:tcW w:w="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5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Merger-related expenses (a)</w:t>
            </w:r>
          </w:p>
        </w:tc>
        <w:tc>
          <w:tcPr>
            <w:tcW w:w="70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rPr>
              <w:t>2,160</w:t>
            </w:r>
          </w:p>
        </w:tc>
        <w:tc>
          <w:tcPr>
            <w:tcW w:w="120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9,070</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20" w:type="dxa"/>
            <w:vAlign w:val="bottom"/>
            <w:tcBorders>
              <w:bottom w:val="single" w:sz="8" w:color="auto"/>
            </w:tcBorders>
            <w:shd w:val="clear" w:color="auto" w:fill="CCEEFF"/>
          </w:tcPr>
          <w:p>
            <w:pPr>
              <w:jc w:val="right"/>
              <w:ind w:right="431"/>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58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Net operating income</w:t>
            </w:r>
          </w:p>
        </w:tc>
        <w:tc>
          <w:tcPr>
            <w:tcW w:w="70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color w:val="auto"/>
                <w:w w:val="86"/>
              </w:rPr>
              <w:t>215,597</w:t>
            </w:r>
          </w:p>
        </w:tc>
        <w:tc>
          <w:tcPr>
            <w:tcW w:w="12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83,719</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208,749</w:t>
            </w:r>
          </w:p>
        </w:tc>
        <w:tc>
          <w:tcPr>
            <w:tcW w:w="2020" w:type="dxa"/>
            <w:vAlign w:val="bottom"/>
            <w:tcBorders>
              <w:bottom w:val="single" w:sz="8" w:color="auto"/>
            </w:tcBorders>
          </w:tcPr>
          <w:p>
            <w:pPr>
              <w:jc w:val="right"/>
              <w:ind w:right="431"/>
              <w:spacing w:after="0"/>
              <w:rPr>
                <w:sz w:val="20"/>
                <w:szCs w:val="20"/>
                <w:color w:val="auto"/>
              </w:rPr>
            </w:pPr>
            <w:r>
              <w:rPr>
                <w:rFonts w:ascii="Arial" w:cs="Arial" w:eastAsia="Arial" w:hAnsi="Arial"/>
                <w:sz w:val="18"/>
                <w:szCs w:val="18"/>
                <w:color w:val="auto"/>
              </w:rPr>
              <w:t>224,190</w:t>
            </w:r>
          </w:p>
        </w:tc>
        <w:tc>
          <w:tcPr>
            <w:tcW w:w="13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187,162</w:t>
            </w:r>
          </w:p>
        </w:tc>
        <w:tc>
          <w:tcPr>
            <w:tcW w:w="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Earnings per share</w:t>
            </w:r>
          </w:p>
        </w:tc>
        <w:tc>
          <w:tcPr>
            <w:tcW w:w="7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Diluted earnings per common share</w:t>
            </w:r>
          </w:p>
        </w:tc>
        <w:tc>
          <w:tcPr>
            <w:tcW w:w="700" w:type="dxa"/>
            <w:vAlign w:val="bottom"/>
          </w:tcPr>
          <w:p>
            <w:pPr>
              <w:ind w:left="600"/>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ind w:right="810"/>
              <w:spacing w:after="0"/>
              <w:rPr>
                <w:sz w:val="20"/>
                <w:szCs w:val="20"/>
                <w:color w:val="auto"/>
              </w:rPr>
            </w:pPr>
            <w:r>
              <w:rPr>
                <w:rFonts w:ascii="Arial" w:cs="Arial" w:eastAsia="Arial" w:hAnsi="Arial"/>
                <w:sz w:val="18"/>
                <w:szCs w:val="18"/>
                <w:color w:val="auto"/>
              </w:rPr>
              <w:t>1.82</w:t>
            </w:r>
          </w:p>
        </w:tc>
        <w:tc>
          <w:tcPr>
            <w:tcW w:w="1200" w:type="dxa"/>
            <w:vAlign w:val="bottom"/>
          </w:tcPr>
          <w:p>
            <w:pPr>
              <w:jc w:val="right"/>
              <w:ind w:right="430"/>
              <w:spacing w:after="0"/>
              <w:rPr>
                <w:sz w:val="20"/>
                <w:szCs w:val="20"/>
                <w:color w:val="auto"/>
              </w:rPr>
            </w:pPr>
            <w:r>
              <w:rPr>
                <w:rFonts w:ascii="Arial" w:cs="Arial" w:eastAsia="Arial" w:hAnsi="Arial"/>
                <w:sz w:val="18"/>
                <w:szCs w:val="18"/>
                <w:color w:val="auto"/>
              </w:rPr>
              <w:t>.60</w:t>
            </w:r>
          </w:p>
        </w:tc>
        <w:tc>
          <w:tcPr>
            <w:tcW w:w="1100" w:type="dxa"/>
            <w:vAlign w:val="bottom"/>
          </w:tcPr>
          <w:p>
            <w:pPr>
              <w:jc w:val="right"/>
              <w:spacing w:after="0"/>
              <w:rPr>
                <w:sz w:val="20"/>
                <w:szCs w:val="20"/>
                <w:color w:val="auto"/>
              </w:rPr>
            </w:pPr>
            <w:r>
              <w:rPr>
                <w:rFonts w:ascii="Arial" w:cs="Arial" w:eastAsia="Arial" w:hAnsi="Arial"/>
                <w:sz w:val="18"/>
                <w:szCs w:val="18"/>
                <w:color w:val="auto"/>
              </w:rPr>
              <w:t>1.83</w:t>
            </w:r>
          </w:p>
        </w:tc>
        <w:tc>
          <w:tcPr>
            <w:tcW w:w="2020" w:type="dxa"/>
            <w:vAlign w:val="bottom"/>
          </w:tcPr>
          <w:p>
            <w:pPr>
              <w:jc w:val="right"/>
              <w:ind w:right="431"/>
              <w:spacing w:after="0"/>
              <w:rPr>
                <w:sz w:val="20"/>
                <w:szCs w:val="20"/>
                <w:color w:val="auto"/>
              </w:rPr>
            </w:pPr>
            <w:r>
              <w:rPr>
                <w:rFonts w:ascii="Arial" w:cs="Arial" w:eastAsia="Arial" w:hAnsi="Arial"/>
                <w:sz w:val="18"/>
                <w:szCs w:val="18"/>
                <w:color w:val="auto"/>
              </w:rPr>
              <w:t>1.95</w:t>
            </w:r>
          </w:p>
        </w:tc>
        <w:tc>
          <w:tcPr>
            <w:tcW w:w="1320" w:type="dxa"/>
            <w:vAlign w:val="bottom"/>
          </w:tcPr>
          <w:p>
            <w:pPr>
              <w:jc w:val="right"/>
              <w:ind w:right="170"/>
              <w:spacing w:after="0"/>
              <w:rPr>
                <w:sz w:val="20"/>
                <w:szCs w:val="20"/>
                <w:color w:val="auto"/>
              </w:rPr>
            </w:pPr>
            <w:r>
              <w:rPr>
                <w:rFonts w:ascii="Arial" w:cs="Arial" w:eastAsia="Arial" w:hAnsi="Arial"/>
                <w:sz w:val="18"/>
                <w:szCs w:val="18"/>
                <w:color w:val="auto"/>
              </w:rPr>
              <w:t>1.57</w:t>
            </w:r>
          </w:p>
        </w:tc>
        <w:tc>
          <w:tcPr>
            <w:tcW w:w="2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35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Amortization of core deposit and other intangible</w:t>
            </w:r>
          </w:p>
        </w:tc>
        <w:tc>
          <w:tcPr>
            <w:tcW w:w="7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assets (a)</w:t>
            </w:r>
          </w:p>
        </w:tc>
        <w:tc>
          <w:tcPr>
            <w:tcW w:w="700" w:type="dxa"/>
            <w:vAlign w:val="bottom"/>
            <w:shd w:val="clear" w:color="auto" w:fill="CCEEFF"/>
          </w:tcPr>
          <w:p>
            <w:pPr>
              <w:spacing w:after="0"/>
              <w:rPr>
                <w:sz w:val="20"/>
                <w:szCs w:val="20"/>
                <w:color w:val="auto"/>
              </w:rPr>
            </w:pPr>
          </w:p>
        </w:tc>
        <w:tc>
          <w:tcPr>
            <w:tcW w:w="148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rPr>
              <w:t>.10</w:t>
            </w:r>
          </w:p>
        </w:tc>
        <w:tc>
          <w:tcPr>
            <w:tcW w:w="120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.09</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2020" w:type="dxa"/>
            <w:vAlign w:val="bottom"/>
            <w:shd w:val="clear" w:color="auto" w:fill="CCEEFF"/>
          </w:tcPr>
          <w:p>
            <w:pPr>
              <w:jc w:val="right"/>
              <w:ind w:right="431"/>
              <w:spacing w:after="0"/>
              <w:rPr>
                <w:sz w:val="20"/>
                <w:szCs w:val="20"/>
                <w:color w:val="auto"/>
              </w:rPr>
            </w:pPr>
            <w:r>
              <w:rPr>
                <w:rFonts w:ascii="Arial" w:cs="Arial" w:eastAsia="Arial" w:hAnsi="Arial"/>
                <w:sz w:val="18"/>
                <w:szCs w:val="18"/>
                <w:color w:val="auto"/>
              </w:rPr>
              <w:t>.09</w:t>
            </w:r>
          </w:p>
        </w:tc>
        <w:tc>
          <w:tcPr>
            <w:tcW w:w="13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3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Merger-related expenses (a)</w:t>
            </w:r>
          </w:p>
        </w:tc>
        <w:tc>
          <w:tcPr>
            <w:tcW w:w="7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color w:val="auto"/>
              </w:rPr>
              <w:t>.02</w:t>
            </w:r>
          </w:p>
        </w:tc>
        <w:tc>
          <w:tcPr>
            <w:tcW w:w="12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.08</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20" w:type="dxa"/>
            <w:vAlign w:val="bottom"/>
            <w:tcBorders>
              <w:bottom w:val="single" w:sz="8" w:color="auto"/>
            </w:tcBorders>
          </w:tcPr>
          <w:p>
            <w:pPr>
              <w:jc w:val="right"/>
              <w:ind w:right="431"/>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58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Diluted net operating earnings per share</w:t>
            </w:r>
          </w:p>
        </w:tc>
        <w:tc>
          <w:tcPr>
            <w:tcW w:w="70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rPr>
              <w:t>1.94</w:t>
            </w:r>
          </w:p>
        </w:tc>
        <w:tc>
          <w:tcPr>
            <w:tcW w:w="120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.77</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2020" w:type="dxa"/>
            <w:vAlign w:val="bottom"/>
            <w:tcBorders>
              <w:bottom w:val="single" w:sz="8" w:color="auto"/>
            </w:tcBorders>
            <w:shd w:val="clear" w:color="auto" w:fill="CCEEFF"/>
          </w:tcPr>
          <w:p>
            <w:pPr>
              <w:jc w:val="right"/>
              <w:ind w:right="431"/>
              <w:spacing w:after="0"/>
              <w:rPr>
                <w:sz w:val="20"/>
                <w:szCs w:val="20"/>
                <w:color w:val="auto"/>
              </w:rPr>
            </w:pPr>
            <w:r>
              <w:rPr>
                <w:rFonts w:ascii="Arial" w:cs="Arial" w:eastAsia="Arial" w:hAnsi="Arial"/>
                <w:sz w:val="18"/>
                <w:szCs w:val="18"/>
                <w:color w:val="auto"/>
              </w:rPr>
              <w:t>2.04</w:t>
            </w:r>
          </w:p>
        </w:tc>
        <w:tc>
          <w:tcPr>
            <w:tcW w:w="13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1.67</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580" w:type="dxa"/>
            <w:vAlign w:val="bottom"/>
          </w:tcPr>
          <w:p>
            <w:pPr>
              <w:spacing w:after="0"/>
              <w:rPr>
                <w:sz w:val="20"/>
                <w:szCs w:val="20"/>
                <w:color w:val="auto"/>
              </w:rPr>
            </w:pPr>
            <w:r>
              <w:rPr>
                <w:rFonts w:ascii="Arial" w:cs="Arial" w:eastAsia="Arial" w:hAnsi="Arial"/>
                <w:sz w:val="18"/>
                <w:szCs w:val="18"/>
                <w:b w:val="1"/>
                <w:bCs w:val="1"/>
                <w:color w:val="auto"/>
              </w:rPr>
              <w:t>Other expense</w:t>
            </w:r>
          </w:p>
        </w:tc>
        <w:tc>
          <w:tcPr>
            <w:tcW w:w="7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Other expense</w:t>
            </w:r>
          </w:p>
        </w:tc>
        <w:tc>
          <w:tcPr>
            <w:tcW w:w="700" w:type="dxa"/>
            <w:vAlign w:val="bottom"/>
            <w:shd w:val="clear" w:color="auto" w:fill="CCEEFF"/>
          </w:tcPr>
          <w:p>
            <w:pPr>
              <w:ind w:left="60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86"/>
              </w:rPr>
              <w:t>425,704</w:t>
            </w:r>
          </w:p>
        </w:tc>
        <w:tc>
          <w:tcPr>
            <w:tcW w:w="120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445,473</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390,528</w:t>
            </w:r>
          </w:p>
        </w:tc>
        <w:tc>
          <w:tcPr>
            <w:tcW w:w="2020" w:type="dxa"/>
            <w:vAlign w:val="bottom"/>
            <w:shd w:val="clear" w:color="auto" w:fill="CCEEFF"/>
          </w:tcPr>
          <w:p>
            <w:pPr>
              <w:jc w:val="right"/>
              <w:ind w:right="431"/>
              <w:spacing w:after="0"/>
              <w:rPr>
                <w:sz w:val="20"/>
                <w:szCs w:val="20"/>
                <w:color w:val="auto"/>
              </w:rPr>
            </w:pPr>
            <w:r>
              <w:rPr>
                <w:rFonts w:ascii="Arial" w:cs="Arial" w:eastAsia="Arial" w:hAnsi="Arial"/>
                <w:sz w:val="18"/>
                <w:szCs w:val="18"/>
                <w:color w:val="auto"/>
              </w:rPr>
              <w:t>392,651</w:t>
            </w:r>
          </w:p>
        </w:tc>
        <w:tc>
          <w:tcPr>
            <w:tcW w:w="13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399,037</w:t>
            </w:r>
          </w:p>
        </w:tc>
        <w:tc>
          <w:tcPr>
            <w:tcW w:w="2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3580" w:type="dxa"/>
            <w:vAlign w:val="bottom"/>
          </w:tcPr>
          <w:p>
            <w:pPr>
              <w:spacing w:after="0" w:line="201" w:lineRule="exact"/>
              <w:rPr>
                <w:sz w:val="20"/>
                <w:szCs w:val="20"/>
                <w:color w:val="auto"/>
              </w:rPr>
            </w:pPr>
            <w:r>
              <w:rPr>
                <w:rFonts w:ascii="Arial" w:cs="Arial" w:eastAsia="Arial" w:hAnsi="Arial"/>
                <w:sz w:val="18"/>
                <w:szCs w:val="18"/>
                <w:color w:val="auto"/>
                <w:w w:val="92"/>
              </w:rPr>
              <w:t>Amortization of core deposit and other intangible</w:t>
            </w:r>
          </w:p>
        </w:tc>
        <w:tc>
          <w:tcPr>
            <w:tcW w:w="7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580" w:type="dxa"/>
            <w:vAlign w:val="bottom"/>
          </w:tcPr>
          <w:p>
            <w:pPr>
              <w:ind w:left="200"/>
              <w:spacing w:after="0"/>
              <w:rPr>
                <w:sz w:val="20"/>
                <w:szCs w:val="20"/>
                <w:color w:val="auto"/>
              </w:rPr>
            </w:pPr>
            <w:r>
              <w:rPr>
                <w:rFonts w:ascii="Arial" w:cs="Arial" w:eastAsia="Arial" w:hAnsi="Arial"/>
                <w:sz w:val="18"/>
                <w:szCs w:val="18"/>
                <w:color w:val="auto"/>
              </w:rPr>
              <w:t>assets</w:t>
            </w:r>
          </w:p>
        </w:tc>
        <w:tc>
          <w:tcPr>
            <w:tcW w:w="700" w:type="dxa"/>
            <w:vAlign w:val="bottom"/>
          </w:tcPr>
          <w:p>
            <w:pPr>
              <w:spacing w:after="0"/>
              <w:rPr>
                <w:sz w:val="20"/>
                <w:szCs w:val="20"/>
                <w:color w:val="auto"/>
              </w:rPr>
            </w:pPr>
          </w:p>
        </w:tc>
        <w:tc>
          <w:tcPr>
            <w:tcW w:w="1480" w:type="dxa"/>
            <w:vAlign w:val="bottom"/>
          </w:tcPr>
          <w:p>
            <w:pPr>
              <w:jc w:val="right"/>
              <w:ind w:right="750"/>
              <w:spacing w:after="0"/>
              <w:rPr>
                <w:sz w:val="20"/>
                <w:szCs w:val="20"/>
                <w:color w:val="auto"/>
              </w:rPr>
            </w:pPr>
            <w:r>
              <w:rPr>
                <w:rFonts w:ascii="Arial" w:cs="Arial" w:eastAsia="Arial" w:hAnsi="Arial"/>
                <w:sz w:val="18"/>
                <w:szCs w:val="18"/>
                <w:color w:val="auto"/>
                <w:w w:val="92"/>
              </w:rPr>
              <w:t>(18,483)</w:t>
            </w:r>
          </w:p>
        </w:tc>
        <w:tc>
          <w:tcPr>
            <w:tcW w:w="1200" w:type="dxa"/>
            <w:vAlign w:val="bottom"/>
          </w:tcPr>
          <w:p>
            <w:pPr>
              <w:jc w:val="right"/>
              <w:ind w:right="370"/>
              <w:spacing w:after="0"/>
              <w:rPr>
                <w:sz w:val="20"/>
                <w:szCs w:val="20"/>
                <w:color w:val="auto"/>
              </w:rPr>
            </w:pPr>
            <w:r>
              <w:rPr>
                <w:rFonts w:ascii="Arial" w:cs="Arial" w:eastAsia="Arial" w:hAnsi="Arial"/>
                <w:sz w:val="18"/>
                <w:szCs w:val="18"/>
                <w:color w:val="auto"/>
              </w:rPr>
              <w:t>(15,971)</w:t>
            </w:r>
          </w:p>
        </w:tc>
        <w:tc>
          <w:tcPr>
            <w:tcW w:w="1100" w:type="dxa"/>
            <w:vAlign w:val="bottom"/>
          </w:tcPr>
          <w:p>
            <w:pPr>
              <w:jc w:val="right"/>
              <w:spacing w:after="0"/>
              <w:rPr>
                <w:sz w:val="20"/>
                <w:szCs w:val="20"/>
                <w:color w:val="auto"/>
              </w:rPr>
            </w:pPr>
            <w:r>
              <w:rPr>
                <w:rFonts w:ascii="Arial" w:cs="Arial" w:eastAsia="Arial" w:hAnsi="Arial"/>
                <w:sz w:val="18"/>
                <w:szCs w:val="18"/>
                <w:color w:val="auto"/>
              </w:rPr>
              <w:t>(15,702)</w:t>
            </w:r>
          </w:p>
        </w:tc>
        <w:tc>
          <w:tcPr>
            <w:tcW w:w="2020" w:type="dxa"/>
            <w:vAlign w:val="bottom"/>
          </w:tcPr>
          <w:p>
            <w:pPr>
              <w:jc w:val="right"/>
              <w:ind w:right="371"/>
              <w:spacing w:after="0"/>
              <w:rPr>
                <w:sz w:val="20"/>
                <w:szCs w:val="20"/>
                <w:color w:val="auto"/>
              </w:rPr>
            </w:pPr>
            <w:r>
              <w:rPr>
                <w:rFonts w:ascii="Arial" w:cs="Arial" w:eastAsia="Arial" w:hAnsi="Arial"/>
                <w:sz w:val="18"/>
                <w:szCs w:val="18"/>
                <w:color w:val="auto"/>
              </w:rPr>
              <w:t>(16,457)</w:t>
            </w: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(18,356)</w:t>
            </w:r>
          </w:p>
        </w:tc>
        <w:tc>
          <w:tcPr>
            <w:tcW w:w="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5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Merger-related expenses</w:t>
            </w:r>
          </w:p>
        </w:tc>
        <w:tc>
          <w:tcPr>
            <w:tcW w:w="70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rPr>
              <w:t>(3,547)</w:t>
            </w:r>
          </w:p>
        </w:tc>
        <w:tc>
          <w:tcPr>
            <w:tcW w:w="120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(14,887)</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20" w:type="dxa"/>
            <w:vAlign w:val="bottom"/>
            <w:tcBorders>
              <w:bottom w:val="single" w:sz="8" w:color="auto"/>
            </w:tcBorders>
            <w:shd w:val="clear" w:color="auto" w:fill="CCEEFF"/>
          </w:tcPr>
          <w:p>
            <w:pPr>
              <w:jc w:val="right"/>
              <w:ind w:right="431"/>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58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Noninterest operating expense</w:t>
            </w:r>
          </w:p>
        </w:tc>
        <w:tc>
          <w:tcPr>
            <w:tcW w:w="70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color w:val="auto"/>
                <w:w w:val="86"/>
              </w:rPr>
              <w:t>403,674</w:t>
            </w:r>
          </w:p>
        </w:tc>
        <w:tc>
          <w:tcPr>
            <w:tcW w:w="12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414,615</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374,826</w:t>
            </w:r>
          </w:p>
        </w:tc>
        <w:tc>
          <w:tcPr>
            <w:tcW w:w="2020" w:type="dxa"/>
            <w:vAlign w:val="bottom"/>
            <w:tcBorders>
              <w:bottom w:val="single" w:sz="8" w:color="auto"/>
            </w:tcBorders>
          </w:tcPr>
          <w:p>
            <w:pPr>
              <w:jc w:val="right"/>
              <w:ind w:right="431"/>
              <w:spacing w:after="0"/>
              <w:rPr>
                <w:sz w:val="20"/>
                <w:szCs w:val="20"/>
                <w:color w:val="auto"/>
              </w:rPr>
            </w:pPr>
            <w:r>
              <w:rPr>
                <w:rFonts w:ascii="Arial" w:cs="Arial" w:eastAsia="Arial" w:hAnsi="Arial"/>
                <w:sz w:val="18"/>
                <w:szCs w:val="18"/>
                <w:color w:val="auto"/>
              </w:rPr>
              <w:t>376,194</w:t>
            </w:r>
          </w:p>
        </w:tc>
        <w:tc>
          <w:tcPr>
            <w:tcW w:w="13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380,681</w:t>
            </w:r>
          </w:p>
        </w:tc>
        <w:tc>
          <w:tcPr>
            <w:tcW w:w="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Merger-related expenses</w:t>
            </w:r>
          </w:p>
        </w:tc>
        <w:tc>
          <w:tcPr>
            <w:tcW w:w="7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Salaries and employee benefits</w:t>
            </w:r>
          </w:p>
        </w:tc>
        <w:tc>
          <w:tcPr>
            <w:tcW w:w="700" w:type="dxa"/>
            <w:vAlign w:val="bottom"/>
          </w:tcPr>
          <w:p>
            <w:pPr>
              <w:ind w:left="600"/>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ind w:right="810"/>
              <w:spacing w:after="0"/>
              <w:rPr>
                <w:sz w:val="20"/>
                <w:szCs w:val="20"/>
                <w:color w:val="auto"/>
              </w:rPr>
            </w:pPr>
            <w:r>
              <w:rPr>
                <w:rFonts w:ascii="Arial" w:cs="Arial" w:eastAsia="Arial" w:hAnsi="Arial"/>
                <w:sz w:val="18"/>
                <w:szCs w:val="18"/>
                <w:color w:val="auto"/>
              </w:rPr>
              <w:t>62</w:t>
            </w:r>
          </w:p>
        </w:tc>
        <w:tc>
          <w:tcPr>
            <w:tcW w:w="1200" w:type="dxa"/>
            <w:vAlign w:val="bottom"/>
          </w:tcPr>
          <w:p>
            <w:pPr>
              <w:jc w:val="right"/>
              <w:ind w:right="430"/>
              <w:spacing w:after="0"/>
              <w:rPr>
                <w:sz w:val="20"/>
                <w:szCs w:val="20"/>
                <w:color w:val="auto"/>
              </w:rPr>
            </w:pPr>
            <w:r>
              <w:rPr>
                <w:rFonts w:ascii="Arial" w:cs="Arial" w:eastAsia="Arial" w:hAnsi="Arial"/>
                <w:sz w:val="18"/>
                <w:szCs w:val="18"/>
                <w:color w:val="auto"/>
              </w:rPr>
              <w:t>1,333</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020" w:type="dxa"/>
            <w:vAlign w:val="bottom"/>
          </w:tcPr>
          <w:p>
            <w:pPr>
              <w:jc w:val="right"/>
              <w:ind w:right="431"/>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Equipment and net occupancy</w:t>
            </w:r>
          </w:p>
        </w:tc>
        <w:tc>
          <w:tcPr>
            <w:tcW w:w="70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rPr>
              <w:t>49</w:t>
            </w:r>
          </w:p>
        </w:tc>
        <w:tc>
          <w:tcPr>
            <w:tcW w:w="120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238</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20" w:type="dxa"/>
            <w:vAlign w:val="bottom"/>
            <w:shd w:val="clear" w:color="auto" w:fill="CCEEFF"/>
          </w:tcPr>
          <w:p>
            <w:pPr>
              <w:jc w:val="right"/>
              <w:ind w:right="431"/>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Printing, postage and supplies</w:t>
            </w:r>
          </w:p>
        </w:tc>
        <w:tc>
          <w:tcPr>
            <w:tcW w:w="700" w:type="dxa"/>
            <w:vAlign w:val="bottom"/>
          </w:tcPr>
          <w:p>
            <w:pPr>
              <w:spacing w:after="0"/>
              <w:rPr>
                <w:sz w:val="18"/>
                <w:szCs w:val="18"/>
                <w:color w:val="auto"/>
              </w:rPr>
            </w:pPr>
          </w:p>
        </w:tc>
        <w:tc>
          <w:tcPr>
            <w:tcW w:w="1480" w:type="dxa"/>
            <w:vAlign w:val="bottom"/>
          </w:tcPr>
          <w:p>
            <w:pPr>
              <w:jc w:val="right"/>
              <w:ind w:right="810"/>
              <w:spacing w:after="0"/>
              <w:rPr>
                <w:sz w:val="20"/>
                <w:szCs w:val="20"/>
                <w:color w:val="auto"/>
              </w:rPr>
            </w:pPr>
            <w:r>
              <w:rPr>
                <w:rFonts w:ascii="Arial" w:cs="Arial" w:eastAsia="Arial" w:hAnsi="Arial"/>
                <w:sz w:val="18"/>
                <w:szCs w:val="18"/>
                <w:color w:val="auto"/>
              </w:rPr>
              <w:t>367</w:t>
            </w:r>
          </w:p>
        </w:tc>
        <w:tc>
          <w:tcPr>
            <w:tcW w:w="1200" w:type="dxa"/>
            <w:vAlign w:val="bottom"/>
          </w:tcPr>
          <w:p>
            <w:pPr>
              <w:jc w:val="right"/>
              <w:ind w:right="430"/>
              <w:spacing w:after="0"/>
              <w:rPr>
                <w:sz w:val="20"/>
                <w:szCs w:val="20"/>
                <w:color w:val="auto"/>
              </w:rPr>
            </w:pPr>
            <w:r>
              <w:rPr>
                <w:rFonts w:ascii="Arial" w:cs="Arial" w:eastAsia="Arial" w:hAnsi="Arial"/>
                <w:sz w:val="18"/>
                <w:szCs w:val="18"/>
                <w:color w:val="auto"/>
              </w:rPr>
              <w:t>1,474</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020" w:type="dxa"/>
            <w:vAlign w:val="bottom"/>
          </w:tcPr>
          <w:p>
            <w:pPr>
              <w:jc w:val="right"/>
              <w:ind w:right="431"/>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Other costs of operations</w:t>
            </w:r>
          </w:p>
        </w:tc>
        <w:tc>
          <w:tcPr>
            <w:tcW w:w="70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rPr>
              <w:t>3,069</w:t>
            </w:r>
          </w:p>
        </w:tc>
        <w:tc>
          <w:tcPr>
            <w:tcW w:w="120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11,842</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20" w:type="dxa"/>
            <w:vAlign w:val="bottom"/>
            <w:tcBorders>
              <w:bottom w:val="single" w:sz="8" w:color="auto"/>
            </w:tcBorders>
            <w:shd w:val="clear" w:color="auto" w:fill="CCEEFF"/>
          </w:tcPr>
          <w:p>
            <w:pPr>
              <w:jc w:val="right"/>
              <w:ind w:right="431"/>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58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Total</w:t>
            </w:r>
          </w:p>
        </w:tc>
        <w:tc>
          <w:tcPr>
            <w:tcW w:w="70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color w:val="auto"/>
              </w:rPr>
              <w:t>3,547</w:t>
            </w:r>
          </w:p>
        </w:tc>
        <w:tc>
          <w:tcPr>
            <w:tcW w:w="12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14,887</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20" w:type="dxa"/>
            <w:vAlign w:val="bottom"/>
            <w:tcBorders>
              <w:bottom w:val="single" w:sz="8" w:color="auto"/>
            </w:tcBorders>
          </w:tcPr>
          <w:p>
            <w:pPr>
              <w:jc w:val="right"/>
              <w:ind w:right="431"/>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5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7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In millions</w:t>
            </w:r>
          </w:p>
        </w:tc>
        <w:tc>
          <w:tcPr>
            <w:tcW w:w="7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b w:val="1"/>
                <w:bCs w:val="1"/>
                <w:color w:val="auto"/>
              </w:rPr>
              <w:t>Average assets</w:t>
            </w:r>
          </w:p>
        </w:tc>
        <w:tc>
          <w:tcPr>
            <w:tcW w:w="7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Average assets</w:t>
            </w:r>
          </w:p>
        </w:tc>
        <w:tc>
          <w:tcPr>
            <w:tcW w:w="700" w:type="dxa"/>
            <w:vAlign w:val="bottom"/>
            <w:shd w:val="clear" w:color="auto" w:fill="CCEEFF"/>
          </w:tcPr>
          <w:p>
            <w:pPr>
              <w:ind w:left="60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rPr>
              <w:t>65,015</w:t>
            </w:r>
          </w:p>
        </w:tc>
        <w:tc>
          <w:tcPr>
            <w:tcW w:w="120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61,549</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57,862</w:t>
            </w:r>
          </w:p>
        </w:tc>
        <w:tc>
          <w:tcPr>
            <w:tcW w:w="2020" w:type="dxa"/>
            <w:vAlign w:val="bottom"/>
            <w:shd w:val="clear" w:color="auto" w:fill="CCEEFF"/>
          </w:tcPr>
          <w:p>
            <w:pPr>
              <w:jc w:val="right"/>
              <w:ind w:right="431"/>
              <w:spacing w:after="0"/>
              <w:rPr>
                <w:sz w:val="20"/>
                <w:szCs w:val="20"/>
                <w:color w:val="auto"/>
              </w:rPr>
            </w:pPr>
            <w:r>
              <w:rPr>
                <w:rFonts w:ascii="Arial" w:cs="Arial" w:eastAsia="Arial" w:hAnsi="Arial"/>
                <w:sz w:val="18"/>
                <w:szCs w:val="18"/>
                <w:color w:val="auto"/>
              </w:rPr>
              <w:t>57,523</w:t>
            </w:r>
          </w:p>
        </w:tc>
        <w:tc>
          <w:tcPr>
            <w:tcW w:w="13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57,207</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Goodwill</w:t>
            </w:r>
          </w:p>
        </w:tc>
        <w:tc>
          <w:tcPr>
            <w:tcW w:w="700" w:type="dxa"/>
            <w:vAlign w:val="bottom"/>
          </w:tcPr>
          <w:p>
            <w:pPr>
              <w:spacing w:after="0"/>
              <w:rPr>
                <w:sz w:val="18"/>
                <w:szCs w:val="18"/>
                <w:color w:val="auto"/>
              </w:rPr>
            </w:pPr>
          </w:p>
        </w:tc>
        <w:tc>
          <w:tcPr>
            <w:tcW w:w="1480" w:type="dxa"/>
            <w:vAlign w:val="bottom"/>
          </w:tcPr>
          <w:p>
            <w:pPr>
              <w:jc w:val="right"/>
              <w:ind w:right="750"/>
              <w:spacing w:after="0"/>
              <w:rPr>
                <w:sz w:val="20"/>
                <w:szCs w:val="20"/>
                <w:color w:val="auto"/>
              </w:rPr>
            </w:pPr>
            <w:r>
              <w:rPr>
                <w:rFonts w:ascii="Arial" w:cs="Arial" w:eastAsia="Arial" w:hAnsi="Arial"/>
                <w:sz w:val="18"/>
                <w:szCs w:val="18"/>
                <w:color w:val="auto"/>
              </w:rPr>
              <w:t>(3,196)</w:t>
            </w:r>
          </w:p>
        </w:tc>
        <w:tc>
          <w:tcPr>
            <w:tcW w:w="1200" w:type="dxa"/>
            <w:vAlign w:val="bottom"/>
          </w:tcPr>
          <w:p>
            <w:pPr>
              <w:jc w:val="right"/>
              <w:ind w:right="370"/>
              <w:spacing w:after="0"/>
              <w:rPr>
                <w:sz w:val="20"/>
                <w:szCs w:val="20"/>
                <w:color w:val="auto"/>
              </w:rPr>
            </w:pPr>
            <w:r>
              <w:rPr>
                <w:rFonts w:ascii="Arial" w:cs="Arial" w:eastAsia="Arial" w:hAnsi="Arial"/>
                <w:sz w:val="18"/>
                <w:szCs w:val="18"/>
                <w:color w:val="auto"/>
              </w:rPr>
              <w:t>(3,006)</w:t>
            </w:r>
          </w:p>
        </w:tc>
        <w:tc>
          <w:tcPr>
            <w:tcW w:w="1100" w:type="dxa"/>
            <w:vAlign w:val="bottom"/>
          </w:tcPr>
          <w:p>
            <w:pPr>
              <w:jc w:val="right"/>
              <w:spacing w:after="0"/>
              <w:rPr>
                <w:sz w:val="20"/>
                <w:szCs w:val="20"/>
                <w:color w:val="auto"/>
              </w:rPr>
            </w:pPr>
            <w:r>
              <w:rPr>
                <w:rFonts w:ascii="Arial" w:cs="Arial" w:eastAsia="Arial" w:hAnsi="Arial"/>
                <w:sz w:val="18"/>
                <w:szCs w:val="18"/>
                <w:color w:val="auto"/>
              </w:rPr>
              <w:t>(2,909)</w:t>
            </w:r>
          </w:p>
        </w:tc>
        <w:tc>
          <w:tcPr>
            <w:tcW w:w="2020" w:type="dxa"/>
            <w:vAlign w:val="bottom"/>
          </w:tcPr>
          <w:p>
            <w:pPr>
              <w:jc w:val="right"/>
              <w:ind w:right="371"/>
              <w:spacing w:after="0"/>
              <w:rPr>
                <w:sz w:val="20"/>
                <w:szCs w:val="20"/>
                <w:color w:val="auto"/>
              </w:rPr>
            </w:pPr>
            <w:r>
              <w:rPr>
                <w:rFonts w:ascii="Arial" w:cs="Arial" w:eastAsia="Arial" w:hAnsi="Arial"/>
                <w:sz w:val="18"/>
                <w:szCs w:val="18"/>
                <w:color w:val="auto"/>
              </w:rPr>
              <w:t>(2,909)</w:t>
            </w: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(2,909)</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Core deposit and other intangible assets</w:t>
            </w:r>
          </w:p>
        </w:tc>
        <w:tc>
          <w:tcPr>
            <w:tcW w:w="70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rPr>
              <w:t>(239)</w:t>
            </w:r>
          </w:p>
        </w:tc>
        <w:tc>
          <w:tcPr>
            <w:tcW w:w="120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(213)</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202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rPr>
              <w:t>(223)</w:t>
            </w:r>
          </w:p>
        </w:tc>
        <w:tc>
          <w:tcPr>
            <w:tcW w:w="1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(241)</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Deferred taxes</w:t>
            </w:r>
          </w:p>
        </w:tc>
        <w:tc>
          <w:tcPr>
            <w:tcW w:w="7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color w:val="auto"/>
              </w:rPr>
              <w:t>34</w:t>
            </w:r>
          </w:p>
        </w:tc>
        <w:tc>
          <w:tcPr>
            <w:tcW w:w="12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25</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2020" w:type="dxa"/>
            <w:vAlign w:val="bottom"/>
            <w:tcBorders>
              <w:bottom w:val="single" w:sz="8" w:color="auto"/>
            </w:tcBorders>
          </w:tcPr>
          <w:p>
            <w:pPr>
              <w:jc w:val="right"/>
              <w:ind w:right="431"/>
              <w:spacing w:after="0"/>
              <w:rPr>
                <w:sz w:val="20"/>
                <w:szCs w:val="20"/>
                <w:color w:val="auto"/>
              </w:rPr>
            </w:pPr>
            <w:r>
              <w:rPr>
                <w:rFonts w:ascii="Arial" w:cs="Arial" w:eastAsia="Arial" w:hAnsi="Arial"/>
                <w:sz w:val="18"/>
                <w:szCs w:val="18"/>
                <w:color w:val="auto"/>
              </w:rPr>
              <w:t>24</w:t>
            </w:r>
          </w:p>
        </w:tc>
        <w:tc>
          <w:tcPr>
            <w:tcW w:w="13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58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Average tangible assets</w:t>
            </w:r>
          </w:p>
        </w:tc>
        <w:tc>
          <w:tcPr>
            <w:tcW w:w="70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rPr>
              <w:t>61,614</w:t>
            </w:r>
          </w:p>
        </w:tc>
        <w:tc>
          <w:tcPr>
            <w:tcW w:w="120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58,355</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54,766</w:t>
            </w:r>
          </w:p>
        </w:tc>
        <w:tc>
          <w:tcPr>
            <w:tcW w:w="2020" w:type="dxa"/>
            <w:vAlign w:val="bottom"/>
            <w:tcBorders>
              <w:bottom w:val="single" w:sz="8" w:color="auto"/>
            </w:tcBorders>
            <w:shd w:val="clear" w:color="auto" w:fill="CCEEFF"/>
          </w:tcPr>
          <w:p>
            <w:pPr>
              <w:jc w:val="right"/>
              <w:ind w:right="431"/>
              <w:spacing w:after="0"/>
              <w:rPr>
                <w:sz w:val="20"/>
                <w:szCs w:val="20"/>
                <w:color w:val="auto"/>
              </w:rPr>
            </w:pPr>
            <w:r>
              <w:rPr>
                <w:rFonts w:ascii="Arial" w:cs="Arial" w:eastAsia="Arial" w:hAnsi="Arial"/>
                <w:sz w:val="18"/>
                <w:szCs w:val="18"/>
                <w:color w:val="auto"/>
              </w:rPr>
              <w:t>54,415</w:t>
            </w:r>
          </w:p>
        </w:tc>
        <w:tc>
          <w:tcPr>
            <w:tcW w:w="13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54,085</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580" w:type="dxa"/>
            <w:vAlign w:val="bottom"/>
          </w:tcPr>
          <w:p>
            <w:pPr>
              <w:spacing w:after="0"/>
              <w:rPr>
                <w:sz w:val="20"/>
                <w:szCs w:val="20"/>
                <w:color w:val="auto"/>
              </w:rPr>
            </w:pPr>
            <w:r>
              <w:rPr>
                <w:rFonts w:ascii="Arial" w:cs="Arial" w:eastAsia="Arial" w:hAnsi="Arial"/>
                <w:sz w:val="18"/>
                <w:szCs w:val="18"/>
                <w:b w:val="1"/>
                <w:bCs w:val="1"/>
                <w:color w:val="auto"/>
              </w:rPr>
              <w:t>Average equity</w:t>
            </w:r>
          </w:p>
        </w:tc>
        <w:tc>
          <w:tcPr>
            <w:tcW w:w="7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Average equity</w:t>
            </w:r>
          </w:p>
        </w:tc>
        <w:tc>
          <w:tcPr>
            <w:tcW w:w="700" w:type="dxa"/>
            <w:vAlign w:val="bottom"/>
            <w:shd w:val="clear" w:color="auto" w:fill="CCEEFF"/>
          </w:tcPr>
          <w:p>
            <w:pPr>
              <w:ind w:left="60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rPr>
              <w:t>6,513</w:t>
            </w:r>
          </w:p>
        </w:tc>
        <w:tc>
          <w:tcPr>
            <w:tcW w:w="120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6,360</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6,186</w:t>
            </w:r>
          </w:p>
        </w:tc>
        <w:tc>
          <w:tcPr>
            <w:tcW w:w="2020" w:type="dxa"/>
            <w:vAlign w:val="bottom"/>
            <w:shd w:val="clear" w:color="auto" w:fill="CCEEFF"/>
          </w:tcPr>
          <w:p>
            <w:pPr>
              <w:jc w:val="right"/>
              <w:ind w:right="431"/>
              <w:spacing w:after="0"/>
              <w:rPr>
                <w:sz w:val="20"/>
                <w:szCs w:val="20"/>
                <w:color w:val="auto"/>
              </w:rPr>
            </w:pPr>
            <w:r>
              <w:rPr>
                <w:rFonts w:ascii="Arial" w:cs="Arial" w:eastAsia="Arial" w:hAnsi="Arial"/>
                <w:sz w:val="18"/>
                <w:szCs w:val="18"/>
                <w:color w:val="auto"/>
              </w:rPr>
              <w:t>6,172</w:t>
            </w:r>
          </w:p>
        </w:tc>
        <w:tc>
          <w:tcPr>
            <w:tcW w:w="13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6,270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Goodwill</w:t>
            </w:r>
          </w:p>
        </w:tc>
        <w:tc>
          <w:tcPr>
            <w:tcW w:w="700" w:type="dxa"/>
            <w:vAlign w:val="bottom"/>
          </w:tcPr>
          <w:p>
            <w:pPr>
              <w:spacing w:after="0"/>
              <w:rPr>
                <w:sz w:val="18"/>
                <w:szCs w:val="18"/>
                <w:color w:val="auto"/>
              </w:rPr>
            </w:pPr>
          </w:p>
        </w:tc>
        <w:tc>
          <w:tcPr>
            <w:tcW w:w="1480" w:type="dxa"/>
            <w:vAlign w:val="bottom"/>
          </w:tcPr>
          <w:p>
            <w:pPr>
              <w:jc w:val="right"/>
              <w:ind w:right="750"/>
              <w:spacing w:after="0"/>
              <w:rPr>
                <w:sz w:val="20"/>
                <w:szCs w:val="20"/>
                <w:color w:val="auto"/>
              </w:rPr>
            </w:pPr>
            <w:r>
              <w:rPr>
                <w:rFonts w:ascii="Arial" w:cs="Arial" w:eastAsia="Arial" w:hAnsi="Arial"/>
                <w:sz w:val="18"/>
                <w:szCs w:val="18"/>
                <w:color w:val="auto"/>
              </w:rPr>
              <w:t>(3,196)</w:t>
            </w:r>
          </w:p>
        </w:tc>
        <w:tc>
          <w:tcPr>
            <w:tcW w:w="1200" w:type="dxa"/>
            <w:vAlign w:val="bottom"/>
          </w:tcPr>
          <w:p>
            <w:pPr>
              <w:jc w:val="right"/>
              <w:ind w:right="370"/>
              <w:spacing w:after="0"/>
              <w:rPr>
                <w:sz w:val="20"/>
                <w:szCs w:val="20"/>
                <w:color w:val="auto"/>
              </w:rPr>
            </w:pPr>
            <w:r>
              <w:rPr>
                <w:rFonts w:ascii="Arial" w:cs="Arial" w:eastAsia="Arial" w:hAnsi="Arial"/>
                <w:sz w:val="18"/>
                <w:szCs w:val="18"/>
                <w:color w:val="auto"/>
              </w:rPr>
              <w:t>(3,006)</w:t>
            </w:r>
          </w:p>
        </w:tc>
        <w:tc>
          <w:tcPr>
            <w:tcW w:w="1100" w:type="dxa"/>
            <w:vAlign w:val="bottom"/>
          </w:tcPr>
          <w:p>
            <w:pPr>
              <w:jc w:val="right"/>
              <w:spacing w:after="0"/>
              <w:rPr>
                <w:sz w:val="20"/>
                <w:szCs w:val="20"/>
                <w:color w:val="auto"/>
              </w:rPr>
            </w:pPr>
            <w:r>
              <w:rPr>
                <w:rFonts w:ascii="Arial" w:cs="Arial" w:eastAsia="Arial" w:hAnsi="Arial"/>
                <w:sz w:val="18"/>
                <w:szCs w:val="18"/>
                <w:color w:val="auto"/>
              </w:rPr>
              <w:t>(2,909)</w:t>
            </w:r>
          </w:p>
        </w:tc>
        <w:tc>
          <w:tcPr>
            <w:tcW w:w="2020" w:type="dxa"/>
            <w:vAlign w:val="bottom"/>
          </w:tcPr>
          <w:p>
            <w:pPr>
              <w:jc w:val="right"/>
              <w:ind w:right="371"/>
              <w:spacing w:after="0"/>
              <w:rPr>
                <w:sz w:val="20"/>
                <w:szCs w:val="20"/>
                <w:color w:val="auto"/>
              </w:rPr>
            </w:pPr>
            <w:r>
              <w:rPr>
                <w:rFonts w:ascii="Arial" w:cs="Arial" w:eastAsia="Arial" w:hAnsi="Arial"/>
                <w:sz w:val="18"/>
                <w:szCs w:val="18"/>
                <w:color w:val="auto"/>
              </w:rPr>
              <w:t>(2,909)</w:t>
            </w: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(2,909)</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Core deposit and other intangible assets</w:t>
            </w:r>
          </w:p>
        </w:tc>
        <w:tc>
          <w:tcPr>
            <w:tcW w:w="70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rPr>
              <w:t>(239)</w:t>
            </w:r>
          </w:p>
        </w:tc>
        <w:tc>
          <w:tcPr>
            <w:tcW w:w="120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(213)</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202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rPr>
              <w:t>(223)</w:t>
            </w:r>
          </w:p>
        </w:tc>
        <w:tc>
          <w:tcPr>
            <w:tcW w:w="1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(241)</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Deferred taxes</w:t>
            </w:r>
          </w:p>
        </w:tc>
        <w:tc>
          <w:tcPr>
            <w:tcW w:w="7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color w:val="auto"/>
              </w:rPr>
              <w:t>34</w:t>
            </w:r>
          </w:p>
        </w:tc>
        <w:tc>
          <w:tcPr>
            <w:tcW w:w="12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25</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2020" w:type="dxa"/>
            <w:vAlign w:val="bottom"/>
            <w:tcBorders>
              <w:bottom w:val="single" w:sz="8" w:color="auto"/>
            </w:tcBorders>
          </w:tcPr>
          <w:p>
            <w:pPr>
              <w:jc w:val="right"/>
              <w:ind w:right="431"/>
              <w:spacing w:after="0"/>
              <w:rPr>
                <w:sz w:val="20"/>
                <w:szCs w:val="20"/>
                <w:color w:val="auto"/>
              </w:rPr>
            </w:pPr>
            <w:r>
              <w:rPr>
                <w:rFonts w:ascii="Arial" w:cs="Arial" w:eastAsia="Arial" w:hAnsi="Arial"/>
                <w:sz w:val="18"/>
                <w:szCs w:val="18"/>
                <w:color w:val="auto"/>
              </w:rPr>
              <w:t>24</w:t>
            </w:r>
          </w:p>
        </w:tc>
        <w:tc>
          <w:tcPr>
            <w:tcW w:w="13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58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Average tangible equity</w:t>
            </w:r>
          </w:p>
        </w:tc>
        <w:tc>
          <w:tcPr>
            <w:tcW w:w="70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rPr>
              <w:t>3,112</w:t>
            </w:r>
          </w:p>
        </w:tc>
        <w:tc>
          <w:tcPr>
            <w:tcW w:w="120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3,166</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3,090</w:t>
            </w:r>
          </w:p>
        </w:tc>
        <w:tc>
          <w:tcPr>
            <w:tcW w:w="2020" w:type="dxa"/>
            <w:vAlign w:val="bottom"/>
            <w:tcBorders>
              <w:bottom w:val="single" w:sz="8" w:color="auto"/>
            </w:tcBorders>
            <w:shd w:val="clear" w:color="auto" w:fill="CCEEFF"/>
          </w:tcPr>
          <w:p>
            <w:pPr>
              <w:jc w:val="right"/>
              <w:ind w:right="431"/>
              <w:spacing w:after="0"/>
              <w:rPr>
                <w:sz w:val="20"/>
                <w:szCs w:val="20"/>
                <w:color w:val="auto"/>
              </w:rPr>
            </w:pPr>
            <w:r>
              <w:rPr>
                <w:rFonts w:ascii="Arial" w:cs="Arial" w:eastAsia="Arial" w:hAnsi="Arial"/>
                <w:sz w:val="18"/>
                <w:szCs w:val="18"/>
                <w:color w:val="auto"/>
              </w:rPr>
              <w:t>3,064</w:t>
            </w:r>
          </w:p>
        </w:tc>
        <w:tc>
          <w:tcPr>
            <w:tcW w:w="13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3,148</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580" w:type="dxa"/>
            <w:vAlign w:val="bottom"/>
          </w:tcPr>
          <w:p>
            <w:pPr>
              <w:spacing w:after="0"/>
              <w:rPr>
                <w:sz w:val="20"/>
                <w:szCs w:val="20"/>
                <w:color w:val="auto"/>
              </w:rPr>
            </w:pPr>
            <w:r>
              <w:rPr>
                <w:rFonts w:ascii="Arial" w:cs="Arial" w:eastAsia="Arial" w:hAnsi="Arial"/>
                <w:sz w:val="18"/>
                <w:szCs w:val="18"/>
                <w:b w:val="1"/>
                <w:bCs w:val="1"/>
                <w:color w:val="auto"/>
              </w:rPr>
              <w:t>At end of quarter</w:t>
            </w:r>
          </w:p>
        </w:tc>
        <w:tc>
          <w:tcPr>
            <w:tcW w:w="7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7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Total assets</w:t>
            </w:r>
          </w:p>
        </w:tc>
        <w:tc>
          <w:tcPr>
            <w:tcW w:w="700" w:type="dxa"/>
            <w:vAlign w:val="bottom"/>
          </w:tcPr>
          <w:p>
            <w:pPr>
              <w:ind w:left="600"/>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ind w:right="810"/>
              <w:spacing w:after="0"/>
              <w:rPr>
                <w:sz w:val="20"/>
                <w:szCs w:val="20"/>
                <w:color w:val="auto"/>
              </w:rPr>
            </w:pPr>
            <w:r>
              <w:rPr>
                <w:rFonts w:ascii="Arial" w:cs="Arial" w:eastAsia="Arial" w:hAnsi="Arial"/>
                <w:sz w:val="18"/>
                <w:szCs w:val="18"/>
                <w:color w:val="auto"/>
              </w:rPr>
              <w:t>66,086</w:t>
            </w:r>
          </w:p>
        </w:tc>
        <w:tc>
          <w:tcPr>
            <w:tcW w:w="1200" w:type="dxa"/>
            <w:vAlign w:val="bottom"/>
          </w:tcPr>
          <w:p>
            <w:pPr>
              <w:jc w:val="right"/>
              <w:ind w:right="430"/>
              <w:spacing w:after="0"/>
              <w:rPr>
                <w:sz w:val="20"/>
                <w:szCs w:val="20"/>
                <w:color w:val="auto"/>
              </w:rPr>
            </w:pPr>
            <w:r>
              <w:rPr>
                <w:rFonts w:ascii="Arial" w:cs="Arial" w:eastAsia="Arial" w:hAnsi="Arial"/>
                <w:sz w:val="18"/>
                <w:szCs w:val="18"/>
                <w:color w:val="auto"/>
              </w:rPr>
              <w:t>64,876</w:t>
            </w:r>
          </w:p>
        </w:tc>
        <w:tc>
          <w:tcPr>
            <w:tcW w:w="1100" w:type="dxa"/>
            <w:vAlign w:val="bottom"/>
          </w:tcPr>
          <w:p>
            <w:pPr>
              <w:jc w:val="right"/>
              <w:spacing w:after="0"/>
              <w:rPr>
                <w:sz w:val="20"/>
                <w:szCs w:val="20"/>
                <w:color w:val="auto"/>
              </w:rPr>
            </w:pPr>
            <w:r>
              <w:rPr>
                <w:rFonts w:ascii="Arial" w:cs="Arial" w:eastAsia="Arial" w:hAnsi="Arial"/>
                <w:sz w:val="18"/>
                <w:szCs w:val="18"/>
                <w:color w:val="auto"/>
              </w:rPr>
              <w:t>60,008</w:t>
            </w:r>
          </w:p>
        </w:tc>
        <w:tc>
          <w:tcPr>
            <w:tcW w:w="2020" w:type="dxa"/>
            <w:vAlign w:val="bottom"/>
          </w:tcPr>
          <w:p>
            <w:pPr>
              <w:jc w:val="right"/>
              <w:ind w:right="431"/>
              <w:spacing w:after="0"/>
              <w:rPr>
                <w:sz w:val="20"/>
                <w:szCs w:val="20"/>
                <w:color w:val="auto"/>
              </w:rPr>
            </w:pPr>
            <w:r>
              <w:rPr>
                <w:rFonts w:ascii="Arial" w:cs="Arial" w:eastAsia="Arial" w:hAnsi="Arial"/>
                <w:sz w:val="18"/>
                <w:szCs w:val="18"/>
                <w:color w:val="auto"/>
              </w:rPr>
              <w:t>57,869</w:t>
            </w:r>
          </w:p>
        </w:tc>
        <w:tc>
          <w:tcPr>
            <w:tcW w:w="1320" w:type="dxa"/>
            <w:vAlign w:val="bottom"/>
          </w:tcPr>
          <w:p>
            <w:pPr>
              <w:jc w:val="right"/>
              <w:ind w:right="170"/>
              <w:spacing w:after="0"/>
              <w:rPr>
                <w:sz w:val="20"/>
                <w:szCs w:val="20"/>
                <w:color w:val="auto"/>
              </w:rPr>
            </w:pPr>
            <w:r>
              <w:rPr>
                <w:rFonts w:ascii="Arial" w:cs="Arial" w:eastAsia="Arial" w:hAnsi="Arial"/>
                <w:sz w:val="18"/>
                <w:szCs w:val="18"/>
                <w:color w:val="auto"/>
              </w:rPr>
              <w:t>57,842</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70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rPr>
              <w:t>(3,192)</w:t>
            </w:r>
          </w:p>
        </w:tc>
        <w:tc>
          <w:tcPr>
            <w:tcW w:w="120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(3,196)</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(2,909)</w:t>
            </w:r>
          </w:p>
        </w:tc>
        <w:tc>
          <w:tcPr>
            <w:tcW w:w="202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rPr>
              <w:t>(2,909)</w:t>
            </w:r>
          </w:p>
        </w:tc>
        <w:tc>
          <w:tcPr>
            <w:tcW w:w="1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(2,909)</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Core deposit and other intangible assets</w:t>
            </w:r>
          </w:p>
        </w:tc>
        <w:tc>
          <w:tcPr>
            <w:tcW w:w="700" w:type="dxa"/>
            <w:vAlign w:val="bottom"/>
          </w:tcPr>
          <w:p>
            <w:pPr>
              <w:spacing w:after="0"/>
              <w:rPr>
                <w:sz w:val="18"/>
                <w:szCs w:val="18"/>
                <w:color w:val="auto"/>
              </w:rPr>
            </w:pPr>
          </w:p>
        </w:tc>
        <w:tc>
          <w:tcPr>
            <w:tcW w:w="1480" w:type="dxa"/>
            <w:vAlign w:val="bottom"/>
          </w:tcPr>
          <w:p>
            <w:pPr>
              <w:jc w:val="right"/>
              <w:ind w:right="750"/>
              <w:spacing w:after="0"/>
              <w:rPr>
                <w:sz w:val="20"/>
                <w:szCs w:val="20"/>
                <w:color w:val="auto"/>
              </w:rPr>
            </w:pPr>
            <w:r>
              <w:rPr>
                <w:rFonts w:ascii="Arial" w:cs="Arial" w:eastAsia="Arial" w:hAnsi="Arial"/>
                <w:sz w:val="18"/>
                <w:szCs w:val="18"/>
                <w:color w:val="auto"/>
              </w:rPr>
              <w:t>(230)</w:t>
            </w:r>
          </w:p>
        </w:tc>
        <w:tc>
          <w:tcPr>
            <w:tcW w:w="1200" w:type="dxa"/>
            <w:vAlign w:val="bottom"/>
          </w:tcPr>
          <w:p>
            <w:pPr>
              <w:jc w:val="right"/>
              <w:ind w:right="370"/>
              <w:spacing w:after="0"/>
              <w:rPr>
                <w:sz w:val="20"/>
                <w:szCs w:val="20"/>
                <w:color w:val="auto"/>
              </w:rPr>
            </w:pPr>
            <w:r>
              <w:rPr>
                <w:rFonts w:ascii="Arial" w:cs="Arial" w:eastAsia="Arial" w:hAnsi="Arial"/>
                <w:sz w:val="18"/>
                <w:szCs w:val="18"/>
                <w:color w:val="auto"/>
              </w:rPr>
              <w:t>(249)</w:t>
            </w:r>
          </w:p>
        </w:tc>
        <w:tc>
          <w:tcPr>
            <w:tcW w:w="1100" w:type="dxa"/>
            <w:vAlign w:val="bottom"/>
          </w:tcPr>
          <w:p>
            <w:pPr>
              <w:jc w:val="right"/>
              <w:spacing w:after="0"/>
              <w:rPr>
                <w:sz w:val="20"/>
                <w:szCs w:val="20"/>
                <w:color w:val="auto"/>
              </w:rPr>
            </w:pPr>
            <w:r>
              <w:rPr>
                <w:rFonts w:ascii="Arial" w:cs="Arial" w:eastAsia="Arial" w:hAnsi="Arial"/>
                <w:sz w:val="18"/>
                <w:szCs w:val="18"/>
                <w:color w:val="auto"/>
              </w:rPr>
              <w:t>(200)</w:t>
            </w:r>
          </w:p>
        </w:tc>
        <w:tc>
          <w:tcPr>
            <w:tcW w:w="2020" w:type="dxa"/>
            <w:vAlign w:val="bottom"/>
          </w:tcPr>
          <w:p>
            <w:pPr>
              <w:jc w:val="right"/>
              <w:ind w:right="371"/>
              <w:spacing w:after="0"/>
              <w:rPr>
                <w:sz w:val="20"/>
                <w:szCs w:val="20"/>
                <w:color w:val="auto"/>
              </w:rPr>
            </w:pPr>
            <w:r>
              <w:rPr>
                <w:rFonts w:ascii="Arial" w:cs="Arial" w:eastAsia="Arial" w:hAnsi="Arial"/>
                <w:sz w:val="18"/>
                <w:szCs w:val="18"/>
                <w:color w:val="auto"/>
              </w:rPr>
              <w:t>(216)</w:t>
            </w: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(232)</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Deferred taxes</w:t>
            </w:r>
          </w:p>
        </w:tc>
        <w:tc>
          <w:tcPr>
            <w:tcW w:w="70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rPr>
              <w:t>32</w:t>
            </w:r>
          </w:p>
        </w:tc>
        <w:tc>
          <w:tcPr>
            <w:tcW w:w="120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36</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20" w:type="dxa"/>
            <w:vAlign w:val="bottom"/>
            <w:tcBorders>
              <w:bottom w:val="single" w:sz="8" w:color="auto"/>
            </w:tcBorders>
            <w:shd w:val="clear" w:color="auto" w:fill="CCEEFF"/>
          </w:tcPr>
          <w:p>
            <w:pPr>
              <w:jc w:val="right"/>
              <w:ind w:right="431"/>
              <w:spacing w:after="0"/>
              <w:rPr>
                <w:sz w:val="20"/>
                <w:szCs w:val="20"/>
                <w:color w:val="auto"/>
              </w:rPr>
            </w:pPr>
            <w:r>
              <w:rPr>
                <w:rFonts w:ascii="Arial" w:cs="Arial" w:eastAsia="Arial" w:hAnsi="Arial"/>
                <w:sz w:val="18"/>
                <w:szCs w:val="18"/>
                <w:color w:val="auto"/>
              </w:rPr>
              <w:t>23</w:t>
            </w:r>
          </w:p>
        </w:tc>
        <w:tc>
          <w:tcPr>
            <w:tcW w:w="132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58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Total tangible assets</w:t>
            </w:r>
          </w:p>
        </w:tc>
        <w:tc>
          <w:tcPr>
            <w:tcW w:w="70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color w:val="auto"/>
              </w:rPr>
              <w:t>62,696</w:t>
            </w:r>
          </w:p>
        </w:tc>
        <w:tc>
          <w:tcPr>
            <w:tcW w:w="12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61,467</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56,919</w:t>
            </w:r>
          </w:p>
        </w:tc>
        <w:tc>
          <w:tcPr>
            <w:tcW w:w="2020" w:type="dxa"/>
            <w:vAlign w:val="bottom"/>
            <w:tcBorders>
              <w:bottom w:val="single" w:sz="8" w:color="auto"/>
            </w:tcBorders>
          </w:tcPr>
          <w:p>
            <w:pPr>
              <w:jc w:val="right"/>
              <w:ind w:right="431"/>
              <w:spacing w:after="0"/>
              <w:rPr>
                <w:sz w:val="20"/>
                <w:szCs w:val="20"/>
                <w:color w:val="auto"/>
              </w:rPr>
            </w:pPr>
            <w:r>
              <w:rPr>
                <w:rFonts w:ascii="Arial" w:cs="Arial" w:eastAsia="Arial" w:hAnsi="Arial"/>
                <w:sz w:val="18"/>
                <w:szCs w:val="18"/>
                <w:color w:val="auto"/>
              </w:rPr>
              <w:t>54,767</w:t>
            </w:r>
          </w:p>
        </w:tc>
        <w:tc>
          <w:tcPr>
            <w:tcW w:w="13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54,727</w:t>
            </w:r>
          </w:p>
        </w:tc>
        <w:tc>
          <w:tcPr>
            <w:tcW w:w="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equity</w:t>
            </w:r>
          </w:p>
        </w:tc>
        <w:tc>
          <w:tcPr>
            <w:tcW w:w="7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Total equity</w:t>
            </w:r>
          </w:p>
        </w:tc>
        <w:tc>
          <w:tcPr>
            <w:tcW w:w="700" w:type="dxa"/>
            <w:vAlign w:val="bottom"/>
          </w:tcPr>
          <w:p>
            <w:pPr>
              <w:ind w:left="600"/>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ind w:right="810"/>
              <w:spacing w:after="0"/>
              <w:rPr>
                <w:sz w:val="20"/>
                <w:szCs w:val="20"/>
                <w:color w:val="auto"/>
              </w:rPr>
            </w:pPr>
            <w:r>
              <w:rPr>
                <w:rFonts w:ascii="Arial" w:cs="Arial" w:eastAsia="Arial" w:hAnsi="Arial"/>
                <w:sz w:val="18"/>
                <w:szCs w:val="18"/>
                <w:color w:val="auto"/>
              </w:rPr>
              <w:t>6,488</w:t>
            </w:r>
          </w:p>
        </w:tc>
        <w:tc>
          <w:tcPr>
            <w:tcW w:w="1200" w:type="dxa"/>
            <w:vAlign w:val="bottom"/>
          </w:tcPr>
          <w:p>
            <w:pPr>
              <w:jc w:val="right"/>
              <w:ind w:right="430"/>
              <w:spacing w:after="0"/>
              <w:rPr>
                <w:sz w:val="20"/>
                <w:szCs w:val="20"/>
                <w:color w:val="auto"/>
              </w:rPr>
            </w:pPr>
            <w:r>
              <w:rPr>
                <w:rFonts w:ascii="Arial" w:cs="Arial" w:eastAsia="Arial" w:hAnsi="Arial"/>
                <w:sz w:val="18"/>
                <w:szCs w:val="18"/>
                <w:color w:val="auto"/>
              </w:rPr>
              <w:t>6,485</w:t>
            </w:r>
          </w:p>
        </w:tc>
        <w:tc>
          <w:tcPr>
            <w:tcW w:w="1100" w:type="dxa"/>
            <w:vAlign w:val="bottom"/>
          </w:tcPr>
          <w:p>
            <w:pPr>
              <w:jc w:val="right"/>
              <w:spacing w:after="0"/>
              <w:rPr>
                <w:sz w:val="20"/>
                <w:szCs w:val="20"/>
                <w:color w:val="auto"/>
              </w:rPr>
            </w:pPr>
            <w:r>
              <w:rPr>
                <w:rFonts w:ascii="Arial" w:cs="Arial" w:eastAsia="Arial" w:hAnsi="Arial"/>
                <w:sz w:val="18"/>
                <w:szCs w:val="18"/>
                <w:color w:val="auto"/>
              </w:rPr>
              <w:t>6,238</w:t>
            </w:r>
          </w:p>
        </w:tc>
        <w:tc>
          <w:tcPr>
            <w:tcW w:w="2020" w:type="dxa"/>
            <w:vAlign w:val="bottom"/>
          </w:tcPr>
          <w:p>
            <w:pPr>
              <w:jc w:val="right"/>
              <w:ind w:right="431"/>
              <w:spacing w:after="0"/>
              <w:rPr>
                <w:sz w:val="20"/>
                <w:szCs w:val="20"/>
                <w:color w:val="auto"/>
              </w:rPr>
            </w:pPr>
            <w:r>
              <w:rPr>
                <w:rFonts w:ascii="Arial" w:cs="Arial" w:eastAsia="Arial" w:hAnsi="Arial"/>
                <w:sz w:val="18"/>
                <w:szCs w:val="18"/>
                <w:color w:val="auto"/>
              </w:rPr>
              <w:t>6,175</w:t>
            </w:r>
          </w:p>
        </w:tc>
        <w:tc>
          <w:tcPr>
            <w:tcW w:w="1320" w:type="dxa"/>
            <w:vAlign w:val="bottom"/>
          </w:tcPr>
          <w:p>
            <w:pPr>
              <w:jc w:val="right"/>
              <w:ind w:right="170"/>
              <w:spacing w:after="0"/>
              <w:rPr>
                <w:sz w:val="20"/>
                <w:szCs w:val="20"/>
                <w:color w:val="auto"/>
              </w:rPr>
            </w:pPr>
            <w:r>
              <w:rPr>
                <w:rFonts w:ascii="Arial" w:cs="Arial" w:eastAsia="Arial" w:hAnsi="Arial"/>
                <w:sz w:val="18"/>
                <w:szCs w:val="18"/>
                <w:color w:val="auto"/>
              </w:rPr>
              <w:t>6,253</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70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rPr>
              <w:t>(3,192)</w:t>
            </w:r>
          </w:p>
        </w:tc>
        <w:tc>
          <w:tcPr>
            <w:tcW w:w="120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(3,196)</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(2,909)</w:t>
            </w:r>
          </w:p>
        </w:tc>
        <w:tc>
          <w:tcPr>
            <w:tcW w:w="202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rPr>
              <w:t>(2,909)</w:t>
            </w:r>
          </w:p>
        </w:tc>
        <w:tc>
          <w:tcPr>
            <w:tcW w:w="1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(2,909)</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Core deposit and other intangible assets</w:t>
            </w:r>
          </w:p>
        </w:tc>
        <w:tc>
          <w:tcPr>
            <w:tcW w:w="700" w:type="dxa"/>
            <w:vAlign w:val="bottom"/>
          </w:tcPr>
          <w:p>
            <w:pPr>
              <w:spacing w:after="0"/>
              <w:rPr>
                <w:sz w:val="18"/>
                <w:szCs w:val="18"/>
                <w:color w:val="auto"/>
              </w:rPr>
            </w:pPr>
          </w:p>
        </w:tc>
        <w:tc>
          <w:tcPr>
            <w:tcW w:w="1480" w:type="dxa"/>
            <w:vAlign w:val="bottom"/>
          </w:tcPr>
          <w:p>
            <w:pPr>
              <w:jc w:val="right"/>
              <w:ind w:right="750"/>
              <w:spacing w:after="0"/>
              <w:rPr>
                <w:sz w:val="20"/>
                <w:szCs w:val="20"/>
                <w:color w:val="auto"/>
              </w:rPr>
            </w:pPr>
            <w:r>
              <w:rPr>
                <w:rFonts w:ascii="Arial" w:cs="Arial" w:eastAsia="Arial" w:hAnsi="Arial"/>
                <w:sz w:val="18"/>
                <w:szCs w:val="18"/>
                <w:color w:val="auto"/>
              </w:rPr>
              <w:t>(230)</w:t>
            </w:r>
          </w:p>
        </w:tc>
        <w:tc>
          <w:tcPr>
            <w:tcW w:w="1200" w:type="dxa"/>
            <w:vAlign w:val="bottom"/>
          </w:tcPr>
          <w:p>
            <w:pPr>
              <w:jc w:val="right"/>
              <w:ind w:right="370"/>
              <w:spacing w:after="0"/>
              <w:rPr>
                <w:sz w:val="20"/>
                <w:szCs w:val="20"/>
                <w:color w:val="auto"/>
              </w:rPr>
            </w:pPr>
            <w:r>
              <w:rPr>
                <w:rFonts w:ascii="Arial" w:cs="Arial" w:eastAsia="Arial" w:hAnsi="Arial"/>
                <w:sz w:val="18"/>
                <w:szCs w:val="18"/>
                <w:color w:val="auto"/>
              </w:rPr>
              <w:t>(249)</w:t>
            </w:r>
          </w:p>
        </w:tc>
        <w:tc>
          <w:tcPr>
            <w:tcW w:w="1100" w:type="dxa"/>
            <w:vAlign w:val="bottom"/>
          </w:tcPr>
          <w:p>
            <w:pPr>
              <w:jc w:val="right"/>
              <w:spacing w:after="0"/>
              <w:rPr>
                <w:sz w:val="20"/>
                <w:szCs w:val="20"/>
                <w:color w:val="auto"/>
              </w:rPr>
            </w:pPr>
            <w:r>
              <w:rPr>
                <w:rFonts w:ascii="Arial" w:cs="Arial" w:eastAsia="Arial" w:hAnsi="Arial"/>
                <w:sz w:val="18"/>
                <w:szCs w:val="18"/>
                <w:color w:val="auto"/>
              </w:rPr>
              <w:t>(200)</w:t>
            </w:r>
          </w:p>
        </w:tc>
        <w:tc>
          <w:tcPr>
            <w:tcW w:w="2020" w:type="dxa"/>
            <w:vAlign w:val="bottom"/>
          </w:tcPr>
          <w:p>
            <w:pPr>
              <w:jc w:val="right"/>
              <w:ind w:right="371"/>
              <w:spacing w:after="0"/>
              <w:rPr>
                <w:sz w:val="20"/>
                <w:szCs w:val="20"/>
                <w:color w:val="auto"/>
              </w:rPr>
            </w:pPr>
            <w:r>
              <w:rPr>
                <w:rFonts w:ascii="Arial" w:cs="Arial" w:eastAsia="Arial" w:hAnsi="Arial"/>
                <w:sz w:val="18"/>
                <w:szCs w:val="18"/>
                <w:color w:val="auto"/>
              </w:rPr>
              <w:t>(216)</w:t>
            </w: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(232)</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Deferred taxes</w:t>
            </w:r>
          </w:p>
        </w:tc>
        <w:tc>
          <w:tcPr>
            <w:tcW w:w="70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rPr>
              <w:t>32</w:t>
            </w:r>
          </w:p>
        </w:tc>
        <w:tc>
          <w:tcPr>
            <w:tcW w:w="120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36</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20" w:type="dxa"/>
            <w:vAlign w:val="bottom"/>
            <w:tcBorders>
              <w:bottom w:val="single" w:sz="8" w:color="auto"/>
            </w:tcBorders>
            <w:shd w:val="clear" w:color="auto" w:fill="CCEEFF"/>
          </w:tcPr>
          <w:p>
            <w:pPr>
              <w:jc w:val="right"/>
              <w:ind w:right="431"/>
              <w:spacing w:after="0"/>
              <w:rPr>
                <w:sz w:val="20"/>
                <w:szCs w:val="20"/>
                <w:color w:val="auto"/>
              </w:rPr>
            </w:pPr>
            <w:r>
              <w:rPr>
                <w:rFonts w:ascii="Arial" w:cs="Arial" w:eastAsia="Arial" w:hAnsi="Arial"/>
                <w:sz w:val="18"/>
                <w:szCs w:val="18"/>
                <w:color w:val="auto"/>
              </w:rPr>
              <w:t>23</w:t>
            </w:r>
          </w:p>
        </w:tc>
        <w:tc>
          <w:tcPr>
            <w:tcW w:w="132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58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Total tangible equity</w:t>
            </w:r>
          </w:p>
        </w:tc>
        <w:tc>
          <w:tcPr>
            <w:tcW w:w="70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color w:val="auto"/>
              </w:rPr>
              <w:t>3,098</w:t>
            </w:r>
          </w:p>
        </w:tc>
        <w:tc>
          <w:tcPr>
            <w:tcW w:w="12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3,076</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3,149</w:t>
            </w:r>
          </w:p>
        </w:tc>
        <w:tc>
          <w:tcPr>
            <w:tcW w:w="2020" w:type="dxa"/>
            <w:vAlign w:val="bottom"/>
            <w:tcBorders>
              <w:bottom w:val="single" w:sz="8" w:color="auto"/>
            </w:tcBorders>
          </w:tcPr>
          <w:p>
            <w:pPr>
              <w:jc w:val="right"/>
              <w:ind w:right="431"/>
              <w:spacing w:after="0"/>
              <w:rPr>
                <w:sz w:val="20"/>
                <w:szCs w:val="20"/>
                <w:color w:val="auto"/>
              </w:rPr>
            </w:pPr>
            <w:r>
              <w:rPr>
                <w:rFonts w:ascii="Arial" w:cs="Arial" w:eastAsia="Arial" w:hAnsi="Arial"/>
                <w:sz w:val="18"/>
                <w:szCs w:val="18"/>
                <w:color w:val="auto"/>
              </w:rPr>
              <w:t>3,073</w:t>
            </w:r>
          </w:p>
        </w:tc>
        <w:tc>
          <w:tcPr>
            <w:tcW w:w="13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3,138</w:t>
            </w:r>
          </w:p>
        </w:tc>
        <w:tc>
          <w:tcPr>
            <w:tcW w:w="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5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8"/>
          <w:szCs w:val="18"/>
          <w:i w:val="1"/>
          <w:iCs w:val="1"/>
          <w:color w:val="auto"/>
        </w:rPr>
        <w:t>After any related tax effect.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883"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M&amp;T BANK CORPORATION AND SUBSIDIARIES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Table 3</w:t>
            </w:r>
          </w:p>
        </w:tc>
        <w:tc>
          <w:tcPr>
            <w:tcW w:w="0" w:type="dxa"/>
            <w:vAlign w:val="bottom"/>
          </w:tcPr>
          <w:p>
            <w:pPr>
              <w:spacing w:after="0"/>
              <w:rPr>
                <w:sz w:val="1"/>
                <w:szCs w:val="1"/>
                <w:color w:val="auto"/>
              </w:rPr>
            </w:pPr>
          </w:p>
        </w:tc>
      </w:tr>
      <w:tr>
        <w:trPr>
          <w:trHeight w:val="432"/>
        </w:trPr>
        <w:tc>
          <w:tcPr>
            <w:tcW w:w="7880" w:type="dxa"/>
            <w:vAlign w:val="bottom"/>
            <w:gridSpan w:val="8"/>
          </w:tcPr>
          <w:p>
            <w:pPr>
              <w:spacing w:after="0"/>
              <w:rPr>
                <w:sz w:val="20"/>
                <w:szCs w:val="20"/>
                <w:color w:val="auto"/>
              </w:rPr>
            </w:pPr>
            <w:r>
              <w:rPr>
                <w:rFonts w:ascii="Arial" w:cs="Arial" w:eastAsia="Arial" w:hAnsi="Arial"/>
                <w:sz w:val="18"/>
                <w:szCs w:val="18"/>
                <w:color w:val="auto"/>
              </w:rPr>
              <w:t>AVERAGE BALANCE SHEETS AND ANNUALIZED TAXABLE-EQUIVALENT RATES</w:t>
            </w: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vMerge w:val="restart"/>
          </w:tcPr>
          <w:p>
            <w:pPr>
              <w:jc w:val="right"/>
              <w:ind w:right="11"/>
              <w:spacing w:after="0"/>
              <w:rPr>
                <w:sz w:val="20"/>
                <w:szCs w:val="20"/>
                <w:color w:val="auto"/>
              </w:rPr>
            </w:pPr>
            <w:r>
              <w:rPr>
                <w:rFonts w:ascii="Arial" w:cs="Arial" w:eastAsia="Arial" w:hAnsi="Arial"/>
                <w:sz w:val="14"/>
                <w:szCs w:val="14"/>
                <w:color w:val="auto"/>
                <w:w w:val="91"/>
              </w:rPr>
              <w:t>Average</w:t>
            </w:r>
          </w:p>
        </w:tc>
        <w:tc>
          <w:tcPr>
            <w:tcW w:w="1240" w:type="dxa"/>
            <w:vAlign w:val="bottom"/>
          </w:tcPr>
          <w:p>
            <w:pPr>
              <w:jc w:val="right"/>
              <w:ind w:right="31"/>
              <w:spacing w:after="0"/>
              <w:rPr>
                <w:sz w:val="20"/>
                <w:szCs w:val="20"/>
                <w:color w:val="auto"/>
              </w:rPr>
            </w:pPr>
            <w:r>
              <w:rPr>
                <w:rFonts w:ascii="Arial" w:cs="Arial" w:eastAsia="Arial" w:hAnsi="Arial"/>
                <w:sz w:val="14"/>
                <w:szCs w:val="14"/>
                <w:color w:val="auto"/>
                <w:w w:val="96"/>
              </w:rPr>
              <w:t>2008 First Quarter</w:t>
            </w:r>
          </w:p>
        </w:tc>
        <w:tc>
          <w:tcPr>
            <w:tcW w:w="800" w:type="dxa"/>
            <w:vAlign w:val="bottom"/>
            <w:vMerge w:val="restart"/>
          </w:tcPr>
          <w:p>
            <w:pPr>
              <w:jc w:val="right"/>
              <w:ind w:right="111"/>
              <w:spacing w:after="0"/>
              <w:rPr>
                <w:sz w:val="20"/>
                <w:szCs w:val="20"/>
                <w:color w:val="auto"/>
              </w:rPr>
            </w:pPr>
            <w:r>
              <w:rPr>
                <w:rFonts w:ascii="Arial" w:cs="Arial" w:eastAsia="Arial" w:hAnsi="Arial"/>
                <w:sz w:val="14"/>
                <w:szCs w:val="14"/>
                <w:color w:val="auto"/>
              </w:rPr>
              <w:t>Average</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Average</w:t>
            </w:r>
          </w:p>
        </w:tc>
        <w:tc>
          <w:tcPr>
            <w:tcW w:w="1280" w:type="dxa"/>
            <w:vAlign w:val="bottom"/>
          </w:tcPr>
          <w:p>
            <w:pPr>
              <w:jc w:val="right"/>
              <w:spacing w:after="0"/>
              <w:rPr>
                <w:sz w:val="20"/>
                <w:szCs w:val="20"/>
                <w:color w:val="auto"/>
              </w:rPr>
            </w:pPr>
            <w:r>
              <w:rPr>
                <w:rFonts w:ascii="Arial" w:cs="Arial" w:eastAsia="Arial" w:hAnsi="Arial"/>
                <w:sz w:val="14"/>
                <w:szCs w:val="14"/>
                <w:color w:val="auto"/>
                <w:w w:val="94"/>
              </w:rPr>
              <w:t>2007 Fourth Quarter</w:t>
            </w:r>
          </w:p>
        </w:tc>
        <w:tc>
          <w:tcPr>
            <w:tcW w:w="780" w:type="dxa"/>
            <w:vAlign w:val="bottom"/>
            <w:vMerge w:val="restart"/>
          </w:tcPr>
          <w:p>
            <w:pPr>
              <w:jc w:val="right"/>
              <w:ind w:right="111"/>
              <w:spacing w:after="0"/>
              <w:rPr>
                <w:sz w:val="20"/>
                <w:szCs w:val="20"/>
                <w:color w:val="auto"/>
              </w:rPr>
            </w:pPr>
            <w:r>
              <w:rPr>
                <w:rFonts w:ascii="Arial" w:cs="Arial" w:eastAsia="Arial" w:hAnsi="Arial"/>
                <w:sz w:val="14"/>
                <w:szCs w:val="14"/>
                <w:color w:val="auto"/>
              </w:rPr>
              <w:t>Average</w:t>
            </w:r>
          </w:p>
        </w:tc>
        <w:tc>
          <w:tcPr>
            <w:tcW w:w="800" w:type="dxa"/>
            <w:vAlign w:val="bottom"/>
            <w:vMerge w:val="restart"/>
          </w:tcPr>
          <w:p>
            <w:pPr>
              <w:jc w:val="right"/>
              <w:ind w:right="11"/>
              <w:spacing w:after="0"/>
              <w:rPr>
                <w:sz w:val="20"/>
                <w:szCs w:val="20"/>
                <w:color w:val="auto"/>
              </w:rPr>
            </w:pPr>
            <w:r>
              <w:rPr>
                <w:rFonts w:ascii="Arial" w:cs="Arial" w:eastAsia="Arial" w:hAnsi="Arial"/>
                <w:sz w:val="14"/>
                <w:szCs w:val="14"/>
                <w:color w:val="auto"/>
              </w:rPr>
              <w:t>Average</w:t>
            </w:r>
          </w:p>
        </w:tc>
        <w:tc>
          <w:tcPr>
            <w:tcW w:w="1280" w:type="dxa"/>
            <w:vAlign w:val="bottom"/>
          </w:tcPr>
          <w:p>
            <w:pPr>
              <w:jc w:val="right"/>
              <w:ind w:right="31"/>
              <w:spacing w:after="0"/>
              <w:rPr>
                <w:sz w:val="20"/>
                <w:szCs w:val="20"/>
                <w:color w:val="auto"/>
              </w:rPr>
            </w:pPr>
            <w:r>
              <w:rPr>
                <w:rFonts w:ascii="Arial" w:cs="Arial" w:eastAsia="Arial" w:hAnsi="Arial"/>
                <w:sz w:val="14"/>
                <w:szCs w:val="14"/>
                <w:color w:val="auto"/>
                <w:w w:val="96"/>
              </w:rPr>
              <w:t>2007 Third Quarter</w:t>
            </w:r>
          </w:p>
        </w:tc>
        <w:tc>
          <w:tcPr>
            <w:tcW w:w="680" w:type="dxa"/>
            <w:vAlign w:val="bottom"/>
            <w:vMerge w:val="restart"/>
          </w:tcPr>
          <w:p>
            <w:pPr>
              <w:jc w:val="right"/>
              <w:ind w:right="11"/>
              <w:spacing w:after="0"/>
              <w:rPr>
                <w:sz w:val="20"/>
                <w:szCs w:val="20"/>
                <w:color w:val="auto"/>
              </w:rPr>
            </w:pPr>
            <w:r>
              <w:rPr>
                <w:rFonts w:ascii="Arial" w:cs="Arial" w:eastAsia="Arial" w:hAnsi="Arial"/>
                <w:sz w:val="14"/>
                <w:szCs w:val="14"/>
                <w:color w:val="auto"/>
              </w:rPr>
              <w:t>Average</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29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124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128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12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4"/>
        </w:trPr>
        <w:tc>
          <w:tcPr>
            <w:tcW w:w="2980" w:type="dxa"/>
            <w:vAlign w:val="bottom"/>
            <w:gridSpan w:val="2"/>
          </w:tcPr>
          <w:p>
            <w:pPr>
              <w:spacing w:after="0"/>
              <w:rPr>
                <w:sz w:val="20"/>
                <w:szCs w:val="20"/>
                <w:color w:val="auto"/>
              </w:rPr>
            </w:pPr>
            <w:r>
              <w:rPr>
                <w:rFonts w:ascii="Arial" w:cs="Arial" w:eastAsia="Arial" w:hAnsi="Arial"/>
                <w:sz w:val="14"/>
                <w:szCs w:val="14"/>
                <w:i w:val="1"/>
                <w:iCs w:val="1"/>
                <w:color w:val="auto"/>
                <w:w w:val="96"/>
              </w:rPr>
              <w:t>Average balance in millions; interest in thousands</w:t>
            </w:r>
          </w:p>
        </w:tc>
        <w:tc>
          <w:tcPr>
            <w:tcW w:w="200" w:type="dxa"/>
            <w:vAlign w:val="bottom"/>
          </w:tcPr>
          <w:p>
            <w:pPr>
              <w:spacing w:after="0"/>
              <w:rPr>
                <w:sz w:val="15"/>
                <w:szCs w:val="15"/>
                <w:color w:val="auto"/>
              </w:rPr>
            </w:pPr>
          </w:p>
        </w:tc>
        <w:tc>
          <w:tcPr>
            <w:tcW w:w="600" w:type="dxa"/>
            <w:vAlign w:val="bottom"/>
          </w:tcPr>
          <w:p>
            <w:pPr>
              <w:jc w:val="right"/>
              <w:ind w:right="31"/>
              <w:spacing w:after="0"/>
              <w:rPr>
                <w:sz w:val="20"/>
                <w:szCs w:val="20"/>
                <w:color w:val="auto"/>
              </w:rPr>
            </w:pPr>
            <w:r>
              <w:rPr>
                <w:rFonts w:ascii="Arial" w:cs="Arial" w:eastAsia="Arial" w:hAnsi="Arial"/>
                <w:sz w:val="14"/>
                <w:szCs w:val="14"/>
                <w:color w:val="auto"/>
                <w:w w:val="90"/>
              </w:rPr>
              <w:t>Balance</w:t>
            </w:r>
          </w:p>
        </w:tc>
        <w:tc>
          <w:tcPr>
            <w:tcW w:w="1240" w:type="dxa"/>
            <w:vAlign w:val="bottom"/>
          </w:tcPr>
          <w:p>
            <w:pPr>
              <w:jc w:val="right"/>
              <w:ind w:right="291"/>
              <w:spacing w:after="0"/>
              <w:rPr>
                <w:sz w:val="20"/>
                <w:szCs w:val="20"/>
                <w:color w:val="auto"/>
              </w:rPr>
            </w:pPr>
            <w:r>
              <w:rPr>
                <w:rFonts w:ascii="Arial" w:cs="Arial" w:eastAsia="Arial" w:hAnsi="Arial"/>
                <w:sz w:val="14"/>
                <w:szCs w:val="14"/>
                <w:color w:val="auto"/>
              </w:rPr>
              <w:t>Interest</w:t>
            </w:r>
          </w:p>
        </w:tc>
        <w:tc>
          <w:tcPr>
            <w:tcW w:w="800" w:type="dxa"/>
            <w:vAlign w:val="bottom"/>
          </w:tcPr>
          <w:p>
            <w:pPr>
              <w:jc w:val="right"/>
              <w:ind w:right="211"/>
              <w:spacing w:after="0"/>
              <w:rPr>
                <w:sz w:val="20"/>
                <w:szCs w:val="20"/>
                <w:color w:val="auto"/>
              </w:rPr>
            </w:pPr>
            <w:r>
              <w:rPr>
                <w:rFonts w:ascii="Arial" w:cs="Arial" w:eastAsia="Arial" w:hAnsi="Arial"/>
                <w:sz w:val="14"/>
                <w:szCs w:val="14"/>
                <w:color w:val="auto"/>
              </w:rPr>
              <w:t>Rate</w:t>
            </w:r>
          </w:p>
        </w:tc>
        <w:tc>
          <w:tcPr>
            <w:tcW w:w="780" w:type="dxa"/>
            <w:vAlign w:val="bottom"/>
          </w:tcPr>
          <w:p>
            <w:pPr>
              <w:jc w:val="right"/>
              <w:spacing w:after="0"/>
              <w:rPr>
                <w:sz w:val="20"/>
                <w:szCs w:val="20"/>
                <w:color w:val="auto"/>
              </w:rPr>
            </w:pPr>
            <w:r>
              <w:rPr>
                <w:rFonts w:ascii="Arial" w:cs="Arial" w:eastAsia="Arial" w:hAnsi="Arial"/>
                <w:sz w:val="14"/>
                <w:szCs w:val="14"/>
                <w:color w:val="auto"/>
              </w:rPr>
              <w:t>Balance</w:t>
            </w:r>
          </w:p>
        </w:tc>
        <w:tc>
          <w:tcPr>
            <w:tcW w:w="1280" w:type="dxa"/>
            <w:vAlign w:val="bottom"/>
          </w:tcPr>
          <w:p>
            <w:pPr>
              <w:jc w:val="right"/>
              <w:ind w:right="291"/>
              <w:spacing w:after="0"/>
              <w:rPr>
                <w:sz w:val="20"/>
                <w:szCs w:val="20"/>
                <w:color w:val="auto"/>
              </w:rPr>
            </w:pPr>
            <w:r>
              <w:rPr>
                <w:rFonts w:ascii="Arial" w:cs="Arial" w:eastAsia="Arial" w:hAnsi="Arial"/>
                <w:sz w:val="14"/>
                <w:szCs w:val="14"/>
                <w:color w:val="auto"/>
              </w:rPr>
              <w:t>Interest</w:t>
            </w:r>
          </w:p>
        </w:tc>
        <w:tc>
          <w:tcPr>
            <w:tcW w:w="780" w:type="dxa"/>
            <w:vAlign w:val="bottom"/>
          </w:tcPr>
          <w:p>
            <w:pPr>
              <w:jc w:val="right"/>
              <w:ind w:right="351"/>
              <w:spacing w:after="0"/>
              <w:rPr>
                <w:sz w:val="20"/>
                <w:szCs w:val="20"/>
                <w:color w:val="auto"/>
              </w:rPr>
            </w:pPr>
            <w:r>
              <w:rPr>
                <w:rFonts w:ascii="Arial" w:cs="Arial" w:eastAsia="Arial" w:hAnsi="Arial"/>
                <w:sz w:val="14"/>
                <w:szCs w:val="14"/>
                <w:color w:val="auto"/>
              </w:rPr>
              <w:t>Rate</w:t>
            </w:r>
          </w:p>
        </w:tc>
        <w:tc>
          <w:tcPr>
            <w:tcW w:w="800" w:type="dxa"/>
            <w:vAlign w:val="bottom"/>
          </w:tcPr>
          <w:p>
            <w:pPr>
              <w:jc w:val="right"/>
              <w:ind w:right="31"/>
              <w:spacing w:after="0"/>
              <w:rPr>
                <w:sz w:val="20"/>
                <w:szCs w:val="20"/>
                <w:color w:val="auto"/>
              </w:rPr>
            </w:pPr>
            <w:r>
              <w:rPr>
                <w:rFonts w:ascii="Arial" w:cs="Arial" w:eastAsia="Arial" w:hAnsi="Arial"/>
                <w:sz w:val="14"/>
                <w:szCs w:val="14"/>
                <w:color w:val="auto"/>
              </w:rPr>
              <w:t>Balance</w:t>
            </w:r>
          </w:p>
        </w:tc>
        <w:tc>
          <w:tcPr>
            <w:tcW w:w="1280" w:type="dxa"/>
            <w:vAlign w:val="bottom"/>
          </w:tcPr>
          <w:p>
            <w:pPr>
              <w:jc w:val="right"/>
              <w:ind w:right="311"/>
              <w:spacing w:after="0"/>
              <w:rPr>
                <w:sz w:val="20"/>
                <w:szCs w:val="20"/>
                <w:color w:val="auto"/>
              </w:rPr>
            </w:pPr>
            <w:r>
              <w:rPr>
                <w:rFonts w:ascii="Arial" w:cs="Arial" w:eastAsia="Arial" w:hAnsi="Arial"/>
                <w:sz w:val="14"/>
                <w:szCs w:val="14"/>
                <w:color w:val="auto"/>
              </w:rPr>
              <w:t>Interest</w:t>
            </w:r>
          </w:p>
        </w:tc>
        <w:tc>
          <w:tcPr>
            <w:tcW w:w="680" w:type="dxa"/>
            <w:vAlign w:val="bottom"/>
          </w:tcPr>
          <w:p>
            <w:pPr>
              <w:jc w:val="right"/>
              <w:ind w:right="131"/>
              <w:spacing w:after="0"/>
              <w:rPr>
                <w:sz w:val="20"/>
                <w:szCs w:val="20"/>
                <w:color w:val="auto"/>
              </w:rPr>
            </w:pPr>
            <w:r>
              <w:rPr>
                <w:rFonts w:ascii="Arial" w:cs="Arial" w:eastAsia="Arial" w:hAnsi="Arial"/>
                <w:sz w:val="14"/>
                <w:szCs w:val="14"/>
                <w:color w:val="auto"/>
              </w:rPr>
              <w:t>Rate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Earning assets</w:t>
            </w: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Loans and leases, net of unearned</w:t>
            </w: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discount*</w:t>
            </w:r>
          </w:p>
        </w:tc>
        <w:tc>
          <w:tcPr>
            <w:tcW w:w="2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ind w:left="200"/>
              <w:spacing w:after="0"/>
              <w:rPr>
                <w:sz w:val="20"/>
                <w:szCs w:val="20"/>
                <w:color w:val="auto"/>
              </w:rPr>
            </w:pPr>
            <w:r>
              <w:rPr>
                <w:rFonts w:ascii="Arial" w:cs="Arial" w:eastAsia="Arial" w:hAnsi="Arial"/>
                <w:sz w:val="18"/>
                <w:szCs w:val="18"/>
                <w:color w:val="auto"/>
              </w:rPr>
              <w:t>Commercial, financial, etc.</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31"/>
              <w:spacing w:after="0"/>
              <w:rPr>
                <w:sz w:val="20"/>
                <w:szCs w:val="20"/>
                <w:color w:val="auto"/>
              </w:rPr>
            </w:pPr>
            <w:r>
              <w:rPr>
                <w:rFonts w:ascii="Arial" w:cs="Arial" w:eastAsia="Arial" w:hAnsi="Arial"/>
                <w:sz w:val="18"/>
                <w:szCs w:val="18"/>
                <w:color w:val="auto"/>
                <w:w w:val="83"/>
              </w:rPr>
              <w:t>13,308</w:t>
            </w:r>
          </w:p>
        </w:tc>
        <w:tc>
          <w:tcPr>
            <w:tcW w:w="1240" w:type="dxa"/>
            <w:vAlign w:val="bottom"/>
          </w:tcPr>
          <w:p>
            <w:pPr>
              <w:jc w:val="right"/>
              <w:ind w:right="211"/>
              <w:spacing w:after="0"/>
              <w:rPr>
                <w:sz w:val="20"/>
                <w:szCs w:val="20"/>
                <w:color w:val="auto"/>
              </w:rPr>
            </w:pPr>
            <w:r>
              <w:rPr>
                <w:rFonts w:ascii="Arial" w:cs="Arial" w:eastAsia="Arial" w:hAnsi="Arial"/>
                <w:sz w:val="18"/>
                <w:szCs w:val="18"/>
                <w:color w:val="auto"/>
              </w:rPr>
              <w:t>$200,509</w:t>
            </w:r>
          </w:p>
        </w:tc>
        <w:tc>
          <w:tcPr>
            <w:tcW w:w="800" w:type="dxa"/>
            <w:vAlign w:val="bottom"/>
          </w:tcPr>
          <w:p>
            <w:pPr>
              <w:jc w:val="right"/>
              <w:ind w:right="91"/>
              <w:spacing w:after="0"/>
              <w:rPr>
                <w:sz w:val="20"/>
                <w:szCs w:val="20"/>
                <w:color w:val="auto"/>
              </w:rPr>
            </w:pPr>
            <w:r>
              <w:rPr>
                <w:rFonts w:ascii="Arial" w:cs="Arial" w:eastAsia="Arial" w:hAnsi="Arial"/>
                <w:sz w:val="18"/>
                <w:szCs w:val="18"/>
                <w:color w:val="auto"/>
              </w:rPr>
              <w:t>6.06%</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12,551</w:t>
            </w:r>
          </w:p>
        </w:tc>
        <w:tc>
          <w:tcPr>
            <w:tcW w:w="1280" w:type="dxa"/>
            <w:vAlign w:val="bottom"/>
          </w:tcPr>
          <w:p>
            <w:pPr>
              <w:jc w:val="right"/>
              <w:ind w:right="231"/>
              <w:spacing w:after="0"/>
              <w:rPr>
                <w:sz w:val="20"/>
                <w:szCs w:val="20"/>
                <w:color w:val="auto"/>
              </w:rPr>
            </w:pPr>
            <w:r>
              <w:rPr>
                <w:rFonts w:ascii="Arial" w:cs="Arial" w:eastAsia="Arial" w:hAnsi="Arial"/>
                <w:sz w:val="18"/>
                <w:szCs w:val="18"/>
                <w:color w:val="auto"/>
              </w:rPr>
              <w:t>218,318</w:t>
            </w:r>
          </w:p>
        </w:tc>
        <w:tc>
          <w:tcPr>
            <w:tcW w:w="780" w:type="dxa"/>
            <w:vAlign w:val="bottom"/>
          </w:tcPr>
          <w:p>
            <w:pPr>
              <w:jc w:val="right"/>
              <w:ind w:right="91"/>
              <w:spacing w:after="0"/>
              <w:rPr>
                <w:sz w:val="20"/>
                <w:szCs w:val="20"/>
                <w:color w:val="auto"/>
              </w:rPr>
            </w:pPr>
            <w:r>
              <w:rPr>
                <w:rFonts w:ascii="Arial" w:cs="Arial" w:eastAsia="Arial" w:hAnsi="Arial"/>
                <w:sz w:val="18"/>
                <w:szCs w:val="18"/>
                <w:color w:val="auto"/>
              </w:rPr>
              <w:t>6.90%</w:t>
            </w: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12,239</w:t>
            </w:r>
          </w:p>
        </w:tc>
        <w:tc>
          <w:tcPr>
            <w:tcW w:w="1280" w:type="dxa"/>
            <w:vAlign w:val="bottom"/>
          </w:tcPr>
          <w:p>
            <w:pPr>
              <w:jc w:val="right"/>
              <w:ind w:right="251"/>
              <w:spacing w:after="0"/>
              <w:rPr>
                <w:sz w:val="20"/>
                <w:szCs w:val="20"/>
                <w:color w:val="auto"/>
              </w:rPr>
            </w:pPr>
            <w:r>
              <w:rPr>
                <w:rFonts w:ascii="Arial" w:cs="Arial" w:eastAsia="Arial" w:hAnsi="Arial"/>
                <w:sz w:val="18"/>
                <w:szCs w:val="18"/>
                <w:color w:val="auto"/>
              </w:rPr>
              <w:t>223,525</w:t>
            </w: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7.25%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Real estate — commercial</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83"/>
              </w:rPr>
              <w:t>17,994</w:t>
            </w:r>
          </w:p>
        </w:tc>
        <w:tc>
          <w:tcPr>
            <w:tcW w:w="124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285,831</w:t>
            </w:r>
          </w:p>
        </w:tc>
        <w:tc>
          <w:tcPr>
            <w:tcW w:w="80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6.35</w:t>
            </w: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16,459</w:t>
            </w:r>
          </w:p>
        </w:tc>
        <w:tc>
          <w:tcPr>
            <w:tcW w:w="128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293,135</w:t>
            </w:r>
          </w:p>
        </w:tc>
        <w:tc>
          <w:tcPr>
            <w:tcW w:w="78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7.12</w:t>
            </w:r>
          </w:p>
        </w:tc>
        <w:tc>
          <w:tcPr>
            <w:tcW w:w="8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15,474</w:t>
            </w:r>
          </w:p>
        </w:tc>
        <w:tc>
          <w:tcPr>
            <w:tcW w:w="128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291,569</w:t>
            </w:r>
          </w:p>
        </w:tc>
        <w:tc>
          <w:tcPr>
            <w:tcW w:w="6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7.54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ind w:left="200"/>
              <w:spacing w:after="0"/>
              <w:rPr>
                <w:sz w:val="20"/>
                <w:szCs w:val="20"/>
                <w:color w:val="auto"/>
              </w:rPr>
            </w:pPr>
            <w:r>
              <w:rPr>
                <w:rFonts w:ascii="Arial" w:cs="Arial" w:eastAsia="Arial" w:hAnsi="Arial"/>
                <w:sz w:val="18"/>
                <w:szCs w:val="18"/>
                <w:color w:val="auto"/>
              </w:rPr>
              <w:t>Real estate — consumer</w:t>
            </w:r>
          </w:p>
        </w:tc>
        <w:tc>
          <w:tcPr>
            <w:tcW w:w="200" w:type="dxa"/>
            <w:vAlign w:val="bottom"/>
          </w:tcPr>
          <w:p>
            <w:pPr>
              <w:spacing w:after="0"/>
              <w:rPr>
                <w:sz w:val="18"/>
                <w:szCs w:val="18"/>
                <w:color w:val="auto"/>
              </w:rPr>
            </w:pPr>
          </w:p>
        </w:tc>
        <w:tc>
          <w:tcPr>
            <w:tcW w:w="600" w:type="dxa"/>
            <w:vAlign w:val="bottom"/>
          </w:tcPr>
          <w:p>
            <w:pPr>
              <w:jc w:val="right"/>
              <w:ind w:right="31"/>
              <w:spacing w:after="0"/>
              <w:rPr>
                <w:sz w:val="20"/>
                <w:szCs w:val="20"/>
                <w:color w:val="auto"/>
              </w:rPr>
            </w:pPr>
            <w:r>
              <w:rPr>
                <w:rFonts w:ascii="Arial" w:cs="Arial" w:eastAsia="Arial" w:hAnsi="Arial"/>
                <w:sz w:val="18"/>
                <w:szCs w:val="18"/>
                <w:color w:val="auto"/>
              </w:rPr>
              <w:t>5,977</w:t>
            </w:r>
          </w:p>
        </w:tc>
        <w:tc>
          <w:tcPr>
            <w:tcW w:w="1240" w:type="dxa"/>
            <w:vAlign w:val="bottom"/>
          </w:tcPr>
          <w:p>
            <w:pPr>
              <w:jc w:val="right"/>
              <w:ind w:right="211"/>
              <w:spacing w:after="0"/>
              <w:rPr>
                <w:sz w:val="20"/>
                <w:szCs w:val="20"/>
                <w:color w:val="auto"/>
              </w:rPr>
            </w:pPr>
            <w:r>
              <w:rPr>
                <w:rFonts w:ascii="Arial" w:cs="Arial" w:eastAsia="Arial" w:hAnsi="Arial"/>
                <w:sz w:val="18"/>
                <w:szCs w:val="18"/>
                <w:color w:val="auto"/>
              </w:rPr>
              <w:t>92,179</w:t>
            </w:r>
          </w:p>
        </w:tc>
        <w:tc>
          <w:tcPr>
            <w:tcW w:w="800" w:type="dxa"/>
            <w:vAlign w:val="bottom"/>
          </w:tcPr>
          <w:p>
            <w:pPr>
              <w:jc w:val="right"/>
              <w:ind w:right="231"/>
              <w:spacing w:after="0"/>
              <w:rPr>
                <w:sz w:val="20"/>
                <w:szCs w:val="20"/>
                <w:color w:val="auto"/>
              </w:rPr>
            </w:pPr>
            <w:r>
              <w:rPr>
                <w:rFonts w:ascii="Arial" w:cs="Arial" w:eastAsia="Arial" w:hAnsi="Arial"/>
                <w:sz w:val="18"/>
                <w:szCs w:val="18"/>
                <w:color w:val="auto"/>
              </w:rPr>
              <w:t>6.17</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6,327</w:t>
            </w:r>
          </w:p>
        </w:tc>
        <w:tc>
          <w:tcPr>
            <w:tcW w:w="1280" w:type="dxa"/>
            <w:vAlign w:val="bottom"/>
          </w:tcPr>
          <w:p>
            <w:pPr>
              <w:jc w:val="right"/>
              <w:ind w:right="231"/>
              <w:spacing w:after="0"/>
              <w:rPr>
                <w:sz w:val="20"/>
                <w:szCs w:val="20"/>
                <w:color w:val="auto"/>
              </w:rPr>
            </w:pPr>
            <w:r>
              <w:rPr>
                <w:rFonts w:ascii="Arial" w:cs="Arial" w:eastAsia="Arial" w:hAnsi="Arial"/>
                <w:sz w:val="18"/>
                <w:szCs w:val="18"/>
                <w:color w:val="auto"/>
              </w:rPr>
              <w:t>97,009</w:t>
            </w:r>
          </w:p>
        </w:tc>
        <w:tc>
          <w:tcPr>
            <w:tcW w:w="780" w:type="dxa"/>
            <w:vAlign w:val="bottom"/>
          </w:tcPr>
          <w:p>
            <w:pPr>
              <w:jc w:val="right"/>
              <w:ind w:right="251"/>
              <w:spacing w:after="0"/>
              <w:rPr>
                <w:sz w:val="20"/>
                <w:szCs w:val="20"/>
                <w:color w:val="auto"/>
              </w:rPr>
            </w:pPr>
            <w:r>
              <w:rPr>
                <w:rFonts w:ascii="Arial" w:cs="Arial" w:eastAsia="Arial" w:hAnsi="Arial"/>
                <w:sz w:val="18"/>
                <w:szCs w:val="18"/>
                <w:color w:val="auto"/>
              </w:rPr>
              <w:t>6.13</w:t>
            </w: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5,915</w:t>
            </w:r>
          </w:p>
        </w:tc>
        <w:tc>
          <w:tcPr>
            <w:tcW w:w="1280" w:type="dxa"/>
            <w:vAlign w:val="bottom"/>
          </w:tcPr>
          <w:p>
            <w:pPr>
              <w:jc w:val="right"/>
              <w:ind w:right="251"/>
              <w:spacing w:after="0"/>
              <w:rPr>
                <w:sz w:val="20"/>
                <w:szCs w:val="20"/>
                <w:color w:val="auto"/>
              </w:rPr>
            </w:pPr>
            <w:r>
              <w:rPr>
                <w:rFonts w:ascii="Arial" w:cs="Arial" w:eastAsia="Arial" w:hAnsi="Arial"/>
                <w:sz w:val="18"/>
                <w:szCs w:val="18"/>
                <w:color w:val="auto"/>
              </w:rPr>
              <w:t>95,629</w:t>
            </w:r>
          </w:p>
        </w:tc>
        <w:tc>
          <w:tcPr>
            <w:tcW w:w="680" w:type="dxa"/>
            <w:vAlign w:val="bottom"/>
          </w:tcPr>
          <w:p>
            <w:pPr>
              <w:jc w:val="right"/>
              <w:ind w:right="151"/>
              <w:spacing w:after="0"/>
              <w:rPr>
                <w:sz w:val="20"/>
                <w:szCs w:val="20"/>
                <w:color w:val="auto"/>
              </w:rPr>
            </w:pPr>
            <w:r>
              <w:rPr>
                <w:rFonts w:ascii="Arial" w:cs="Arial" w:eastAsia="Arial" w:hAnsi="Arial"/>
                <w:sz w:val="18"/>
                <w:szCs w:val="18"/>
                <w:color w:val="auto"/>
              </w:rPr>
              <w:t>6.47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Consumer</w:t>
            </w:r>
          </w:p>
        </w:tc>
        <w:tc>
          <w:tcPr>
            <w:tcW w:w="2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83"/>
              </w:rPr>
              <w:t>11,296</w:t>
            </w:r>
          </w:p>
        </w:tc>
        <w:tc>
          <w:tcPr>
            <w:tcW w:w="124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8"/>
                <w:szCs w:val="18"/>
                <w:color w:val="auto"/>
              </w:rPr>
              <w:t>193,938</w:t>
            </w:r>
          </w:p>
        </w:tc>
        <w:tc>
          <w:tcPr>
            <w:tcW w:w="80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8"/>
                <w:szCs w:val="18"/>
                <w:color w:val="auto"/>
              </w:rPr>
              <w:t>6.91</w:t>
            </w:r>
          </w:p>
        </w:tc>
        <w:tc>
          <w:tcPr>
            <w:tcW w:w="7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10,718</w:t>
            </w:r>
          </w:p>
        </w:tc>
        <w:tc>
          <w:tcPr>
            <w:tcW w:w="128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8"/>
                <w:szCs w:val="18"/>
                <w:color w:val="auto"/>
              </w:rPr>
              <w:t>198,509</w:t>
            </w:r>
          </w:p>
        </w:tc>
        <w:tc>
          <w:tcPr>
            <w:tcW w:w="780" w:type="dxa"/>
            <w:vAlign w:val="bottom"/>
            <w:tcBorders>
              <w:bottom w:val="single" w:sz="8" w:color="auto"/>
            </w:tcBorders>
            <w:shd w:val="clear" w:color="auto" w:fill="CCEEFF"/>
          </w:tcPr>
          <w:p>
            <w:pPr>
              <w:jc w:val="right"/>
              <w:ind w:right="251"/>
              <w:spacing w:after="0"/>
              <w:rPr>
                <w:sz w:val="20"/>
                <w:szCs w:val="20"/>
                <w:color w:val="auto"/>
              </w:rPr>
            </w:pPr>
            <w:r>
              <w:rPr>
                <w:rFonts w:ascii="Arial" w:cs="Arial" w:eastAsia="Arial" w:hAnsi="Arial"/>
                <w:sz w:val="18"/>
                <w:szCs w:val="18"/>
                <w:color w:val="auto"/>
              </w:rPr>
              <w:t>7.35</w:t>
            </w:r>
          </w:p>
        </w:tc>
        <w:tc>
          <w:tcPr>
            <w:tcW w:w="8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10,122</w:t>
            </w:r>
          </w:p>
        </w:tc>
        <w:tc>
          <w:tcPr>
            <w:tcW w:w="1280" w:type="dxa"/>
            <w:vAlign w:val="bottom"/>
            <w:tcBorders>
              <w:bottom w:val="single" w:sz="8" w:color="auto"/>
            </w:tcBorders>
            <w:shd w:val="clear" w:color="auto" w:fill="CCEEFF"/>
          </w:tcPr>
          <w:p>
            <w:pPr>
              <w:jc w:val="right"/>
              <w:ind w:right="251"/>
              <w:spacing w:after="0"/>
              <w:rPr>
                <w:sz w:val="20"/>
                <w:szCs w:val="20"/>
                <w:color w:val="auto"/>
              </w:rPr>
            </w:pPr>
            <w:r>
              <w:rPr>
                <w:rFonts w:ascii="Arial" w:cs="Arial" w:eastAsia="Arial" w:hAnsi="Arial"/>
                <w:sz w:val="18"/>
                <w:szCs w:val="18"/>
                <w:color w:val="auto"/>
              </w:rPr>
              <w:t>191,628</w:t>
            </w:r>
          </w:p>
        </w:tc>
        <w:tc>
          <w:tcPr>
            <w:tcW w:w="68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7.51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6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Total loans and leases, net</w:t>
            </w:r>
          </w:p>
        </w:tc>
        <w:tc>
          <w:tcPr>
            <w:tcW w:w="2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w w:val="83"/>
              </w:rPr>
              <w:t>48,575</w:t>
            </w:r>
          </w:p>
        </w:tc>
        <w:tc>
          <w:tcPr>
            <w:tcW w:w="124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772,457</w:t>
            </w:r>
          </w:p>
        </w:tc>
        <w:tc>
          <w:tcPr>
            <w:tcW w:w="80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rPr>
              <w:t>6.40</w:t>
            </w:r>
          </w:p>
        </w:tc>
        <w:tc>
          <w:tcPr>
            <w:tcW w:w="7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46,055</w:t>
            </w:r>
          </w:p>
        </w:tc>
        <w:tc>
          <w:tcPr>
            <w:tcW w:w="128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rPr>
              <w:t>806,971</w:t>
            </w:r>
          </w:p>
        </w:tc>
        <w:tc>
          <w:tcPr>
            <w:tcW w:w="78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color w:val="auto"/>
              </w:rPr>
              <w:t>6.95</w:t>
            </w:r>
          </w:p>
        </w:tc>
        <w:tc>
          <w:tcPr>
            <w:tcW w:w="8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43,750</w:t>
            </w:r>
          </w:p>
        </w:tc>
        <w:tc>
          <w:tcPr>
            <w:tcW w:w="128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color w:val="auto"/>
              </w:rPr>
              <w:t>802,351</w:t>
            </w:r>
          </w:p>
        </w:tc>
        <w:tc>
          <w:tcPr>
            <w:tcW w:w="68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7.28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Interest-bearing deposits at banks</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10</w:t>
            </w:r>
          </w:p>
        </w:tc>
        <w:tc>
          <w:tcPr>
            <w:tcW w:w="124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44</w:t>
            </w:r>
          </w:p>
        </w:tc>
        <w:tc>
          <w:tcPr>
            <w:tcW w:w="80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1.65</w:t>
            </w: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w:t>
            </w:r>
          </w:p>
        </w:tc>
        <w:tc>
          <w:tcPr>
            <w:tcW w:w="128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103</w:t>
            </w:r>
          </w:p>
        </w:tc>
        <w:tc>
          <w:tcPr>
            <w:tcW w:w="78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3.48</w:t>
            </w:r>
          </w:p>
        </w:tc>
        <w:tc>
          <w:tcPr>
            <w:tcW w:w="8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8</w:t>
            </w:r>
          </w:p>
        </w:tc>
        <w:tc>
          <w:tcPr>
            <w:tcW w:w="128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64</w:t>
            </w:r>
          </w:p>
        </w:tc>
        <w:tc>
          <w:tcPr>
            <w:tcW w:w="6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60" w:type="dxa"/>
            <w:vAlign w:val="bottom"/>
          </w:tcPr>
          <w:p>
            <w:pPr>
              <w:spacing w:after="0" w:line="201" w:lineRule="exact"/>
              <w:rPr>
                <w:sz w:val="20"/>
                <w:szCs w:val="20"/>
                <w:color w:val="auto"/>
              </w:rPr>
            </w:pPr>
            <w:r>
              <w:rPr>
                <w:rFonts w:ascii="Arial" w:cs="Arial" w:eastAsia="Arial" w:hAnsi="Arial"/>
                <w:sz w:val="18"/>
                <w:szCs w:val="18"/>
                <w:color w:val="auto"/>
                <w:w w:val="96"/>
              </w:rPr>
              <w:t>Federal funds sold and agreements to</w:t>
            </w: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60" w:type="dxa"/>
            <w:vAlign w:val="bottom"/>
          </w:tcPr>
          <w:p>
            <w:pPr>
              <w:ind w:left="200"/>
              <w:spacing w:after="0"/>
              <w:rPr>
                <w:sz w:val="20"/>
                <w:szCs w:val="20"/>
                <w:color w:val="auto"/>
              </w:rPr>
            </w:pPr>
            <w:r>
              <w:rPr>
                <w:rFonts w:ascii="Arial" w:cs="Arial" w:eastAsia="Arial" w:hAnsi="Arial"/>
                <w:sz w:val="18"/>
                <w:szCs w:val="18"/>
                <w:color w:val="auto"/>
              </w:rPr>
              <w:t>resell securities</w:t>
            </w:r>
          </w:p>
        </w:tc>
        <w:tc>
          <w:tcPr>
            <w:tcW w:w="200" w:type="dxa"/>
            <w:vAlign w:val="bottom"/>
          </w:tcPr>
          <w:p>
            <w:pPr>
              <w:spacing w:after="0"/>
              <w:rPr>
                <w:sz w:val="20"/>
                <w:szCs w:val="20"/>
                <w:color w:val="auto"/>
              </w:rPr>
            </w:pPr>
          </w:p>
        </w:tc>
        <w:tc>
          <w:tcPr>
            <w:tcW w:w="600" w:type="dxa"/>
            <w:vAlign w:val="bottom"/>
          </w:tcPr>
          <w:p>
            <w:pPr>
              <w:jc w:val="right"/>
              <w:ind w:right="31"/>
              <w:spacing w:after="0"/>
              <w:rPr>
                <w:sz w:val="20"/>
                <w:szCs w:val="20"/>
                <w:color w:val="auto"/>
              </w:rPr>
            </w:pPr>
            <w:r>
              <w:rPr>
                <w:rFonts w:ascii="Arial" w:cs="Arial" w:eastAsia="Arial" w:hAnsi="Arial"/>
                <w:sz w:val="18"/>
                <w:szCs w:val="18"/>
                <w:color w:val="auto"/>
              </w:rPr>
              <w:t>129</w:t>
            </w:r>
          </w:p>
        </w:tc>
        <w:tc>
          <w:tcPr>
            <w:tcW w:w="1240" w:type="dxa"/>
            <w:vAlign w:val="bottom"/>
          </w:tcPr>
          <w:p>
            <w:pPr>
              <w:jc w:val="right"/>
              <w:ind w:right="211"/>
              <w:spacing w:after="0"/>
              <w:rPr>
                <w:sz w:val="20"/>
                <w:szCs w:val="20"/>
                <w:color w:val="auto"/>
              </w:rPr>
            </w:pPr>
            <w:r>
              <w:rPr>
                <w:rFonts w:ascii="Arial" w:cs="Arial" w:eastAsia="Arial" w:hAnsi="Arial"/>
                <w:sz w:val="18"/>
                <w:szCs w:val="18"/>
                <w:color w:val="auto"/>
              </w:rPr>
              <w:t>956</w:t>
            </w:r>
          </w:p>
        </w:tc>
        <w:tc>
          <w:tcPr>
            <w:tcW w:w="800" w:type="dxa"/>
            <w:vAlign w:val="bottom"/>
          </w:tcPr>
          <w:p>
            <w:pPr>
              <w:jc w:val="right"/>
              <w:ind w:right="231"/>
              <w:spacing w:after="0"/>
              <w:rPr>
                <w:sz w:val="20"/>
                <w:szCs w:val="20"/>
                <w:color w:val="auto"/>
              </w:rPr>
            </w:pPr>
            <w:r>
              <w:rPr>
                <w:rFonts w:ascii="Arial" w:cs="Arial" w:eastAsia="Arial" w:hAnsi="Arial"/>
                <w:sz w:val="18"/>
                <w:szCs w:val="18"/>
                <w:color w:val="auto"/>
              </w:rPr>
              <w:t>2.99</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725</w:t>
            </w:r>
          </w:p>
        </w:tc>
        <w:tc>
          <w:tcPr>
            <w:tcW w:w="1280" w:type="dxa"/>
            <w:vAlign w:val="bottom"/>
          </w:tcPr>
          <w:p>
            <w:pPr>
              <w:jc w:val="right"/>
              <w:ind w:right="231"/>
              <w:spacing w:after="0"/>
              <w:rPr>
                <w:sz w:val="20"/>
                <w:szCs w:val="20"/>
                <w:color w:val="auto"/>
              </w:rPr>
            </w:pPr>
            <w:r>
              <w:rPr>
                <w:rFonts w:ascii="Arial" w:cs="Arial" w:eastAsia="Arial" w:hAnsi="Arial"/>
                <w:sz w:val="18"/>
                <w:szCs w:val="18"/>
                <w:color w:val="auto"/>
              </w:rPr>
              <w:t>8,871</w:t>
            </w:r>
          </w:p>
        </w:tc>
        <w:tc>
          <w:tcPr>
            <w:tcW w:w="780" w:type="dxa"/>
            <w:vAlign w:val="bottom"/>
          </w:tcPr>
          <w:p>
            <w:pPr>
              <w:jc w:val="right"/>
              <w:ind w:right="251"/>
              <w:spacing w:after="0"/>
              <w:rPr>
                <w:sz w:val="20"/>
                <w:szCs w:val="20"/>
                <w:color w:val="auto"/>
              </w:rPr>
            </w:pPr>
            <w:r>
              <w:rPr>
                <w:rFonts w:ascii="Arial" w:cs="Arial" w:eastAsia="Arial" w:hAnsi="Arial"/>
                <w:sz w:val="18"/>
                <w:szCs w:val="18"/>
                <w:color w:val="auto"/>
              </w:rPr>
              <w:t>4.86</w:t>
            </w: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248</w:t>
            </w:r>
          </w:p>
        </w:tc>
        <w:tc>
          <w:tcPr>
            <w:tcW w:w="1280" w:type="dxa"/>
            <w:vAlign w:val="bottom"/>
          </w:tcPr>
          <w:p>
            <w:pPr>
              <w:jc w:val="right"/>
              <w:ind w:right="251"/>
              <w:spacing w:after="0"/>
              <w:rPr>
                <w:sz w:val="20"/>
                <w:szCs w:val="20"/>
                <w:color w:val="auto"/>
              </w:rPr>
            </w:pPr>
            <w:r>
              <w:rPr>
                <w:rFonts w:ascii="Arial" w:cs="Arial" w:eastAsia="Arial" w:hAnsi="Arial"/>
                <w:sz w:val="18"/>
                <w:szCs w:val="18"/>
                <w:color w:val="auto"/>
              </w:rPr>
              <w:t>3,429</w:t>
            </w:r>
          </w:p>
        </w:tc>
        <w:tc>
          <w:tcPr>
            <w:tcW w:w="680" w:type="dxa"/>
            <w:vAlign w:val="bottom"/>
          </w:tcPr>
          <w:p>
            <w:pPr>
              <w:jc w:val="right"/>
              <w:ind w:right="151"/>
              <w:spacing w:after="0"/>
              <w:rPr>
                <w:sz w:val="20"/>
                <w:szCs w:val="20"/>
                <w:color w:val="auto"/>
              </w:rPr>
            </w:pPr>
            <w:r>
              <w:rPr>
                <w:rFonts w:ascii="Arial" w:cs="Arial" w:eastAsia="Arial" w:hAnsi="Arial"/>
                <w:sz w:val="18"/>
                <w:szCs w:val="18"/>
                <w:color w:val="auto"/>
              </w:rPr>
              <w:t>5.47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Trading account</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75</w:t>
            </w:r>
          </w:p>
        </w:tc>
        <w:tc>
          <w:tcPr>
            <w:tcW w:w="124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259</w:t>
            </w:r>
          </w:p>
        </w:tc>
        <w:tc>
          <w:tcPr>
            <w:tcW w:w="80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1.39</w:t>
            </w: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68</w:t>
            </w:r>
          </w:p>
        </w:tc>
        <w:tc>
          <w:tcPr>
            <w:tcW w:w="128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253</w:t>
            </w:r>
          </w:p>
        </w:tc>
        <w:tc>
          <w:tcPr>
            <w:tcW w:w="78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1.48</w:t>
            </w:r>
          </w:p>
        </w:tc>
        <w:tc>
          <w:tcPr>
            <w:tcW w:w="8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59</w:t>
            </w:r>
          </w:p>
        </w:tc>
        <w:tc>
          <w:tcPr>
            <w:tcW w:w="128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145</w:t>
            </w:r>
          </w:p>
        </w:tc>
        <w:tc>
          <w:tcPr>
            <w:tcW w:w="6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Investment securities**</w:t>
            </w: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6"/>
              </w:rPr>
              <w:t>U.S. Treasury and federal agencies</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3,523</w:t>
            </w:r>
          </w:p>
        </w:tc>
        <w:tc>
          <w:tcPr>
            <w:tcW w:w="124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41,757</w:t>
            </w:r>
          </w:p>
        </w:tc>
        <w:tc>
          <w:tcPr>
            <w:tcW w:w="80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4.77</w:t>
            </w: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2,364</w:t>
            </w:r>
          </w:p>
        </w:tc>
        <w:tc>
          <w:tcPr>
            <w:tcW w:w="128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26,828</w:t>
            </w:r>
          </w:p>
        </w:tc>
        <w:tc>
          <w:tcPr>
            <w:tcW w:w="78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4.50</w:t>
            </w:r>
          </w:p>
        </w:tc>
        <w:tc>
          <w:tcPr>
            <w:tcW w:w="8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2,156</w:t>
            </w:r>
          </w:p>
        </w:tc>
        <w:tc>
          <w:tcPr>
            <w:tcW w:w="128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23,935</w:t>
            </w:r>
          </w:p>
        </w:tc>
        <w:tc>
          <w:tcPr>
            <w:tcW w:w="6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4.40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60" w:type="dxa"/>
            <w:vAlign w:val="bottom"/>
          </w:tcPr>
          <w:p>
            <w:pPr>
              <w:ind w:left="200"/>
              <w:spacing w:after="0" w:line="201" w:lineRule="exact"/>
              <w:rPr>
                <w:sz w:val="20"/>
                <w:szCs w:val="20"/>
                <w:color w:val="auto"/>
              </w:rPr>
            </w:pPr>
            <w:r>
              <w:rPr>
                <w:rFonts w:ascii="Arial" w:cs="Arial" w:eastAsia="Arial" w:hAnsi="Arial"/>
                <w:sz w:val="18"/>
                <w:szCs w:val="18"/>
                <w:color w:val="auto"/>
              </w:rPr>
              <w:t>Obligations of states and political</w:t>
            </w: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60" w:type="dxa"/>
            <w:vAlign w:val="bottom"/>
          </w:tcPr>
          <w:p>
            <w:pPr>
              <w:ind w:left="400"/>
              <w:spacing w:after="0"/>
              <w:rPr>
                <w:sz w:val="20"/>
                <w:szCs w:val="20"/>
                <w:color w:val="auto"/>
              </w:rPr>
            </w:pPr>
            <w:r>
              <w:rPr>
                <w:rFonts w:ascii="Arial" w:cs="Arial" w:eastAsia="Arial" w:hAnsi="Arial"/>
                <w:sz w:val="18"/>
                <w:szCs w:val="18"/>
                <w:color w:val="auto"/>
              </w:rPr>
              <w:t>subdivisions</w:t>
            </w:r>
          </w:p>
        </w:tc>
        <w:tc>
          <w:tcPr>
            <w:tcW w:w="200" w:type="dxa"/>
            <w:vAlign w:val="bottom"/>
          </w:tcPr>
          <w:p>
            <w:pPr>
              <w:spacing w:after="0"/>
              <w:rPr>
                <w:sz w:val="20"/>
                <w:szCs w:val="20"/>
                <w:color w:val="auto"/>
              </w:rPr>
            </w:pPr>
          </w:p>
        </w:tc>
        <w:tc>
          <w:tcPr>
            <w:tcW w:w="600" w:type="dxa"/>
            <w:vAlign w:val="bottom"/>
          </w:tcPr>
          <w:p>
            <w:pPr>
              <w:jc w:val="right"/>
              <w:ind w:right="31"/>
              <w:spacing w:after="0"/>
              <w:rPr>
                <w:sz w:val="20"/>
                <w:szCs w:val="20"/>
                <w:color w:val="auto"/>
              </w:rPr>
            </w:pPr>
            <w:r>
              <w:rPr>
                <w:rFonts w:ascii="Arial" w:cs="Arial" w:eastAsia="Arial" w:hAnsi="Arial"/>
                <w:sz w:val="18"/>
                <w:szCs w:val="18"/>
                <w:color w:val="auto"/>
              </w:rPr>
              <w:t>149</w:t>
            </w:r>
          </w:p>
        </w:tc>
        <w:tc>
          <w:tcPr>
            <w:tcW w:w="1240" w:type="dxa"/>
            <w:vAlign w:val="bottom"/>
          </w:tcPr>
          <w:p>
            <w:pPr>
              <w:jc w:val="right"/>
              <w:ind w:right="211"/>
              <w:spacing w:after="0"/>
              <w:rPr>
                <w:sz w:val="20"/>
                <w:szCs w:val="20"/>
                <w:color w:val="auto"/>
              </w:rPr>
            </w:pPr>
            <w:r>
              <w:rPr>
                <w:rFonts w:ascii="Arial" w:cs="Arial" w:eastAsia="Arial" w:hAnsi="Arial"/>
                <w:sz w:val="18"/>
                <w:szCs w:val="18"/>
                <w:color w:val="auto"/>
              </w:rPr>
              <w:t>2,436</w:t>
            </w:r>
          </w:p>
        </w:tc>
        <w:tc>
          <w:tcPr>
            <w:tcW w:w="800" w:type="dxa"/>
            <w:vAlign w:val="bottom"/>
          </w:tcPr>
          <w:p>
            <w:pPr>
              <w:jc w:val="right"/>
              <w:ind w:right="231"/>
              <w:spacing w:after="0"/>
              <w:rPr>
                <w:sz w:val="20"/>
                <w:szCs w:val="20"/>
                <w:color w:val="auto"/>
              </w:rPr>
            </w:pPr>
            <w:r>
              <w:rPr>
                <w:rFonts w:ascii="Arial" w:cs="Arial" w:eastAsia="Arial" w:hAnsi="Arial"/>
                <w:sz w:val="18"/>
                <w:szCs w:val="18"/>
                <w:color w:val="auto"/>
              </w:rPr>
              <w:t>6.56</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121</w:t>
            </w:r>
          </w:p>
        </w:tc>
        <w:tc>
          <w:tcPr>
            <w:tcW w:w="1280" w:type="dxa"/>
            <w:vAlign w:val="bottom"/>
          </w:tcPr>
          <w:p>
            <w:pPr>
              <w:jc w:val="right"/>
              <w:ind w:right="231"/>
              <w:spacing w:after="0"/>
              <w:rPr>
                <w:sz w:val="20"/>
                <w:szCs w:val="20"/>
                <w:color w:val="auto"/>
              </w:rPr>
            </w:pPr>
            <w:r>
              <w:rPr>
                <w:rFonts w:ascii="Arial" w:cs="Arial" w:eastAsia="Arial" w:hAnsi="Arial"/>
                <w:sz w:val="18"/>
                <w:szCs w:val="18"/>
                <w:color w:val="auto"/>
              </w:rPr>
              <w:t>2,046</w:t>
            </w:r>
          </w:p>
        </w:tc>
        <w:tc>
          <w:tcPr>
            <w:tcW w:w="780" w:type="dxa"/>
            <w:vAlign w:val="bottom"/>
          </w:tcPr>
          <w:p>
            <w:pPr>
              <w:jc w:val="right"/>
              <w:ind w:right="251"/>
              <w:spacing w:after="0"/>
              <w:rPr>
                <w:sz w:val="20"/>
                <w:szCs w:val="20"/>
                <w:color w:val="auto"/>
              </w:rPr>
            </w:pPr>
            <w:r>
              <w:rPr>
                <w:rFonts w:ascii="Arial" w:cs="Arial" w:eastAsia="Arial" w:hAnsi="Arial"/>
                <w:sz w:val="18"/>
                <w:szCs w:val="18"/>
                <w:color w:val="auto"/>
              </w:rPr>
              <w:t>6.75</w:t>
            </w: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108</w:t>
            </w:r>
          </w:p>
        </w:tc>
        <w:tc>
          <w:tcPr>
            <w:tcW w:w="1280" w:type="dxa"/>
            <w:vAlign w:val="bottom"/>
          </w:tcPr>
          <w:p>
            <w:pPr>
              <w:jc w:val="right"/>
              <w:ind w:right="251"/>
              <w:spacing w:after="0"/>
              <w:rPr>
                <w:sz w:val="20"/>
                <w:szCs w:val="20"/>
                <w:color w:val="auto"/>
              </w:rPr>
            </w:pPr>
            <w:r>
              <w:rPr>
                <w:rFonts w:ascii="Arial" w:cs="Arial" w:eastAsia="Arial" w:hAnsi="Arial"/>
                <w:sz w:val="18"/>
                <w:szCs w:val="18"/>
                <w:color w:val="auto"/>
              </w:rPr>
              <w:t>2,040</w:t>
            </w:r>
          </w:p>
        </w:tc>
        <w:tc>
          <w:tcPr>
            <w:tcW w:w="680" w:type="dxa"/>
            <w:vAlign w:val="bottom"/>
          </w:tcPr>
          <w:p>
            <w:pPr>
              <w:jc w:val="right"/>
              <w:ind w:right="151"/>
              <w:spacing w:after="0"/>
              <w:rPr>
                <w:sz w:val="20"/>
                <w:szCs w:val="20"/>
                <w:color w:val="auto"/>
              </w:rPr>
            </w:pPr>
            <w:r>
              <w:rPr>
                <w:rFonts w:ascii="Arial" w:cs="Arial" w:eastAsia="Arial" w:hAnsi="Arial"/>
                <w:sz w:val="18"/>
                <w:szCs w:val="18"/>
                <w:color w:val="auto"/>
              </w:rPr>
              <w:t>7.55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5,252</w:t>
            </w:r>
          </w:p>
        </w:tc>
        <w:tc>
          <w:tcPr>
            <w:tcW w:w="124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8"/>
                <w:szCs w:val="18"/>
                <w:color w:val="auto"/>
              </w:rPr>
              <w:t>72,036</w:t>
            </w:r>
          </w:p>
        </w:tc>
        <w:tc>
          <w:tcPr>
            <w:tcW w:w="80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8"/>
                <w:szCs w:val="18"/>
                <w:color w:val="auto"/>
              </w:rPr>
              <w:t>5.52</w:t>
            </w:r>
          </w:p>
        </w:tc>
        <w:tc>
          <w:tcPr>
            <w:tcW w:w="7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5,420</w:t>
            </w:r>
          </w:p>
        </w:tc>
        <w:tc>
          <w:tcPr>
            <w:tcW w:w="128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8"/>
                <w:szCs w:val="18"/>
                <w:color w:val="auto"/>
              </w:rPr>
              <w:t>73,128</w:t>
            </w:r>
          </w:p>
        </w:tc>
        <w:tc>
          <w:tcPr>
            <w:tcW w:w="780" w:type="dxa"/>
            <w:vAlign w:val="bottom"/>
            <w:tcBorders>
              <w:bottom w:val="single" w:sz="8" w:color="auto"/>
            </w:tcBorders>
            <w:shd w:val="clear" w:color="auto" w:fill="CCEEFF"/>
          </w:tcPr>
          <w:p>
            <w:pPr>
              <w:jc w:val="right"/>
              <w:ind w:right="251"/>
              <w:spacing w:after="0"/>
              <w:rPr>
                <w:sz w:val="20"/>
                <w:szCs w:val="20"/>
                <w:color w:val="auto"/>
              </w:rPr>
            </w:pPr>
            <w:r>
              <w:rPr>
                <w:rFonts w:ascii="Arial" w:cs="Arial" w:eastAsia="Arial" w:hAnsi="Arial"/>
                <w:sz w:val="18"/>
                <w:szCs w:val="18"/>
                <w:color w:val="auto"/>
              </w:rPr>
              <w:t>5.35</w:t>
            </w:r>
          </w:p>
        </w:tc>
        <w:tc>
          <w:tcPr>
            <w:tcW w:w="8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4,996</w:t>
            </w:r>
          </w:p>
        </w:tc>
        <w:tc>
          <w:tcPr>
            <w:tcW w:w="1280" w:type="dxa"/>
            <w:vAlign w:val="bottom"/>
            <w:tcBorders>
              <w:bottom w:val="single" w:sz="8" w:color="auto"/>
            </w:tcBorders>
            <w:shd w:val="clear" w:color="auto" w:fill="CCEEFF"/>
          </w:tcPr>
          <w:p>
            <w:pPr>
              <w:jc w:val="right"/>
              <w:ind w:right="251"/>
              <w:spacing w:after="0"/>
              <w:rPr>
                <w:sz w:val="20"/>
                <w:szCs w:val="20"/>
                <w:color w:val="auto"/>
              </w:rPr>
            </w:pPr>
            <w:r>
              <w:rPr>
                <w:rFonts w:ascii="Arial" w:cs="Arial" w:eastAsia="Arial" w:hAnsi="Arial"/>
                <w:sz w:val="18"/>
                <w:szCs w:val="18"/>
                <w:color w:val="auto"/>
              </w:rPr>
              <w:t>66,162</w:t>
            </w:r>
          </w:p>
        </w:tc>
        <w:tc>
          <w:tcPr>
            <w:tcW w:w="68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5.25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6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Total investment securities</w:t>
            </w:r>
          </w:p>
        </w:tc>
        <w:tc>
          <w:tcPr>
            <w:tcW w:w="2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8,924</w:t>
            </w:r>
          </w:p>
        </w:tc>
        <w:tc>
          <w:tcPr>
            <w:tcW w:w="124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116,229</w:t>
            </w:r>
          </w:p>
        </w:tc>
        <w:tc>
          <w:tcPr>
            <w:tcW w:w="80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rPr>
              <w:t>5.24</w:t>
            </w:r>
          </w:p>
        </w:tc>
        <w:tc>
          <w:tcPr>
            <w:tcW w:w="7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7,905</w:t>
            </w:r>
          </w:p>
        </w:tc>
        <w:tc>
          <w:tcPr>
            <w:tcW w:w="128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rPr>
              <w:t>102,002</w:t>
            </w:r>
          </w:p>
        </w:tc>
        <w:tc>
          <w:tcPr>
            <w:tcW w:w="78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color w:val="auto"/>
              </w:rPr>
              <w:t>5.12</w:t>
            </w:r>
          </w:p>
        </w:tc>
        <w:tc>
          <w:tcPr>
            <w:tcW w:w="8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7,260</w:t>
            </w:r>
          </w:p>
        </w:tc>
        <w:tc>
          <w:tcPr>
            <w:tcW w:w="128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color w:val="auto"/>
              </w:rPr>
              <w:t>92,137</w:t>
            </w:r>
          </w:p>
        </w:tc>
        <w:tc>
          <w:tcPr>
            <w:tcW w:w="68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5.04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b w:val="1"/>
                <w:bCs w:val="1"/>
                <w:color w:val="auto"/>
              </w:rPr>
              <w:t>Total earning assets</w:t>
            </w:r>
          </w:p>
        </w:tc>
        <w:tc>
          <w:tcPr>
            <w:tcW w:w="2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83"/>
              </w:rPr>
              <w:t>57,713</w:t>
            </w:r>
          </w:p>
        </w:tc>
        <w:tc>
          <w:tcPr>
            <w:tcW w:w="124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8"/>
                <w:szCs w:val="18"/>
                <w:color w:val="auto"/>
              </w:rPr>
              <w:t>889,945</w:t>
            </w:r>
          </w:p>
        </w:tc>
        <w:tc>
          <w:tcPr>
            <w:tcW w:w="80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8"/>
                <w:szCs w:val="18"/>
                <w:color w:val="auto"/>
              </w:rPr>
              <w:t>6.20</w:t>
            </w:r>
          </w:p>
        </w:tc>
        <w:tc>
          <w:tcPr>
            <w:tcW w:w="7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54,765</w:t>
            </w:r>
          </w:p>
        </w:tc>
        <w:tc>
          <w:tcPr>
            <w:tcW w:w="128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8"/>
                <w:szCs w:val="18"/>
                <w:color w:val="auto"/>
              </w:rPr>
              <w:t>918,200</w:t>
            </w:r>
          </w:p>
        </w:tc>
        <w:tc>
          <w:tcPr>
            <w:tcW w:w="780" w:type="dxa"/>
            <w:vAlign w:val="bottom"/>
            <w:tcBorders>
              <w:bottom w:val="single" w:sz="8" w:color="auto"/>
            </w:tcBorders>
            <w:shd w:val="clear" w:color="auto" w:fill="CCEEFF"/>
          </w:tcPr>
          <w:p>
            <w:pPr>
              <w:jc w:val="right"/>
              <w:ind w:right="251"/>
              <w:spacing w:after="0"/>
              <w:rPr>
                <w:sz w:val="20"/>
                <w:szCs w:val="20"/>
                <w:color w:val="auto"/>
              </w:rPr>
            </w:pPr>
            <w:r>
              <w:rPr>
                <w:rFonts w:ascii="Arial" w:cs="Arial" w:eastAsia="Arial" w:hAnsi="Arial"/>
                <w:sz w:val="18"/>
                <w:szCs w:val="18"/>
                <w:color w:val="auto"/>
              </w:rPr>
              <w:t>6.65</w:t>
            </w:r>
          </w:p>
        </w:tc>
        <w:tc>
          <w:tcPr>
            <w:tcW w:w="8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51,325</w:t>
            </w:r>
          </w:p>
        </w:tc>
        <w:tc>
          <w:tcPr>
            <w:tcW w:w="1280" w:type="dxa"/>
            <w:vAlign w:val="bottom"/>
            <w:tcBorders>
              <w:bottom w:val="single" w:sz="8" w:color="auto"/>
            </w:tcBorders>
            <w:shd w:val="clear" w:color="auto" w:fill="CCEEFF"/>
          </w:tcPr>
          <w:p>
            <w:pPr>
              <w:jc w:val="right"/>
              <w:ind w:right="251"/>
              <w:spacing w:after="0"/>
              <w:rPr>
                <w:sz w:val="20"/>
                <w:szCs w:val="20"/>
                <w:color w:val="auto"/>
              </w:rPr>
            </w:pPr>
            <w:r>
              <w:rPr>
                <w:rFonts w:ascii="Arial" w:cs="Arial" w:eastAsia="Arial" w:hAnsi="Arial"/>
                <w:sz w:val="18"/>
                <w:szCs w:val="18"/>
                <w:color w:val="auto"/>
              </w:rPr>
              <w:t>898,126</w:t>
            </w:r>
          </w:p>
        </w:tc>
        <w:tc>
          <w:tcPr>
            <w:tcW w:w="68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6.94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Allowance for credit losses</w:t>
            </w:r>
          </w:p>
        </w:tc>
        <w:tc>
          <w:tcPr>
            <w:tcW w:w="2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(778)</w:t>
            </w:r>
          </w:p>
        </w:tc>
        <w:tc>
          <w:tcPr>
            <w:tcW w:w="1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(711)</w:t>
            </w:r>
          </w:p>
        </w:tc>
        <w:tc>
          <w:tcPr>
            <w:tcW w:w="1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(675)</w:t>
            </w:r>
          </w:p>
        </w:tc>
        <w:tc>
          <w:tcPr>
            <w:tcW w:w="1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Cash and due from banks</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1,297</w:t>
            </w:r>
          </w:p>
        </w:tc>
        <w:tc>
          <w:tcPr>
            <w:tcW w:w="1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1,302</w:t>
            </w:r>
          </w:p>
        </w:tc>
        <w:tc>
          <w:tcPr>
            <w:tcW w:w="1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1,235</w:t>
            </w:r>
          </w:p>
        </w:tc>
        <w:tc>
          <w:tcPr>
            <w:tcW w:w="1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assets</w:t>
            </w:r>
          </w:p>
        </w:tc>
        <w:tc>
          <w:tcPr>
            <w:tcW w:w="2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6,783</w:t>
            </w:r>
          </w:p>
        </w:tc>
        <w:tc>
          <w:tcPr>
            <w:tcW w:w="1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6,193</w:t>
            </w:r>
          </w:p>
        </w:tc>
        <w:tc>
          <w:tcPr>
            <w:tcW w:w="12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5,977</w:t>
            </w:r>
          </w:p>
        </w:tc>
        <w:tc>
          <w:tcPr>
            <w:tcW w:w="12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83"/>
              </w:rPr>
              <w:t>65,015</w:t>
            </w:r>
          </w:p>
        </w:tc>
        <w:tc>
          <w:tcPr>
            <w:tcW w:w="1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61,549</w:t>
            </w:r>
          </w:p>
        </w:tc>
        <w:tc>
          <w:tcPr>
            <w:tcW w:w="12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57,862</w:t>
            </w:r>
          </w:p>
        </w:tc>
        <w:tc>
          <w:tcPr>
            <w:tcW w:w="12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96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w w:val="97"/>
              </w:rPr>
              <w:t>Liabilities and stockholders’ equity</w:t>
            </w:r>
          </w:p>
        </w:tc>
        <w:tc>
          <w:tcPr>
            <w:tcW w:w="2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Interest-bearing liabilities</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Interest-bearing deposits</w:t>
            </w: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NOW accounts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484</w:t>
            </w:r>
          </w:p>
        </w:tc>
        <w:tc>
          <w:tcPr>
            <w:tcW w:w="124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1,018</w:t>
            </w:r>
          </w:p>
        </w:tc>
        <w:tc>
          <w:tcPr>
            <w:tcW w:w="80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.85</w:t>
            </w: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491</w:t>
            </w:r>
          </w:p>
        </w:tc>
        <w:tc>
          <w:tcPr>
            <w:tcW w:w="128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1,465</w:t>
            </w:r>
          </w:p>
        </w:tc>
        <w:tc>
          <w:tcPr>
            <w:tcW w:w="78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1.18</w:t>
            </w:r>
          </w:p>
        </w:tc>
        <w:tc>
          <w:tcPr>
            <w:tcW w:w="8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464</w:t>
            </w:r>
          </w:p>
        </w:tc>
        <w:tc>
          <w:tcPr>
            <w:tcW w:w="128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982</w:t>
            </w:r>
          </w:p>
        </w:tc>
        <w:tc>
          <w:tcPr>
            <w:tcW w:w="6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ind w:left="200"/>
              <w:spacing w:after="0"/>
              <w:rPr>
                <w:sz w:val="20"/>
                <w:szCs w:val="20"/>
                <w:color w:val="auto"/>
              </w:rPr>
            </w:pPr>
            <w:r>
              <w:rPr>
                <w:rFonts w:ascii="Arial" w:cs="Arial" w:eastAsia="Arial" w:hAnsi="Arial"/>
                <w:sz w:val="18"/>
                <w:szCs w:val="18"/>
                <w:color w:val="auto"/>
              </w:rPr>
              <w:t>Savings deposits</w:t>
            </w:r>
          </w:p>
        </w:tc>
        <w:tc>
          <w:tcPr>
            <w:tcW w:w="200" w:type="dxa"/>
            <w:vAlign w:val="bottom"/>
          </w:tcPr>
          <w:p>
            <w:pPr>
              <w:spacing w:after="0"/>
              <w:rPr>
                <w:sz w:val="18"/>
                <w:szCs w:val="18"/>
                <w:color w:val="auto"/>
              </w:rPr>
            </w:pPr>
          </w:p>
        </w:tc>
        <w:tc>
          <w:tcPr>
            <w:tcW w:w="600" w:type="dxa"/>
            <w:vAlign w:val="bottom"/>
          </w:tcPr>
          <w:p>
            <w:pPr>
              <w:jc w:val="right"/>
              <w:ind w:right="31"/>
              <w:spacing w:after="0"/>
              <w:rPr>
                <w:sz w:val="20"/>
                <w:szCs w:val="20"/>
                <w:color w:val="auto"/>
              </w:rPr>
            </w:pPr>
            <w:r>
              <w:rPr>
                <w:rFonts w:ascii="Arial" w:cs="Arial" w:eastAsia="Arial" w:hAnsi="Arial"/>
                <w:sz w:val="18"/>
                <w:szCs w:val="18"/>
                <w:color w:val="auto"/>
                <w:w w:val="83"/>
              </w:rPr>
              <w:t>16,843</w:t>
            </w:r>
          </w:p>
        </w:tc>
        <w:tc>
          <w:tcPr>
            <w:tcW w:w="1240" w:type="dxa"/>
            <w:vAlign w:val="bottom"/>
          </w:tcPr>
          <w:p>
            <w:pPr>
              <w:jc w:val="right"/>
              <w:ind w:right="211"/>
              <w:spacing w:after="0"/>
              <w:rPr>
                <w:sz w:val="20"/>
                <w:szCs w:val="20"/>
                <w:color w:val="auto"/>
              </w:rPr>
            </w:pPr>
            <w:r>
              <w:rPr>
                <w:rFonts w:ascii="Arial" w:cs="Arial" w:eastAsia="Arial" w:hAnsi="Arial"/>
                <w:sz w:val="18"/>
                <w:szCs w:val="18"/>
                <w:color w:val="auto"/>
              </w:rPr>
              <w:t>66,622</w:t>
            </w:r>
          </w:p>
        </w:tc>
        <w:tc>
          <w:tcPr>
            <w:tcW w:w="800" w:type="dxa"/>
            <w:vAlign w:val="bottom"/>
          </w:tcPr>
          <w:p>
            <w:pPr>
              <w:jc w:val="right"/>
              <w:ind w:right="231"/>
              <w:spacing w:after="0"/>
              <w:rPr>
                <w:sz w:val="20"/>
                <w:szCs w:val="20"/>
                <w:color w:val="auto"/>
              </w:rPr>
            </w:pPr>
            <w:r>
              <w:rPr>
                <w:rFonts w:ascii="Arial" w:cs="Arial" w:eastAsia="Arial" w:hAnsi="Arial"/>
                <w:sz w:val="18"/>
                <w:szCs w:val="18"/>
                <w:color w:val="auto"/>
              </w:rPr>
              <w:t>1.59</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15,265</w:t>
            </w:r>
          </w:p>
        </w:tc>
        <w:tc>
          <w:tcPr>
            <w:tcW w:w="1280" w:type="dxa"/>
            <w:vAlign w:val="bottom"/>
          </w:tcPr>
          <w:p>
            <w:pPr>
              <w:jc w:val="right"/>
              <w:ind w:right="231"/>
              <w:spacing w:after="0"/>
              <w:rPr>
                <w:sz w:val="20"/>
                <w:szCs w:val="20"/>
                <w:color w:val="auto"/>
              </w:rPr>
            </w:pPr>
            <w:r>
              <w:rPr>
                <w:rFonts w:ascii="Arial" w:cs="Arial" w:eastAsia="Arial" w:hAnsi="Arial"/>
                <w:sz w:val="18"/>
                <w:szCs w:val="18"/>
                <w:color w:val="auto"/>
              </w:rPr>
              <w:t>65,635</w:t>
            </w:r>
          </w:p>
        </w:tc>
        <w:tc>
          <w:tcPr>
            <w:tcW w:w="780" w:type="dxa"/>
            <w:vAlign w:val="bottom"/>
          </w:tcPr>
          <w:p>
            <w:pPr>
              <w:jc w:val="right"/>
              <w:ind w:right="251"/>
              <w:spacing w:after="0"/>
              <w:rPr>
                <w:sz w:val="20"/>
                <w:szCs w:val="20"/>
                <w:color w:val="auto"/>
              </w:rPr>
            </w:pPr>
            <w:r>
              <w:rPr>
                <w:rFonts w:ascii="Arial" w:cs="Arial" w:eastAsia="Arial" w:hAnsi="Arial"/>
                <w:sz w:val="18"/>
                <w:szCs w:val="18"/>
                <w:color w:val="auto"/>
              </w:rPr>
              <w:t>1.71</w:t>
            </w: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14,908</w:t>
            </w:r>
          </w:p>
        </w:tc>
        <w:tc>
          <w:tcPr>
            <w:tcW w:w="1280" w:type="dxa"/>
            <w:vAlign w:val="bottom"/>
          </w:tcPr>
          <w:p>
            <w:pPr>
              <w:jc w:val="right"/>
              <w:ind w:right="251"/>
              <w:spacing w:after="0"/>
              <w:rPr>
                <w:sz w:val="20"/>
                <w:szCs w:val="20"/>
                <w:color w:val="auto"/>
              </w:rPr>
            </w:pPr>
            <w:r>
              <w:rPr>
                <w:rFonts w:ascii="Arial" w:cs="Arial" w:eastAsia="Arial" w:hAnsi="Arial"/>
                <w:sz w:val="18"/>
                <w:szCs w:val="18"/>
                <w:color w:val="auto"/>
              </w:rPr>
              <w:t>62,883</w:t>
            </w:r>
          </w:p>
        </w:tc>
        <w:tc>
          <w:tcPr>
            <w:tcW w:w="680" w:type="dxa"/>
            <w:vAlign w:val="bottom"/>
          </w:tcPr>
          <w:p>
            <w:pPr>
              <w:jc w:val="right"/>
              <w:ind w:right="151"/>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Time deposits</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83"/>
              </w:rPr>
              <w:t>10,416</w:t>
            </w:r>
          </w:p>
        </w:tc>
        <w:tc>
          <w:tcPr>
            <w:tcW w:w="124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106,643</w:t>
            </w:r>
          </w:p>
        </w:tc>
        <w:tc>
          <w:tcPr>
            <w:tcW w:w="80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4.12</w:t>
            </w: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10,353</w:t>
            </w:r>
          </w:p>
        </w:tc>
        <w:tc>
          <w:tcPr>
            <w:tcW w:w="128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118,612</w:t>
            </w:r>
          </w:p>
        </w:tc>
        <w:tc>
          <w:tcPr>
            <w:tcW w:w="78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4.55</w:t>
            </w:r>
          </w:p>
        </w:tc>
        <w:tc>
          <w:tcPr>
            <w:tcW w:w="8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9,880</w:t>
            </w:r>
          </w:p>
        </w:tc>
        <w:tc>
          <w:tcPr>
            <w:tcW w:w="128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117,064</w:t>
            </w:r>
          </w:p>
        </w:tc>
        <w:tc>
          <w:tcPr>
            <w:tcW w:w="6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4.70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Deposits at foreign office</w:t>
            </w:r>
          </w:p>
        </w:tc>
        <w:tc>
          <w:tcPr>
            <w:tcW w:w="2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4,821</w:t>
            </w:r>
          </w:p>
        </w:tc>
        <w:tc>
          <w:tcPr>
            <w:tcW w:w="124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38,373</w:t>
            </w:r>
          </w:p>
        </w:tc>
        <w:tc>
          <w:tcPr>
            <w:tcW w:w="80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rPr>
              <w:t>3.20</w:t>
            </w:r>
          </w:p>
        </w:tc>
        <w:tc>
          <w:tcPr>
            <w:tcW w:w="7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4,975</w:t>
            </w:r>
          </w:p>
        </w:tc>
        <w:tc>
          <w:tcPr>
            <w:tcW w:w="128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rPr>
              <w:t>56,674</w:t>
            </w:r>
          </w:p>
        </w:tc>
        <w:tc>
          <w:tcPr>
            <w:tcW w:w="78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color w:val="auto"/>
              </w:rPr>
              <w:t>4.52</w:t>
            </w:r>
          </w:p>
        </w:tc>
        <w:tc>
          <w:tcPr>
            <w:tcW w:w="8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4,324</w:t>
            </w:r>
          </w:p>
        </w:tc>
        <w:tc>
          <w:tcPr>
            <w:tcW w:w="128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color w:val="auto"/>
              </w:rPr>
              <w:t>55,666</w:t>
            </w:r>
          </w:p>
        </w:tc>
        <w:tc>
          <w:tcPr>
            <w:tcW w:w="68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5.11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Total interest-bearing deposits</w:t>
            </w:r>
          </w:p>
        </w:tc>
        <w:tc>
          <w:tcPr>
            <w:tcW w:w="2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83"/>
              </w:rPr>
              <w:t>32,564</w:t>
            </w:r>
          </w:p>
        </w:tc>
        <w:tc>
          <w:tcPr>
            <w:tcW w:w="124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8"/>
                <w:szCs w:val="18"/>
                <w:color w:val="auto"/>
              </w:rPr>
              <w:t>212,656</w:t>
            </w:r>
          </w:p>
        </w:tc>
        <w:tc>
          <w:tcPr>
            <w:tcW w:w="80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8"/>
                <w:szCs w:val="18"/>
                <w:color w:val="auto"/>
              </w:rPr>
              <w:t>2.63</w:t>
            </w:r>
          </w:p>
        </w:tc>
        <w:tc>
          <w:tcPr>
            <w:tcW w:w="7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31,084</w:t>
            </w:r>
          </w:p>
        </w:tc>
        <w:tc>
          <w:tcPr>
            <w:tcW w:w="128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8"/>
                <w:szCs w:val="18"/>
                <w:color w:val="auto"/>
              </w:rPr>
              <w:t>242,386</w:t>
            </w:r>
          </w:p>
        </w:tc>
        <w:tc>
          <w:tcPr>
            <w:tcW w:w="780" w:type="dxa"/>
            <w:vAlign w:val="bottom"/>
            <w:tcBorders>
              <w:bottom w:val="single" w:sz="8" w:color="auto"/>
            </w:tcBorders>
            <w:shd w:val="clear" w:color="auto" w:fill="CCEEFF"/>
          </w:tcPr>
          <w:p>
            <w:pPr>
              <w:jc w:val="right"/>
              <w:ind w:right="251"/>
              <w:spacing w:after="0"/>
              <w:rPr>
                <w:sz w:val="20"/>
                <w:szCs w:val="20"/>
                <w:color w:val="auto"/>
              </w:rPr>
            </w:pPr>
            <w:r>
              <w:rPr>
                <w:rFonts w:ascii="Arial" w:cs="Arial" w:eastAsia="Arial" w:hAnsi="Arial"/>
                <w:sz w:val="18"/>
                <w:szCs w:val="18"/>
                <w:color w:val="auto"/>
              </w:rPr>
              <w:t>3.09</w:t>
            </w:r>
          </w:p>
        </w:tc>
        <w:tc>
          <w:tcPr>
            <w:tcW w:w="8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29,576</w:t>
            </w:r>
          </w:p>
        </w:tc>
        <w:tc>
          <w:tcPr>
            <w:tcW w:w="1280" w:type="dxa"/>
            <w:vAlign w:val="bottom"/>
            <w:tcBorders>
              <w:bottom w:val="single" w:sz="8" w:color="auto"/>
            </w:tcBorders>
            <w:shd w:val="clear" w:color="auto" w:fill="CCEEFF"/>
          </w:tcPr>
          <w:p>
            <w:pPr>
              <w:jc w:val="right"/>
              <w:ind w:right="251"/>
              <w:spacing w:after="0"/>
              <w:rPr>
                <w:sz w:val="20"/>
                <w:szCs w:val="20"/>
                <w:color w:val="auto"/>
              </w:rPr>
            </w:pPr>
            <w:r>
              <w:rPr>
                <w:rFonts w:ascii="Arial" w:cs="Arial" w:eastAsia="Arial" w:hAnsi="Arial"/>
                <w:sz w:val="18"/>
                <w:szCs w:val="18"/>
                <w:color w:val="auto"/>
              </w:rPr>
              <w:t>236,595</w:t>
            </w:r>
          </w:p>
        </w:tc>
        <w:tc>
          <w:tcPr>
            <w:tcW w:w="68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Short-term borrowings</w:t>
            </w:r>
          </w:p>
        </w:tc>
        <w:tc>
          <w:tcPr>
            <w:tcW w:w="200" w:type="dxa"/>
            <w:vAlign w:val="bottom"/>
          </w:tcPr>
          <w:p>
            <w:pPr>
              <w:spacing w:after="0"/>
              <w:rPr>
                <w:sz w:val="19"/>
                <w:szCs w:val="19"/>
                <w:color w:val="auto"/>
              </w:rPr>
            </w:pPr>
          </w:p>
        </w:tc>
        <w:tc>
          <w:tcPr>
            <w:tcW w:w="600" w:type="dxa"/>
            <w:vAlign w:val="bottom"/>
          </w:tcPr>
          <w:p>
            <w:pPr>
              <w:jc w:val="right"/>
              <w:ind w:right="31"/>
              <w:spacing w:after="0"/>
              <w:rPr>
                <w:sz w:val="20"/>
                <w:szCs w:val="20"/>
                <w:color w:val="auto"/>
              </w:rPr>
            </w:pPr>
            <w:r>
              <w:rPr>
                <w:rFonts w:ascii="Arial" w:cs="Arial" w:eastAsia="Arial" w:hAnsi="Arial"/>
                <w:sz w:val="18"/>
                <w:szCs w:val="18"/>
                <w:color w:val="auto"/>
              </w:rPr>
              <w:t>7,153</w:t>
            </w:r>
          </w:p>
        </w:tc>
        <w:tc>
          <w:tcPr>
            <w:tcW w:w="1240" w:type="dxa"/>
            <w:vAlign w:val="bottom"/>
          </w:tcPr>
          <w:p>
            <w:pPr>
              <w:jc w:val="right"/>
              <w:ind w:right="211"/>
              <w:spacing w:after="0"/>
              <w:rPr>
                <w:sz w:val="20"/>
                <w:szCs w:val="20"/>
                <w:color w:val="auto"/>
              </w:rPr>
            </w:pPr>
            <w:r>
              <w:rPr>
                <w:rFonts w:ascii="Arial" w:cs="Arial" w:eastAsia="Arial" w:hAnsi="Arial"/>
                <w:sz w:val="18"/>
                <w:szCs w:val="18"/>
                <w:color w:val="auto"/>
              </w:rPr>
              <w:t>61,621</w:t>
            </w:r>
          </w:p>
        </w:tc>
        <w:tc>
          <w:tcPr>
            <w:tcW w:w="800" w:type="dxa"/>
            <w:vAlign w:val="bottom"/>
          </w:tcPr>
          <w:p>
            <w:pPr>
              <w:jc w:val="right"/>
              <w:ind w:right="231"/>
              <w:spacing w:after="0"/>
              <w:rPr>
                <w:sz w:val="20"/>
                <w:szCs w:val="20"/>
                <w:color w:val="auto"/>
              </w:rPr>
            </w:pPr>
            <w:r>
              <w:rPr>
                <w:rFonts w:ascii="Arial" w:cs="Arial" w:eastAsia="Arial" w:hAnsi="Arial"/>
                <w:sz w:val="18"/>
                <w:szCs w:val="18"/>
                <w:color w:val="auto"/>
              </w:rPr>
              <w:t>3.46</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5,899</w:t>
            </w:r>
          </w:p>
        </w:tc>
        <w:tc>
          <w:tcPr>
            <w:tcW w:w="1280" w:type="dxa"/>
            <w:vAlign w:val="bottom"/>
          </w:tcPr>
          <w:p>
            <w:pPr>
              <w:jc w:val="right"/>
              <w:ind w:right="231"/>
              <w:spacing w:after="0"/>
              <w:rPr>
                <w:sz w:val="20"/>
                <w:szCs w:val="20"/>
                <w:color w:val="auto"/>
              </w:rPr>
            </w:pPr>
            <w:r>
              <w:rPr>
                <w:rFonts w:ascii="Arial" w:cs="Arial" w:eastAsia="Arial" w:hAnsi="Arial"/>
                <w:sz w:val="18"/>
                <w:szCs w:val="18"/>
                <w:color w:val="auto"/>
              </w:rPr>
              <w:t>68,639</w:t>
            </w:r>
          </w:p>
        </w:tc>
        <w:tc>
          <w:tcPr>
            <w:tcW w:w="780" w:type="dxa"/>
            <w:vAlign w:val="bottom"/>
          </w:tcPr>
          <w:p>
            <w:pPr>
              <w:jc w:val="right"/>
              <w:ind w:right="251"/>
              <w:spacing w:after="0"/>
              <w:rPr>
                <w:sz w:val="20"/>
                <w:szCs w:val="20"/>
                <w:color w:val="auto"/>
              </w:rPr>
            </w:pPr>
            <w:r>
              <w:rPr>
                <w:rFonts w:ascii="Arial" w:cs="Arial" w:eastAsia="Arial" w:hAnsi="Arial"/>
                <w:sz w:val="18"/>
                <w:szCs w:val="18"/>
                <w:color w:val="auto"/>
              </w:rPr>
              <w:t>4.62</w:t>
            </w: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5,228</w:t>
            </w:r>
          </w:p>
        </w:tc>
        <w:tc>
          <w:tcPr>
            <w:tcW w:w="1280" w:type="dxa"/>
            <w:vAlign w:val="bottom"/>
          </w:tcPr>
          <w:p>
            <w:pPr>
              <w:jc w:val="right"/>
              <w:ind w:right="251"/>
              <w:spacing w:after="0"/>
              <w:rPr>
                <w:sz w:val="20"/>
                <w:szCs w:val="20"/>
                <w:color w:val="auto"/>
              </w:rPr>
            </w:pPr>
            <w:r>
              <w:rPr>
                <w:rFonts w:ascii="Arial" w:cs="Arial" w:eastAsia="Arial" w:hAnsi="Arial"/>
                <w:sz w:val="18"/>
                <w:szCs w:val="18"/>
                <w:color w:val="auto"/>
              </w:rPr>
              <w:t>68,376</w:t>
            </w:r>
          </w:p>
        </w:tc>
        <w:tc>
          <w:tcPr>
            <w:tcW w:w="680" w:type="dxa"/>
            <w:vAlign w:val="bottom"/>
          </w:tcPr>
          <w:p>
            <w:pPr>
              <w:jc w:val="right"/>
              <w:ind w:right="151"/>
              <w:spacing w:after="0"/>
              <w:rPr>
                <w:sz w:val="20"/>
                <w:szCs w:val="20"/>
                <w:color w:val="auto"/>
              </w:rPr>
            </w:pPr>
            <w:r>
              <w:rPr>
                <w:rFonts w:ascii="Arial" w:cs="Arial" w:eastAsia="Arial" w:hAnsi="Arial"/>
                <w:sz w:val="18"/>
                <w:szCs w:val="18"/>
                <w:color w:val="auto"/>
              </w:rPr>
              <w:t>5.19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Long-term borrowings</w:t>
            </w:r>
          </w:p>
        </w:tc>
        <w:tc>
          <w:tcPr>
            <w:tcW w:w="2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83"/>
              </w:rPr>
              <w:t>10,270</w:t>
            </w:r>
          </w:p>
        </w:tc>
        <w:tc>
          <w:tcPr>
            <w:tcW w:w="124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8"/>
                <w:szCs w:val="18"/>
                <w:color w:val="auto"/>
              </w:rPr>
              <w:t>131,035</w:t>
            </w:r>
          </w:p>
        </w:tc>
        <w:tc>
          <w:tcPr>
            <w:tcW w:w="80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8"/>
                <w:szCs w:val="18"/>
                <w:color w:val="auto"/>
              </w:rPr>
              <w:t>5.13</w:t>
            </w:r>
          </w:p>
        </w:tc>
        <w:tc>
          <w:tcPr>
            <w:tcW w:w="7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9,809</w:t>
            </w:r>
          </w:p>
        </w:tc>
        <w:tc>
          <w:tcPr>
            <w:tcW w:w="128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8"/>
                <w:szCs w:val="18"/>
                <w:color w:val="auto"/>
              </w:rPr>
              <w:t>131,339</w:t>
            </w:r>
          </w:p>
        </w:tc>
        <w:tc>
          <w:tcPr>
            <w:tcW w:w="780" w:type="dxa"/>
            <w:vAlign w:val="bottom"/>
            <w:tcBorders>
              <w:bottom w:val="single" w:sz="8" w:color="auto"/>
            </w:tcBorders>
            <w:shd w:val="clear" w:color="auto" w:fill="CCEEFF"/>
          </w:tcPr>
          <w:p>
            <w:pPr>
              <w:jc w:val="right"/>
              <w:ind w:right="251"/>
              <w:spacing w:after="0"/>
              <w:rPr>
                <w:sz w:val="20"/>
                <w:szCs w:val="20"/>
                <w:color w:val="auto"/>
              </w:rPr>
            </w:pPr>
            <w:r>
              <w:rPr>
                <w:rFonts w:ascii="Arial" w:cs="Arial" w:eastAsia="Arial" w:hAnsi="Arial"/>
                <w:sz w:val="18"/>
                <w:szCs w:val="18"/>
                <w:color w:val="auto"/>
              </w:rPr>
              <w:t>5.31</w:t>
            </w:r>
          </w:p>
        </w:tc>
        <w:tc>
          <w:tcPr>
            <w:tcW w:w="8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8,661</w:t>
            </w:r>
          </w:p>
        </w:tc>
        <w:tc>
          <w:tcPr>
            <w:tcW w:w="1280" w:type="dxa"/>
            <w:vAlign w:val="bottom"/>
            <w:tcBorders>
              <w:bottom w:val="single" w:sz="8" w:color="auto"/>
            </w:tcBorders>
            <w:shd w:val="clear" w:color="auto" w:fill="CCEEFF"/>
          </w:tcPr>
          <w:p>
            <w:pPr>
              <w:jc w:val="right"/>
              <w:ind w:right="251"/>
              <w:spacing w:after="0"/>
              <w:rPr>
                <w:sz w:val="20"/>
                <w:szCs w:val="20"/>
                <w:color w:val="auto"/>
              </w:rPr>
            </w:pPr>
            <w:r>
              <w:rPr>
                <w:rFonts w:ascii="Arial" w:cs="Arial" w:eastAsia="Arial" w:hAnsi="Arial"/>
                <w:sz w:val="18"/>
                <w:szCs w:val="18"/>
                <w:color w:val="auto"/>
              </w:rPr>
              <w:t>120,355</w:t>
            </w:r>
          </w:p>
        </w:tc>
        <w:tc>
          <w:tcPr>
            <w:tcW w:w="68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5.51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60" w:type="dxa"/>
            <w:vAlign w:val="bottom"/>
            <w:tcBorders>
              <w:bottom w:val="single" w:sz="8" w:color="auto"/>
            </w:tcBorders>
          </w:tcPr>
          <w:p>
            <w:pPr>
              <w:ind w:left="400"/>
              <w:spacing w:after="0"/>
              <w:rPr>
                <w:sz w:val="20"/>
                <w:szCs w:val="20"/>
                <w:color w:val="auto"/>
              </w:rPr>
            </w:pPr>
            <w:r>
              <w:rPr>
                <w:rFonts w:ascii="Arial" w:cs="Arial" w:eastAsia="Arial" w:hAnsi="Arial"/>
                <w:sz w:val="18"/>
                <w:szCs w:val="18"/>
                <w:b w:val="1"/>
                <w:bCs w:val="1"/>
                <w:color w:val="auto"/>
                <w:w w:val="95"/>
              </w:rPr>
              <w:t>Total interest-bearing liabilities</w:t>
            </w:r>
          </w:p>
        </w:tc>
        <w:tc>
          <w:tcPr>
            <w:tcW w:w="2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w w:val="83"/>
              </w:rPr>
              <w:t>49,987</w:t>
            </w:r>
          </w:p>
        </w:tc>
        <w:tc>
          <w:tcPr>
            <w:tcW w:w="124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405,312</w:t>
            </w:r>
          </w:p>
        </w:tc>
        <w:tc>
          <w:tcPr>
            <w:tcW w:w="80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rPr>
              <w:t>3.26</w:t>
            </w:r>
          </w:p>
        </w:tc>
        <w:tc>
          <w:tcPr>
            <w:tcW w:w="7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46,792</w:t>
            </w:r>
          </w:p>
        </w:tc>
        <w:tc>
          <w:tcPr>
            <w:tcW w:w="128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rPr>
              <w:t>442,364</w:t>
            </w:r>
          </w:p>
        </w:tc>
        <w:tc>
          <w:tcPr>
            <w:tcW w:w="78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color w:val="auto"/>
              </w:rPr>
              <w:t>3.75</w:t>
            </w:r>
          </w:p>
        </w:tc>
        <w:tc>
          <w:tcPr>
            <w:tcW w:w="8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43,465</w:t>
            </w:r>
          </w:p>
        </w:tc>
        <w:tc>
          <w:tcPr>
            <w:tcW w:w="128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color w:val="auto"/>
              </w:rPr>
              <w:t>425,326</w:t>
            </w:r>
          </w:p>
        </w:tc>
        <w:tc>
          <w:tcPr>
            <w:tcW w:w="68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Noninterest-bearing deposits</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7,435</w:t>
            </w:r>
          </w:p>
        </w:tc>
        <w:tc>
          <w:tcPr>
            <w:tcW w:w="1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7,481</w:t>
            </w:r>
          </w:p>
        </w:tc>
        <w:tc>
          <w:tcPr>
            <w:tcW w:w="1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7,360</w:t>
            </w:r>
          </w:p>
        </w:tc>
        <w:tc>
          <w:tcPr>
            <w:tcW w:w="1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liabilities</w:t>
            </w:r>
          </w:p>
        </w:tc>
        <w:tc>
          <w:tcPr>
            <w:tcW w:w="2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1,080</w:t>
            </w:r>
          </w:p>
        </w:tc>
        <w:tc>
          <w:tcPr>
            <w:tcW w:w="1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916</w:t>
            </w:r>
          </w:p>
        </w:tc>
        <w:tc>
          <w:tcPr>
            <w:tcW w:w="12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851</w:t>
            </w:r>
          </w:p>
        </w:tc>
        <w:tc>
          <w:tcPr>
            <w:tcW w:w="12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83"/>
              </w:rPr>
              <w:t>58,502</w:t>
            </w:r>
          </w:p>
        </w:tc>
        <w:tc>
          <w:tcPr>
            <w:tcW w:w="1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55,189</w:t>
            </w:r>
          </w:p>
        </w:tc>
        <w:tc>
          <w:tcPr>
            <w:tcW w:w="12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51,676</w:t>
            </w:r>
          </w:p>
        </w:tc>
        <w:tc>
          <w:tcPr>
            <w:tcW w:w="12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Stockholders’ equity</w:t>
            </w:r>
          </w:p>
        </w:tc>
        <w:tc>
          <w:tcPr>
            <w:tcW w:w="2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6,513</w:t>
            </w:r>
          </w:p>
        </w:tc>
        <w:tc>
          <w:tcPr>
            <w:tcW w:w="1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6,360</w:t>
            </w:r>
          </w:p>
        </w:tc>
        <w:tc>
          <w:tcPr>
            <w:tcW w:w="12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6,186</w:t>
            </w:r>
          </w:p>
        </w:tc>
        <w:tc>
          <w:tcPr>
            <w:tcW w:w="12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60" w:type="dxa"/>
            <w:vAlign w:val="bottom"/>
            <w:shd w:val="clear" w:color="auto" w:fill="CCEEFF"/>
          </w:tcPr>
          <w:p>
            <w:pPr>
              <w:ind w:left="400"/>
              <w:spacing w:after="0" w:line="201" w:lineRule="exact"/>
              <w:rPr>
                <w:sz w:val="20"/>
                <w:szCs w:val="20"/>
                <w:color w:val="auto"/>
              </w:rPr>
            </w:pPr>
            <w:r>
              <w:rPr>
                <w:rFonts w:ascii="Arial" w:cs="Arial" w:eastAsia="Arial" w:hAnsi="Arial"/>
                <w:sz w:val="18"/>
                <w:szCs w:val="18"/>
                <w:color w:val="auto"/>
                <w:w w:val="98"/>
              </w:rPr>
              <w:t>Total liabilities and stockholders’</w:t>
            </w: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6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equity</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83"/>
              </w:rPr>
              <w:t>65,015</w:t>
            </w:r>
          </w:p>
        </w:tc>
        <w:tc>
          <w:tcPr>
            <w:tcW w:w="124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61,549</w:t>
            </w:r>
          </w:p>
        </w:tc>
        <w:tc>
          <w:tcPr>
            <w:tcW w:w="128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57,862</w:t>
            </w:r>
          </w:p>
        </w:tc>
        <w:tc>
          <w:tcPr>
            <w:tcW w:w="128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9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9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Net interest spread</w:t>
            </w:r>
          </w:p>
        </w:tc>
        <w:tc>
          <w:tcPr>
            <w:tcW w:w="2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231"/>
              <w:spacing w:after="0"/>
              <w:rPr>
                <w:sz w:val="20"/>
                <w:szCs w:val="20"/>
                <w:color w:val="auto"/>
              </w:rPr>
            </w:pPr>
            <w:r>
              <w:rPr>
                <w:rFonts w:ascii="Arial" w:cs="Arial" w:eastAsia="Arial" w:hAnsi="Arial"/>
                <w:sz w:val="18"/>
                <w:szCs w:val="18"/>
                <w:color w:val="auto"/>
              </w:rPr>
              <w:t>2.94</w:t>
            </w:r>
          </w:p>
        </w:tc>
        <w:tc>
          <w:tcPr>
            <w:tcW w:w="7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251"/>
              <w:spacing w:after="0"/>
              <w:rPr>
                <w:sz w:val="20"/>
                <w:szCs w:val="20"/>
                <w:color w:val="auto"/>
              </w:rPr>
            </w:pPr>
            <w:r>
              <w:rPr>
                <w:rFonts w:ascii="Arial" w:cs="Arial" w:eastAsia="Arial" w:hAnsi="Arial"/>
                <w:sz w:val="18"/>
                <w:szCs w:val="18"/>
                <w:color w:val="auto"/>
              </w:rPr>
              <w:t>2.90</w:t>
            </w:r>
          </w:p>
        </w:tc>
        <w:tc>
          <w:tcPr>
            <w:tcW w:w="8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151"/>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Contribution of interest-free funds</w:t>
            </w:r>
          </w:p>
        </w:tc>
        <w:tc>
          <w:tcPr>
            <w:tcW w:w="2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8"/>
                <w:szCs w:val="18"/>
                <w:color w:val="auto"/>
              </w:rPr>
              <w:t>.44</w:t>
            </w:r>
          </w:p>
        </w:tc>
        <w:tc>
          <w:tcPr>
            <w:tcW w:w="7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251"/>
              <w:spacing w:after="0"/>
              <w:rPr>
                <w:sz w:val="20"/>
                <w:szCs w:val="20"/>
                <w:color w:val="auto"/>
              </w:rPr>
            </w:pPr>
            <w:r>
              <w:rPr>
                <w:rFonts w:ascii="Arial" w:cs="Arial" w:eastAsia="Arial" w:hAnsi="Arial"/>
                <w:sz w:val="18"/>
                <w:szCs w:val="18"/>
                <w:color w:val="auto"/>
              </w:rPr>
              <w:t>.55</w:t>
            </w:r>
          </w:p>
        </w:tc>
        <w:tc>
          <w:tcPr>
            <w:tcW w:w="8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w w:val="96"/>
              </w:rPr>
              <w:t>Net interest income/margin on earning</w:t>
            </w: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assets</w:t>
            </w:r>
          </w:p>
        </w:tc>
        <w:tc>
          <w:tcPr>
            <w:tcW w:w="2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$484,633</w:t>
            </w:r>
          </w:p>
        </w:tc>
        <w:tc>
          <w:tcPr>
            <w:tcW w:w="80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3.38%</w:t>
            </w:r>
          </w:p>
        </w:tc>
        <w:tc>
          <w:tcPr>
            <w:tcW w:w="7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rPr>
              <w:t>475,836</w:t>
            </w:r>
          </w:p>
        </w:tc>
        <w:tc>
          <w:tcPr>
            <w:tcW w:w="78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3.45%</w:t>
            </w:r>
          </w:p>
        </w:tc>
        <w:tc>
          <w:tcPr>
            <w:tcW w:w="8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color w:val="auto"/>
              </w:rPr>
              <w:t>472,800</w:t>
            </w:r>
          </w:p>
        </w:tc>
        <w:tc>
          <w:tcPr>
            <w:tcW w:w="6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(continued)</w:t>
      </w:r>
    </w:p>
    <w:p>
      <w:pPr>
        <w:spacing w:after="0" w:line="225"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Includes nonaccrual loans.</w:t>
      </w:r>
    </w:p>
    <w:p>
      <w:pPr>
        <w:spacing w:after="0" w:line="77"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Includes available for sale securities at amortized cost.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M&amp;T BANK CORPORATION AND SUBSIDIARIES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w w:val="92"/>
              </w:rPr>
              <w:t>Table 3 (continued)</w:t>
            </w:r>
          </w:p>
        </w:tc>
      </w:tr>
      <w:tr>
        <w:trPr>
          <w:trHeight w:val="432"/>
        </w:trPr>
        <w:tc>
          <w:tcPr>
            <w:tcW w:w="7780" w:type="dxa"/>
            <w:vAlign w:val="bottom"/>
            <w:gridSpan w:val="6"/>
          </w:tcPr>
          <w:p>
            <w:pPr>
              <w:spacing w:after="0"/>
              <w:rPr>
                <w:sz w:val="20"/>
                <w:szCs w:val="20"/>
                <w:color w:val="auto"/>
              </w:rPr>
            </w:pPr>
            <w:r>
              <w:rPr>
                <w:rFonts w:ascii="Arial" w:cs="Arial" w:eastAsia="Arial" w:hAnsi="Arial"/>
                <w:sz w:val="18"/>
                <w:szCs w:val="18"/>
                <w:color w:val="auto"/>
                <w:w w:val="99"/>
              </w:rPr>
              <w:t>AVERAGE BALANCE SHEETS AND ANNUALIZED TAXABLE-EQUIVALENT RATES (continued)</w:t>
            </w:r>
          </w:p>
        </w:tc>
        <w:tc>
          <w:tcPr>
            <w:tcW w:w="10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346"/>
        </w:trPr>
        <w:tc>
          <w:tcPr>
            <w:tcW w:w="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60" w:type="dxa"/>
            <w:vAlign w:val="bottom"/>
          </w:tcPr>
          <w:p>
            <w:pPr>
              <w:jc w:val="right"/>
              <w:ind w:right="171"/>
              <w:spacing w:after="0"/>
              <w:rPr>
                <w:sz w:val="20"/>
                <w:szCs w:val="20"/>
                <w:color w:val="auto"/>
              </w:rPr>
            </w:pPr>
            <w:r>
              <w:rPr>
                <w:rFonts w:ascii="Arial" w:cs="Arial" w:eastAsia="Arial" w:hAnsi="Arial"/>
                <w:sz w:val="14"/>
                <w:szCs w:val="14"/>
                <w:color w:val="auto"/>
              </w:rPr>
              <w:t>2007 Second Quarter</w:t>
            </w:r>
          </w:p>
        </w:tc>
        <w:tc>
          <w:tcPr>
            <w:tcW w:w="1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20" w:type="dxa"/>
            <w:vAlign w:val="bottom"/>
            <w:gridSpan w:val="2"/>
          </w:tcPr>
          <w:p>
            <w:pPr>
              <w:jc w:val="right"/>
              <w:ind w:right="1251"/>
              <w:spacing w:after="0"/>
              <w:rPr>
                <w:sz w:val="20"/>
                <w:szCs w:val="20"/>
                <w:color w:val="auto"/>
              </w:rPr>
            </w:pPr>
            <w:r>
              <w:rPr>
                <w:rFonts w:ascii="Arial" w:cs="Arial" w:eastAsia="Arial" w:hAnsi="Arial"/>
                <w:sz w:val="14"/>
                <w:szCs w:val="14"/>
                <w:color w:val="auto"/>
              </w:rPr>
              <w:t>2007 First Quarter</w:t>
            </w:r>
          </w:p>
        </w:tc>
      </w:tr>
      <w:tr>
        <w:trPr>
          <w:trHeight w:val="149"/>
        </w:trPr>
        <w:tc>
          <w:tcPr>
            <w:tcW w:w="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0" w:type="dxa"/>
            <w:vAlign w:val="bottom"/>
          </w:tcPr>
          <w:p>
            <w:pPr>
              <w:jc w:val="right"/>
              <w:ind w:right="231"/>
              <w:spacing w:after="0" w:line="149" w:lineRule="exact"/>
              <w:rPr>
                <w:sz w:val="20"/>
                <w:szCs w:val="20"/>
                <w:color w:val="auto"/>
              </w:rPr>
            </w:pPr>
            <w:r>
              <w:rPr>
                <w:rFonts w:ascii="Arial" w:cs="Arial" w:eastAsia="Arial" w:hAnsi="Arial"/>
                <w:sz w:val="14"/>
                <w:szCs w:val="14"/>
                <w:color w:val="auto"/>
                <w:w w:val="88"/>
              </w:rPr>
              <w:t>Average</w:t>
            </w:r>
          </w:p>
        </w:tc>
        <w:tc>
          <w:tcPr>
            <w:tcW w:w="1660" w:type="dxa"/>
            <w:vAlign w:val="bottom"/>
          </w:tcPr>
          <w:p>
            <w:pPr>
              <w:spacing w:after="0"/>
              <w:rPr>
                <w:sz w:val="12"/>
                <w:szCs w:val="12"/>
                <w:color w:val="auto"/>
              </w:rPr>
            </w:pPr>
          </w:p>
        </w:tc>
        <w:tc>
          <w:tcPr>
            <w:tcW w:w="1480" w:type="dxa"/>
            <w:vAlign w:val="bottom"/>
          </w:tcPr>
          <w:p>
            <w:pPr>
              <w:jc w:val="right"/>
              <w:ind w:right="671"/>
              <w:spacing w:after="0" w:line="149" w:lineRule="exact"/>
              <w:rPr>
                <w:sz w:val="20"/>
                <w:szCs w:val="20"/>
                <w:color w:val="auto"/>
              </w:rPr>
            </w:pPr>
            <w:r>
              <w:rPr>
                <w:rFonts w:ascii="Arial" w:cs="Arial" w:eastAsia="Arial" w:hAnsi="Arial"/>
                <w:sz w:val="14"/>
                <w:szCs w:val="14"/>
                <w:color w:val="auto"/>
              </w:rPr>
              <w:t>Average</w:t>
            </w:r>
          </w:p>
        </w:tc>
        <w:tc>
          <w:tcPr>
            <w:tcW w:w="1020" w:type="dxa"/>
            <w:vAlign w:val="bottom"/>
          </w:tcPr>
          <w:p>
            <w:pPr>
              <w:jc w:val="right"/>
              <w:ind w:right="271"/>
              <w:spacing w:after="0" w:line="149" w:lineRule="exact"/>
              <w:rPr>
                <w:sz w:val="20"/>
                <w:szCs w:val="20"/>
                <w:color w:val="auto"/>
              </w:rPr>
            </w:pPr>
            <w:r>
              <w:rPr>
                <w:rFonts w:ascii="Arial" w:cs="Arial" w:eastAsia="Arial" w:hAnsi="Arial"/>
                <w:sz w:val="14"/>
                <w:szCs w:val="14"/>
                <w:color w:val="auto"/>
              </w:rPr>
              <w:t>Average</w:t>
            </w:r>
          </w:p>
        </w:tc>
        <w:tc>
          <w:tcPr>
            <w:tcW w:w="1160" w:type="dxa"/>
            <w:vAlign w:val="bottom"/>
          </w:tcPr>
          <w:p>
            <w:pPr>
              <w:spacing w:after="0"/>
              <w:rPr>
                <w:sz w:val="12"/>
                <w:szCs w:val="12"/>
                <w:color w:val="auto"/>
              </w:rPr>
            </w:pPr>
          </w:p>
        </w:tc>
        <w:tc>
          <w:tcPr>
            <w:tcW w:w="1460" w:type="dxa"/>
            <w:vAlign w:val="bottom"/>
          </w:tcPr>
          <w:p>
            <w:pPr>
              <w:jc w:val="right"/>
              <w:ind w:right="171"/>
              <w:spacing w:after="0" w:line="149" w:lineRule="exact"/>
              <w:rPr>
                <w:sz w:val="20"/>
                <w:szCs w:val="20"/>
                <w:color w:val="auto"/>
              </w:rPr>
            </w:pPr>
            <w:r>
              <w:rPr>
                <w:rFonts w:ascii="Arial" w:cs="Arial" w:eastAsia="Arial" w:hAnsi="Arial"/>
                <w:sz w:val="14"/>
                <w:szCs w:val="14"/>
                <w:color w:val="auto"/>
              </w:rPr>
              <w:t>Average</w:t>
            </w:r>
          </w:p>
        </w:tc>
      </w:tr>
      <w:tr>
        <w:trPr>
          <w:trHeight w:val="174"/>
        </w:trPr>
        <w:tc>
          <w:tcPr>
            <w:tcW w:w="3440" w:type="dxa"/>
            <w:vAlign w:val="bottom"/>
            <w:gridSpan w:val="2"/>
          </w:tcPr>
          <w:p>
            <w:pPr>
              <w:spacing w:after="0"/>
              <w:rPr>
                <w:sz w:val="20"/>
                <w:szCs w:val="20"/>
                <w:color w:val="auto"/>
              </w:rPr>
            </w:pPr>
            <w:r>
              <w:rPr>
                <w:rFonts w:ascii="Arial" w:cs="Arial" w:eastAsia="Arial" w:hAnsi="Arial"/>
                <w:sz w:val="14"/>
                <w:szCs w:val="14"/>
                <w:i w:val="1"/>
                <w:iCs w:val="1"/>
                <w:color w:val="auto"/>
              </w:rPr>
              <w:t>Average balance in millions; interest in thousands</w:t>
            </w:r>
          </w:p>
        </w:tc>
        <w:tc>
          <w:tcPr>
            <w:tcW w:w="400" w:type="dxa"/>
            <w:vAlign w:val="bottom"/>
          </w:tcPr>
          <w:p>
            <w:pPr>
              <w:spacing w:after="0"/>
              <w:rPr>
                <w:sz w:val="15"/>
                <w:szCs w:val="15"/>
                <w:color w:val="auto"/>
              </w:rPr>
            </w:pPr>
          </w:p>
        </w:tc>
        <w:tc>
          <w:tcPr>
            <w:tcW w:w="800" w:type="dxa"/>
            <w:vAlign w:val="bottom"/>
          </w:tcPr>
          <w:p>
            <w:pPr>
              <w:jc w:val="right"/>
              <w:ind w:right="251"/>
              <w:spacing w:after="0"/>
              <w:rPr>
                <w:sz w:val="20"/>
                <w:szCs w:val="20"/>
                <w:color w:val="auto"/>
              </w:rPr>
            </w:pPr>
            <w:r>
              <w:rPr>
                <w:rFonts w:ascii="Arial" w:cs="Arial" w:eastAsia="Arial" w:hAnsi="Arial"/>
                <w:sz w:val="14"/>
                <w:szCs w:val="14"/>
                <w:color w:val="auto"/>
                <w:w w:val="86"/>
              </w:rPr>
              <w:t>Balance</w:t>
            </w:r>
          </w:p>
        </w:tc>
        <w:tc>
          <w:tcPr>
            <w:tcW w:w="1660" w:type="dxa"/>
            <w:vAlign w:val="bottom"/>
          </w:tcPr>
          <w:p>
            <w:pPr>
              <w:jc w:val="right"/>
              <w:ind w:right="571"/>
              <w:spacing w:after="0"/>
              <w:rPr>
                <w:sz w:val="20"/>
                <w:szCs w:val="20"/>
                <w:color w:val="auto"/>
              </w:rPr>
            </w:pPr>
            <w:r>
              <w:rPr>
                <w:rFonts w:ascii="Arial" w:cs="Arial" w:eastAsia="Arial" w:hAnsi="Arial"/>
                <w:sz w:val="14"/>
                <w:szCs w:val="14"/>
                <w:color w:val="auto"/>
              </w:rPr>
              <w:t>Interest</w:t>
            </w:r>
          </w:p>
        </w:tc>
        <w:tc>
          <w:tcPr>
            <w:tcW w:w="1480" w:type="dxa"/>
            <w:vAlign w:val="bottom"/>
          </w:tcPr>
          <w:p>
            <w:pPr>
              <w:jc w:val="right"/>
              <w:ind w:right="771"/>
              <w:spacing w:after="0"/>
              <w:rPr>
                <w:sz w:val="20"/>
                <w:szCs w:val="20"/>
                <w:color w:val="auto"/>
              </w:rPr>
            </w:pPr>
            <w:r>
              <w:rPr>
                <w:rFonts w:ascii="Arial" w:cs="Arial" w:eastAsia="Arial" w:hAnsi="Arial"/>
                <w:sz w:val="14"/>
                <w:szCs w:val="14"/>
                <w:color w:val="auto"/>
              </w:rPr>
              <w:t>Rate</w:t>
            </w:r>
          </w:p>
        </w:tc>
        <w:tc>
          <w:tcPr>
            <w:tcW w:w="1020" w:type="dxa"/>
            <w:vAlign w:val="bottom"/>
          </w:tcPr>
          <w:p>
            <w:pPr>
              <w:jc w:val="right"/>
              <w:ind w:right="291"/>
              <w:spacing w:after="0"/>
              <w:rPr>
                <w:sz w:val="20"/>
                <w:szCs w:val="20"/>
                <w:color w:val="auto"/>
              </w:rPr>
            </w:pPr>
            <w:r>
              <w:rPr>
                <w:rFonts w:ascii="Arial" w:cs="Arial" w:eastAsia="Arial" w:hAnsi="Arial"/>
                <w:sz w:val="14"/>
                <w:szCs w:val="14"/>
                <w:color w:val="auto"/>
              </w:rPr>
              <w:t>Balance</w:t>
            </w:r>
          </w:p>
        </w:tc>
        <w:tc>
          <w:tcPr>
            <w:tcW w:w="1160" w:type="dxa"/>
            <w:vAlign w:val="bottom"/>
          </w:tcPr>
          <w:p>
            <w:pPr>
              <w:jc w:val="right"/>
              <w:ind w:right="91"/>
              <w:spacing w:after="0"/>
              <w:rPr>
                <w:sz w:val="20"/>
                <w:szCs w:val="20"/>
                <w:color w:val="auto"/>
              </w:rPr>
            </w:pPr>
            <w:r>
              <w:rPr>
                <w:rFonts w:ascii="Arial" w:cs="Arial" w:eastAsia="Arial" w:hAnsi="Arial"/>
                <w:sz w:val="14"/>
                <w:szCs w:val="14"/>
                <w:color w:val="auto"/>
              </w:rPr>
              <w:t>Interest</w:t>
            </w:r>
          </w:p>
        </w:tc>
        <w:tc>
          <w:tcPr>
            <w:tcW w:w="1460" w:type="dxa"/>
            <w:vAlign w:val="bottom"/>
          </w:tcPr>
          <w:p>
            <w:pPr>
              <w:jc w:val="right"/>
              <w:ind w:right="271"/>
              <w:spacing w:after="0"/>
              <w:rPr>
                <w:sz w:val="20"/>
                <w:szCs w:val="20"/>
                <w:color w:val="auto"/>
              </w:rPr>
            </w:pPr>
            <w:r>
              <w:rPr>
                <w:rFonts w:ascii="Arial" w:cs="Arial" w:eastAsia="Arial" w:hAnsi="Arial"/>
                <w:sz w:val="14"/>
                <w:szCs w:val="14"/>
                <w:color w:val="auto"/>
              </w:rPr>
              <w:t>Rate</w:t>
            </w:r>
          </w:p>
        </w:tc>
      </w:tr>
      <w:tr>
        <w:trPr>
          <w:trHeight w:val="216"/>
        </w:trPr>
        <w:tc>
          <w:tcPr>
            <w:tcW w:w="20" w:type="dxa"/>
            <w:vAlign w:val="bottom"/>
          </w:tcPr>
          <w:p>
            <w:pPr>
              <w:spacing w:after="0"/>
              <w:rPr>
                <w:sz w:val="18"/>
                <w:szCs w:val="18"/>
                <w:color w:val="auto"/>
              </w:rPr>
            </w:pPr>
          </w:p>
        </w:tc>
        <w:tc>
          <w:tcPr>
            <w:tcW w:w="3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4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Earning assets</w:t>
            </w: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3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Loans and leases, net of unearned</w:t>
            </w:r>
          </w:p>
        </w:tc>
        <w:tc>
          <w:tcPr>
            <w:tcW w:w="4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discount*</w:t>
            </w:r>
          </w:p>
        </w:tc>
        <w:tc>
          <w:tcPr>
            <w:tcW w:w="4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420" w:type="dxa"/>
            <w:vAlign w:val="bottom"/>
          </w:tcPr>
          <w:p>
            <w:pPr>
              <w:ind w:left="200"/>
              <w:spacing w:after="0"/>
              <w:rPr>
                <w:sz w:val="20"/>
                <w:szCs w:val="20"/>
                <w:color w:val="auto"/>
              </w:rPr>
            </w:pPr>
            <w:r>
              <w:rPr>
                <w:rFonts w:ascii="Arial" w:cs="Arial" w:eastAsia="Arial" w:hAnsi="Arial"/>
                <w:sz w:val="18"/>
                <w:szCs w:val="18"/>
                <w:color w:val="auto"/>
              </w:rPr>
              <w:t>Commercial, financial, etc.</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31"/>
              <w:spacing w:after="0"/>
              <w:rPr>
                <w:sz w:val="20"/>
                <w:szCs w:val="20"/>
                <w:color w:val="auto"/>
              </w:rPr>
            </w:pPr>
            <w:r>
              <w:rPr>
                <w:rFonts w:ascii="Arial" w:cs="Arial" w:eastAsia="Arial" w:hAnsi="Arial"/>
                <w:sz w:val="18"/>
                <w:szCs w:val="18"/>
                <w:color w:val="auto"/>
              </w:rPr>
              <w:t>12,155</w:t>
            </w:r>
          </w:p>
        </w:tc>
        <w:tc>
          <w:tcPr>
            <w:tcW w:w="1660" w:type="dxa"/>
            <w:vAlign w:val="bottom"/>
          </w:tcPr>
          <w:p>
            <w:pPr>
              <w:jc w:val="right"/>
              <w:ind w:right="431"/>
              <w:spacing w:after="0"/>
              <w:rPr>
                <w:sz w:val="20"/>
                <w:szCs w:val="20"/>
                <w:color w:val="auto"/>
              </w:rPr>
            </w:pPr>
            <w:r>
              <w:rPr>
                <w:rFonts w:ascii="Arial" w:cs="Arial" w:eastAsia="Arial" w:hAnsi="Arial"/>
                <w:sz w:val="18"/>
                <w:szCs w:val="18"/>
                <w:color w:val="auto"/>
              </w:rPr>
              <w:t>$ 219,011</w:t>
            </w:r>
          </w:p>
        </w:tc>
        <w:tc>
          <w:tcPr>
            <w:tcW w:w="1480" w:type="dxa"/>
            <w:vAlign w:val="bottom"/>
          </w:tcPr>
          <w:p>
            <w:pPr>
              <w:jc w:val="right"/>
              <w:ind w:right="411"/>
              <w:spacing w:after="0"/>
              <w:rPr>
                <w:sz w:val="20"/>
                <w:szCs w:val="20"/>
                <w:color w:val="auto"/>
              </w:rPr>
            </w:pPr>
            <w:r>
              <w:rPr>
                <w:rFonts w:ascii="Arial" w:cs="Arial" w:eastAsia="Arial" w:hAnsi="Arial"/>
                <w:sz w:val="18"/>
                <w:szCs w:val="18"/>
                <w:color w:val="auto"/>
              </w:rPr>
              <w:t>7.23%</w:t>
            </w:r>
          </w:p>
        </w:tc>
        <w:tc>
          <w:tcPr>
            <w:tcW w:w="1020" w:type="dxa"/>
            <w:vAlign w:val="bottom"/>
          </w:tcPr>
          <w:p>
            <w:pPr>
              <w:jc w:val="right"/>
              <w:ind w:right="191"/>
              <w:spacing w:after="0"/>
              <w:rPr>
                <w:sz w:val="20"/>
                <w:szCs w:val="20"/>
                <w:color w:val="auto"/>
              </w:rPr>
            </w:pPr>
            <w:r>
              <w:rPr>
                <w:rFonts w:ascii="Arial" w:cs="Arial" w:eastAsia="Arial" w:hAnsi="Arial"/>
                <w:sz w:val="18"/>
                <w:szCs w:val="18"/>
                <w:color w:val="auto"/>
              </w:rPr>
              <w:t>11,753</w:t>
            </w:r>
          </w:p>
        </w:tc>
        <w:tc>
          <w:tcPr>
            <w:tcW w:w="1160" w:type="dxa"/>
            <w:vAlign w:val="bottom"/>
          </w:tcPr>
          <w:p>
            <w:pPr>
              <w:jc w:val="right"/>
              <w:spacing w:after="0"/>
              <w:rPr>
                <w:sz w:val="20"/>
                <w:szCs w:val="20"/>
                <w:color w:val="auto"/>
              </w:rPr>
            </w:pPr>
            <w:r>
              <w:rPr>
                <w:rFonts w:ascii="Arial" w:cs="Arial" w:eastAsia="Arial" w:hAnsi="Arial"/>
                <w:sz w:val="18"/>
                <w:szCs w:val="18"/>
                <w:color w:val="auto"/>
              </w:rPr>
              <w:t>210,889</w:t>
            </w:r>
          </w:p>
        </w:tc>
        <w:tc>
          <w:tcPr>
            <w:tcW w:w="1460" w:type="dxa"/>
            <w:vAlign w:val="bottom"/>
          </w:tcPr>
          <w:p>
            <w:pPr>
              <w:jc w:val="right"/>
              <w:spacing w:after="0"/>
              <w:rPr>
                <w:sz w:val="20"/>
                <w:szCs w:val="20"/>
                <w:color w:val="auto"/>
              </w:rPr>
            </w:pPr>
            <w:r>
              <w:rPr>
                <w:rFonts w:ascii="Arial" w:cs="Arial" w:eastAsia="Arial" w:hAnsi="Arial"/>
                <w:sz w:val="18"/>
                <w:szCs w:val="18"/>
                <w:color w:val="auto"/>
              </w:rPr>
              <w:t>7.28%</w:t>
            </w: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Real estate — commercial</w:t>
            </w: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15,578</w:t>
            </w:r>
          </w:p>
        </w:tc>
        <w:tc>
          <w:tcPr>
            <w:tcW w:w="1660" w:type="dxa"/>
            <w:vAlign w:val="bottom"/>
            <w:shd w:val="clear" w:color="auto" w:fill="CCEEFF"/>
          </w:tcPr>
          <w:p>
            <w:pPr>
              <w:jc w:val="right"/>
              <w:ind w:right="431"/>
              <w:spacing w:after="0"/>
              <w:rPr>
                <w:sz w:val="20"/>
                <w:szCs w:val="20"/>
                <w:color w:val="auto"/>
              </w:rPr>
            </w:pPr>
            <w:r>
              <w:rPr>
                <w:rFonts w:ascii="Arial" w:cs="Arial" w:eastAsia="Arial" w:hAnsi="Arial"/>
                <w:sz w:val="18"/>
                <w:szCs w:val="18"/>
                <w:color w:val="auto"/>
              </w:rPr>
              <w:t>290,130</w:t>
            </w:r>
          </w:p>
        </w:tc>
        <w:tc>
          <w:tcPr>
            <w:tcW w:w="1480" w:type="dxa"/>
            <w:vAlign w:val="bottom"/>
            <w:shd w:val="clear" w:color="auto" w:fill="CCEEFF"/>
          </w:tcPr>
          <w:p>
            <w:pPr>
              <w:jc w:val="right"/>
              <w:ind w:right="571"/>
              <w:spacing w:after="0"/>
              <w:rPr>
                <w:sz w:val="20"/>
                <w:szCs w:val="20"/>
                <w:color w:val="auto"/>
              </w:rPr>
            </w:pPr>
            <w:r>
              <w:rPr>
                <w:rFonts w:ascii="Arial" w:cs="Arial" w:eastAsia="Arial" w:hAnsi="Arial"/>
                <w:sz w:val="18"/>
                <w:szCs w:val="18"/>
                <w:color w:val="auto"/>
              </w:rPr>
              <w:t>7.45</w:t>
            </w:r>
          </w:p>
        </w:tc>
        <w:tc>
          <w:tcPr>
            <w:tcW w:w="102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15,474</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282,322</w:t>
            </w:r>
          </w:p>
        </w:tc>
        <w:tc>
          <w:tcPr>
            <w:tcW w:w="14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7.30</w:t>
            </w:r>
          </w:p>
        </w:tc>
      </w:tr>
      <w:tr>
        <w:trPr>
          <w:trHeight w:val="216"/>
        </w:trPr>
        <w:tc>
          <w:tcPr>
            <w:tcW w:w="20" w:type="dxa"/>
            <w:vAlign w:val="bottom"/>
          </w:tcPr>
          <w:p>
            <w:pPr>
              <w:spacing w:after="0"/>
              <w:rPr>
                <w:sz w:val="18"/>
                <w:szCs w:val="18"/>
                <w:color w:val="auto"/>
              </w:rPr>
            </w:pPr>
          </w:p>
        </w:tc>
        <w:tc>
          <w:tcPr>
            <w:tcW w:w="3420" w:type="dxa"/>
            <w:vAlign w:val="bottom"/>
          </w:tcPr>
          <w:p>
            <w:pPr>
              <w:ind w:left="200"/>
              <w:spacing w:after="0"/>
              <w:rPr>
                <w:sz w:val="20"/>
                <w:szCs w:val="20"/>
                <w:color w:val="auto"/>
              </w:rPr>
            </w:pPr>
            <w:r>
              <w:rPr>
                <w:rFonts w:ascii="Arial" w:cs="Arial" w:eastAsia="Arial" w:hAnsi="Arial"/>
                <w:sz w:val="18"/>
                <w:szCs w:val="18"/>
                <w:color w:val="auto"/>
              </w:rPr>
              <w:t>Real estate — consumer</w:t>
            </w:r>
          </w:p>
        </w:tc>
        <w:tc>
          <w:tcPr>
            <w:tcW w:w="400" w:type="dxa"/>
            <w:vAlign w:val="bottom"/>
          </w:tcPr>
          <w:p>
            <w:pPr>
              <w:spacing w:after="0"/>
              <w:rPr>
                <w:sz w:val="18"/>
                <w:szCs w:val="18"/>
                <w:color w:val="auto"/>
              </w:rPr>
            </w:pPr>
          </w:p>
        </w:tc>
        <w:tc>
          <w:tcPr>
            <w:tcW w:w="800" w:type="dxa"/>
            <w:vAlign w:val="bottom"/>
          </w:tcPr>
          <w:p>
            <w:pPr>
              <w:jc w:val="right"/>
              <w:ind w:right="131"/>
              <w:spacing w:after="0"/>
              <w:rPr>
                <w:sz w:val="20"/>
                <w:szCs w:val="20"/>
                <w:color w:val="auto"/>
              </w:rPr>
            </w:pPr>
            <w:r>
              <w:rPr>
                <w:rFonts w:ascii="Arial" w:cs="Arial" w:eastAsia="Arial" w:hAnsi="Arial"/>
                <w:sz w:val="18"/>
                <w:szCs w:val="18"/>
                <w:color w:val="auto"/>
              </w:rPr>
              <w:t>5,875</w:t>
            </w:r>
          </w:p>
        </w:tc>
        <w:tc>
          <w:tcPr>
            <w:tcW w:w="1660" w:type="dxa"/>
            <w:vAlign w:val="bottom"/>
          </w:tcPr>
          <w:p>
            <w:pPr>
              <w:jc w:val="right"/>
              <w:ind w:right="431"/>
              <w:spacing w:after="0"/>
              <w:rPr>
                <w:sz w:val="20"/>
                <w:szCs w:val="20"/>
                <w:color w:val="auto"/>
              </w:rPr>
            </w:pPr>
            <w:r>
              <w:rPr>
                <w:rFonts w:ascii="Arial" w:cs="Arial" w:eastAsia="Arial" w:hAnsi="Arial"/>
                <w:sz w:val="18"/>
                <w:szCs w:val="18"/>
                <w:color w:val="auto"/>
              </w:rPr>
              <w:t>95,327</w:t>
            </w:r>
          </w:p>
        </w:tc>
        <w:tc>
          <w:tcPr>
            <w:tcW w:w="1480" w:type="dxa"/>
            <w:vAlign w:val="bottom"/>
          </w:tcPr>
          <w:p>
            <w:pPr>
              <w:jc w:val="right"/>
              <w:ind w:right="571"/>
              <w:spacing w:after="0"/>
              <w:rPr>
                <w:sz w:val="20"/>
                <w:szCs w:val="20"/>
                <w:color w:val="auto"/>
              </w:rPr>
            </w:pPr>
            <w:r>
              <w:rPr>
                <w:rFonts w:ascii="Arial" w:cs="Arial" w:eastAsia="Arial" w:hAnsi="Arial"/>
                <w:sz w:val="18"/>
                <w:szCs w:val="18"/>
                <w:color w:val="auto"/>
              </w:rPr>
              <w:t>6.49</w:t>
            </w:r>
          </w:p>
        </w:tc>
        <w:tc>
          <w:tcPr>
            <w:tcW w:w="1020" w:type="dxa"/>
            <w:vAlign w:val="bottom"/>
          </w:tcPr>
          <w:p>
            <w:pPr>
              <w:jc w:val="right"/>
              <w:ind w:right="171"/>
              <w:spacing w:after="0"/>
              <w:rPr>
                <w:sz w:val="20"/>
                <w:szCs w:val="20"/>
                <w:color w:val="auto"/>
              </w:rPr>
            </w:pPr>
            <w:r>
              <w:rPr>
                <w:rFonts w:ascii="Arial" w:cs="Arial" w:eastAsia="Arial" w:hAnsi="Arial"/>
                <w:sz w:val="18"/>
                <w:szCs w:val="18"/>
                <w:color w:val="auto"/>
              </w:rPr>
              <w:t>5,939</w:t>
            </w:r>
          </w:p>
        </w:tc>
        <w:tc>
          <w:tcPr>
            <w:tcW w:w="1160" w:type="dxa"/>
            <w:vAlign w:val="bottom"/>
          </w:tcPr>
          <w:p>
            <w:pPr>
              <w:jc w:val="right"/>
              <w:spacing w:after="0"/>
              <w:rPr>
                <w:sz w:val="20"/>
                <w:szCs w:val="20"/>
                <w:color w:val="auto"/>
              </w:rPr>
            </w:pPr>
            <w:r>
              <w:rPr>
                <w:rFonts w:ascii="Arial" w:cs="Arial" w:eastAsia="Arial" w:hAnsi="Arial"/>
                <w:sz w:val="18"/>
                <w:szCs w:val="18"/>
                <w:color w:val="auto"/>
              </w:rPr>
              <w:t>96,136</w:t>
            </w:r>
          </w:p>
        </w:tc>
        <w:tc>
          <w:tcPr>
            <w:tcW w:w="1460" w:type="dxa"/>
            <w:vAlign w:val="bottom"/>
          </w:tcPr>
          <w:p>
            <w:pPr>
              <w:jc w:val="right"/>
              <w:ind w:right="71"/>
              <w:spacing w:after="0"/>
              <w:rPr>
                <w:sz w:val="20"/>
                <w:szCs w:val="20"/>
                <w:color w:val="auto"/>
              </w:rPr>
            </w:pPr>
            <w:r>
              <w:rPr>
                <w:rFonts w:ascii="Arial" w:cs="Arial" w:eastAsia="Arial" w:hAnsi="Arial"/>
                <w:sz w:val="18"/>
                <w:szCs w:val="18"/>
                <w:color w:val="auto"/>
              </w:rPr>
              <w:t>6.48</w:t>
            </w:r>
          </w:p>
        </w:tc>
      </w:tr>
      <w:tr>
        <w:trPr>
          <w:trHeight w:val="216"/>
        </w:trPr>
        <w:tc>
          <w:tcPr>
            <w:tcW w:w="20" w:type="dxa"/>
            <w:vAlign w:val="bottom"/>
          </w:tcPr>
          <w:p>
            <w:pPr>
              <w:spacing w:after="0"/>
              <w:rPr>
                <w:sz w:val="18"/>
                <w:szCs w:val="18"/>
                <w:color w:val="auto"/>
              </w:rPr>
            </w:pPr>
          </w:p>
        </w:tc>
        <w:tc>
          <w:tcPr>
            <w:tcW w:w="342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Consumer</w:t>
            </w:r>
          </w:p>
        </w:tc>
        <w:tc>
          <w:tcPr>
            <w:tcW w:w="4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9,964</w:t>
            </w:r>
          </w:p>
        </w:tc>
        <w:tc>
          <w:tcPr>
            <w:tcW w:w="1660" w:type="dxa"/>
            <w:vAlign w:val="bottom"/>
            <w:tcBorders>
              <w:bottom w:val="single" w:sz="8" w:color="auto"/>
            </w:tcBorders>
            <w:shd w:val="clear" w:color="auto" w:fill="CCEEFF"/>
          </w:tcPr>
          <w:p>
            <w:pPr>
              <w:jc w:val="right"/>
              <w:ind w:right="431"/>
              <w:spacing w:after="0"/>
              <w:rPr>
                <w:sz w:val="20"/>
                <w:szCs w:val="20"/>
                <w:color w:val="auto"/>
              </w:rPr>
            </w:pPr>
            <w:r>
              <w:rPr>
                <w:rFonts w:ascii="Arial" w:cs="Arial" w:eastAsia="Arial" w:hAnsi="Arial"/>
                <w:sz w:val="18"/>
                <w:szCs w:val="18"/>
                <w:color w:val="auto"/>
              </w:rPr>
              <w:t>185,553</w:t>
            </w:r>
          </w:p>
        </w:tc>
        <w:tc>
          <w:tcPr>
            <w:tcW w:w="1480" w:type="dxa"/>
            <w:vAlign w:val="bottom"/>
            <w:tcBorders>
              <w:bottom w:val="single" w:sz="8" w:color="auto"/>
            </w:tcBorders>
            <w:shd w:val="clear" w:color="auto" w:fill="CCEEFF"/>
          </w:tcPr>
          <w:p>
            <w:pPr>
              <w:jc w:val="right"/>
              <w:ind w:right="571"/>
              <w:spacing w:after="0"/>
              <w:rPr>
                <w:sz w:val="20"/>
                <w:szCs w:val="20"/>
                <w:color w:val="auto"/>
              </w:rPr>
            </w:pPr>
            <w:r>
              <w:rPr>
                <w:rFonts w:ascii="Arial" w:cs="Arial" w:eastAsia="Arial" w:hAnsi="Arial"/>
                <w:sz w:val="18"/>
                <w:szCs w:val="18"/>
                <w:color w:val="auto"/>
              </w:rPr>
              <w:t>7.47</w:t>
            </w:r>
          </w:p>
        </w:tc>
        <w:tc>
          <w:tcPr>
            <w:tcW w:w="102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rPr>
              <w:t>9,948</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182,186</w:t>
            </w:r>
          </w:p>
        </w:tc>
        <w:tc>
          <w:tcPr>
            <w:tcW w:w="14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7.43</w:t>
            </w:r>
          </w:p>
        </w:tc>
      </w:tr>
      <w:tr>
        <w:trPr>
          <w:trHeight w:val="230"/>
        </w:trPr>
        <w:tc>
          <w:tcPr>
            <w:tcW w:w="20" w:type="dxa"/>
            <w:vAlign w:val="bottom"/>
          </w:tcPr>
          <w:p>
            <w:pPr>
              <w:spacing w:after="0"/>
              <w:rPr>
                <w:sz w:val="20"/>
                <w:szCs w:val="20"/>
                <w:color w:val="auto"/>
              </w:rPr>
            </w:pPr>
          </w:p>
        </w:tc>
        <w:tc>
          <w:tcPr>
            <w:tcW w:w="342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Total loans and leases, net</w:t>
            </w:r>
          </w:p>
        </w:tc>
        <w:tc>
          <w:tcPr>
            <w:tcW w:w="4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43,572</w:t>
            </w:r>
          </w:p>
        </w:tc>
        <w:tc>
          <w:tcPr>
            <w:tcW w:w="1660" w:type="dxa"/>
            <w:vAlign w:val="bottom"/>
            <w:tcBorders>
              <w:bottom w:val="single" w:sz="8" w:color="auto"/>
            </w:tcBorders>
          </w:tcPr>
          <w:p>
            <w:pPr>
              <w:jc w:val="right"/>
              <w:ind w:right="431"/>
              <w:spacing w:after="0"/>
              <w:rPr>
                <w:sz w:val="20"/>
                <w:szCs w:val="20"/>
                <w:color w:val="auto"/>
              </w:rPr>
            </w:pPr>
            <w:r>
              <w:rPr>
                <w:rFonts w:ascii="Arial" w:cs="Arial" w:eastAsia="Arial" w:hAnsi="Arial"/>
                <w:sz w:val="18"/>
                <w:szCs w:val="18"/>
                <w:color w:val="auto"/>
              </w:rPr>
              <w:t>790,021</w:t>
            </w:r>
          </w:p>
        </w:tc>
        <w:tc>
          <w:tcPr>
            <w:tcW w:w="1480" w:type="dxa"/>
            <w:vAlign w:val="bottom"/>
            <w:tcBorders>
              <w:bottom w:val="single" w:sz="8" w:color="auto"/>
            </w:tcBorders>
          </w:tcPr>
          <w:p>
            <w:pPr>
              <w:jc w:val="right"/>
              <w:ind w:right="571"/>
              <w:spacing w:after="0"/>
              <w:rPr>
                <w:sz w:val="20"/>
                <w:szCs w:val="20"/>
                <w:color w:val="auto"/>
              </w:rPr>
            </w:pPr>
            <w:r>
              <w:rPr>
                <w:rFonts w:ascii="Arial" w:cs="Arial" w:eastAsia="Arial" w:hAnsi="Arial"/>
                <w:sz w:val="18"/>
                <w:szCs w:val="18"/>
                <w:color w:val="auto"/>
              </w:rPr>
              <w:t>7.27</w:t>
            </w:r>
          </w:p>
        </w:tc>
        <w:tc>
          <w:tcPr>
            <w:tcW w:w="102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rPr>
              <w:t>43,114</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771,533</w:t>
            </w:r>
          </w:p>
        </w:tc>
        <w:tc>
          <w:tcPr>
            <w:tcW w:w="14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7.26</w:t>
            </w: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Interest-bearing deposits at banks</w:t>
            </w: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9</w:t>
            </w:r>
          </w:p>
        </w:tc>
        <w:tc>
          <w:tcPr>
            <w:tcW w:w="1660" w:type="dxa"/>
            <w:vAlign w:val="bottom"/>
            <w:shd w:val="clear" w:color="auto" w:fill="CCEEFF"/>
          </w:tcPr>
          <w:p>
            <w:pPr>
              <w:jc w:val="right"/>
              <w:ind w:right="431"/>
              <w:spacing w:after="0"/>
              <w:rPr>
                <w:sz w:val="20"/>
                <w:szCs w:val="20"/>
                <w:color w:val="auto"/>
              </w:rPr>
            </w:pPr>
            <w:r>
              <w:rPr>
                <w:rFonts w:ascii="Arial" w:cs="Arial" w:eastAsia="Arial" w:hAnsi="Arial"/>
                <w:sz w:val="18"/>
                <w:szCs w:val="18"/>
                <w:color w:val="auto"/>
              </w:rPr>
              <w:t>67</w:t>
            </w:r>
          </w:p>
        </w:tc>
        <w:tc>
          <w:tcPr>
            <w:tcW w:w="1480" w:type="dxa"/>
            <w:vAlign w:val="bottom"/>
            <w:shd w:val="clear" w:color="auto" w:fill="CCEEFF"/>
          </w:tcPr>
          <w:p>
            <w:pPr>
              <w:jc w:val="right"/>
              <w:ind w:right="571"/>
              <w:spacing w:after="0"/>
              <w:rPr>
                <w:sz w:val="20"/>
                <w:szCs w:val="20"/>
                <w:color w:val="auto"/>
              </w:rPr>
            </w:pPr>
            <w:r>
              <w:rPr>
                <w:rFonts w:ascii="Arial" w:cs="Arial" w:eastAsia="Arial" w:hAnsi="Arial"/>
                <w:sz w:val="18"/>
                <w:szCs w:val="18"/>
                <w:color w:val="auto"/>
              </w:rPr>
              <w:t>3.12</w:t>
            </w:r>
          </w:p>
        </w:tc>
        <w:tc>
          <w:tcPr>
            <w:tcW w:w="102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8</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4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3.56</w:t>
            </w:r>
          </w:p>
        </w:tc>
      </w:tr>
      <w:tr>
        <w:trPr>
          <w:trHeight w:val="202"/>
        </w:trPr>
        <w:tc>
          <w:tcPr>
            <w:tcW w:w="20" w:type="dxa"/>
            <w:vAlign w:val="bottom"/>
          </w:tcPr>
          <w:p>
            <w:pPr>
              <w:spacing w:after="0"/>
              <w:rPr>
                <w:sz w:val="17"/>
                <w:szCs w:val="17"/>
                <w:color w:val="auto"/>
              </w:rPr>
            </w:pPr>
          </w:p>
        </w:tc>
        <w:tc>
          <w:tcPr>
            <w:tcW w:w="3420" w:type="dxa"/>
            <w:vAlign w:val="bottom"/>
          </w:tcPr>
          <w:p>
            <w:pPr>
              <w:spacing w:after="0" w:line="201" w:lineRule="exact"/>
              <w:rPr>
                <w:sz w:val="20"/>
                <w:szCs w:val="20"/>
                <w:color w:val="auto"/>
              </w:rPr>
            </w:pPr>
            <w:r>
              <w:rPr>
                <w:rFonts w:ascii="Arial" w:cs="Arial" w:eastAsia="Arial" w:hAnsi="Arial"/>
                <w:sz w:val="18"/>
                <w:szCs w:val="18"/>
                <w:color w:val="auto"/>
                <w:w w:val="96"/>
              </w:rPr>
              <w:t>Federal funds sold and agreements to resell</w:t>
            </w:r>
          </w:p>
        </w:tc>
        <w:tc>
          <w:tcPr>
            <w:tcW w:w="4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420" w:type="dxa"/>
            <w:vAlign w:val="bottom"/>
          </w:tcPr>
          <w:p>
            <w:pPr>
              <w:ind w:left="200"/>
              <w:spacing w:after="0"/>
              <w:rPr>
                <w:sz w:val="20"/>
                <w:szCs w:val="20"/>
                <w:color w:val="auto"/>
              </w:rPr>
            </w:pPr>
            <w:r>
              <w:rPr>
                <w:rFonts w:ascii="Arial" w:cs="Arial" w:eastAsia="Arial" w:hAnsi="Arial"/>
                <w:sz w:val="18"/>
                <w:szCs w:val="18"/>
                <w:color w:val="auto"/>
              </w:rPr>
              <w:t>securities</w:t>
            </w:r>
          </w:p>
        </w:tc>
        <w:tc>
          <w:tcPr>
            <w:tcW w:w="400" w:type="dxa"/>
            <w:vAlign w:val="bottom"/>
          </w:tcPr>
          <w:p>
            <w:pPr>
              <w:spacing w:after="0"/>
              <w:rPr>
                <w:sz w:val="20"/>
                <w:szCs w:val="20"/>
                <w:color w:val="auto"/>
              </w:rPr>
            </w:pPr>
          </w:p>
        </w:tc>
        <w:tc>
          <w:tcPr>
            <w:tcW w:w="800" w:type="dxa"/>
            <w:vAlign w:val="bottom"/>
          </w:tcPr>
          <w:p>
            <w:pPr>
              <w:jc w:val="right"/>
              <w:ind w:right="131"/>
              <w:spacing w:after="0"/>
              <w:rPr>
                <w:sz w:val="20"/>
                <w:szCs w:val="20"/>
                <w:color w:val="auto"/>
              </w:rPr>
            </w:pPr>
            <w:r>
              <w:rPr>
                <w:rFonts w:ascii="Arial" w:cs="Arial" w:eastAsia="Arial" w:hAnsi="Arial"/>
                <w:sz w:val="18"/>
                <w:szCs w:val="18"/>
                <w:color w:val="auto"/>
              </w:rPr>
              <w:t>448</w:t>
            </w:r>
          </w:p>
        </w:tc>
        <w:tc>
          <w:tcPr>
            <w:tcW w:w="1660" w:type="dxa"/>
            <w:vAlign w:val="bottom"/>
          </w:tcPr>
          <w:p>
            <w:pPr>
              <w:jc w:val="right"/>
              <w:ind w:right="431"/>
              <w:spacing w:after="0"/>
              <w:rPr>
                <w:sz w:val="20"/>
                <w:szCs w:val="20"/>
                <w:color w:val="auto"/>
              </w:rPr>
            </w:pPr>
            <w:r>
              <w:rPr>
                <w:rFonts w:ascii="Arial" w:cs="Arial" w:eastAsia="Arial" w:hAnsi="Arial"/>
                <w:sz w:val="18"/>
                <w:szCs w:val="18"/>
                <w:color w:val="auto"/>
              </w:rPr>
              <w:t>6,734</w:t>
            </w:r>
          </w:p>
        </w:tc>
        <w:tc>
          <w:tcPr>
            <w:tcW w:w="1480" w:type="dxa"/>
            <w:vAlign w:val="bottom"/>
          </w:tcPr>
          <w:p>
            <w:pPr>
              <w:jc w:val="right"/>
              <w:ind w:right="571"/>
              <w:spacing w:after="0"/>
              <w:rPr>
                <w:sz w:val="20"/>
                <w:szCs w:val="20"/>
                <w:color w:val="auto"/>
              </w:rPr>
            </w:pPr>
            <w:r>
              <w:rPr>
                <w:rFonts w:ascii="Arial" w:cs="Arial" w:eastAsia="Arial" w:hAnsi="Arial"/>
                <w:sz w:val="18"/>
                <w:szCs w:val="18"/>
                <w:color w:val="auto"/>
              </w:rPr>
              <w:t>6.03</w:t>
            </w:r>
          </w:p>
        </w:tc>
        <w:tc>
          <w:tcPr>
            <w:tcW w:w="1020" w:type="dxa"/>
            <w:vAlign w:val="bottom"/>
          </w:tcPr>
          <w:p>
            <w:pPr>
              <w:jc w:val="right"/>
              <w:ind w:right="171"/>
              <w:spacing w:after="0"/>
              <w:rPr>
                <w:sz w:val="20"/>
                <w:szCs w:val="20"/>
                <w:color w:val="auto"/>
              </w:rPr>
            </w:pPr>
            <w:r>
              <w:rPr>
                <w:rFonts w:ascii="Arial" w:cs="Arial" w:eastAsia="Arial" w:hAnsi="Arial"/>
                <w:sz w:val="18"/>
                <w:szCs w:val="18"/>
                <w:color w:val="auto"/>
              </w:rPr>
              <w:t>304</w:t>
            </w:r>
          </w:p>
        </w:tc>
        <w:tc>
          <w:tcPr>
            <w:tcW w:w="1160" w:type="dxa"/>
            <w:vAlign w:val="bottom"/>
          </w:tcPr>
          <w:p>
            <w:pPr>
              <w:jc w:val="right"/>
              <w:spacing w:after="0"/>
              <w:rPr>
                <w:sz w:val="20"/>
                <w:szCs w:val="20"/>
                <w:color w:val="auto"/>
              </w:rPr>
            </w:pPr>
            <w:r>
              <w:rPr>
                <w:rFonts w:ascii="Arial" w:cs="Arial" w:eastAsia="Arial" w:hAnsi="Arial"/>
                <w:sz w:val="18"/>
                <w:szCs w:val="18"/>
                <w:color w:val="auto"/>
              </w:rPr>
              <w:t>4,801</w:t>
            </w:r>
          </w:p>
        </w:tc>
        <w:tc>
          <w:tcPr>
            <w:tcW w:w="1460" w:type="dxa"/>
            <w:vAlign w:val="bottom"/>
          </w:tcPr>
          <w:p>
            <w:pPr>
              <w:jc w:val="right"/>
              <w:ind w:right="71"/>
              <w:spacing w:after="0"/>
              <w:rPr>
                <w:sz w:val="20"/>
                <w:szCs w:val="20"/>
                <w:color w:val="auto"/>
              </w:rPr>
            </w:pPr>
            <w:r>
              <w:rPr>
                <w:rFonts w:ascii="Arial" w:cs="Arial" w:eastAsia="Arial" w:hAnsi="Arial"/>
                <w:sz w:val="18"/>
                <w:szCs w:val="18"/>
                <w:color w:val="auto"/>
              </w:rPr>
              <w:t>6.40</w:t>
            </w: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Trading account</w:t>
            </w: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67</w:t>
            </w:r>
          </w:p>
        </w:tc>
        <w:tc>
          <w:tcPr>
            <w:tcW w:w="1660" w:type="dxa"/>
            <w:vAlign w:val="bottom"/>
            <w:shd w:val="clear" w:color="auto" w:fill="CCEEFF"/>
          </w:tcPr>
          <w:p>
            <w:pPr>
              <w:jc w:val="right"/>
              <w:ind w:right="431"/>
              <w:spacing w:after="0"/>
              <w:rPr>
                <w:sz w:val="20"/>
                <w:szCs w:val="20"/>
                <w:color w:val="auto"/>
              </w:rPr>
            </w:pPr>
            <w:r>
              <w:rPr>
                <w:rFonts w:ascii="Arial" w:cs="Arial" w:eastAsia="Arial" w:hAnsi="Arial"/>
                <w:sz w:val="18"/>
                <w:szCs w:val="18"/>
                <w:color w:val="auto"/>
              </w:rPr>
              <w:t>235</w:t>
            </w:r>
          </w:p>
        </w:tc>
        <w:tc>
          <w:tcPr>
            <w:tcW w:w="1480" w:type="dxa"/>
            <w:vAlign w:val="bottom"/>
            <w:shd w:val="clear" w:color="auto" w:fill="CCEEFF"/>
          </w:tcPr>
          <w:p>
            <w:pPr>
              <w:jc w:val="right"/>
              <w:ind w:right="571"/>
              <w:spacing w:after="0"/>
              <w:rPr>
                <w:sz w:val="20"/>
                <w:szCs w:val="20"/>
                <w:color w:val="auto"/>
              </w:rPr>
            </w:pPr>
            <w:r>
              <w:rPr>
                <w:rFonts w:ascii="Arial" w:cs="Arial" w:eastAsia="Arial" w:hAnsi="Arial"/>
                <w:sz w:val="18"/>
                <w:szCs w:val="18"/>
                <w:color w:val="auto"/>
              </w:rPr>
              <w:t>1.40</w:t>
            </w:r>
          </w:p>
        </w:tc>
        <w:tc>
          <w:tcPr>
            <w:tcW w:w="102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53</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4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.83</w:t>
            </w: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Investment securities**</w:t>
            </w: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U.S. Treasury and federal agencies</w:t>
            </w: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2,151</w:t>
            </w:r>
          </w:p>
        </w:tc>
        <w:tc>
          <w:tcPr>
            <w:tcW w:w="1660" w:type="dxa"/>
            <w:vAlign w:val="bottom"/>
            <w:shd w:val="clear" w:color="auto" w:fill="CCEEFF"/>
          </w:tcPr>
          <w:p>
            <w:pPr>
              <w:jc w:val="right"/>
              <w:ind w:right="431"/>
              <w:spacing w:after="0"/>
              <w:rPr>
                <w:sz w:val="20"/>
                <w:szCs w:val="20"/>
                <w:color w:val="auto"/>
              </w:rPr>
            </w:pPr>
            <w:r>
              <w:rPr>
                <w:rFonts w:ascii="Arial" w:cs="Arial" w:eastAsia="Arial" w:hAnsi="Arial"/>
                <w:sz w:val="18"/>
                <w:szCs w:val="18"/>
                <w:color w:val="auto"/>
              </w:rPr>
              <w:t>23,238</w:t>
            </w:r>
          </w:p>
        </w:tc>
        <w:tc>
          <w:tcPr>
            <w:tcW w:w="1480" w:type="dxa"/>
            <w:vAlign w:val="bottom"/>
            <w:shd w:val="clear" w:color="auto" w:fill="CCEEFF"/>
          </w:tcPr>
          <w:p>
            <w:pPr>
              <w:jc w:val="right"/>
              <w:ind w:right="571"/>
              <w:spacing w:after="0"/>
              <w:rPr>
                <w:sz w:val="20"/>
                <w:szCs w:val="20"/>
                <w:color w:val="auto"/>
              </w:rPr>
            </w:pPr>
            <w:r>
              <w:rPr>
                <w:rFonts w:ascii="Arial" w:cs="Arial" w:eastAsia="Arial" w:hAnsi="Arial"/>
                <w:sz w:val="18"/>
                <w:szCs w:val="18"/>
                <w:color w:val="auto"/>
              </w:rPr>
              <w:t>4.33</w:t>
            </w:r>
          </w:p>
        </w:tc>
        <w:tc>
          <w:tcPr>
            <w:tcW w:w="102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2,428</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26,610</w:t>
            </w:r>
          </w:p>
        </w:tc>
        <w:tc>
          <w:tcPr>
            <w:tcW w:w="14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4.45</w:t>
            </w:r>
          </w:p>
        </w:tc>
      </w:tr>
      <w:tr>
        <w:trPr>
          <w:trHeight w:val="202"/>
        </w:trPr>
        <w:tc>
          <w:tcPr>
            <w:tcW w:w="20" w:type="dxa"/>
            <w:vAlign w:val="bottom"/>
          </w:tcPr>
          <w:p>
            <w:pPr>
              <w:spacing w:after="0"/>
              <w:rPr>
                <w:sz w:val="17"/>
                <w:szCs w:val="17"/>
                <w:color w:val="auto"/>
              </w:rPr>
            </w:pPr>
          </w:p>
        </w:tc>
        <w:tc>
          <w:tcPr>
            <w:tcW w:w="3420" w:type="dxa"/>
            <w:vAlign w:val="bottom"/>
          </w:tcPr>
          <w:p>
            <w:pPr>
              <w:ind w:left="200"/>
              <w:spacing w:after="0" w:line="201" w:lineRule="exact"/>
              <w:rPr>
                <w:sz w:val="20"/>
                <w:szCs w:val="20"/>
                <w:color w:val="auto"/>
              </w:rPr>
            </w:pPr>
            <w:r>
              <w:rPr>
                <w:rFonts w:ascii="Arial" w:cs="Arial" w:eastAsia="Arial" w:hAnsi="Arial"/>
                <w:sz w:val="18"/>
                <w:szCs w:val="18"/>
                <w:color w:val="auto"/>
              </w:rPr>
              <w:t>Obligations of states and political</w:t>
            </w:r>
          </w:p>
        </w:tc>
        <w:tc>
          <w:tcPr>
            <w:tcW w:w="4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420" w:type="dxa"/>
            <w:vAlign w:val="bottom"/>
          </w:tcPr>
          <w:p>
            <w:pPr>
              <w:ind w:left="400"/>
              <w:spacing w:after="0"/>
              <w:rPr>
                <w:sz w:val="20"/>
                <w:szCs w:val="20"/>
                <w:color w:val="auto"/>
              </w:rPr>
            </w:pPr>
            <w:r>
              <w:rPr>
                <w:rFonts w:ascii="Arial" w:cs="Arial" w:eastAsia="Arial" w:hAnsi="Arial"/>
                <w:sz w:val="18"/>
                <w:szCs w:val="18"/>
                <w:color w:val="auto"/>
              </w:rPr>
              <w:t>subdivisions</w:t>
            </w:r>
          </w:p>
        </w:tc>
        <w:tc>
          <w:tcPr>
            <w:tcW w:w="400" w:type="dxa"/>
            <w:vAlign w:val="bottom"/>
          </w:tcPr>
          <w:p>
            <w:pPr>
              <w:spacing w:after="0"/>
              <w:rPr>
                <w:sz w:val="20"/>
                <w:szCs w:val="20"/>
                <w:color w:val="auto"/>
              </w:rPr>
            </w:pPr>
          </w:p>
        </w:tc>
        <w:tc>
          <w:tcPr>
            <w:tcW w:w="800" w:type="dxa"/>
            <w:vAlign w:val="bottom"/>
          </w:tcPr>
          <w:p>
            <w:pPr>
              <w:jc w:val="right"/>
              <w:ind w:right="131"/>
              <w:spacing w:after="0"/>
              <w:rPr>
                <w:sz w:val="20"/>
                <w:szCs w:val="20"/>
                <w:color w:val="auto"/>
              </w:rPr>
            </w:pPr>
            <w:r>
              <w:rPr>
                <w:rFonts w:ascii="Arial" w:cs="Arial" w:eastAsia="Arial" w:hAnsi="Arial"/>
                <w:sz w:val="18"/>
                <w:szCs w:val="18"/>
                <w:color w:val="auto"/>
              </w:rPr>
              <w:t>122</w:t>
            </w:r>
          </w:p>
        </w:tc>
        <w:tc>
          <w:tcPr>
            <w:tcW w:w="1660" w:type="dxa"/>
            <w:vAlign w:val="bottom"/>
          </w:tcPr>
          <w:p>
            <w:pPr>
              <w:jc w:val="right"/>
              <w:ind w:right="431"/>
              <w:spacing w:after="0"/>
              <w:rPr>
                <w:sz w:val="20"/>
                <w:szCs w:val="20"/>
                <w:color w:val="auto"/>
              </w:rPr>
            </w:pPr>
            <w:r>
              <w:rPr>
                <w:rFonts w:ascii="Arial" w:cs="Arial" w:eastAsia="Arial" w:hAnsi="Arial"/>
                <w:sz w:val="18"/>
                <w:szCs w:val="18"/>
                <w:color w:val="auto"/>
              </w:rPr>
              <w:t>2,299</w:t>
            </w:r>
          </w:p>
        </w:tc>
        <w:tc>
          <w:tcPr>
            <w:tcW w:w="1480" w:type="dxa"/>
            <w:vAlign w:val="bottom"/>
          </w:tcPr>
          <w:p>
            <w:pPr>
              <w:jc w:val="right"/>
              <w:ind w:right="571"/>
              <w:spacing w:after="0"/>
              <w:rPr>
                <w:sz w:val="20"/>
                <w:szCs w:val="20"/>
                <w:color w:val="auto"/>
              </w:rPr>
            </w:pPr>
            <w:r>
              <w:rPr>
                <w:rFonts w:ascii="Arial" w:cs="Arial" w:eastAsia="Arial" w:hAnsi="Arial"/>
                <w:sz w:val="18"/>
                <w:szCs w:val="18"/>
                <w:color w:val="auto"/>
              </w:rPr>
              <w:t>7.53</w:t>
            </w:r>
          </w:p>
        </w:tc>
        <w:tc>
          <w:tcPr>
            <w:tcW w:w="1020" w:type="dxa"/>
            <w:vAlign w:val="bottom"/>
          </w:tcPr>
          <w:p>
            <w:pPr>
              <w:jc w:val="right"/>
              <w:ind w:right="171"/>
              <w:spacing w:after="0"/>
              <w:rPr>
                <w:sz w:val="20"/>
                <w:szCs w:val="20"/>
                <w:color w:val="auto"/>
              </w:rPr>
            </w:pPr>
            <w:r>
              <w:rPr>
                <w:rFonts w:ascii="Arial" w:cs="Arial" w:eastAsia="Arial" w:hAnsi="Arial"/>
                <w:sz w:val="18"/>
                <w:szCs w:val="18"/>
                <w:color w:val="auto"/>
              </w:rPr>
              <w:t>125</w:t>
            </w:r>
          </w:p>
        </w:tc>
        <w:tc>
          <w:tcPr>
            <w:tcW w:w="1160" w:type="dxa"/>
            <w:vAlign w:val="bottom"/>
          </w:tcPr>
          <w:p>
            <w:pPr>
              <w:jc w:val="right"/>
              <w:spacing w:after="0"/>
              <w:rPr>
                <w:sz w:val="20"/>
                <w:szCs w:val="20"/>
                <w:color w:val="auto"/>
              </w:rPr>
            </w:pPr>
            <w:r>
              <w:rPr>
                <w:rFonts w:ascii="Arial" w:cs="Arial" w:eastAsia="Arial" w:hAnsi="Arial"/>
                <w:sz w:val="18"/>
                <w:szCs w:val="18"/>
                <w:color w:val="auto"/>
              </w:rPr>
              <w:t>2,234</w:t>
            </w:r>
          </w:p>
        </w:tc>
        <w:tc>
          <w:tcPr>
            <w:tcW w:w="1460" w:type="dxa"/>
            <w:vAlign w:val="bottom"/>
          </w:tcPr>
          <w:p>
            <w:pPr>
              <w:jc w:val="right"/>
              <w:ind w:right="71"/>
              <w:spacing w:after="0"/>
              <w:rPr>
                <w:sz w:val="20"/>
                <w:szCs w:val="20"/>
                <w:color w:val="auto"/>
              </w:rPr>
            </w:pPr>
            <w:r>
              <w:rPr>
                <w:rFonts w:ascii="Arial" w:cs="Arial" w:eastAsia="Arial" w:hAnsi="Arial"/>
                <w:sz w:val="18"/>
                <w:szCs w:val="18"/>
                <w:color w:val="auto"/>
              </w:rPr>
              <w:t>7.11</w:t>
            </w:r>
          </w:p>
        </w:tc>
      </w:tr>
      <w:tr>
        <w:trPr>
          <w:trHeight w:val="216"/>
        </w:trPr>
        <w:tc>
          <w:tcPr>
            <w:tcW w:w="20" w:type="dxa"/>
            <w:vAlign w:val="bottom"/>
          </w:tcPr>
          <w:p>
            <w:pPr>
              <w:spacing w:after="0"/>
              <w:rPr>
                <w:sz w:val="18"/>
                <w:szCs w:val="18"/>
                <w:color w:val="auto"/>
              </w:rPr>
            </w:pPr>
          </w:p>
        </w:tc>
        <w:tc>
          <w:tcPr>
            <w:tcW w:w="342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4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4,613</w:t>
            </w:r>
          </w:p>
        </w:tc>
        <w:tc>
          <w:tcPr>
            <w:tcW w:w="1660" w:type="dxa"/>
            <w:vAlign w:val="bottom"/>
            <w:tcBorders>
              <w:bottom w:val="single" w:sz="8" w:color="auto"/>
            </w:tcBorders>
            <w:shd w:val="clear" w:color="auto" w:fill="CCEEFF"/>
          </w:tcPr>
          <w:p>
            <w:pPr>
              <w:jc w:val="right"/>
              <w:ind w:right="431"/>
              <w:spacing w:after="0"/>
              <w:rPr>
                <w:sz w:val="20"/>
                <w:szCs w:val="20"/>
                <w:color w:val="auto"/>
              </w:rPr>
            </w:pPr>
            <w:r>
              <w:rPr>
                <w:rFonts w:ascii="Arial" w:cs="Arial" w:eastAsia="Arial" w:hAnsi="Arial"/>
                <w:sz w:val="18"/>
                <w:szCs w:val="18"/>
                <w:color w:val="auto"/>
              </w:rPr>
              <w:t>60,554</w:t>
            </w:r>
          </w:p>
        </w:tc>
        <w:tc>
          <w:tcPr>
            <w:tcW w:w="1480" w:type="dxa"/>
            <w:vAlign w:val="bottom"/>
            <w:tcBorders>
              <w:bottom w:val="single" w:sz="8" w:color="auto"/>
            </w:tcBorders>
            <w:shd w:val="clear" w:color="auto" w:fill="CCEEFF"/>
          </w:tcPr>
          <w:p>
            <w:pPr>
              <w:jc w:val="right"/>
              <w:ind w:right="571"/>
              <w:spacing w:after="0"/>
              <w:rPr>
                <w:sz w:val="20"/>
                <w:szCs w:val="20"/>
                <w:color w:val="auto"/>
              </w:rPr>
            </w:pPr>
            <w:r>
              <w:rPr>
                <w:rFonts w:ascii="Arial" w:cs="Arial" w:eastAsia="Arial" w:hAnsi="Arial"/>
                <w:sz w:val="18"/>
                <w:szCs w:val="18"/>
                <w:color w:val="auto"/>
              </w:rPr>
              <w:t>5.27</w:t>
            </w:r>
          </w:p>
        </w:tc>
        <w:tc>
          <w:tcPr>
            <w:tcW w:w="102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rPr>
              <w:t>4,661</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60,817</w:t>
            </w:r>
          </w:p>
        </w:tc>
        <w:tc>
          <w:tcPr>
            <w:tcW w:w="14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5.29</w:t>
            </w:r>
          </w:p>
        </w:tc>
      </w:tr>
      <w:tr>
        <w:trPr>
          <w:trHeight w:val="230"/>
        </w:trPr>
        <w:tc>
          <w:tcPr>
            <w:tcW w:w="20" w:type="dxa"/>
            <w:vAlign w:val="bottom"/>
          </w:tcPr>
          <w:p>
            <w:pPr>
              <w:spacing w:after="0"/>
              <w:rPr>
                <w:sz w:val="20"/>
                <w:szCs w:val="20"/>
                <w:color w:val="auto"/>
              </w:rPr>
            </w:pPr>
          </w:p>
        </w:tc>
        <w:tc>
          <w:tcPr>
            <w:tcW w:w="342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Total investment securities</w:t>
            </w:r>
          </w:p>
        </w:tc>
        <w:tc>
          <w:tcPr>
            <w:tcW w:w="4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6,886</w:t>
            </w:r>
          </w:p>
        </w:tc>
        <w:tc>
          <w:tcPr>
            <w:tcW w:w="1660" w:type="dxa"/>
            <w:vAlign w:val="bottom"/>
            <w:tcBorders>
              <w:bottom w:val="single" w:sz="8" w:color="auto"/>
            </w:tcBorders>
          </w:tcPr>
          <w:p>
            <w:pPr>
              <w:jc w:val="right"/>
              <w:ind w:right="431"/>
              <w:spacing w:after="0"/>
              <w:rPr>
                <w:sz w:val="20"/>
                <w:szCs w:val="20"/>
                <w:color w:val="auto"/>
              </w:rPr>
            </w:pPr>
            <w:r>
              <w:rPr>
                <w:rFonts w:ascii="Arial" w:cs="Arial" w:eastAsia="Arial" w:hAnsi="Arial"/>
                <w:sz w:val="18"/>
                <w:szCs w:val="18"/>
                <w:color w:val="auto"/>
              </w:rPr>
              <w:t>86,091</w:t>
            </w:r>
          </w:p>
        </w:tc>
        <w:tc>
          <w:tcPr>
            <w:tcW w:w="1480" w:type="dxa"/>
            <w:vAlign w:val="bottom"/>
            <w:tcBorders>
              <w:bottom w:val="single" w:sz="8" w:color="auto"/>
            </w:tcBorders>
          </w:tcPr>
          <w:p>
            <w:pPr>
              <w:jc w:val="right"/>
              <w:ind w:right="571"/>
              <w:spacing w:after="0"/>
              <w:rPr>
                <w:sz w:val="20"/>
                <w:szCs w:val="20"/>
                <w:color w:val="auto"/>
              </w:rPr>
            </w:pPr>
            <w:r>
              <w:rPr>
                <w:rFonts w:ascii="Arial" w:cs="Arial" w:eastAsia="Arial" w:hAnsi="Arial"/>
                <w:sz w:val="18"/>
                <w:szCs w:val="18"/>
                <w:color w:val="auto"/>
              </w:rPr>
              <w:t>5.01</w:t>
            </w:r>
          </w:p>
        </w:tc>
        <w:tc>
          <w:tcPr>
            <w:tcW w:w="102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7,214</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89,661</w:t>
            </w:r>
          </w:p>
        </w:tc>
        <w:tc>
          <w:tcPr>
            <w:tcW w:w="14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5.04</w:t>
            </w:r>
          </w:p>
        </w:tc>
      </w:tr>
      <w:tr>
        <w:trPr>
          <w:trHeight w:val="216"/>
        </w:trPr>
        <w:tc>
          <w:tcPr>
            <w:tcW w:w="20" w:type="dxa"/>
            <w:vAlign w:val="bottom"/>
          </w:tcPr>
          <w:p>
            <w:pPr>
              <w:spacing w:after="0"/>
              <w:rPr>
                <w:sz w:val="18"/>
                <w:szCs w:val="18"/>
                <w:color w:val="auto"/>
              </w:rPr>
            </w:pPr>
          </w:p>
        </w:tc>
        <w:tc>
          <w:tcPr>
            <w:tcW w:w="342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b w:val="1"/>
                <w:bCs w:val="1"/>
                <w:color w:val="auto"/>
              </w:rPr>
              <w:t>Total earning assets</w:t>
            </w:r>
          </w:p>
        </w:tc>
        <w:tc>
          <w:tcPr>
            <w:tcW w:w="4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50,982</w:t>
            </w:r>
          </w:p>
        </w:tc>
        <w:tc>
          <w:tcPr>
            <w:tcW w:w="1660" w:type="dxa"/>
            <w:vAlign w:val="bottom"/>
            <w:tcBorders>
              <w:bottom w:val="single" w:sz="8" w:color="auto"/>
            </w:tcBorders>
            <w:shd w:val="clear" w:color="auto" w:fill="CCEEFF"/>
          </w:tcPr>
          <w:p>
            <w:pPr>
              <w:jc w:val="right"/>
              <w:ind w:right="431"/>
              <w:spacing w:after="0"/>
              <w:rPr>
                <w:sz w:val="20"/>
                <w:szCs w:val="20"/>
                <w:color w:val="auto"/>
              </w:rPr>
            </w:pPr>
            <w:r>
              <w:rPr>
                <w:rFonts w:ascii="Arial" w:cs="Arial" w:eastAsia="Arial" w:hAnsi="Arial"/>
                <w:sz w:val="18"/>
                <w:szCs w:val="18"/>
                <w:color w:val="auto"/>
              </w:rPr>
              <w:t>883,148</w:t>
            </w:r>
          </w:p>
        </w:tc>
        <w:tc>
          <w:tcPr>
            <w:tcW w:w="1480" w:type="dxa"/>
            <w:vAlign w:val="bottom"/>
            <w:tcBorders>
              <w:bottom w:val="single" w:sz="8" w:color="auto"/>
            </w:tcBorders>
            <w:shd w:val="clear" w:color="auto" w:fill="CCEEFF"/>
          </w:tcPr>
          <w:p>
            <w:pPr>
              <w:jc w:val="right"/>
              <w:ind w:right="571"/>
              <w:spacing w:after="0"/>
              <w:rPr>
                <w:sz w:val="20"/>
                <w:szCs w:val="20"/>
                <w:color w:val="auto"/>
              </w:rPr>
            </w:pPr>
            <w:r>
              <w:rPr>
                <w:rFonts w:ascii="Arial" w:cs="Arial" w:eastAsia="Arial" w:hAnsi="Arial"/>
                <w:sz w:val="18"/>
                <w:szCs w:val="18"/>
                <w:color w:val="auto"/>
              </w:rPr>
              <w:t>6.95</w:t>
            </w:r>
          </w:p>
        </w:tc>
        <w:tc>
          <w:tcPr>
            <w:tcW w:w="102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rPr>
              <w:t>50,693</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866,172</w:t>
            </w:r>
          </w:p>
        </w:tc>
        <w:tc>
          <w:tcPr>
            <w:tcW w:w="14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6.93</w:t>
            </w:r>
          </w:p>
        </w:tc>
      </w:tr>
      <w:tr>
        <w:trPr>
          <w:trHeight w:val="223"/>
        </w:trPr>
        <w:tc>
          <w:tcPr>
            <w:tcW w:w="20" w:type="dxa"/>
            <w:vAlign w:val="bottom"/>
          </w:tcPr>
          <w:p>
            <w:pPr>
              <w:spacing w:after="0"/>
              <w:rPr>
                <w:sz w:val="19"/>
                <w:szCs w:val="19"/>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Allowance for credit losses</w:t>
            </w:r>
          </w:p>
        </w:tc>
        <w:tc>
          <w:tcPr>
            <w:tcW w:w="400" w:type="dxa"/>
            <w:vAlign w:val="bottom"/>
          </w:tcPr>
          <w:p>
            <w:pPr>
              <w:spacing w:after="0"/>
              <w:rPr>
                <w:sz w:val="19"/>
                <w:szCs w:val="19"/>
                <w:color w:val="auto"/>
              </w:rPr>
            </w:pPr>
          </w:p>
        </w:tc>
        <w:tc>
          <w:tcPr>
            <w:tcW w:w="800" w:type="dxa"/>
            <w:vAlign w:val="bottom"/>
          </w:tcPr>
          <w:p>
            <w:pPr>
              <w:jc w:val="right"/>
              <w:ind w:right="71"/>
              <w:spacing w:after="0"/>
              <w:rPr>
                <w:sz w:val="20"/>
                <w:szCs w:val="20"/>
                <w:color w:val="auto"/>
              </w:rPr>
            </w:pPr>
            <w:r>
              <w:rPr>
                <w:rFonts w:ascii="Arial" w:cs="Arial" w:eastAsia="Arial" w:hAnsi="Arial"/>
                <w:sz w:val="18"/>
                <w:szCs w:val="18"/>
                <w:color w:val="auto"/>
              </w:rPr>
              <w:t>(667)</w:t>
            </w:r>
          </w:p>
        </w:tc>
        <w:tc>
          <w:tcPr>
            <w:tcW w:w="16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20" w:type="dxa"/>
            <w:vAlign w:val="bottom"/>
          </w:tcPr>
          <w:p>
            <w:pPr>
              <w:jc w:val="right"/>
              <w:ind w:right="131"/>
              <w:spacing w:after="0"/>
              <w:rPr>
                <w:sz w:val="20"/>
                <w:szCs w:val="20"/>
                <w:color w:val="auto"/>
              </w:rPr>
            </w:pPr>
            <w:r>
              <w:rPr>
                <w:rFonts w:ascii="Arial" w:cs="Arial" w:eastAsia="Arial" w:hAnsi="Arial"/>
                <w:sz w:val="18"/>
                <w:szCs w:val="18"/>
                <w:color w:val="auto"/>
              </w:rPr>
              <w:t>(656)</w:t>
            </w:r>
          </w:p>
        </w:tc>
        <w:tc>
          <w:tcPr>
            <w:tcW w:w="116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Cash and due from banks</w:t>
            </w: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1,244</w:t>
            </w:r>
          </w:p>
        </w:tc>
        <w:tc>
          <w:tcPr>
            <w:tcW w:w="16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1,304</w:t>
            </w:r>
          </w:p>
        </w:tc>
        <w:tc>
          <w:tcPr>
            <w:tcW w:w="11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assets</w:t>
            </w:r>
          </w:p>
        </w:tc>
        <w:tc>
          <w:tcPr>
            <w:tcW w:w="4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5,964</w:t>
            </w:r>
          </w:p>
        </w:tc>
        <w:tc>
          <w:tcPr>
            <w:tcW w:w="16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5,866</w:t>
            </w:r>
          </w:p>
        </w:tc>
        <w:tc>
          <w:tcPr>
            <w:tcW w:w="1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42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Total assets</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57,523</w:t>
            </w:r>
          </w:p>
        </w:tc>
        <w:tc>
          <w:tcPr>
            <w:tcW w:w="16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rPr>
              <w:t>57,207</w:t>
            </w:r>
          </w:p>
        </w:tc>
        <w:tc>
          <w:tcPr>
            <w:tcW w:w="116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spacing w:after="0"/>
              <w:rPr>
                <w:sz w:val="18"/>
                <w:szCs w:val="18"/>
                <w:color w:val="auto"/>
              </w:rPr>
            </w:pPr>
          </w:p>
        </w:tc>
      </w:tr>
      <w:tr>
        <w:trPr>
          <w:trHeight w:val="20"/>
        </w:trPr>
        <w:tc>
          <w:tcPr>
            <w:tcW w:w="34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42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4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Interest-bearing liabilities</w:t>
            </w: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Interest-bearing deposits</w:t>
            </w: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NOW accounts</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453</w:t>
            </w:r>
          </w:p>
        </w:tc>
        <w:tc>
          <w:tcPr>
            <w:tcW w:w="1660" w:type="dxa"/>
            <w:vAlign w:val="bottom"/>
            <w:shd w:val="clear" w:color="auto" w:fill="CCEEFF"/>
          </w:tcPr>
          <w:p>
            <w:pPr>
              <w:jc w:val="right"/>
              <w:ind w:right="431"/>
              <w:spacing w:after="0"/>
              <w:rPr>
                <w:sz w:val="20"/>
                <w:szCs w:val="20"/>
                <w:color w:val="auto"/>
              </w:rPr>
            </w:pPr>
            <w:r>
              <w:rPr>
                <w:rFonts w:ascii="Arial" w:cs="Arial" w:eastAsia="Arial" w:hAnsi="Arial"/>
                <w:sz w:val="18"/>
                <w:szCs w:val="18"/>
                <w:color w:val="auto"/>
              </w:rPr>
              <w:t>1,024</w:t>
            </w:r>
          </w:p>
        </w:tc>
        <w:tc>
          <w:tcPr>
            <w:tcW w:w="1480" w:type="dxa"/>
            <w:vAlign w:val="bottom"/>
            <w:shd w:val="clear" w:color="auto" w:fill="CCEEFF"/>
          </w:tcPr>
          <w:p>
            <w:pPr>
              <w:jc w:val="right"/>
              <w:ind w:right="571"/>
              <w:spacing w:after="0"/>
              <w:rPr>
                <w:sz w:val="20"/>
                <w:szCs w:val="20"/>
                <w:color w:val="auto"/>
              </w:rPr>
            </w:pPr>
            <w:r>
              <w:rPr>
                <w:rFonts w:ascii="Arial" w:cs="Arial" w:eastAsia="Arial" w:hAnsi="Arial"/>
                <w:sz w:val="18"/>
                <w:szCs w:val="18"/>
                <w:color w:val="auto"/>
              </w:rPr>
              <w:t>.91</w:t>
            </w:r>
          </w:p>
        </w:tc>
        <w:tc>
          <w:tcPr>
            <w:tcW w:w="102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437</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1,167</w:t>
            </w:r>
          </w:p>
        </w:tc>
        <w:tc>
          <w:tcPr>
            <w:tcW w:w="14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1.08</w:t>
            </w:r>
          </w:p>
        </w:tc>
      </w:tr>
      <w:tr>
        <w:trPr>
          <w:trHeight w:val="216"/>
        </w:trPr>
        <w:tc>
          <w:tcPr>
            <w:tcW w:w="20" w:type="dxa"/>
            <w:vAlign w:val="bottom"/>
          </w:tcPr>
          <w:p>
            <w:pPr>
              <w:spacing w:after="0"/>
              <w:rPr>
                <w:sz w:val="18"/>
                <w:szCs w:val="18"/>
                <w:color w:val="auto"/>
              </w:rPr>
            </w:pPr>
          </w:p>
        </w:tc>
        <w:tc>
          <w:tcPr>
            <w:tcW w:w="3420" w:type="dxa"/>
            <w:vAlign w:val="bottom"/>
          </w:tcPr>
          <w:p>
            <w:pPr>
              <w:ind w:left="200"/>
              <w:spacing w:after="0"/>
              <w:rPr>
                <w:sz w:val="20"/>
                <w:szCs w:val="20"/>
                <w:color w:val="auto"/>
              </w:rPr>
            </w:pPr>
            <w:r>
              <w:rPr>
                <w:rFonts w:ascii="Arial" w:cs="Arial" w:eastAsia="Arial" w:hAnsi="Arial"/>
                <w:sz w:val="18"/>
                <w:szCs w:val="18"/>
                <w:color w:val="auto"/>
              </w:rPr>
              <w:t>Savings deposits</w:t>
            </w:r>
          </w:p>
        </w:tc>
        <w:tc>
          <w:tcPr>
            <w:tcW w:w="400" w:type="dxa"/>
            <w:vAlign w:val="bottom"/>
          </w:tcPr>
          <w:p>
            <w:pPr>
              <w:spacing w:after="0"/>
              <w:rPr>
                <w:sz w:val="18"/>
                <w:szCs w:val="18"/>
                <w:color w:val="auto"/>
              </w:rPr>
            </w:pPr>
          </w:p>
        </w:tc>
        <w:tc>
          <w:tcPr>
            <w:tcW w:w="800" w:type="dxa"/>
            <w:vAlign w:val="bottom"/>
          </w:tcPr>
          <w:p>
            <w:pPr>
              <w:jc w:val="right"/>
              <w:ind w:right="131"/>
              <w:spacing w:after="0"/>
              <w:rPr>
                <w:sz w:val="20"/>
                <w:szCs w:val="20"/>
                <w:color w:val="auto"/>
              </w:rPr>
            </w:pPr>
            <w:r>
              <w:rPr>
                <w:rFonts w:ascii="Arial" w:cs="Arial" w:eastAsia="Arial" w:hAnsi="Arial"/>
                <w:sz w:val="18"/>
                <w:szCs w:val="18"/>
                <w:color w:val="auto"/>
              </w:rPr>
              <w:t>15,027</w:t>
            </w:r>
          </w:p>
        </w:tc>
        <w:tc>
          <w:tcPr>
            <w:tcW w:w="1660" w:type="dxa"/>
            <w:vAlign w:val="bottom"/>
          </w:tcPr>
          <w:p>
            <w:pPr>
              <w:jc w:val="right"/>
              <w:ind w:right="431"/>
              <w:spacing w:after="0"/>
              <w:rPr>
                <w:sz w:val="20"/>
                <w:szCs w:val="20"/>
                <w:color w:val="auto"/>
              </w:rPr>
            </w:pPr>
            <w:r>
              <w:rPr>
                <w:rFonts w:ascii="Arial" w:cs="Arial" w:eastAsia="Arial" w:hAnsi="Arial"/>
                <w:sz w:val="18"/>
                <w:szCs w:val="18"/>
                <w:color w:val="auto"/>
              </w:rPr>
              <w:t>60,953</w:t>
            </w:r>
          </w:p>
        </w:tc>
        <w:tc>
          <w:tcPr>
            <w:tcW w:w="1480" w:type="dxa"/>
            <w:vAlign w:val="bottom"/>
          </w:tcPr>
          <w:p>
            <w:pPr>
              <w:jc w:val="right"/>
              <w:ind w:right="571"/>
              <w:spacing w:after="0"/>
              <w:rPr>
                <w:sz w:val="20"/>
                <w:szCs w:val="20"/>
                <w:color w:val="auto"/>
              </w:rPr>
            </w:pPr>
            <w:r>
              <w:rPr>
                <w:rFonts w:ascii="Arial" w:cs="Arial" w:eastAsia="Arial" w:hAnsi="Arial"/>
                <w:sz w:val="18"/>
                <w:szCs w:val="18"/>
                <w:color w:val="auto"/>
              </w:rPr>
              <w:t>1.63</w:t>
            </w:r>
          </w:p>
        </w:tc>
        <w:tc>
          <w:tcPr>
            <w:tcW w:w="1020" w:type="dxa"/>
            <w:vAlign w:val="bottom"/>
          </w:tcPr>
          <w:p>
            <w:pPr>
              <w:jc w:val="right"/>
              <w:ind w:right="171"/>
              <w:spacing w:after="0"/>
              <w:rPr>
                <w:sz w:val="20"/>
                <w:szCs w:val="20"/>
                <w:color w:val="auto"/>
              </w:rPr>
            </w:pPr>
            <w:r>
              <w:rPr>
                <w:rFonts w:ascii="Arial" w:cs="Arial" w:eastAsia="Arial" w:hAnsi="Arial"/>
                <w:sz w:val="18"/>
                <w:szCs w:val="18"/>
                <w:color w:val="auto"/>
              </w:rPr>
              <w:t>14,733</w:t>
            </w:r>
          </w:p>
        </w:tc>
        <w:tc>
          <w:tcPr>
            <w:tcW w:w="1160" w:type="dxa"/>
            <w:vAlign w:val="bottom"/>
          </w:tcPr>
          <w:p>
            <w:pPr>
              <w:jc w:val="right"/>
              <w:spacing w:after="0"/>
              <w:rPr>
                <w:sz w:val="20"/>
                <w:szCs w:val="20"/>
                <w:color w:val="auto"/>
              </w:rPr>
            </w:pPr>
            <w:r>
              <w:rPr>
                <w:rFonts w:ascii="Arial" w:cs="Arial" w:eastAsia="Arial" w:hAnsi="Arial"/>
                <w:sz w:val="18"/>
                <w:szCs w:val="18"/>
                <w:color w:val="auto"/>
              </w:rPr>
              <w:t>60,842</w:t>
            </w:r>
          </w:p>
        </w:tc>
        <w:tc>
          <w:tcPr>
            <w:tcW w:w="1460" w:type="dxa"/>
            <w:vAlign w:val="bottom"/>
          </w:tcPr>
          <w:p>
            <w:pPr>
              <w:jc w:val="right"/>
              <w:ind w:right="71"/>
              <w:spacing w:after="0"/>
              <w:rPr>
                <w:sz w:val="20"/>
                <w:szCs w:val="20"/>
                <w:color w:val="auto"/>
              </w:rPr>
            </w:pPr>
            <w:r>
              <w:rPr>
                <w:rFonts w:ascii="Arial" w:cs="Arial" w:eastAsia="Arial" w:hAnsi="Arial"/>
                <w:sz w:val="18"/>
                <w:szCs w:val="18"/>
                <w:color w:val="auto"/>
              </w:rPr>
              <w:t>1.67</w:t>
            </w: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Time deposits</w:t>
            </w: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10,523</w:t>
            </w:r>
          </w:p>
        </w:tc>
        <w:tc>
          <w:tcPr>
            <w:tcW w:w="1660" w:type="dxa"/>
            <w:vAlign w:val="bottom"/>
            <w:shd w:val="clear" w:color="auto" w:fill="CCEEFF"/>
          </w:tcPr>
          <w:p>
            <w:pPr>
              <w:jc w:val="right"/>
              <w:ind w:right="431"/>
              <w:spacing w:after="0"/>
              <w:rPr>
                <w:sz w:val="20"/>
                <w:szCs w:val="20"/>
                <w:color w:val="auto"/>
              </w:rPr>
            </w:pPr>
            <w:r>
              <w:rPr>
                <w:rFonts w:ascii="Arial" w:cs="Arial" w:eastAsia="Arial" w:hAnsi="Arial"/>
                <w:sz w:val="18"/>
                <w:szCs w:val="18"/>
                <w:color w:val="auto"/>
              </w:rPr>
              <w:t>124,020</w:t>
            </w:r>
          </w:p>
        </w:tc>
        <w:tc>
          <w:tcPr>
            <w:tcW w:w="1480" w:type="dxa"/>
            <w:vAlign w:val="bottom"/>
            <w:shd w:val="clear" w:color="auto" w:fill="CCEEFF"/>
          </w:tcPr>
          <w:p>
            <w:pPr>
              <w:jc w:val="right"/>
              <w:ind w:right="571"/>
              <w:spacing w:after="0"/>
              <w:rPr>
                <w:sz w:val="20"/>
                <w:szCs w:val="20"/>
                <w:color w:val="auto"/>
              </w:rPr>
            </w:pPr>
            <w:r>
              <w:rPr>
                <w:rFonts w:ascii="Arial" w:cs="Arial" w:eastAsia="Arial" w:hAnsi="Arial"/>
                <w:sz w:val="18"/>
                <w:szCs w:val="18"/>
                <w:color w:val="auto"/>
              </w:rPr>
              <w:t>4.73</w:t>
            </w:r>
          </w:p>
        </w:tc>
        <w:tc>
          <w:tcPr>
            <w:tcW w:w="102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11,657</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136,682</w:t>
            </w:r>
          </w:p>
        </w:tc>
        <w:tc>
          <w:tcPr>
            <w:tcW w:w="14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4.76</w:t>
            </w:r>
          </w:p>
        </w:tc>
      </w:tr>
      <w:tr>
        <w:trPr>
          <w:trHeight w:val="223"/>
        </w:trPr>
        <w:tc>
          <w:tcPr>
            <w:tcW w:w="20" w:type="dxa"/>
            <w:vAlign w:val="bottom"/>
          </w:tcPr>
          <w:p>
            <w:pPr>
              <w:spacing w:after="0"/>
              <w:rPr>
                <w:sz w:val="19"/>
                <w:szCs w:val="19"/>
                <w:color w:val="auto"/>
              </w:rPr>
            </w:pPr>
          </w:p>
        </w:tc>
        <w:tc>
          <w:tcPr>
            <w:tcW w:w="342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Deposits at foreign office</w:t>
            </w:r>
          </w:p>
        </w:tc>
        <w:tc>
          <w:tcPr>
            <w:tcW w:w="4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3,706</w:t>
            </w:r>
          </w:p>
        </w:tc>
        <w:tc>
          <w:tcPr>
            <w:tcW w:w="1660" w:type="dxa"/>
            <w:vAlign w:val="bottom"/>
            <w:tcBorders>
              <w:bottom w:val="single" w:sz="8" w:color="auto"/>
            </w:tcBorders>
          </w:tcPr>
          <w:p>
            <w:pPr>
              <w:jc w:val="right"/>
              <w:ind w:right="431"/>
              <w:spacing w:after="0"/>
              <w:rPr>
                <w:sz w:val="20"/>
                <w:szCs w:val="20"/>
                <w:color w:val="auto"/>
              </w:rPr>
            </w:pPr>
            <w:r>
              <w:rPr>
                <w:rFonts w:ascii="Arial" w:cs="Arial" w:eastAsia="Arial" w:hAnsi="Arial"/>
                <w:sz w:val="18"/>
                <w:szCs w:val="18"/>
                <w:color w:val="auto"/>
              </w:rPr>
              <w:t>48,001</w:t>
            </w:r>
          </w:p>
        </w:tc>
        <w:tc>
          <w:tcPr>
            <w:tcW w:w="1480" w:type="dxa"/>
            <w:vAlign w:val="bottom"/>
            <w:tcBorders>
              <w:bottom w:val="single" w:sz="8" w:color="auto"/>
            </w:tcBorders>
          </w:tcPr>
          <w:p>
            <w:pPr>
              <w:jc w:val="right"/>
              <w:ind w:right="571"/>
              <w:spacing w:after="0"/>
              <w:rPr>
                <w:sz w:val="20"/>
                <w:szCs w:val="20"/>
                <w:color w:val="auto"/>
              </w:rPr>
            </w:pPr>
            <w:r>
              <w:rPr>
                <w:rFonts w:ascii="Arial" w:cs="Arial" w:eastAsia="Arial" w:hAnsi="Arial"/>
                <w:sz w:val="18"/>
                <w:szCs w:val="18"/>
                <w:color w:val="auto"/>
              </w:rPr>
              <w:t>5.19</w:t>
            </w:r>
          </w:p>
        </w:tc>
        <w:tc>
          <w:tcPr>
            <w:tcW w:w="102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3,717</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47,649</w:t>
            </w:r>
          </w:p>
        </w:tc>
        <w:tc>
          <w:tcPr>
            <w:tcW w:w="14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5.20</w:t>
            </w:r>
          </w:p>
        </w:tc>
      </w:tr>
      <w:tr>
        <w:trPr>
          <w:trHeight w:val="216"/>
        </w:trPr>
        <w:tc>
          <w:tcPr>
            <w:tcW w:w="20" w:type="dxa"/>
            <w:vAlign w:val="bottom"/>
          </w:tcPr>
          <w:p>
            <w:pPr>
              <w:spacing w:after="0"/>
              <w:rPr>
                <w:sz w:val="18"/>
                <w:szCs w:val="18"/>
                <w:color w:val="auto"/>
              </w:rPr>
            </w:pPr>
          </w:p>
        </w:tc>
        <w:tc>
          <w:tcPr>
            <w:tcW w:w="342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Total interest-bearing deposits</w:t>
            </w:r>
          </w:p>
        </w:tc>
        <w:tc>
          <w:tcPr>
            <w:tcW w:w="4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29,709</w:t>
            </w:r>
          </w:p>
        </w:tc>
        <w:tc>
          <w:tcPr>
            <w:tcW w:w="1660" w:type="dxa"/>
            <w:vAlign w:val="bottom"/>
            <w:tcBorders>
              <w:bottom w:val="single" w:sz="8" w:color="auto"/>
            </w:tcBorders>
            <w:shd w:val="clear" w:color="auto" w:fill="CCEEFF"/>
          </w:tcPr>
          <w:p>
            <w:pPr>
              <w:jc w:val="right"/>
              <w:ind w:right="431"/>
              <w:spacing w:after="0"/>
              <w:rPr>
                <w:sz w:val="20"/>
                <w:szCs w:val="20"/>
                <w:color w:val="auto"/>
              </w:rPr>
            </w:pPr>
            <w:r>
              <w:rPr>
                <w:rFonts w:ascii="Arial" w:cs="Arial" w:eastAsia="Arial" w:hAnsi="Arial"/>
                <w:sz w:val="18"/>
                <w:szCs w:val="18"/>
                <w:color w:val="auto"/>
              </w:rPr>
              <w:t>233,998</w:t>
            </w:r>
          </w:p>
        </w:tc>
        <w:tc>
          <w:tcPr>
            <w:tcW w:w="1480" w:type="dxa"/>
            <w:vAlign w:val="bottom"/>
            <w:tcBorders>
              <w:bottom w:val="single" w:sz="8" w:color="auto"/>
            </w:tcBorders>
            <w:shd w:val="clear" w:color="auto" w:fill="CCEEFF"/>
          </w:tcPr>
          <w:p>
            <w:pPr>
              <w:jc w:val="right"/>
              <w:ind w:right="571"/>
              <w:spacing w:after="0"/>
              <w:rPr>
                <w:sz w:val="20"/>
                <w:szCs w:val="20"/>
                <w:color w:val="auto"/>
              </w:rPr>
            </w:pPr>
            <w:r>
              <w:rPr>
                <w:rFonts w:ascii="Arial" w:cs="Arial" w:eastAsia="Arial" w:hAnsi="Arial"/>
                <w:sz w:val="18"/>
                <w:szCs w:val="18"/>
                <w:color w:val="auto"/>
              </w:rPr>
              <w:t>3.16</w:t>
            </w:r>
          </w:p>
        </w:tc>
        <w:tc>
          <w:tcPr>
            <w:tcW w:w="102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rPr>
              <w:t>30,544</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246,340</w:t>
            </w:r>
          </w:p>
        </w:tc>
        <w:tc>
          <w:tcPr>
            <w:tcW w:w="14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3.27</w:t>
            </w:r>
          </w:p>
        </w:tc>
      </w:tr>
      <w:tr>
        <w:trPr>
          <w:trHeight w:val="223"/>
        </w:trPr>
        <w:tc>
          <w:tcPr>
            <w:tcW w:w="20" w:type="dxa"/>
            <w:vAlign w:val="bottom"/>
          </w:tcPr>
          <w:p>
            <w:pPr>
              <w:spacing w:after="0"/>
              <w:rPr>
                <w:sz w:val="19"/>
                <w:szCs w:val="19"/>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Short-term borrowings</w:t>
            </w:r>
          </w:p>
        </w:tc>
        <w:tc>
          <w:tcPr>
            <w:tcW w:w="400" w:type="dxa"/>
            <w:vAlign w:val="bottom"/>
          </w:tcPr>
          <w:p>
            <w:pPr>
              <w:spacing w:after="0"/>
              <w:rPr>
                <w:sz w:val="19"/>
                <w:szCs w:val="19"/>
                <w:color w:val="auto"/>
              </w:rPr>
            </w:pPr>
          </w:p>
        </w:tc>
        <w:tc>
          <w:tcPr>
            <w:tcW w:w="800" w:type="dxa"/>
            <w:vAlign w:val="bottom"/>
          </w:tcPr>
          <w:p>
            <w:pPr>
              <w:jc w:val="right"/>
              <w:ind w:right="131"/>
              <w:spacing w:after="0"/>
              <w:rPr>
                <w:sz w:val="20"/>
                <w:szCs w:val="20"/>
                <w:color w:val="auto"/>
              </w:rPr>
            </w:pPr>
            <w:r>
              <w:rPr>
                <w:rFonts w:ascii="Arial" w:cs="Arial" w:eastAsia="Arial" w:hAnsi="Arial"/>
                <w:sz w:val="18"/>
                <w:szCs w:val="18"/>
                <w:color w:val="auto"/>
              </w:rPr>
              <w:t>5,555</w:t>
            </w:r>
          </w:p>
        </w:tc>
        <w:tc>
          <w:tcPr>
            <w:tcW w:w="1660" w:type="dxa"/>
            <w:vAlign w:val="bottom"/>
          </w:tcPr>
          <w:p>
            <w:pPr>
              <w:jc w:val="right"/>
              <w:ind w:right="431"/>
              <w:spacing w:after="0"/>
              <w:rPr>
                <w:sz w:val="20"/>
                <w:szCs w:val="20"/>
                <w:color w:val="auto"/>
              </w:rPr>
            </w:pPr>
            <w:r>
              <w:rPr>
                <w:rFonts w:ascii="Arial" w:cs="Arial" w:eastAsia="Arial" w:hAnsi="Arial"/>
                <w:sz w:val="18"/>
                <w:szCs w:val="18"/>
                <w:color w:val="auto"/>
              </w:rPr>
              <w:t>73,500</w:t>
            </w:r>
          </w:p>
        </w:tc>
        <w:tc>
          <w:tcPr>
            <w:tcW w:w="1480" w:type="dxa"/>
            <w:vAlign w:val="bottom"/>
          </w:tcPr>
          <w:p>
            <w:pPr>
              <w:jc w:val="right"/>
              <w:ind w:right="571"/>
              <w:spacing w:after="0"/>
              <w:rPr>
                <w:sz w:val="20"/>
                <w:szCs w:val="20"/>
                <w:color w:val="auto"/>
              </w:rPr>
            </w:pPr>
            <w:r>
              <w:rPr>
                <w:rFonts w:ascii="Arial" w:cs="Arial" w:eastAsia="Arial" w:hAnsi="Arial"/>
                <w:sz w:val="18"/>
                <w:szCs w:val="18"/>
                <w:color w:val="auto"/>
              </w:rPr>
              <w:t>5.31</w:t>
            </w:r>
          </w:p>
        </w:tc>
        <w:tc>
          <w:tcPr>
            <w:tcW w:w="1020" w:type="dxa"/>
            <w:vAlign w:val="bottom"/>
          </w:tcPr>
          <w:p>
            <w:pPr>
              <w:jc w:val="right"/>
              <w:ind w:right="171"/>
              <w:spacing w:after="0"/>
              <w:rPr>
                <w:sz w:val="20"/>
                <w:szCs w:val="20"/>
                <w:color w:val="auto"/>
              </w:rPr>
            </w:pPr>
            <w:r>
              <w:rPr>
                <w:rFonts w:ascii="Arial" w:cs="Arial" w:eastAsia="Arial" w:hAnsi="Arial"/>
                <w:sz w:val="18"/>
                <w:szCs w:val="18"/>
                <w:color w:val="auto"/>
              </w:rPr>
              <w:t>4,852</w:t>
            </w:r>
          </w:p>
        </w:tc>
        <w:tc>
          <w:tcPr>
            <w:tcW w:w="1160" w:type="dxa"/>
            <w:vAlign w:val="bottom"/>
          </w:tcPr>
          <w:p>
            <w:pPr>
              <w:jc w:val="right"/>
              <w:spacing w:after="0"/>
              <w:rPr>
                <w:sz w:val="20"/>
                <w:szCs w:val="20"/>
                <w:color w:val="auto"/>
              </w:rPr>
            </w:pPr>
            <w:r>
              <w:rPr>
                <w:rFonts w:ascii="Arial" w:cs="Arial" w:eastAsia="Arial" w:hAnsi="Arial"/>
                <w:sz w:val="18"/>
                <w:szCs w:val="18"/>
                <w:color w:val="auto"/>
              </w:rPr>
              <w:t>63,564</w:t>
            </w:r>
          </w:p>
        </w:tc>
        <w:tc>
          <w:tcPr>
            <w:tcW w:w="1460" w:type="dxa"/>
            <w:vAlign w:val="bottom"/>
          </w:tcPr>
          <w:p>
            <w:pPr>
              <w:jc w:val="right"/>
              <w:ind w:right="71"/>
              <w:spacing w:after="0"/>
              <w:rPr>
                <w:sz w:val="20"/>
                <w:szCs w:val="20"/>
                <w:color w:val="auto"/>
              </w:rPr>
            </w:pPr>
            <w:r>
              <w:rPr>
                <w:rFonts w:ascii="Arial" w:cs="Arial" w:eastAsia="Arial" w:hAnsi="Arial"/>
                <w:sz w:val="18"/>
                <w:szCs w:val="18"/>
                <w:color w:val="auto"/>
              </w:rPr>
              <w:t>5.31</w:t>
            </w:r>
          </w:p>
        </w:tc>
      </w:tr>
      <w:tr>
        <w:trPr>
          <w:trHeight w:val="216"/>
        </w:trPr>
        <w:tc>
          <w:tcPr>
            <w:tcW w:w="20" w:type="dxa"/>
            <w:vAlign w:val="bottom"/>
          </w:tcPr>
          <w:p>
            <w:pPr>
              <w:spacing w:after="0"/>
              <w:rPr>
                <w:sz w:val="18"/>
                <w:szCs w:val="18"/>
                <w:color w:val="auto"/>
              </w:rPr>
            </w:pPr>
          </w:p>
        </w:tc>
        <w:tc>
          <w:tcPr>
            <w:tcW w:w="34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Long-term borrowings</w:t>
            </w:r>
          </w:p>
        </w:tc>
        <w:tc>
          <w:tcPr>
            <w:tcW w:w="4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7,905</w:t>
            </w:r>
          </w:p>
        </w:tc>
        <w:tc>
          <w:tcPr>
            <w:tcW w:w="1660" w:type="dxa"/>
            <w:vAlign w:val="bottom"/>
            <w:tcBorders>
              <w:bottom w:val="single" w:sz="8" w:color="auto"/>
            </w:tcBorders>
            <w:shd w:val="clear" w:color="auto" w:fill="CCEEFF"/>
          </w:tcPr>
          <w:p>
            <w:pPr>
              <w:jc w:val="right"/>
              <w:ind w:right="431"/>
              <w:spacing w:after="0"/>
              <w:rPr>
                <w:sz w:val="20"/>
                <w:szCs w:val="20"/>
                <w:color w:val="auto"/>
              </w:rPr>
            </w:pPr>
            <w:r>
              <w:rPr>
                <w:rFonts w:ascii="Arial" w:cs="Arial" w:eastAsia="Arial" w:hAnsi="Arial"/>
                <w:sz w:val="18"/>
                <w:szCs w:val="18"/>
                <w:color w:val="auto"/>
              </w:rPr>
              <w:t>108,766</w:t>
            </w:r>
          </w:p>
        </w:tc>
        <w:tc>
          <w:tcPr>
            <w:tcW w:w="1480" w:type="dxa"/>
            <w:vAlign w:val="bottom"/>
            <w:tcBorders>
              <w:bottom w:val="single" w:sz="8" w:color="auto"/>
            </w:tcBorders>
            <w:shd w:val="clear" w:color="auto" w:fill="CCEEFF"/>
          </w:tcPr>
          <w:p>
            <w:pPr>
              <w:jc w:val="right"/>
              <w:ind w:right="571"/>
              <w:spacing w:after="0"/>
              <w:rPr>
                <w:sz w:val="20"/>
                <w:szCs w:val="20"/>
                <w:color w:val="auto"/>
              </w:rPr>
            </w:pPr>
            <w:r>
              <w:rPr>
                <w:rFonts w:ascii="Arial" w:cs="Arial" w:eastAsia="Arial" w:hAnsi="Arial"/>
                <w:sz w:val="18"/>
                <w:szCs w:val="18"/>
                <w:color w:val="auto"/>
              </w:rPr>
              <w:t>5.52</w:t>
            </w:r>
          </w:p>
        </w:tc>
        <w:tc>
          <w:tcPr>
            <w:tcW w:w="102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rPr>
              <w:t>7,308</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100,718</w:t>
            </w:r>
          </w:p>
        </w:tc>
        <w:tc>
          <w:tcPr>
            <w:tcW w:w="14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5.59</w:t>
            </w:r>
          </w:p>
        </w:tc>
      </w:tr>
      <w:tr>
        <w:trPr>
          <w:trHeight w:val="230"/>
        </w:trPr>
        <w:tc>
          <w:tcPr>
            <w:tcW w:w="20" w:type="dxa"/>
            <w:vAlign w:val="bottom"/>
          </w:tcPr>
          <w:p>
            <w:pPr>
              <w:spacing w:after="0"/>
              <w:rPr>
                <w:sz w:val="20"/>
                <w:szCs w:val="20"/>
                <w:color w:val="auto"/>
              </w:rPr>
            </w:pPr>
          </w:p>
        </w:tc>
        <w:tc>
          <w:tcPr>
            <w:tcW w:w="3420" w:type="dxa"/>
            <w:vAlign w:val="bottom"/>
            <w:tcBorders>
              <w:bottom w:val="single" w:sz="8" w:color="auto"/>
            </w:tcBorders>
          </w:tcPr>
          <w:p>
            <w:pPr>
              <w:ind w:left="400"/>
              <w:spacing w:after="0"/>
              <w:rPr>
                <w:sz w:val="20"/>
                <w:szCs w:val="20"/>
                <w:color w:val="auto"/>
              </w:rPr>
            </w:pPr>
            <w:r>
              <w:rPr>
                <w:rFonts w:ascii="Arial" w:cs="Arial" w:eastAsia="Arial" w:hAnsi="Arial"/>
                <w:sz w:val="18"/>
                <w:szCs w:val="18"/>
                <w:b w:val="1"/>
                <w:bCs w:val="1"/>
                <w:color w:val="auto"/>
              </w:rPr>
              <w:t>Total interest-bearing liabilities</w:t>
            </w:r>
          </w:p>
        </w:tc>
        <w:tc>
          <w:tcPr>
            <w:tcW w:w="4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43,169</w:t>
            </w:r>
          </w:p>
        </w:tc>
        <w:tc>
          <w:tcPr>
            <w:tcW w:w="1660" w:type="dxa"/>
            <w:vAlign w:val="bottom"/>
            <w:tcBorders>
              <w:bottom w:val="single" w:sz="8" w:color="auto"/>
            </w:tcBorders>
          </w:tcPr>
          <w:p>
            <w:pPr>
              <w:jc w:val="right"/>
              <w:ind w:right="431"/>
              <w:spacing w:after="0"/>
              <w:rPr>
                <w:sz w:val="20"/>
                <w:szCs w:val="20"/>
                <w:color w:val="auto"/>
              </w:rPr>
            </w:pPr>
            <w:r>
              <w:rPr>
                <w:rFonts w:ascii="Arial" w:cs="Arial" w:eastAsia="Arial" w:hAnsi="Arial"/>
                <w:sz w:val="18"/>
                <w:szCs w:val="18"/>
                <w:color w:val="auto"/>
              </w:rPr>
              <w:t>416,264</w:t>
            </w:r>
          </w:p>
        </w:tc>
        <w:tc>
          <w:tcPr>
            <w:tcW w:w="1480" w:type="dxa"/>
            <w:vAlign w:val="bottom"/>
            <w:tcBorders>
              <w:bottom w:val="single" w:sz="8" w:color="auto"/>
            </w:tcBorders>
          </w:tcPr>
          <w:p>
            <w:pPr>
              <w:jc w:val="right"/>
              <w:ind w:right="571"/>
              <w:spacing w:after="0"/>
              <w:rPr>
                <w:sz w:val="20"/>
                <w:szCs w:val="20"/>
                <w:color w:val="auto"/>
              </w:rPr>
            </w:pPr>
            <w:r>
              <w:rPr>
                <w:rFonts w:ascii="Arial" w:cs="Arial" w:eastAsia="Arial" w:hAnsi="Arial"/>
                <w:sz w:val="18"/>
                <w:szCs w:val="18"/>
                <w:color w:val="auto"/>
              </w:rPr>
              <w:t>3.87</w:t>
            </w:r>
          </w:p>
        </w:tc>
        <w:tc>
          <w:tcPr>
            <w:tcW w:w="102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42,704</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410,622</w:t>
            </w:r>
          </w:p>
        </w:tc>
        <w:tc>
          <w:tcPr>
            <w:tcW w:w="14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3.90</w:t>
            </w: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Noninterest-bearing deposits</w:t>
            </w: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7,339</w:t>
            </w:r>
          </w:p>
        </w:tc>
        <w:tc>
          <w:tcPr>
            <w:tcW w:w="16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7,422</w:t>
            </w:r>
          </w:p>
        </w:tc>
        <w:tc>
          <w:tcPr>
            <w:tcW w:w="11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liabilities</w:t>
            </w:r>
          </w:p>
        </w:tc>
        <w:tc>
          <w:tcPr>
            <w:tcW w:w="4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843</w:t>
            </w:r>
          </w:p>
        </w:tc>
        <w:tc>
          <w:tcPr>
            <w:tcW w:w="16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811</w:t>
            </w:r>
          </w:p>
        </w:tc>
        <w:tc>
          <w:tcPr>
            <w:tcW w:w="1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42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Total liabilities</w:t>
            </w:r>
          </w:p>
        </w:tc>
        <w:tc>
          <w:tcPr>
            <w:tcW w:w="4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51,351</w:t>
            </w:r>
          </w:p>
        </w:tc>
        <w:tc>
          <w:tcPr>
            <w:tcW w:w="16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rPr>
              <w:t>50,937</w:t>
            </w:r>
          </w:p>
        </w:tc>
        <w:tc>
          <w:tcPr>
            <w:tcW w:w="116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Stockholders’ equity</w:t>
            </w:r>
          </w:p>
        </w:tc>
        <w:tc>
          <w:tcPr>
            <w:tcW w:w="4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6,172</w:t>
            </w:r>
          </w:p>
        </w:tc>
        <w:tc>
          <w:tcPr>
            <w:tcW w:w="16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6,270</w:t>
            </w:r>
          </w:p>
        </w:tc>
        <w:tc>
          <w:tcPr>
            <w:tcW w:w="11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3420" w:type="dxa"/>
            <w:vAlign w:val="bottom"/>
            <w:shd w:val="clear" w:color="auto" w:fill="CCEEFF"/>
          </w:tcPr>
          <w:p>
            <w:pPr>
              <w:ind w:left="400"/>
              <w:spacing w:after="0" w:line="201" w:lineRule="exact"/>
              <w:rPr>
                <w:sz w:val="20"/>
                <w:szCs w:val="20"/>
                <w:color w:val="auto"/>
              </w:rPr>
            </w:pPr>
            <w:r>
              <w:rPr>
                <w:rFonts w:ascii="Arial" w:cs="Arial" w:eastAsia="Arial" w:hAnsi="Arial"/>
                <w:sz w:val="18"/>
                <w:szCs w:val="18"/>
                <w:color w:val="auto"/>
              </w:rPr>
              <w:t>Total liabilities and stockholders’</w:t>
            </w:r>
          </w:p>
        </w:tc>
        <w:tc>
          <w:tcPr>
            <w:tcW w:w="4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42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equity</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57,523</w:t>
            </w:r>
          </w:p>
        </w:tc>
        <w:tc>
          <w:tcPr>
            <w:tcW w:w="1660" w:type="dxa"/>
            <w:vAlign w:val="bottom"/>
            <w:tcBorders>
              <w:bottom w:val="single" w:sz="8" w:color="auto"/>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rPr>
              <w:t>57,207</w:t>
            </w:r>
          </w:p>
        </w:tc>
        <w:tc>
          <w:tcPr>
            <w:tcW w:w="1160" w:type="dxa"/>
            <w:vAlign w:val="bottom"/>
            <w:tcBorders>
              <w:bottom w:val="single" w:sz="8" w:color="auto"/>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spacing w:after="0"/>
              <w:rPr>
                <w:sz w:val="20"/>
                <w:szCs w:val="20"/>
                <w:color w:val="auto"/>
              </w:rPr>
            </w:pPr>
          </w:p>
        </w:tc>
      </w:tr>
      <w:tr>
        <w:trPr>
          <w:trHeight w:val="20"/>
        </w:trPr>
        <w:tc>
          <w:tcPr>
            <w:tcW w:w="34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4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Net interest spread</w:t>
            </w:r>
          </w:p>
        </w:tc>
        <w:tc>
          <w:tcPr>
            <w:tcW w:w="4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ind w:right="571"/>
              <w:spacing w:after="0"/>
              <w:rPr>
                <w:sz w:val="20"/>
                <w:szCs w:val="20"/>
                <w:color w:val="auto"/>
              </w:rPr>
            </w:pPr>
            <w:r>
              <w:rPr>
                <w:rFonts w:ascii="Arial" w:cs="Arial" w:eastAsia="Arial" w:hAnsi="Arial"/>
                <w:sz w:val="18"/>
                <w:szCs w:val="18"/>
                <w:color w:val="auto"/>
              </w:rPr>
              <w:t>3.08</w:t>
            </w:r>
          </w:p>
        </w:tc>
        <w:tc>
          <w:tcPr>
            <w:tcW w:w="10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3.03</w:t>
            </w:r>
          </w:p>
        </w:tc>
      </w:tr>
      <w:tr>
        <w:trPr>
          <w:trHeight w:val="216"/>
        </w:trPr>
        <w:tc>
          <w:tcPr>
            <w:tcW w:w="20" w:type="dxa"/>
            <w:vAlign w:val="bottom"/>
          </w:tcPr>
          <w:p>
            <w:pPr>
              <w:spacing w:after="0"/>
              <w:rPr>
                <w:sz w:val="18"/>
                <w:szCs w:val="18"/>
                <w:color w:val="auto"/>
              </w:rPr>
            </w:pPr>
          </w:p>
        </w:tc>
        <w:tc>
          <w:tcPr>
            <w:tcW w:w="34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Contribution of interest-free funds</w:t>
            </w:r>
          </w:p>
        </w:tc>
        <w:tc>
          <w:tcPr>
            <w:tcW w:w="4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571"/>
              <w:spacing w:after="0"/>
              <w:rPr>
                <w:sz w:val="20"/>
                <w:szCs w:val="20"/>
                <w:color w:val="auto"/>
              </w:rPr>
            </w:pPr>
            <w:r>
              <w:rPr>
                <w:rFonts w:ascii="Arial" w:cs="Arial" w:eastAsia="Arial" w:hAnsi="Arial"/>
                <w:sz w:val="18"/>
                <w:szCs w:val="18"/>
                <w:color w:val="auto"/>
              </w:rPr>
              <w:t>.59</w:t>
            </w:r>
          </w:p>
        </w:tc>
        <w:tc>
          <w:tcPr>
            <w:tcW w:w="10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.61</w:t>
            </w:r>
          </w:p>
        </w:tc>
      </w:tr>
      <w:tr>
        <w:trPr>
          <w:trHeight w:val="209"/>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Net interest income/margin on earning</w:t>
            </w: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42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assets</w:t>
            </w:r>
          </w:p>
        </w:tc>
        <w:tc>
          <w:tcPr>
            <w:tcW w:w="4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ind w:right="431"/>
              <w:spacing w:after="0"/>
              <w:rPr>
                <w:sz w:val="20"/>
                <w:szCs w:val="20"/>
                <w:color w:val="auto"/>
              </w:rPr>
            </w:pPr>
            <w:r>
              <w:rPr>
                <w:rFonts w:ascii="Arial" w:cs="Arial" w:eastAsia="Arial" w:hAnsi="Arial"/>
                <w:sz w:val="18"/>
                <w:szCs w:val="18"/>
                <w:color w:val="auto"/>
              </w:rPr>
              <w:t>$ 466,884</w:t>
            </w:r>
          </w:p>
        </w:tc>
        <w:tc>
          <w:tcPr>
            <w:tcW w:w="1480" w:type="dxa"/>
            <w:vAlign w:val="bottom"/>
            <w:tcBorders>
              <w:bottom w:val="single" w:sz="8" w:color="auto"/>
            </w:tcBorders>
          </w:tcPr>
          <w:p>
            <w:pPr>
              <w:jc w:val="right"/>
              <w:ind w:right="411"/>
              <w:spacing w:after="0"/>
              <w:rPr>
                <w:sz w:val="20"/>
                <w:szCs w:val="20"/>
                <w:color w:val="auto"/>
              </w:rPr>
            </w:pPr>
            <w:r>
              <w:rPr>
                <w:rFonts w:ascii="Arial" w:cs="Arial" w:eastAsia="Arial" w:hAnsi="Arial"/>
                <w:sz w:val="18"/>
                <w:szCs w:val="18"/>
                <w:color w:val="auto"/>
              </w:rPr>
              <w:t>3.67%</w:t>
            </w:r>
          </w:p>
        </w:tc>
        <w:tc>
          <w:tcPr>
            <w:tcW w:w="10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455,550</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w:t>
            </w:r>
          </w:p>
        </w:tc>
      </w:tr>
      <w:tr>
        <w:trPr>
          <w:trHeight w:val="20"/>
        </w:trPr>
        <w:tc>
          <w:tcPr>
            <w:tcW w:w="20" w:type="dxa"/>
            <w:vAlign w:val="bottom"/>
          </w:tcPr>
          <w:p>
            <w:pPr>
              <w:spacing w:after="0" w:line="20" w:lineRule="exact"/>
              <w:rPr>
                <w:sz w:val="1"/>
                <w:szCs w:val="1"/>
                <w:color w:val="auto"/>
              </w:rPr>
            </w:pPr>
          </w:p>
        </w:tc>
        <w:tc>
          <w:tcPr>
            <w:tcW w:w="34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Includes nonaccrual loans.</w:t>
      </w:r>
    </w:p>
    <w:p>
      <w:pPr>
        <w:spacing w:after="0" w:line="77"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Includes available for sale securities at amortized cost.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Item 3. Quantitative and Qualitative Disclosures About Market Risk.</w:t>
      </w:r>
    </w:p>
    <w:p>
      <w:pPr>
        <w:spacing w:after="0" w:line="117" w:lineRule="exact"/>
        <w:rPr>
          <w:sz w:val="20"/>
          <w:szCs w:val="20"/>
          <w:color w:val="auto"/>
        </w:rPr>
      </w:pPr>
    </w:p>
    <w:p>
      <w:pPr>
        <w:ind w:right="500" w:firstLine="225"/>
        <w:spacing w:after="0" w:line="277" w:lineRule="auto"/>
        <w:rPr>
          <w:sz w:val="20"/>
          <w:szCs w:val="20"/>
          <w:color w:val="auto"/>
        </w:rPr>
      </w:pPr>
      <w:r>
        <w:rPr>
          <w:rFonts w:ascii="Arial" w:cs="Arial" w:eastAsia="Arial" w:hAnsi="Arial"/>
          <w:sz w:val="18"/>
          <w:szCs w:val="18"/>
          <w:color w:val="auto"/>
        </w:rPr>
        <w:t>Incorporated by reference to the discussion contained under the caption “Taxable-equivalent Net Interest Income” in Part I, Item 2, “Management’s Discussion and Analysis of Financial Condition and Results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Item 4. Controls and Procedures.</w:t>
      </w:r>
    </w:p>
    <w:p>
      <w:pPr>
        <w:spacing w:after="0" w:line="117" w:lineRule="exact"/>
        <w:rPr>
          <w:sz w:val="20"/>
          <w:szCs w:val="20"/>
          <w:color w:val="auto"/>
        </w:rPr>
      </w:pPr>
    </w:p>
    <w:p>
      <w:pPr>
        <w:ind w:right="240" w:firstLine="233"/>
        <w:spacing w:after="0" w:line="312" w:lineRule="auto"/>
        <w:tabs>
          <w:tab w:leader="none" w:pos="470" w:val="left"/>
        </w:tabs>
        <w:numPr>
          <w:ilvl w:val="0"/>
          <w:numId w:val="17"/>
        </w:numPr>
        <w:rPr>
          <w:rFonts w:ascii="Arial" w:cs="Arial" w:eastAsia="Arial" w:hAnsi="Arial"/>
          <w:sz w:val="16"/>
          <w:szCs w:val="16"/>
          <w:color w:val="auto"/>
        </w:rPr>
      </w:pPr>
      <w:r>
        <w:rPr>
          <w:rFonts w:ascii="Arial" w:cs="Arial" w:eastAsia="Arial" w:hAnsi="Arial"/>
          <w:sz w:val="16"/>
          <w:szCs w:val="16"/>
          <w:color w:val="auto"/>
        </w:rPr>
        <w:t>Evaluation of disclosure controls and procedures. Based upon their evaluation of the effectiveness of M&amp;T’s disclosure controls and procedures (as defined in Exchange Act rules 13a-15(e) and 15d-15(e)), Robert G. Wilmers, Chairman of the Board and Chief Executive Officer, and René F. Jones, Executive Vice President and Chief Financial Officer, concluded that M&amp;T’s disclosure controls and procedures were effective as of March 31, 2008.</w:t>
      </w:r>
    </w:p>
    <w:p>
      <w:pPr>
        <w:spacing w:after="0" w:line="38" w:lineRule="exact"/>
        <w:rPr>
          <w:rFonts w:ascii="Arial" w:cs="Arial" w:eastAsia="Arial" w:hAnsi="Arial"/>
          <w:sz w:val="16"/>
          <w:szCs w:val="16"/>
          <w:color w:val="auto"/>
        </w:rPr>
      </w:pPr>
    </w:p>
    <w:p>
      <w:pPr>
        <w:ind w:firstLine="233"/>
        <w:spacing w:after="0" w:line="279" w:lineRule="auto"/>
        <w:tabs>
          <w:tab w:leader="none" w:pos="4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Changes in internal control over financial reporting. M&amp;T regularly assesses the adequacy of its internal control over financial reporting and enhances its controls in response to internal control assessments and internal and external audit and regulatory recommendations. No changes in internal control over financial reporting have been identified in connection with the evaluation of disclosure controls and procedures during the quarter ended March 31, 2008 that have materially affected, or are reasonably likely to materially affect, M&amp;T’s internal control over financial reporting.</w:t>
      </w:r>
    </w:p>
    <w:p>
      <w:pPr>
        <w:spacing w:after="0" w:line="28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1. Legal Proceedings.</w:t>
      </w:r>
    </w:p>
    <w:p>
      <w:pPr>
        <w:spacing w:after="0" w:line="117" w:lineRule="exact"/>
        <w:rPr>
          <w:sz w:val="20"/>
          <w:szCs w:val="20"/>
          <w:color w:val="auto"/>
        </w:rPr>
      </w:pPr>
    </w:p>
    <w:p>
      <w:pPr>
        <w:ind w:right="140" w:firstLine="225"/>
        <w:spacing w:after="0" w:line="302" w:lineRule="auto"/>
        <w:rPr>
          <w:sz w:val="20"/>
          <w:szCs w:val="20"/>
          <w:color w:val="auto"/>
        </w:rPr>
      </w:pPr>
      <w:r>
        <w:rPr>
          <w:rFonts w:ascii="Arial" w:cs="Arial" w:eastAsia="Arial" w:hAnsi="Arial"/>
          <w:sz w:val="16"/>
          <w:szCs w:val="16"/>
          <w:color w:val="auto"/>
        </w:rPr>
        <w:t>M&amp;T and its subsidiaries are subject in the normal course of business to various pending and threatened legal proceedings in which claims for monetary damages are asserted. Management, after consultation with legal counsel, does not anticipate that the aggregate ultimate liability arising out of litigation pending against M&amp;T or its subsidiaries will be material to M&amp;T’s consolidated financial position, but at the present time is not in a position to determine whether such litigation will have a material adverse effect on M&amp;T’s consolidated results of operations in any future reporting period.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Item 1A. Risk Factors.</w:t>
      </w:r>
    </w:p>
    <w:p>
      <w:pPr>
        <w:spacing w:after="0" w:line="117" w:lineRule="exact"/>
        <w:rPr>
          <w:sz w:val="20"/>
          <w:szCs w:val="20"/>
          <w:color w:val="auto"/>
        </w:rPr>
      </w:pPr>
    </w:p>
    <w:p>
      <w:pPr>
        <w:ind w:right="100" w:firstLine="222"/>
        <w:spacing w:after="0" w:line="277" w:lineRule="auto"/>
        <w:rPr>
          <w:sz w:val="20"/>
          <w:szCs w:val="20"/>
          <w:color w:val="auto"/>
        </w:rPr>
      </w:pPr>
      <w:r>
        <w:rPr>
          <w:rFonts w:ascii="Arial" w:cs="Arial" w:eastAsia="Arial" w:hAnsi="Arial"/>
          <w:sz w:val="18"/>
          <w:szCs w:val="18"/>
          <w:color w:val="auto"/>
        </w:rPr>
        <w:t>There have been no material changes in risk factors relating to M&amp;T to those disclosed in response to Item 1A. to Part I of Form 10-K for the year ended December 31, 2007.</w:t>
      </w:r>
    </w:p>
    <w:p>
      <w:pPr>
        <w:spacing w:after="0" w:line="14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- 60 -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Item 2. Unregistered Sales of Equity Securities and Use of Proceeds.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(a)-(b) Not applicable.</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w:t>
      </w:r>
    </w:p>
    <w:p>
      <w:pPr>
        <w:spacing w:after="0" w:line="221" w:lineRule="exact"/>
        <w:rPr>
          <w:sz w:val="20"/>
          <w:szCs w:val="20"/>
          <w:color w:val="auto"/>
        </w:rPr>
      </w:pPr>
    </w:p>
    <w:p>
      <w:pPr>
        <w:jc w:val="center"/>
        <w:ind w:right="100"/>
        <w:spacing w:after="0"/>
        <w:rPr>
          <w:sz w:val="20"/>
          <w:szCs w:val="20"/>
          <w:color w:val="auto"/>
        </w:rPr>
      </w:pPr>
      <w:r>
        <w:rPr>
          <w:rFonts w:ascii="Arial" w:cs="Arial" w:eastAsia="Arial" w:hAnsi="Arial"/>
          <w:sz w:val="14"/>
          <w:szCs w:val="14"/>
          <w:color w:val="auto"/>
        </w:rPr>
        <w:t>Issuer Purchases of Equity Securities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20" w:type="dxa"/>
            <w:vAlign w:val="bottom"/>
          </w:tcPr>
          <w:p>
            <w:pPr>
              <w:spacing w:after="0"/>
              <w:rPr>
                <w:sz w:val="10"/>
                <w:szCs w:val="10"/>
                <w:color w:val="auto"/>
              </w:rPr>
            </w:pPr>
          </w:p>
        </w:tc>
        <w:tc>
          <w:tcPr>
            <w:tcW w:w="4300" w:type="dxa"/>
            <w:vAlign w:val="bottom"/>
            <w:tcBorders>
              <w:top w:val="single" w:sz="8" w:color="auto"/>
            </w:tcBorders>
          </w:tcPr>
          <w:p>
            <w:pPr>
              <w:spacing w:after="0"/>
              <w:rPr>
                <w:sz w:val="10"/>
                <w:szCs w:val="10"/>
                <w:color w:val="auto"/>
              </w:rPr>
            </w:pPr>
          </w:p>
        </w:tc>
        <w:tc>
          <w:tcPr>
            <w:tcW w:w="204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rPr>
              <w:t>(d)Maximum</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360" w:type="dxa"/>
            <w:vAlign w:val="bottom"/>
            <w:gridSpan w:val="2"/>
          </w:tcPr>
          <w:p>
            <w:pPr>
              <w:jc w:val="center"/>
              <w:ind w:right="680"/>
              <w:spacing w:after="0" w:line="149" w:lineRule="exact"/>
              <w:rPr>
                <w:sz w:val="20"/>
                <w:szCs w:val="20"/>
                <w:color w:val="auto"/>
              </w:rPr>
            </w:pPr>
            <w:r>
              <w:rPr>
                <w:rFonts w:ascii="Arial" w:cs="Arial" w:eastAsia="Arial" w:hAnsi="Arial"/>
                <w:sz w:val="14"/>
                <w:szCs w:val="14"/>
                <w:color w:val="auto"/>
                <w:w w:val="92"/>
              </w:rPr>
              <w:t>(c)Total</w:t>
            </w:r>
          </w:p>
        </w:tc>
        <w:tc>
          <w:tcPr>
            <w:tcW w:w="9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5"/>
              </w:rPr>
              <w:t>Number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360" w:type="dxa"/>
            <w:vAlign w:val="bottom"/>
            <w:gridSpan w:val="2"/>
          </w:tcPr>
          <w:p>
            <w:pPr>
              <w:jc w:val="center"/>
              <w:ind w:right="680"/>
              <w:spacing w:after="0" w:line="149" w:lineRule="exact"/>
              <w:rPr>
                <w:sz w:val="20"/>
                <w:szCs w:val="20"/>
                <w:color w:val="auto"/>
              </w:rPr>
            </w:pPr>
            <w:r>
              <w:rPr>
                <w:rFonts w:ascii="Arial" w:cs="Arial" w:eastAsia="Arial" w:hAnsi="Arial"/>
                <w:sz w:val="14"/>
                <w:szCs w:val="14"/>
                <w:color w:val="auto"/>
                <w:w w:val="97"/>
              </w:rPr>
              <w:t>Number of</w:t>
            </w:r>
          </w:p>
        </w:tc>
        <w:tc>
          <w:tcPr>
            <w:tcW w:w="9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6"/>
              </w:rPr>
              <w:t>Approximate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360" w:type="dxa"/>
            <w:vAlign w:val="bottom"/>
            <w:gridSpan w:val="2"/>
          </w:tcPr>
          <w:p>
            <w:pPr>
              <w:jc w:val="center"/>
              <w:ind w:right="680"/>
              <w:spacing w:after="0" w:line="149" w:lineRule="exact"/>
              <w:rPr>
                <w:sz w:val="20"/>
                <w:szCs w:val="20"/>
                <w:color w:val="auto"/>
              </w:rPr>
            </w:pPr>
            <w:r>
              <w:rPr>
                <w:rFonts w:ascii="Arial" w:cs="Arial" w:eastAsia="Arial" w:hAnsi="Arial"/>
                <w:sz w:val="14"/>
                <w:szCs w:val="14"/>
                <w:color w:val="auto"/>
                <w:w w:val="90"/>
              </w:rPr>
              <w:t>Shares</w:t>
            </w:r>
          </w:p>
        </w:tc>
        <w:tc>
          <w:tcPr>
            <w:tcW w:w="94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6"/>
              </w:rPr>
              <w:t>Dollar Value)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360" w:type="dxa"/>
            <w:vAlign w:val="bottom"/>
            <w:gridSpan w:val="2"/>
          </w:tcPr>
          <w:p>
            <w:pPr>
              <w:jc w:val="center"/>
              <w:ind w:right="680"/>
              <w:spacing w:after="0" w:line="149" w:lineRule="exact"/>
              <w:rPr>
                <w:sz w:val="20"/>
                <w:szCs w:val="20"/>
                <w:color w:val="auto"/>
              </w:rPr>
            </w:pPr>
            <w:r>
              <w:rPr>
                <w:rFonts w:ascii="Arial" w:cs="Arial" w:eastAsia="Arial" w:hAnsi="Arial"/>
                <w:sz w:val="14"/>
                <w:szCs w:val="14"/>
                <w:color w:val="auto"/>
                <w:w w:val="97"/>
              </w:rPr>
              <w:t>(or Units)</w:t>
            </w:r>
          </w:p>
        </w:tc>
        <w:tc>
          <w:tcPr>
            <w:tcW w:w="94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0"/>
              </w:rPr>
              <w:t>of Shares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360" w:type="dxa"/>
            <w:vAlign w:val="bottom"/>
            <w:gridSpan w:val="2"/>
          </w:tcPr>
          <w:p>
            <w:pPr>
              <w:jc w:val="center"/>
              <w:ind w:right="680"/>
              <w:spacing w:after="0" w:line="149" w:lineRule="exact"/>
              <w:rPr>
                <w:sz w:val="20"/>
                <w:szCs w:val="20"/>
                <w:color w:val="auto"/>
              </w:rPr>
            </w:pPr>
            <w:r>
              <w:rPr>
                <w:rFonts w:ascii="Arial" w:cs="Arial" w:eastAsia="Arial" w:hAnsi="Arial"/>
                <w:sz w:val="14"/>
                <w:szCs w:val="14"/>
                <w:color w:val="auto"/>
                <w:w w:val="89"/>
              </w:rPr>
              <w:t>Purchased</w:t>
            </w:r>
          </w:p>
        </w:tc>
        <w:tc>
          <w:tcPr>
            <w:tcW w:w="9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7"/>
              </w:rPr>
              <w:t>(or Units)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420" w:type="dxa"/>
            <w:vAlign w:val="bottom"/>
            <w:gridSpan w:val="2"/>
          </w:tcPr>
          <w:p>
            <w:pPr>
              <w:jc w:val="center"/>
              <w:ind w:right="680"/>
              <w:spacing w:after="0" w:line="149" w:lineRule="exact"/>
              <w:rPr>
                <w:sz w:val="20"/>
                <w:szCs w:val="20"/>
                <w:color w:val="auto"/>
              </w:rPr>
            </w:pPr>
            <w:r>
              <w:rPr>
                <w:rFonts w:ascii="Arial" w:cs="Arial" w:eastAsia="Arial" w:hAnsi="Arial"/>
                <w:sz w:val="14"/>
                <w:szCs w:val="14"/>
                <w:color w:val="auto"/>
                <w:w w:val="95"/>
              </w:rPr>
              <w:t>(a)Total</w:t>
            </w: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360" w:type="dxa"/>
            <w:vAlign w:val="bottom"/>
            <w:gridSpan w:val="2"/>
          </w:tcPr>
          <w:p>
            <w:pPr>
              <w:jc w:val="center"/>
              <w:ind w:right="660"/>
              <w:spacing w:after="0" w:line="149" w:lineRule="exact"/>
              <w:rPr>
                <w:sz w:val="20"/>
                <w:szCs w:val="20"/>
                <w:color w:val="auto"/>
              </w:rPr>
            </w:pPr>
            <w:r>
              <w:rPr>
                <w:rFonts w:ascii="Arial" w:cs="Arial" w:eastAsia="Arial" w:hAnsi="Arial"/>
                <w:sz w:val="14"/>
                <w:szCs w:val="14"/>
                <w:color w:val="auto"/>
                <w:w w:val="90"/>
              </w:rPr>
              <w:t>as Part of</w:t>
            </w:r>
          </w:p>
        </w:tc>
        <w:tc>
          <w:tcPr>
            <w:tcW w:w="94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1"/>
              </w:rPr>
              <w:t>that may yet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420" w:type="dxa"/>
            <w:vAlign w:val="bottom"/>
            <w:gridSpan w:val="2"/>
          </w:tcPr>
          <w:p>
            <w:pPr>
              <w:jc w:val="center"/>
              <w:ind w:right="680"/>
              <w:spacing w:after="0" w:line="149" w:lineRule="exact"/>
              <w:rPr>
                <w:sz w:val="20"/>
                <w:szCs w:val="20"/>
                <w:color w:val="auto"/>
              </w:rPr>
            </w:pPr>
            <w:r>
              <w:rPr>
                <w:rFonts w:ascii="Arial" w:cs="Arial" w:eastAsia="Arial" w:hAnsi="Arial"/>
                <w:sz w:val="14"/>
                <w:szCs w:val="14"/>
                <w:color w:val="auto"/>
                <w:w w:val="92"/>
              </w:rPr>
              <w:t>Number</w:t>
            </w:r>
          </w:p>
        </w:tc>
        <w:tc>
          <w:tcPr>
            <w:tcW w:w="66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5"/>
              </w:rPr>
              <w:t>(b)Average</w:t>
            </w:r>
          </w:p>
        </w:tc>
        <w:tc>
          <w:tcPr>
            <w:tcW w:w="680" w:type="dxa"/>
            <w:vAlign w:val="bottom"/>
          </w:tcPr>
          <w:p>
            <w:pPr>
              <w:spacing w:after="0"/>
              <w:rPr>
                <w:sz w:val="12"/>
                <w:szCs w:val="12"/>
                <w:color w:val="auto"/>
              </w:rPr>
            </w:pPr>
          </w:p>
        </w:tc>
        <w:tc>
          <w:tcPr>
            <w:tcW w:w="1360" w:type="dxa"/>
            <w:vAlign w:val="bottom"/>
            <w:gridSpan w:val="2"/>
          </w:tcPr>
          <w:p>
            <w:pPr>
              <w:jc w:val="center"/>
              <w:ind w:right="680"/>
              <w:spacing w:after="0" w:line="149" w:lineRule="exact"/>
              <w:rPr>
                <w:sz w:val="20"/>
                <w:szCs w:val="20"/>
                <w:color w:val="auto"/>
              </w:rPr>
            </w:pPr>
            <w:r>
              <w:rPr>
                <w:rFonts w:ascii="Arial" w:cs="Arial" w:eastAsia="Arial" w:hAnsi="Arial"/>
                <w:sz w:val="14"/>
                <w:szCs w:val="14"/>
                <w:color w:val="auto"/>
                <w:w w:val="99"/>
              </w:rPr>
              <w:t>Publicly</w:t>
            </w:r>
          </w:p>
        </w:tc>
        <w:tc>
          <w:tcPr>
            <w:tcW w:w="9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7"/>
              </w:rPr>
              <w:t>be Purchased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420" w:type="dxa"/>
            <w:vAlign w:val="bottom"/>
            <w:gridSpan w:val="2"/>
          </w:tcPr>
          <w:p>
            <w:pPr>
              <w:jc w:val="center"/>
              <w:ind w:right="680"/>
              <w:spacing w:after="0" w:line="149" w:lineRule="exact"/>
              <w:rPr>
                <w:sz w:val="20"/>
                <w:szCs w:val="20"/>
                <w:color w:val="auto"/>
              </w:rPr>
            </w:pPr>
            <w:r>
              <w:rPr>
                <w:rFonts w:ascii="Arial" w:cs="Arial" w:eastAsia="Arial" w:hAnsi="Arial"/>
                <w:sz w:val="14"/>
                <w:szCs w:val="14"/>
                <w:color w:val="auto"/>
                <w:w w:val="90"/>
              </w:rPr>
              <w:t>of Shares</w:t>
            </w:r>
          </w:p>
        </w:tc>
        <w:tc>
          <w:tcPr>
            <w:tcW w:w="66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0"/>
              </w:rPr>
              <w:t>Price Paid</w:t>
            </w:r>
          </w:p>
        </w:tc>
        <w:tc>
          <w:tcPr>
            <w:tcW w:w="680" w:type="dxa"/>
            <w:vAlign w:val="bottom"/>
          </w:tcPr>
          <w:p>
            <w:pPr>
              <w:spacing w:after="0"/>
              <w:rPr>
                <w:sz w:val="12"/>
                <w:szCs w:val="12"/>
                <w:color w:val="auto"/>
              </w:rPr>
            </w:pPr>
          </w:p>
        </w:tc>
        <w:tc>
          <w:tcPr>
            <w:tcW w:w="1360" w:type="dxa"/>
            <w:vAlign w:val="bottom"/>
            <w:gridSpan w:val="2"/>
          </w:tcPr>
          <w:p>
            <w:pPr>
              <w:jc w:val="center"/>
              <w:ind w:right="660"/>
              <w:spacing w:after="0" w:line="149" w:lineRule="exact"/>
              <w:rPr>
                <w:sz w:val="20"/>
                <w:szCs w:val="20"/>
                <w:color w:val="auto"/>
              </w:rPr>
            </w:pPr>
            <w:r>
              <w:rPr>
                <w:rFonts w:ascii="Arial" w:cs="Arial" w:eastAsia="Arial" w:hAnsi="Arial"/>
                <w:sz w:val="14"/>
                <w:szCs w:val="14"/>
                <w:color w:val="auto"/>
                <w:w w:val="93"/>
              </w:rPr>
              <w:t>Announced</w:t>
            </w:r>
          </w:p>
        </w:tc>
        <w:tc>
          <w:tcPr>
            <w:tcW w:w="94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4"/>
              </w:rPr>
              <w:t>Under the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420" w:type="dxa"/>
            <w:vAlign w:val="bottom"/>
            <w:gridSpan w:val="2"/>
          </w:tcPr>
          <w:p>
            <w:pPr>
              <w:jc w:val="center"/>
              <w:ind w:right="660"/>
              <w:spacing w:after="0" w:line="149" w:lineRule="exact"/>
              <w:rPr>
                <w:sz w:val="20"/>
                <w:szCs w:val="20"/>
                <w:color w:val="auto"/>
              </w:rPr>
            </w:pPr>
            <w:r>
              <w:rPr>
                <w:rFonts w:ascii="Arial" w:cs="Arial" w:eastAsia="Arial" w:hAnsi="Arial"/>
                <w:sz w:val="14"/>
                <w:szCs w:val="14"/>
                <w:color w:val="auto"/>
                <w:w w:val="97"/>
              </w:rPr>
              <w:t>(or Units)</w:t>
            </w:r>
          </w:p>
        </w:tc>
        <w:tc>
          <w:tcPr>
            <w:tcW w:w="66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7"/>
              </w:rPr>
              <w:t>per Share</w:t>
            </w:r>
          </w:p>
        </w:tc>
        <w:tc>
          <w:tcPr>
            <w:tcW w:w="680" w:type="dxa"/>
            <w:vAlign w:val="bottom"/>
          </w:tcPr>
          <w:p>
            <w:pPr>
              <w:spacing w:after="0"/>
              <w:rPr>
                <w:sz w:val="12"/>
                <w:szCs w:val="12"/>
                <w:color w:val="auto"/>
              </w:rPr>
            </w:pPr>
          </w:p>
        </w:tc>
        <w:tc>
          <w:tcPr>
            <w:tcW w:w="1360" w:type="dxa"/>
            <w:vAlign w:val="bottom"/>
            <w:gridSpan w:val="2"/>
          </w:tcPr>
          <w:p>
            <w:pPr>
              <w:jc w:val="center"/>
              <w:ind w:right="680"/>
              <w:spacing w:after="0" w:line="149" w:lineRule="exact"/>
              <w:rPr>
                <w:sz w:val="20"/>
                <w:szCs w:val="20"/>
                <w:color w:val="auto"/>
              </w:rPr>
            </w:pPr>
            <w:r>
              <w:rPr>
                <w:rFonts w:ascii="Arial" w:cs="Arial" w:eastAsia="Arial" w:hAnsi="Arial"/>
                <w:sz w:val="14"/>
                <w:szCs w:val="14"/>
                <w:color w:val="auto"/>
                <w:w w:val="93"/>
              </w:rPr>
              <w:t>Plans or</w:t>
            </w:r>
          </w:p>
        </w:tc>
        <w:tc>
          <w:tcPr>
            <w:tcW w:w="94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89"/>
              </w:rPr>
              <w:t>Plans or</w:t>
            </w:r>
          </w:p>
        </w:tc>
        <w:tc>
          <w:tcPr>
            <w:tcW w:w="0" w:type="dxa"/>
            <w:vAlign w:val="bottom"/>
          </w:tcPr>
          <w:p>
            <w:pPr>
              <w:spacing w:after="0"/>
              <w:rPr>
                <w:sz w:val="1"/>
                <w:szCs w:val="1"/>
                <w:color w:val="auto"/>
              </w:rPr>
            </w:pPr>
          </w:p>
        </w:tc>
      </w:tr>
      <w:tr>
        <w:trPr>
          <w:trHeight w:val="174"/>
        </w:trPr>
        <w:tc>
          <w:tcPr>
            <w:tcW w:w="4320" w:type="dxa"/>
            <w:vAlign w:val="bottom"/>
            <w:gridSpan w:val="2"/>
          </w:tcPr>
          <w:p>
            <w:pPr>
              <w:spacing w:after="0"/>
              <w:rPr>
                <w:sz w:val="20"/>
                <w:szCs w:val="20"/>
                <w:color w:val="auto"/>
              </w:rPr>
            </w:pPr>
            <w:r>
              <w:rPr>
                <w:rFonts w:ascii="Arial" w:cs="Arial" w:eastAsia="Arial" w:hAnsi="Arial"/>
                <w:sz w:val="14"/>
                <w:szCs w:val="14"/>
                <w:color w:val="auto"/>
              </w:rPr>
              <w:t>Period</w:t>
            </w:r>
          </w:p>
        </w:tc>
        <w:tc>
          <w:tcPr>
            <w:tcW w:w="3460" w:type="dxa"/>
            <w:vAlign w:val="bottom"/>
            <w:gridSpan w:val="3"/>
          </w:tcPr>
          <w:p>
            <w:pPr>
              <w:jc w:val="right"/>
              <w:ind w:right="660"/>
              <w:spacing w:after="0"/>
              <w:rPr>
                <w:sz w:val="20"/>
                <w:szCs w:val="20"/>
                <w:color w:val="auto"/>
              </w:rPr>
            </w:pPr>
            <w:r>
              <w:rPr>
                <w:rFonts w:ascii="Arial" w:cs="Arial" w:eastAsia="Arial" w:hAnsi="Arial"/>
                <w:sz w:val="14"/>
                <w:szCs w:val="14"/>
                <w:color w:val="auto"/>
              </w:rPr>
              <w:t>Purchased(1)</w:t>
            </w:r>
          </w:p>
        </w:tc>
        <w:tc>
          <w:tcPr>
            <w:tcW w:w="660" w:type="dxa"/>
            <w:vAlign w:val="bottom"/>
            <w:gridSpan w:val="2"/>
          </w:tcPr>
          <w:p>
            <w:pPr>
              <w:jc w:val="center"/>
              <w:spacing w:after="0"/>
              <w:rPr>
                <w:sz w:val="20"/>
                <w:szCs w:val="20"/>
                <w:color w:val="auto"/>
              </w:rPr>
            </w:pPr>
            <w:r>
              <w:rPr>
                <w:rFonts w:ascii="Arial" w:cs="Arial" w:eastAsia="Arial" w:hAnsi="Arial"/>
                <w:sz w:val="14"/>
                <w:szCs w:val="14"/>
                <w:color w:val="auto"/>
                <w:w w:val="98"/>
              </w:rPr>
              <w:t>(or Unit)</w:t>
            </w:r>
          </w:p>
        </w:tc>
        <w:tc>
          <w:tcPr>
            <w:tcW w:w="680" w:type="dxa"/>
            <w:vAlign w:val="bottom"/>
          </w:tcPr>
          <w:p>
            <w:pPr>
              <w:spacing w:after="0"/>
              <w:rPr>
                <w:sz w:val="15"/>
                <w:szCs w:val="15"/>
                <w:color w:val="auto"/>
              </w:rPr>
            </w:pPr>
          </w:p>
        </w:tc>
        <w:tc>
          <w:tcPr>
            <w:tcW w:w="1360" w:type="dxa"/>
            <w:vAlign w:val="bottom"/>
            <w:gridSpan w:val="2"/>
          </w:tcPr>
          <w:p>
            <w:pPr>
              <w:jc w:val="center"/>
              <w:ind w:right="680"/>
              <w:spacing w:after="0"/>
              <w:rPr>
                <w:sz w:val="20"/>
                <w:szCs w:val="20"/>
                <w:color w:val="auto"/>
              </w:rPr>
            </w:pPr>
            <w:r>
              <w:rPr>
                <w:rFonts w:ascii="Arial" w:cs="Arial" w:eastAsia="Arial" w:hAnsi="Arial"/>
                <w:sz w:val="14"/>
                <w:szCs w:val="14"/>
                <w:color w:val="auto"/>
                <w:w w:val="92"/>
              </w:rPr>
              <w:t>Programs</w:t>
            </w:r>
          </w:p>
        </w:tc>
        <w:tc>
          <w:tcPr>
            <w:tcW w:w="94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Programs (2)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January 1 - January 31, 2008</w:t>
            </w:r>
          </w:p>
        </w:tc>
        <w:tc>
          <w:tcPr>
            <w:tcW w:w="28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65,955</w:t>
            </w:r>
          </w:p>
        </w:tc>
        <w:tc>
          <w:tcPr>
            <w:tcW w:w="6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73.85</w:t>
            </w:r>
          </w:p>
        </w:tc>
        <w:tc>
          <w:tcPr>
            <w:tcW w:w="68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2,181,500</w:t>
            </w:r>
          </w:p>
        </w:tc>
        <w:tc>
          <w:tcPr>
            <w:tcW w:w="0" w:type="dxa"/>
            <w:vAlign w:val="bottom"/>
          </w:tcPr>
          <w:p>
            <w:pPr>
              <w:spacing w:after="0"/>
              <w:rPr>
                <w:sz w:val="1"/>
                <w:szCs w:val="1"/>
                <w:color w:val="auto"/>
              </w:rPr>
            </w:pPr>
          </w:p>
        </w:tc>
      </w:tr>
      <w:tr>
        <w:trPr>
          <w:trHeight w:val="432"/>
        </w:trPr>
        <w:tc>
          <w:tcPr>
            <w:tcW w:w="4320" w:type="dxa"/>
            <w:vAlign w:val="bottom"/>
            <w:gridSpan w:val="2"/>
          </w:tcPr>
          <w:p>
            <w:pPr>
              <w:spacing w:after="0"/>
              <w:rPr>
                <w:sz w:val="20"/>
                <w:szCs w:val="20"/>
                <w:color w:val="auto"/>
              </w:rPr>
            </w:pPr>
            <w:r>
              <w:rPr>
                <w:rFonts w:ascii="Arial" w:cs="Arial" w:eastAsia="Arial" w:hAnsi="Arial"/>
                <w:sz w:val="18"/>
                <w:szCs w:val="18"/>
                <w:color w:val="auto"/>
              </w:rPr>
              <w:t>February 1 - February 29, 2008</w:t>
            </w:r>
          </w:p>
        </w:tc>
        <w:tc>
          <w:tcPr>
            <w:tcW w:w="2800" w:type="dxa"/>
            <w:vAlign w:val="bottom"/>
            <w:gridSpan w:val="2"/>
          </w:tcPr>
          <w:p>
            <w:pPr>
              <w:jc w:val="right"/>
              <w:spacing w:after="0"/>
              <w:rPr>
                <w:sz w:val="20"/>
                <w:szCs w:val="20"/>
                <w:color w:val="auto"/>
              </w:rPr>
            </w:pPr>
            <w:r>
              <w:rPr>
                <w:rFonts w:ascii="Arial" w:cs="Arial" w:eastAsia="Arial" w:hAnsi="Arial"/>
                <w:sz w:val="18"/>
                <w:szCs w:val="18"/>
                <w:color w:val="auto"/>
              </w:rPr>
              <w:t>283</w:t>
            </w: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87.35</w:t>
            </w:r>
          </w:p>
        </w:tc>
        <w:tc>
          <w:tcPr>
            <w:tcW w:w="680" w:type="dxa"/>
            <w:vAlign w:val="bottom"/>
          </w:tcPr>
          <w:p>
            <w:pPr>
              <w:spacing w:after="0"/>
              <w:rPr>
                <w:sz w:val="24"/>
                <w:szCs w:val="24"/>
                <w:color w:val="auto"/>
              </w:rPr>
            </w:pPr>
          </w:p>
        </w:tc>
        <w:tc>
          <w:tcPr>
            <w:tcW w:w="13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2,181,500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March 1 - March 31, 2008</w:t>
            </w:r>
          </w:p>
        </w:tc>
        <w:tc>
          <w:tcPr>
            <w:tcW w:w="204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w w:val="88"/>
              </w:rPr>
              <w:t>—</w:t>
            </w:r>
          </w:p>
        </w:tc>
        <w:tc>
          <w:tcPr>
            <w:tcW w:w="68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2,181,500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2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2800" w:type="dxa"/>
            <w:vAlign w:val="bottom"/>
            <w:gridSpan w:val="2"/>
            <w:vMerge w:val="restart"/>
          </w:tcPr>
          <w:p>
            <w:pPr>
              <w:jc w:val="right"/>
              <w:spacing w:after="0"/>
              <w:rPr>
                <w:sz w:val="20"/>
                <w:szCs w:val="20"/>
                <w:color w:val="auto"/>
              </w:rPr>
            </w:pPr>
            <w:r>
              <w:rPr>
                <w:rFonts w:ascii="Arial" w:cs="Arial" w:eastAsia="Arial" w:hAnsi="Arial"/>
                <w:sz w:val="18"/>
                <w:szCs w:val="18"/>
                <w:color w:val="auto"/>
              </w:rPr>
              <w:t>66,238</w:t>
            </w:r>
          </w:p>
        </w:tc>
        <w:tc>
          <w:tcPr>
            <w:tcW w:w="660" w:type="dxa"/>
            <w:vAlign w:val="bottom"/>
          </w:tcPr>
          <w:p>
            <w:pPr>
              <w:spacing w:after="0" w:line="20" w:lineRule="exact"/>
              <w:rPr>
                <w:sz w:val="1"/>
                <w:szCs w:val="1"/>
                <w:color w:val="auto"/>
              </w:rPr>
            </w:pPr>
          </w:p>
        </w:tc>
        <w:tc>
          <w:tcPr>
            <w:tcW w:w="180" w:type="dxa"/>
            <w:vAlign w:val="bottom"/>
            <w:vMerge w:val="restart"/>
          </w:tcPr>
          <w:p>
            <w:pPr>
              <w:jc w:val="right"/>
              <w:ind w:right="27"/>
              <w:spacing w:after="0"/>
              <w:rPr>
                <w:sz w:val="20"/>
                <w:szCs w:val="20"/>
                <w:color w:val="auto"/>
              </w:rPr>
            </w:pPr>
            <w:r>
              <w:rPr>
                <w:rFonts w:ascii="Arial" w:cs="Arial" w:eastAsia="Arial" w:hAnsi="Arial"/>
                <w:sz w:val="15"/>
                <w:szCs w:val="15"/>
                <w:color w:val="auto"/>
                <w:w w:val="71"/>
              </w:rPr>
              <w:t>$</w:t>
            </w:r>
          </w:p>
        </w:tc>
        <w:tc>
          <w:tcPr>
            <w:tcW w:w="480" w:type="dxa"/>
            <w:vAlign w:val="bottom"/>
            <w:vMerge w:val="restart"/>
          </w:tcPr>
          <w:p>
            <w:pPr>
              <w:jc w:val="right"/>
              <w:spacing w:after="0"/>
              <w:rPr>
                <w:sz w:val="20"/>
                <w:szCs w:val="20"/>
                <w:color w:val="auto"/>
              </w:rPr>
            </w:pPr>
            <w:r>
              <w:rPr>
                <w:rFonts w:ascii="Arial" w:cs="Arial" w:eastAsia="Arial" w:hAnsi="Arial"/>
                <w:sz w:val="18"/>
                <w:szCs w:val="18"/>
                <w:color w:val="auto"/>
              </w:rPr>
              <w:t>73.91</w:t>
            </w:r>
          </w:p>
        </w:tc>
        <w:tc>
          <w:tcPr>
            <w:tcW w:w="680" w:type="dxa"/>
            <w:vAlign w:val="bottom"/>
          </w:tcPr>
          <w:p>
            <w:pPr>
              <w:spacing w:after="0" w:line="20" w:lineRule="exact"/>
              <w:rPr>
                <w:sz w:val="1"/>
                <w:szCs w:val="1"/>
                <w:color w:val="auto"/>
              </w:rPr>
            </w:pPr>
          </w:p>
        </w:tc>
        <w:tc>
          <w:tcPr>
            <w:tcW w:w="1360" w:type="dxa"/>
            <w:vAlign w:val="bottom"/>
            <w:gridSpan w:val="2"/>
            <w:vMerge w:val="restart"/>
          </w:tcPr>
          <w:p>
            <w:pPr>
              <w:ind w:left="50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320" w:type="dxa"/>
            <w:vAlign w:val="bottom"/>
            <w:gridSpan w:val="2"/>
            <w:vMerge w:val="continue"/>
          </w:tcPr>
          <w:p>
            <w:pPr>
              <w:spacing w:after="0"/>
              <w:rPr>
                <w:sz w:val="24"/>
                <w:szCs w:val="24"/>
                <w:color w:val="auto"/>
              </w:rPr>
            </w:pPr>
          </w:p>
        </w:tc>
        <w:tc>
          <w:tcPr>
            <w:tcW w:w="2800" w:type="dxa"/>
            <w:vAlign w:val="bottom"/>
            <w:gridSpan w:val="2"/>
            <w:vMerge w:val="continue"/>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vMerge w:val="continue"/>
          </w:tcPr>
          <w:p>
            <w:pPr>
              <w:spacing w:after="0"/>
              <w:rPr>
                <w:sz w:val="24"/>
                <w:szCs w:val="24"/>
                <w:color w:val="auto"/>
              </w:rPr>
            </w:pPr>
          </w:p>
        </w:tc>
        <w:tc>
          <w:tcPr>
            <w:tcW w:w="48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1360" w:type="dxa"/>
            <w:vAlign w:val="bottom"/>
            <w:gridSpan w:val="2"/>
            <w:vMerge w:val="continue"/>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140" w:hanging="452"/>
        <w:spacing w:after="0" w:line="325" w:lineRule="auto"/>
        <w:tabs>
          <w:tab w:leader="none" w:pos="4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total number of shares purchased during the periods indicated includes shares deemed to have been received from employees who exercised stock options by attesting to previously acquired common shares in satisfaction of the exercise price, as is permitted under M&amp;T’s stock option plans.</w:t>
      </w:r>
    </w:p>
    <w:p>
      <w:pPr>
        <w:spacing w:after="0" w:line="1" w:lineRule="exact"/>
        <w:rPr>
          <w:rFonts w:ascii="Arial" w:cs="Arial" w:eastAsia="Arial" w:hAnsi="Arial"/>
          <w:sz w:val="16"/>
          <w:szCs w:val="16"/>
          <w:color w:val="auto"/>
        </w:rPr>
      </w:pPr>
    </w:p>
    <w:p>
      <w:pPr>
        <w:ind w:left="460" w:right="420" w:hanging="452"/>
        <w:spacing w:after="0" w:line="277"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On February 22, 2007, M&amp;T announced a program to purchase up to 5,000,000 shares of its common stock. No shares were purchased under such program during the periods indicated.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Item 3. Defaults Upon Senior Securities.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4. Submission of Matters to a Vote of Security Holders.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7"/>
          <w:szCs w:val="17"/>
          <w:color w:val="auto"/>
        </w:rPr>
        <w:t>(a)-(c) The 2008 Annual Meeting of Stockholders of M&amp;T was held on April 15, 2008. At the 2008 Annual Meeting, stockholders elected twenty</w:t>
      </w:r>
    </w:p>
    <w:p>
      <w:pPr>
        <w:spacing w:after="0" w:line="35" w:lineRule="exact"/>
        <w:rPr>
          <w:sz w:val="20"/>
          <w:szCs w:val="20"/>
          <w:color w:val="auto"/>
        </w:rPr>
      </w:pPr>
    </w:p>
    <w:p>
      <w:pPr>
        <w:ind w:right="20" w:firstLine="8"/>
        <w:spacing w:after="0" w:line="261" w:lineRule="auto"/>
        <w:tabs>
          <w:tab w:leader="none" w:pos="345"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directors, all of whom were then serving as directors of M&amp;T, for terms of one (1) year and until their successors are elected and qualified. The following table reflects the tabulation of the votes with respect to each director who was elected at the 2008 Annual Meeting.</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780" w:type="dxa"/>
            <w:vAlign w:val="bottom"/>
            <w:gridSpan w:val="2"/>
            <w:vMerge w:val="restart"/>
          </w:tcPr>
          <w:p>
            <w:pPr>
              <w:spacing w:after="0"/>
              <w:rPr>
                <w:sz w:val="20"/>
                <w:szCs w:val="20"/>
                <w:color w:val="auto"/>
              </w:rPr>
            </w:pPr>
            <w:r>
              <w:rPr>
                <w:rFonts w:ascii="Arial" w:cs="Arial" w:eastAsia="Arial" w:hAnsi="Arial"/>
                <w:sz w:val="14"/>
                <w:szCs w:val="14"/>
                <w:color w:val="auto"/>
              </w:rPr>
              <w:t>Nominee</w:t>
            </w:r>
          </w:p>
        </w:tc>
        <w:tc>
          <w:tcPr>
            <w:tcW w:w="3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3"/>
          </w:tcPr>
          <w:p>
            <w:pPr>
              <w:jc w:val="right"/>
              <w:ind w:right="1139"/>
              <w:spacing w:after="0"/>
              <w:rPr>
                <w:sz w:val="20"/>
                <w:szCs w:val="20"/>
                <w:color w:val="auto"/>
              </w:rPr>
            </w:pPr>
            <w:r>
              <w:rPr>
                <w:rFonts w:ascii="Arial" w:cs="Arial" w:eastAsia="Arial" w:hAnsi="Arial"/>
                <w:sz w:val="14"/>
                <w:szCs w:val="14"/>
                <w:color w:val="auto"/>
                <w:w w:val="91"/>
              </w:rPr>
              <w:t>Number of Votes</w:t>
            </w:r>
          </w:p>
        </w:tc>
        <w:tc>
          <w:tcPr>
            <w:tcW w:w="0" w:type="dxa"/>
            <w:vAlign w:val="bottom"/>
          </w:tcPr>
          <w:p>
            <w:pPr>
              <w:spacing w:after="0"/>
              <w:rPr>
                <w:sz w:val="1"/>
                <w:szCs w:val="1"/>
                <w:color w:val="auto"/>
              </w:rPr>
            </w:pPr>
          </w:p>
        </w:tc>
      </w:tr>
      <w:tr>
        <w:trPr>
          <w:trHeight w:val="142"/>
        </w:trPr>
        <w:tc>
          <w:tcPr>
            <w:tcW w:w="3780" w:type="dxa"/>
            <w:vAlign w:val="bottom"/>
            <w:gridSpan w:val="2"/>
            <w:vMerge w:val="continue"/>
          </w:tcPr>
          <w:p>
            <w:pPr>
              <w:spacing w:after="0"/>
              <w:rPr>
                <w:sz w:val="12"/>
                <w:szCs w:val="12"/>
                <w:color w:val="auto"/>
              </w:rPr>
            </w:pPr>
          </w:p>
        </w:tc>
        <w:tc>
          <w:tcPr>
            <w:tcW w:w="3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0" w:type="dxa"/>
            <w:vAlign w:val="bottom"/>
          </w:tcPr>
          <w:p>
            <w:pPr>
              <w:jc w:val="right"/>
              <w:ind w:right="279"/>
              <w:spacing w:after="0" w:line="142" w:lineRule="exact"/>
              <w:rPr>
                <w:sz w:val="20"/>
                <w:szCs w:val="20"/>
                <w:color w:val="auto"/>
              </w:rPr>
            </w:pPr>
            <w:r>
              <w:rPr>
                <w:rFonts w:ascii="Arial" w:cs="Arial" w:eastAsia="Arial" w:hAnsi="Arial"/>
                <w:sz w:val="14"/>
                <w:szCs w:val="14"/>
                <w:color w:val="auto"/>
              </w:rPr>
              <w:t>For</w:t>
            </w: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0" w:type="dxa"/>
            <w:vAlign w:val="bottom"/>
          </w:tcPr>
          <w:p>
            <w:pPr>
              <w:jc w:val="right"/>
              <w:ind w:right="359"/>
              <w:spacing w:after="0" w:line="142" w:lineRule="exact"/>
              <w:rPr>
                <w:sz w:val="20"/>
                <w:szCs w:val="20"/>
                <w:color w:val="auto"/>
              </w:rPr>
            </w:pPr>
            <w:r>
              <w:rPr>
                <w:rFonts w:ascii="Arial" w:cs="Arial" w:eastAsia="Arial" w:hAnsi="Arial"/>
                <w:sz w:val="14"/>
                <w:szCs w:val="14"/>
                <w:color w:val="auto"/>
              </w:rPr>
              <w:t>Withheld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Brent D. Baird</w:t>
            </w:r>
          </w:p>
        </w:tc>
        <w:tc>
          <w:tcPr>
            <w:tcW w:w="374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100,853,345</w:t>
            </w:r>
          </w:p>
        </w:tc>
        <w:tc>
          <w:tcPr>
            <w:tcW w:w="30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ind w:right="219"/>
              <w:spacing w:after="0"/>
              <w:rPr>
                <w:sz w:val="20"/>
                <w:szCs w:val="20"/>
                <w:color w:val="auto"/>
              </w:rPr>
            </w:pPr>
            <w:r>
              <w:rPr>
                <w:rFonts w:ascii="Arial" w:cs="Arial" w:eastAsia="Arial" w:hAnsi="Arial"/>
                <w:sz w:val="18"/>
                <w:szCs w:val="18"/>
                <w:color w:val="auto"/>
              </w:rPr>
              <w:t>1,386,592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Robert J. Bennett</w:t>
            </w:r>
          </w:p>
        </w:tc>
        <w:tc>
          <w:tcPr>
            <w:tcW w:w="5440" w:type="dxa"/>
            <w:vAlign w:val="bottom"/>
            <w:gridSpan w:val="3"/>
          </w:tcPr>
          <w:p>
            <w:pPr>
              <w:jc w:val="right"/>
              <w:spacing w:after="0"/>
              <w:rPr>
                <w:sz w:val="20"/>
                <w:szCs w:val="20"/>
                <w:color w:val="auto"/>
              </w:rPr>
            </w:pPr>
            <w:r>
              <w:rPr>
                <w:rFonts w:ascii="Arial" w:cs="Arial" w:eastAsia="Arial" w:hAnsi="Arial"/>
                <w:sz w:val="18"/>
                <w:szCs w:val="18"/>
                <w:color w:val="auto"/>
              </w:rPr>
              <w:t>100,931,172</w:t>
            </w:r>
          </w:p>
        </w:tc>
        <w:tc>
          <w:tcPr>
            <w:tcW w:w="2200" w:type="dxa"/>
            <w:vAlign w:val="bottom"/>
            <w:gridSpan w:val="3"/>
          </w:tcPr>
          <w:p>
            <w:pPr>
              <w:jc w:val="right"/>
              <w:ind w:right="219"/>
              <w:spacing w:after="0"/>
              <w:rPr>
                <w:sz w:val="20"/>
                <w:szCs w:val="20"/>
                <w:color w:val="auto"/>
              </w:rPr>
            </w:pPr>
            <w:r>
              <w:rPr>
                <w:rFonts w:ascii="Arial" w:cs="Arial" w:eastAsia="Arial" w:hAnsi="Arial"/>
                <w:sz w:val="18"/>
                <w:szCs w:val="18"/>
                <w:color w:val="auto"/>
              </w:rPr>
              <w:t>1,308,765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C. Angela Bontempo</w:t>
            </w:r>
          </w:p>
        </w:tc>
        <w:tc>
          <w:tcPr>
            <w:tcW w:w="5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100,849,104</w:t>
            </w:r>
          </w:p>
        </w:tc>
        <w:tc>
          <w:tcPr>
            <w:tcW w:w="2200" w:type="dxa"/>
            <w:vAlign w:val="bottom"/>
            <w:gridSpan w:val="3"/>
            <w:shd w:val="clear" w:color="auto" w:fill="CCEEFF"/>
          </w:tcPr>
          <w:p>
            <w:pPr>
              <w:jc w:val="right"/>
              <w:ind w:right="219"/>
              <w:spacing w:after="0"/>
              <w:rPr>
                <w:sz w:val="20"/>
                <w:szCs w:val="20"/>
                <w:color w:val="auto"/>
              </w:rPr>
            </w:pPr>
            <w:r>
              <w:rPr>
                <w:rFonts w:ascii="Arial" w:cs="Arial" w:eastAsia="Arial" w:hAnsi="Arial"/>
                <w:sz w:val="18"/>
                <w:szCs w:val="18"/>
                <w:color w:val="auto"/>
              </w:rPr>
              <w:t>1,390,833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Robert T. Brady</w:t>
            </w:r>
          </w:p>
        </w:tc>
        <w:tc>
          <w:tcPr>
            <w:tcW w:w="5440" w:type="dxa"/>
            <w:vAlign w:val="bottom"/>
            <w:gridSpan w:val="3"/>
          </w:tcPr>
          <w:p>
            <w:pPr>
              <w:jc w:val="right"/>
              <w:spacing w:after="0"/>
              <w:rPr>
                <w:sz w:val="20"/>
                <w:szCs w:val="20"/>
                <w:color w:val="auto"/>
              </w:rPr>
            </w:pPr>
            <w:r>
              <w:rPr>
                <w:rFonts w:ascii="Arial" w:cs="Arial" w:eastAsia="Arial" w:hAnsi="Arial"/>
                <w:sz w:val="18"/>
                <w:szCs w:val="18"/>
                <w:color w:val="auto"/>
              </w:rPr>
              <w:t>90,369,030</w:t>
            </w:r>
          </w:p>
        </w:tc>
        <w:tc>
          <w:tcPr>
            <w:tcW w:w="2200" w:type="dxa"/>
            <w:vAlign w:val="bottom"/>
            <w:gridSpan w:val="3"/>
          </w:tcPr>
          <w:p>
            <w:pPr>
              <w:jc w:val="right"/>
              <w:ind w:right="219"/>
              <w:spacing w:after="0"/>
              <w:rPr>
                <w:sz w:val="20"/>
                <w:szCs w:val="20"/>
                <w:color w:val="auto"/>
              </w:rPr>
            </w:pPr>
            <w:r>
              <w:rPr>
                <w:rFonts w:ascii="Arial" w:cs="Arial" w:eastAsia="Arial" w:hAnsi="Arial"/>
                <w:sz w:val="18"/>
                <w:szCs w:val="18"/>
                <w:color w:val="auto"/>
              </w:rPr>
              <w:t>11,870,907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Michael D. Buckley</w:t>
            </w:r>
          </w:p>
        </w:tc>
        <w:tc>
          <w:tcPr>
            <w:tcW w:w="5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100,007,982</w:t>
            </w:r>
          </w:p>
        </w:tc>
        <w:tc>
          <w:tcPr>
            <w:tcW w:w="2200" w:type="dxa"/>
            <w:vAlign w:val="bottom"/>
            <w:gridSpan w:val="3"/>
            <w:shd w:val="clear" w:color="auto" w:fill="CCEEFF"/>
          </w:tcPr>
          <w:p>
            <w:pPr>
              <w:jc w:val="right"/>
              <w:ind w:right="219"/>
              <w:spacing w:after="0"/>
              <w:rPr>
                <w:sz w:val="20"/>
                <w:szCs w:val="20"/>
                <w:color w:val="auto"/>
              </w:rPr>
            </w:pPr>
            <w:r>
              <w:rPr>
                <w:rFonts w:ascii="Arial" w:cs="Arial" w:eastAsia="Arial" w:hAnsi="Arial"/>
                <w:sz w:val="18"/>
                <w:szCs w:val="18"/>
                <w:color w:val="auto"/>
              </w:rPr>
              <w:t>2,231,955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T. Jefferson Cunningham III</w:t>
            </w:r>
          </w:p>
        </w:tc>
        <w:tc>
          <w:tcPr>
            <w:tcW w:w="5440" w:type="dxa"/>
            <w:vAlign w:val="bottom"/>
            <w:gridSpan w:val="3"/>
          </w:tcPr>
          <w:p>
            <w:pPr>
              <w:jc w:val="right"/>
              <w:spacing w:after="0"/>
              <w:rPr>
                <w:sz w:val="20"/>
                <w:szCs w:val="20"/>
                <w:color w:val="auto"/>
              </w:rPr>
            </w:pPr>
            <w:r>
              <w:rPr>
                <w:rFonts w:ascii="Arial" w:cs="Arial" w:eastAsia="Arial" w:hAnsi="Arial"/>
                <w:sz w:val="18"/>
                <w:szCs w:val="18"/>
                <w:color w:val="auto"/>
              </w:rPr>
              <w:t>100,799,081</w:t>
            </w:r>
          </w:p>
        </w:tc>
        <w:tc>
          <w:tcPr>
            <w:tcW w:w="2200" w:type="dxa"/>
            <w:vAlign w:val="bottom"/>
            <w:gridSpan w:val="3"/>
          </w:tcPr>
          <w:p>
            <w:pPr>
              <w:jc w:val="right"/>
              <w:ind w:right="219"/>
              <w:spacing w:after="0"/>
              <w:rPr>
                <w:sz w:val="20"/>
                <w:szCs w:val="20"/>
                <w:color w:val="auto"/>
              </w:rPr>
            </w:pPr>
            <w:r>
              <w:rPr>
                <w:rFonts w:ascii="Arial" w:cs="Arial" w:eastAsia="Arial" w:hAnsi="Arial"/>
                <w:sz w:val="18"/>
                <w:szCs w:val="18"/>
                <w:color w:val="auto"/>
              </w:rPr>
              <w:t>1,440,856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Mark J. Czarnecki</w:t>
            </w:r>
          </w:p>
        </w:tc>
        <w:tc>
          <w:tcPr>
            <w:tcW w:w="5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100,873,960</w:t>
            </w:r>
          </w:p>
        </w:tc>
        <w:tc>
          <w:tcPr>
            <w:tcW w:w="2200" w:type="dxa"/>
            <w:vAlign w:val="bottom"/>
            <w:gridSpan w:val="3"/>
            <w:shd w:val="clear" w:color="auto" w:fill="CCEEFF"/>
          </w:tcPr>
          <w:p>
            <w:pPr>
              <w:jc w:val="right"/>
              <w:ind w:right="219"/>
              <w:spacing w:after="0"/>
              <w:rPr>
                <w:sz w:val="20"/>
                <w:szCs w:val="20"/>
                <w:color w:val="auto"/>
              </w:rPr>
            </w:pPr>
            <w:r>
              <w:rPr>
                <w:rFonts w:ascii="Arial" w:cs="Arial" w:eastAsia="Arial" w:hAnsi="Arial"/>
                <w:sz w:val="18"/>
                <w:szCs w:val="18"/>
                <w:color w:val="auto"/>
              </w:rPr>
              <w:t>1,365,977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Colm E. Doherty</w:t>
            </w:r>
          </w:p>
        </w:tc>
        <w:tc>
          <w:tcPr>
            <w:tcW w:w="5440" w:type="dxa"/>
            <w:vAlign w:val="bottom"/>
            <w:gridSpan w:val="3"/>
          </w:tcPr>
          <w:p>
            <w:pPr>
              <w:jc w:val="right"/>
              <w:spacing w:after="0"/>
              <w:rPr>
                <w:sz w:val="20"/>
                <w:szCs w:val="20"/>
                <w:color w:val="auto"/>
              </w:rPr>
            </w:pPr>
            <w:r>
              <w:rPr>
                <w:rFonts w:ascii="Arial" w:cs="Arial" w:eastAsia="Arial" w:hAnsi="Arial"/>
                <w:sz w:val="18"/>
                <w:szCs w:val="18"/>
                <w:color w:val="auto"/>
              </w:rPr>
              <w:t>100,876,328</w:t>
            </w:r>
          </w:p>
        </w:tc>
        <w:tc>
          <w:tcPr>
            <w:tcW w:w="2200" w:type="dxa"/>
            <w:vAlign w:val="bottom"/>
            <w:gridSpan w:val="3"/>
          </w:tcPr>
          <w:p>
            <w:pPr>
              <w:jc w:val="right"/>
              <w:ind w:right="219"/>
              <w:spacing w:after="0"/>
              <w:rPr>
                <w:sz w:val="20"/>
                <w:szCs w:val="20"/>
                <w:color w:val="auto"/>
              </w:rPr>
            </w:pPr>
            <w:r>
              <w:rPr>
                <w:rFonts w:ascii="Arial" w:cs="Arial" w:eastAsia="Arial" w:hAnsi="Arial"/>
                <w:sz w:val="18"/>
                <w:szCs w:val="18"/>
                <w:color w:val="auto"/>
              </w:rPr>
              <w:t>1,363,609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Richard E. Garman</w:t>
            </w:r>
          </w:p>
        </w:tc>
        <w:tc>
          <w:tcPr>
            <w:tcW w:w="5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100,899,453</w:t>
            </w:r>
          </w:p>
        </w:tc>
        <w:tc>
          <w:tcPr>
            <w:tcW w:w="2200" w:type="dxa"/>
            <w:vAlign w:val="bottom"/>
            <w:gridSpan w:val="3"/>
            <w:shd w:val="clear" w:color="auto" w:fill="CCEEFF"/>
          </w:tcPr>
          <w:p>
            <w:pPr>
              <w:jc w:val="right"/>
              <w:ind w:right="219"/>
              <w:spacing w:after="0"/>
              <w:rPr>
                <w:sz w:val="20"/>
                <w:szCs w:val="20"/>
                <w:color w:val="auto"/>
              </w:rPr>
            </w:pPr>
            <w:r>
              <w:rPr>
                <w:rFonts w:ascii="Arial" w:cs="Arial" w:eastAsia="Arial" w:hAnsi="Arial"/>
                <w:sz w:val="18"/>
                <w:szCs w:val="18"/>
                <w:color w:val="auto"/>
              </w:rPr>
              <w:t>1,340,484</w:t>
            </w: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3740" w:type="dxa"/>
            <w:vAlign w:val="bottom"/>
          </w:tcPr>
          <w:p>
            <w:pPr>
              <w:jc w:val="right"/>
              <w:ind w:right="1530"/>
              <w:spacing w:after="0"/>
              <w:rPr>
                <w:sz w:val="20"/>
                <w:szCs w:val="20"/>
                <w:color w:val="auto"/>
              </w:rPr>
            </w:pPr>
            <w:r>
              <w:rPr>
                <w:rFonts w:ascii="Arial" w:cs="Arial" w:eastAsia="Arial" w:hAnsi="Arial"/>
                <w:sz w:val="18"/>
                <w:szCs w:val="18"/>
                <w:color w:val="auto"/>
              </w:rPr>
              <w:t>- 61 -</w:t>
            </w:r>
          </w:p>
        </w:tc>
        <w:tc>
          <w:tcPr>
            <w:tcW w:w="5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760" w:type="dxa"/>
            <w:vAlign w:val="bottom"/>
            <w:tcBorders>
              <w:bottom w:val="single" w:sz="8" w:color="808080"/>
            </w:tcBorders>
          </w:tcPr>
          <w:p>
            <w:pPr>
              <w:spacing w:after="0"/>
              <w:rPr>
                <w:sz w:val="19"/>
                <w:szCs w:val="19"/>
                <w:color w:val="auto"/>
              </w:rPr>
            </w:pPr>
          </w:p>
        </w:tc>
        <w:tc>
          <w:tcPr>
            <w:tcW w:w="374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20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4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080" w:type="dxa"/>
            <w:vAlign w:val="bottom"/>
            <w:gridSpan w:val="3"/>
            <w:vMerge w:val="restart"/>
          </w:tcPr>
          <w:p>
            <w:pPr>
              <w:spacing w:after="0"/>
              <w:rPr>
                <w:sz w:val="20"/>
                <w:szCs w:val="20"/>
                <w:color w:val="auto"/>
              </w:rPr>
            </w:pPr>
            <w:r>
              <w:rPr>
                <w:rFonts w:ascii="Arial" w:cs="Arial" w:eastAsia="Arial" w:hAnsi="Arial"/>
                <w:sz w:val="14"/>
                <w:szCs w:val="14"/>
                <w:color w:val="auto"/>
              </w:rPr>
              <w:t>Nominee</w:t>
            </w:r>
          </w:p>
        </w:tc>
        <w:tc>
          <w:tcPr>
            <w:tcW w:w="2240" w:type="dxa"/>
            <w:vAlign w:val="bottom"/>
            <w:tcBorders>
              <w:bottom w:val="single" w:sz="8" w:color="auto"/>
            </w:tcBorders>
            <w:gridSpan w:val="3"/>
          </w:tcPr>
          <w:p>
            <w:pPr>
              <w:ind w:left="1180"/>
              <w:spacing w:after="0"/>
              <w:rPr>
                <w:sz w:val="20"/>
                <w:szCs w:val="20"/>
                <w:color w:val="auto"/>
              </w:rPr>
            </w:pPr>
            <w:r>
              <w:rPr>
                <w:rFonts w:ascii="Arial" w:cs="Arial" w:eastAsia="Arial" w:hAnsi="Arial"/>
                <w:sz w:val="14"/>
                <w:szCs w:val="14"/>
                <w:color w:val="auto"/>
                <w:w w:val="98"/>
              </w:rPr>
              <w:t>Number of Votes</w:t>
            </w:r>
          </w:p>
        </w:tc>
        <w:tc>
          <w:tcPr>
            <w:tcW w:w="11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080" w:type="dxa"/>
            <w:vAlign w:val="bottom"/>
            <w:gridSpan w:val="3"/>
            <w:vMerge w:val="continue"/>
          </w:tcPr>
          <w:p>
            <w:pPr>
              <w:spacing w:after="0"/>
              <w:rPr>
                <w:sz w:val="12"/>
                <w:szCs w:val="12"/>
                <w:color w:val="auto"/>
              </w:rPr>
            </w:pPr>
          </w:p>
        </w:tc>
        <w:tc>
          <w:tcPr>
            <w:tcW w:w="2240" w:type="dxa"/>
            <w:vAlign w:val="bottom"/>
            <w:gridSpan w:val="3"/>
          </w:tcPr>
          <w:p>
            <w:pPr>
              <w:jc w:val="center"/>
              <w:ind w:right="760"/>
              <w:spacing w:after="0" w:line="142" w:lineRule="exact"/>
              <w:rPr>
                <w:sz w:val="20"/>
                <w:szCs w:val="20"/>
                <w:color w:val="auto"/>
              </w:rPr>
            </w:pPr>
            <w:r>
              <w:rPr>
                <w:rFonts w:ascii="Arial" w:cs="Arial" w:eastAsia="Arial" w:hAnsi="Arial"/>
                <w:sz w:val="14"/>
                <w:szCs w:val="14"/>
                <w:color w:val="auto"/>
                <w:w w:val="95"/>
              </w:rPr>
              <w:t>For</w:t>
            </w:r>
          </w:p>
        </w:tc>
        <w:tc>
          <w:tcPr>
            <w:tcW w:w="1100" w:type="dxa"/>
            <w:vAlign w:val="bottom"/>
          </w:tcPr>
          <w:p>
            <w:pPr>
              <w:jc w:val="center"/>
              <w:ind w:right="171"/>
              <w:spacing w:after="0" w:line="142" w:lineRule="exact"/>
              <w:rPr>
                <w:sz w:val="20"/>
                <w:szCs w:val="20"/>
                <w:color w:val="auto"/>
              </w:rPr>
            </w:pPr>
            <w:r>
              <w:rPr>
                <w:rFonts w:ascii="Arial" w:cs="Arial" w:eastAsia="Arial" w:hAnsi="Arial"/>
                <w:sz w:val="14"/>
                <w:szCs w:val="14"/>
                <w:color w:val="auto"/>
                <w:w w:val="95"/>
              </w:rPr>
              <w:t>Withheld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Daniel R. Hawbaker</w:t>
            </w:r>
          </w:p>
        </w:tc>
        <w:tc>
          <w:tcPr>
            <w:tcW w:w="500" w:type="dxa"/>
            <w:vAlign w:val="bottom"/>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100,919,209</w:t>
            </w:r>
          </w:p>
        </w:tc>
        <w:tc>
          <w:tcPr>
            <w:tcW w:w="50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center"/>
              <w:ind w:right="171"/>
              <w:spacing w:after="0"/>
              <w:rPr>
                <w:sz w:val="20"/>
                <w:szCs w:val="20"/>
                <w:color w:val="auto"/>
              </w:rPr>
            </w:pPr>
            <w:r>
              <w:rPr>
                <w:rFonts w:ascii="Arial" w:cs="Arial" w:eastAsia="Arial" w:hAnsi="Arial"/>
                <w:sz w:val="18"/>
                <w:szCs w:val="18"/>
                <w:color w:val="auto"/>
                <w:w w:val="89"/>
              </w:rPr>
              <w:t>1,320,728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tcPr>
          <w:p>
            <w:pPr>
              <w:spacing w:after="0"/>
              <w:rPr>
                <w:sz w:val="20"/>
                <w:szCs w:val="20"/>
                <w:color w:val="auto"/>
              </w:rPr>
            </w:pPr>
            <w:r>
              <w:rPr>
                <w:rFonts w:ascii="Arial" w:cs="Arial" w:eastAsia="Arial" w:hAnsi="Arial"/>
                <w:sz w:val="18"/>
                <w:szCs w:val="18"/>
                <w:color w:val="auto"/>
              </w:rPr>
              <w:t>Patrick W.E. Hodgson</w:t>
            </w: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100,896,735</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center"/>
              <w:ind w:right="171"/>
              <w:spacing w:after="0"/>
              <w:rPr>
                <w:sz w:val="20"/>
                <w:szCs w:val="20"/>
                <w:color w:val="auto"/>
              </w:rPr>
            </w:pPr>
            <w:r>
              <w:rPr>
                <w:rFonts w:ascii="Arial" w:cs="Arial" w:eastAsia="Arial" w:hAnsi="Arial"/>
                <w:sz w:val="18"/>
                <w:szCs w:val="18"/>
                <w:color w:val="auto"/>
                <w:w w:val="89"/>
              </w:rPr>
              <w:t>1,343,202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Richard G. King</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100,654,818</w:t>
            </w: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center"/>
              <w:ind w:right="151"/>
              <w:spacing w:after="0"/>
              <w:rPr>
                <w:sz w:val="20"/>
                <w:szCs w:val="20"/>
                <w:color w:val="auto"/>
              </w:rPr>
            </w:pPr>
            <w:r>
              <w:rPr>
                <w:rFonts w:ascii="Arial" w:cs="Arial" w:eastAsia="Arial" w:hAnsi="Arial"/>
                <w:sz w:val="18"/>
                <w:szCs w:val="18"/>
                <w:color w:val="auto"/>
                <w:w w:val="87"/>
              </w:rPr>
              <w:t>1,585,119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tcPr>
          <w:p>
            <w:pPr>
              <w:spacing w:after="0"/>
              <w:rPr>
                <w:sz w:val="20"/>
                <w:szCs w:val="20"/>
                <w:color w:val="auto"/>
              </w:rPr>
            </w:pPr>
            <w:r>
              <w:rPr>
                <w:rFonts w:ascii="Arial" w:cs="Arial" w:eastAsia="Arial" w:hAnsi="Arial"/>
                <w:sz w:val="18"/>
                <w:szCs w:val="18"/>
                <w:color w:val="auto"/>
              </w:rPr>
              <w:t>Reginald B. Newman, II</w:t>
            </w: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100,864,821</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center"/>
              <w:ind w:right="151"/>
              <w:spacing w:after="0"/>
              <w:rPr>
                <w:sz w:val="20"/>
                <w:szCs w:val="20"/>
                <w:color w:val="auto"/>
              </w:rPr>
            </w:pPr>
            <w:r>
              <w:rPr>
                <w:rFonts w:ascii="Arial" w:cs="Arial" w:eastAsia="Arial" w:hAnsi="Arial"/>
                <w:sz w:val="18"/>
                <w:szCs w:val="18"/>
                <w:color w:val="auto"/>
                <w:w w:val="87"/>
              </w:rPr>
              <w:t>1,375,116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Jorge G. Pereira</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100,885,186</w:t>
            </w: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center"/>
              <w:ind w:right="171"/>
              <w:spacing w:after="0"/>
              <w:rPr>
                <w:sz w:val="20"/>
                <w:szCs w:val="20"/>
                <w:color w:val="auto"/>
              </w:rPr>
            </w:pPr>
            <w:r>
              <w:rPr>
                <w:rFonts w:ascii="Arial" w:cs="Arial" w:eastAsia="Arial" w:hAnsi="Arial"/>
                <w:sz w:val="18"/>
                <w:szCs w:val="18"/>
                <w:color w:val="auto"/>
                <w:w w:val="89"/>
              </w:rPr>
              <w:t>1,354,751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tcPr>
          <w:p>
            <w:pPr>
              <w:spacing w:after="0"/>
              <w:rPr>
                <w:sz w:val="20"/>
                <w:szCs w:val="20"/>
                <w:color w:val="auto"/>
              </w:rPr>
            </w:pPr>
            <w:r>
              <w:rPr>
                <w:rFonts w:ascii="Arial" w:cs="Arial" w:eastAsia="Arial" w:hAnsi="Arial"/>
                <w:sz w:val="18"/>
                <w:szCs w:val="18"/>
                <w:color w:val="auto"/>
              </w:rPr>
              <w:t>Michael P. Pinto</w:t>
            </w: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100,886,147</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center"/>
              <w:ind w:right="171"/>
              <w:spacing w:after="0"/>
              <w:rPr>
                <w:sz w:val="20"/>
                <w:szCs w:val="20"/>
                <w:color w:val="auto"/>
              </w:rPr>
            </w:pPr>
            <w:r>
              <w:rPr>
                <w:rFonts w:ascii="Arial" w:cs="Arial" w:eastAsia="Arial" w:hAnsi="Arial"/>
                <w:sz w:val="18"/>
                <w:szCs w:val="18"/>
                <w:color w:val="auto"/>
                <w:w w:val="89"/>
              </w:rPr>
              <w:t>1,353,790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E. Sadler, Jr.</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100,869,373</w:t>
            </w: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center"/>
              <w:ind w:right="171"/>
              <w:spacing w:after="0"/>
              <w:rPr>
                <w:sz w:val="20"/>
                <w:szCs w:val="20"/>
                <w:color w:val="auto"/>
              </w:rPr>
            </w:pPr>
            <w:r>
              <w:rPr>
                <w:rFonts w:ascii="Arial" w:cs="Arial" w:eastAsia="Arial" w:hAnsi="Arial"/>
                <w:sz w:val="18"/>
                <w:szCs w:val="18"/>
                <w:color w:val="auto"/>
                <w:w w:val="89"/>
              </w:rPr>
              <w:t>1,370,564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tcPr>
          <w:p>
            <w:pPr>
              <w:spacing w:after="0"/>
              <w:rPr>
                <w:sz w:val="20"/>
                <w:szCs w:val="20"/>
                <w:color w:val="auto"/>
              </w:rPr>
            </w:pPr>
            <w:r>
              <w:rPr>
                <w:rFonts w:ascii="Arial" w:cs="Arial" w:eastAsia="Arial" w:hAnsi="Arial"/>
                <w:sz w:val="18"/>
                <w:szCs w:val="18"/>
                <w:color w:val="auto"/>
              </w:rPr>
              <w:t>Eugene J. Sheehy</w:t>
            </w: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100,844,108</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center"/>
              <w:ind w:right="171"/>
              <w:spacing w:after="0"/>
              <w:rPr>
                <w:sz w:val="20"/>
                <w:szCs w:val="20"/>
                <w:color w:val="auto"/>
              </w:rPr>
            </w:pPr>
            <w:r>
              <w:rPr>
                <w:rFonts w:ascii="Arial" w:cs="Arial" w:eastAsia="Arial" w:hAnsi="Arial"/>
                <w:sz w:val="18"/>
                <w:szCs w:val="18"/>
                <w:color w:val="auto"/>
                <w:w w:val="89"/>
              </w:rPr>
              <w:t>1,395,829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Stephen G. Sheetz</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100,927,857</w:t>
            </w: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center"/>
              <w:ind w:right="171"/>
              <w:spacing w:after="0"/>
              <w:rPr>
                <w:sz w:val="20"/>
                <w:szCs w:val="20"/>
                <w:color w:val="auto"/>
              </w:rPr>
            </w:pPr>
            <w:r>
              <w:rPr>
                <w:rFonts w:ascii="Arial" w:cs="Arial" w:eastAsia="Arial" w:hAnsi="Arial"/>
                <w:sz w:val="18"/>
                <w:szCs w:val="18"/>
                <w:color w:val="auto"/>
                <w:w w:val="89"/>
              </w:rPr>
              <w:t>1,312,080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tcPr>
          <w:p>
            <w:pPr>
              <w:spacing w:after="0"/>
              <w:rPr>
                <w:sz w:val="20"/>
                <w:szCs w:val="20"/>
                <w:color w:val="auto"/>
              </w:rPr>
            </w:pPr>
            <w:r>
              <w:rPr>
                <w:rFonts w:ascii="Arial" w:cs="Arial" w:eastAsia="Arial" w:hAnsi="Arial"/>
                <w:sz w:val="18"/>
                <w:szCs w:val="18"/>
                <w:color w:val="auto"/>
              </w:rPr>
              <w:t>Herbert L. Washington</w:t>
            </w: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100,850,165</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center"/>
              <w:ind w:right="171"/>
              <w:spacing w:after="0"/>
              <w:rPr>
                <w:sz w:val="20"/>
                <w:szCs w:val="20"/>
                <w:color w:val="auto"/>
              </w:rPr>
            </w:pPr>
            <w:r>
              <w:rPr>
                <w:rFonts w:ascii="Arial" w:cs="Arial" w:eastAsia="Arial" w:hAnsi="Arial"/>
                <w:sz w:val="18"/>
                <w:szCs w:val="18"/>
                <w:color w:val="auto"/>
                <w:w w:val="89"/>
              </w:rPr>
              <w:t>1,389,772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G. Wilmers</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100,876,061</w:t>
            </w: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center"/>
              <w:ind w:right="171"/>
              <w:spacing w:after="0"/>
              <w:rPr>
                <w:sz w:val="20"/>
                <w:szCs w:val="20"/>
                <w:color w:val="auto"/>
              </w:rPr>
            </w:pPr>
            <w:r>
              <w:rPr>
                <w:rFonts w:ascii="Arial" w:cs="Arial" w:eastAsia="Arial" w:hAnsi="Arial"/>
                <w:sz w:val="18"/>
                <w:szCs w:val="18"/>
                <w:color w:val="auto"/>
                <w:w w:val="89"/>
              </w:rPr>
              <w:t>1,363,876</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260" w:firstLine="215"/>
        <w:spacing w:after="0" w:line="342" w:lineRule="auto"/>
        <w:rPr>
          <w:sz w:val="20"/>
          <w:szCs w:val="20"/>
          <w:color w:val="auto"/>
        </w:rPr>
      </w:pPr>
      <w:r>
        <w:rPr>
          <w:rFonts w:ascii="Arial" w:cs="Arial" w:eastAsia="Arial" w:hAnsi="Arial"/>
          <w:sz w:val="16"/>
          <w:szCs w:val="16"/>
          <w:color w:val="auto"/>
        </w:rPr>
        <w:t>At the 2008 Annual Meeting, stockholders also ratified the appointment of PricewaterhouseCoopers LLP as the independent public accountant of M&amp;T Bank Corporation for the year ending December 31, 2008. The following table presents the tabulation of the votes with respect to such ratification.</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Number of Votes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820" w:type="dxa"/>
            <w:vAlign w:val="bottom"/>
            <w:tcBorders>
              <w:top w:val="single" w:sz="8" w:color="auto"/>
            </w:tcBorders>
          </w:tcPr>
          <w:p>
            <w:pPr>
              <w:spacing w:after="0"/>
              <w:rPr>
                <w:sz w:val="12"/>
                <w:szCs w:val="12"/>
                <w:color w:val="auto"/>
              </w:rPr>
            </w:pPr>
          </w:p>
        </w:tc>
        <w:tc>
          <w:tcPr>
            <w:tcW w:w="3980" w:type="dxa"/>
            <w:vAlign w:val="bottom"/>
            <w:tcBorders>
              <w:top w:val="single" w:sz="8" w:color="auto"/>
            </w:tcBorders>
            <w:gridSpan w:val="3"/>
          </w:tcPr>
          <w:p>
            <w:pPr>
              <w:ind w:left="800"/>
              <w:spacing w:after="0" w:line="142" w:lineRule="exact"/>
              <w:rPr>
                <w:sz w:val="20"/>
                <w:szCs w:val="20"/>
                <w:color w:val="auto"/>
              </w:rPr>
            </w:pPr>
            <w:r>
              <w:rPr>
                <w:rFonts w:ascii="Arial" w:cs="Arial" w:eastAsia="Arial" w:hAnsi="Arial"/>
                <w:sz w:val="14"/>
                <w:szCs w:val="14"/>
                <w:color w:val="auto"/>
              </w:rPr>
              <w:t>For</w:t>
            </w:r>
          </w:p>
        </w:tc>
        <w:tc>
          <w:tcPr>
            <w:tcW w:w="4480" w:type="dxa"/>
            <w:vAlign w:val="bottom"/>
            <w:tcBorders>
              <w:top w:val="single" w:sz="8" w:color="auto"/>
            </w:tcBorders>
            <w:gridSpan w:val="3"/>
          </w:tcPr>
          <w:p>
            <w:pPr>
              <w:jc w:val="center"/>
              <w:ind w:right="2620"/>
              <w:spacing w:after="0" w:line="142" w:lineRule="exact"/>
              <w:rPr>
                <w:sz w:val="20"/>
                <w:szCs w:val="20"/>
                <w:color w:val="auto"/>
              </w:rPr>
            </w:pPr>
            <w:r>
              <w:rPr>
                <w:rFonts w:ascii="Arial" w:cs="Arial" w:eastAsia="Arial" w:hAnsi="Arial"/>
                <w:sz w:val="14"/>
                <w:szCs w:val="14"/>
                <w:color w:val="auto"/>
                <w:w w:val="98"/>
              </w:rPr>
              <w:t>Against</w:t>
            </w:r>
          </w:p>
        </w:tc>
        <w:tc>
          <w:tcPr>
            <w:tcW w:w="2140" w:type="dxa"/>
            <w:vAlign w:val="bottom"/>
            <w:tcBorders>
              <w:top w:val="single" w:sz="8" w:color="auto"/>
            </w:tcBorders>
          </w:tcPr>
          <w:p>
            <w:pPr>
              <w:jc w:val="center"/>
              <w:ind w:right="1199"/>
              <w:spacing w:after="0" w:line="142" w:lineRule="exact"/>
              <w:rPr>
                <w:sz w:val="20"/>
                <w:szCs w:val="20"/>
                <w:color w:val="auto"/>
              </w:rPr>
            </w:pPr>
            <w:r>
              <w:rPr>
                <w:rFonts w:ascii="Arial" w:cs="Arial" w:eastAsia="Arial" w:hAnsi="Arial"/>
                <w:sz w:val="14"/>
                <w:szCs w:val="14"/>
                <w:color w:val="auto"/>
                <w:w w:val="98"/>
              </w:rPr>
              <w:t>Abstain</w:t>
            </w:r>
          </w:p>
        </w:tc>
      </w:tr>
      <w:tr>
        <w:trPr>
          <w:trHeight w:val="224"/>
        </w:trPr>
        <w:tc>
          <w:tcPr>
            <w:tcW w:w="820" w:type="dxa"/>
            <w:vAlign w:val="bottom"/>
            <w:tcBorders>
              <w:top w:val="single" w:sz="8" w:color="auto"/>
            </w:tcBorders>
          </w:tcPr>
          <w:p>
            <w:pPr>
              <w:spacing w:after="0"/>
              <w:rPr>
                <w:sz w:val="19"/>
                <w:szCs w:val="19"/>
                <w:color w:val="auto"/>
              </w:rPr>
            </w:pPr>
          </w:p>
        </w:tc>
        <w:tc>
          <w:tcPr>
            <w:tcW w:w="2620" w:type="dxa"/>
            <w:vAlign w:val="bottom"/>
            <w:tcBorders>
              <w:top w:val="single" w:sz="8" w:color="auto"/>
            </w:tcBorders>
          </w:tcPr>
          <w:p>
            <w:pPr>
              <w:ind w:left="460"/>
              <w:spacing w:after="0"/>
              <w:rPr>
                <w:sz w:val="20"/>
                <w:szCs w:val="20"/>
                <w:color w:val="auto"/>
              </w:rPr>
            </w:pPr>
            <w:r>
              <w:rPr>
                <w:rFonts w:ascii="Arial" w:cs="Arial" w:eastAsia="Arial" w:hAnsi="Arial"/>
                <w:sz w:val="18"/>
                <w:szCs w:val="18"/>
                <w:color w:val="auto"/>
              </w:rPr>
              <w:t>101,343,582</w:t>
            </w:r>
          </w:p>
        </w:tc>
        <w:tc>
          <w:tcPr>
            <w:tcW w:w="58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640" w:type="dxa"/>
            <w:vAlign w:val="bottom"/>
            <w:tcBorders>
              <w:top w:val="single" w:sz="8" w:color="auto"/>
            </w:tcBorders>
          </w:tcPr>
          <w:p>
            <w:pPr>
              <w:jc w:val="center"/>
              <w:ind w:right="696"/>
              <w:spacing w:after="0"/>
              <w:rPr>
                <w:sz w:val="20"/>
                <w:szCs w:val="20"/>
                <w:color w:val="auto"/>
              </w:rPr>
            </w:pPr>
            <w:r>
              <w:rPr>
                <w:rFonts w:ascii="Arial" w:cs="Arial" w:eastAsia="Arial" w:hAnsi="Arial"/>
                <w:sz w:val="18"/>
                <w:szCs w:val="18"/>
                <w:color w:val="auto"/>
                <w:w w:val="89"/>
              </w:rPr>
              <w:t>408,884</w:t>
            </w:r>
          </w:p>
        </w:tc>
        <w:tc>
          <w:tcPr>
            <w:tcW w:w="560" w:type="dxa"/>
            <w:vAlign w:val="bottom"/>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2140" w:type="dxa"/>
            <w:vAlign w:val="bottom"/>
            <w:tcBorders>
              <w:top w:val="single" w:sz="8" w:color="auto"/>
            </w:tcBorders>
          </w:tcPr>
          <w:p>
            <w:pPr>
              <w:jc w:val="right"/>
              <w:ind w:right="1339"/>
              <w:spacing w:after="0"/>
              <w:rPr>
                <w:sz w:val="20"/>
                <w:szCs w:val="20"/>
                <w:color w:val="auto"/>
              </w:rPr>
            </w:pPr>
            <w:r>
              <w:rPr>
                <w:rFonts w:ascii="Arial" w:cs="Arial" w:eastAsia="Arial" w:hAnsi="Arial"/>
                <w:sz w:val="18"/>
                <w:szCs w:val="18"/>
                <w:color w:val="auto"/>
              </w:rPr>
              <w:t>487,471</w:t>
            </w:r>
          </w:p>
        </w:tc>
      </w:tr>
      <w:tr>
        <w:trPr>
          <w:trHeight w:val="310"/>
        </w:trPr>
        <w:tc>
          <w:tcPr>
            <w:tcW w:w="4800" w:type="dxa"/>
            <w:vAlign w:val="bottom"/>
            <w:gridSpan w:val="4"/>
          </w:tcPr>
          <w:p>
            <w:pPr>
              <w:ind w:left="240"/>
              <w:spacing w:after="0"/>
              <w:rPr>
                <w:sz w:val="20"/>
                <w:szCs w:val="20"/>
                <w:color w:val="auto"/>
              </w:rPr>
            </w:pPr>
            <w:r>
              <w:rPr>
                <w:rFonts w:ascii="Arial" w:cs="Arial" w:eastAsia="Arial" w:hAnsi="Arial"/>
                <w:sz w:val="18"/>
                <w:szCs w:val="18"/>
                <w:color w:val="auto"/>
              </w:rPr>
              <w:t>(d) Not applicable.</w:t>
            </w:r>
          </w:p>
        </w:tc>
        <w:tc>
          <w:tcPr>
            <w:tcW w:w="2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432"/>
        </w:trPr>
        <w:tc>
          <w:tcPr>
            <w:tcW w:w="4800" w:type="dxa"/>
            <w:vAlign w:val="bottom"/>
            <w:gridSpan w:val="4"/>
          </w:tcPr>
          <w:p>
            <w:pPr>
              <w:spacing w:after="0"/>
              <w:rPr>
                <w:sz w:val="20"/>
                <w:szCs w:val="20"/>
                <w:color w:val="auto"/>
              </w:rPr>
            </w:pPr>
            <w:r>
              <w:rPr>
                <w:rFonts w:ascii="Arial" w:cs="Arial" w:eastAsia="Arial" w:hAnsi="Arial"/>
                <w:sz w:val="18"/>
                <w:szCs w:val="18"/>
                <w:color w:val="auto"/>
              </w:rPr>
              <w:t>Item 5. Other Information.</w:t>
            </w:r>
          </w:p>
        </w:tc>
        <w:tc>
          <w:tcPr>
            <w:tcW w:w="2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324"/>
        </w:trPr>
        <w:tc>
          <w:tcPr>
            <w:tcW w:w="820" w:type="dxa"/>
            <w:vAlign w:val="bottom"/>
          </w:tcPr>
          <w:p>
            <w:pPr>
              <w:ind w:left="240"/>
              <w:spacing w:after="0"/>
              <w:rPr>
                <w:sz w:val="20"/>
                <w:szCs w:val="20"/>
                <w:color w:val="auto"/>
              </w:rPr>
            </w:pPr>
            <w:r>
              <w:rPr>
                <w:rFonts w:ascii="Arial" w:cs="Arial" w:eastAsia="Arial" w:hAnsi="Arial"/>
                <w:sz w:val="18"/>
                <w:szCs w:val="18"/>
                <w:color w:val="auto"/>
                <w:w w:val="93"/>
              </w:rPr>
              <w:t>(None.)</w:t>
            </w:r>
          </w:p>
        </w:tc>
        <w:tc>
          <w:tcPr>
            <w:tcW w:w="2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432"/>
        </w:trPr>
        <w:tc>
          <w:tcPr>
            <w:tcW w:w="4800" w:type="dxa"/>
            <w:vAlign w:val="bottom"/>
            <w:gridSpan w:val="4"/>
          </w:tcPr>
          <w:p>
            <w:pPr>
              <w:spacing w:after="0"/>
              <w:rPr>
                <w:sz w:val="20"/>
                <w:szCs w:val="20"/>
                <w:color w:val="auto"/>
              </w:rPr>
            </w:pPr>
            <w:r>
              <w:rPr>
                <w:rFonts w:ascii="Arial" w:cs="Arial" w:eastAsia="Arial" w:hAnsi="Arial"/>
                <w:sz w:val="18"/>
                <w:szCs w:val="18"/>
                <w:color w:val="auto"/>
              </w:rPr>
              <w:t>Item 6. Exhibits.</w:t>
            </w:r>
          </w:p>
        </w:tc>
        <w:tc>
          <w:tcPr>
            <w:tcW w:w="2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324"/>
        </w:trPr>
        <w:tc>
          <w:tcPr>
            <w:tcW w:w="4800" w:type="dxa"/>
            <w:vAlign w:val="bottom"/>
            <w:gridSpan w:val="4"/>
          </w:tcPr>
          <w:p>
            <w:pPr>
              <w:ind w:left="220"/>
              <w:spacing w:after="0"/>
              <w:rPr>
                <w:sz w:val="20"/>
                <w:szCs w:val="20"/>
                <w:color w:val="auto"/>
              </w:rPr>
            </w:pPr>
            <w:r>
              <w:rPr>
                <w:rFonts w:ascii="Arial" w:cs="Arial" w:eastAsia="Arial" w:hAnsi="Arial"/>
                <w:sz w:val="18"/>
                <w:szCs w:val="18"/>
                <w:color w:val="auto"/>
              </w:rPr>
              <w:t>The following exhibits are filed as a part of this report.</w:t>
            </w:r>
          </w:p>
        </w:tc>
        <w:tc>
          <w:tcPr>
            <w:tcW w:w="2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346"/>
        </w:trPr>
        <w:tc>
          <w:tcPr>
            <w:tcW w:w="820" w:type="dxa"/>
            <w:vAlign w:val="bottom"/>
          </w:tcPr>
          <w:p>
            <w:pPr>
              <w:ind w:left="200"/>
              <w:spacing w:after="0"/>
              <w:rPr>
                <w:sz w:val="20"/>
                <w:szCs w:val="20"/>
                <w:color w:val="auto"/>
              </w:rPr>
            </w:pPr>
            <w:r>
              <w:rPr>
                <w:rFonts w:ascii="Arial" w:cs="Arial" w:eastAsia="Arial" w:hAnsi="Arial"/>
                <w:sz w:val="14"/>
                <w:szCs w:val="14"/>
                <w:color w:val="auto"/>
              </w:rPr>
              <w:t>Exhibit</w:t>
            </w:r>
          </w:p>
        </w:tc>
        <w:tc>
          <w:tcPr>
            <w:tcW w:w="2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167"/>
        </w:trPr>
        <w:tc>
          <w:tcPr>
            <w:tcW w:w="820" w:type="dxa"/>
            <w:vAlign w:val="bottom"/>
            <w:tcBorders>
              <w:bottom w:val="single" w:sz="8" w:color="auto"/>
            </w:tcBorders>
          </w:tcPr>
          <w:p>
            <w:pPr>
              <w:ind w:left="300"/>
              <w:spacing w:after="0"/>
              <w:rPr>
                <w:sz w:val="20"/>
                <w:szCs w:val="20"/>
                <w:color w:val="auto"/>
              </w:rPr>
            </w:pPr>
            <w:r>
              <w:rPr>
                <w:rFonts w:ascii="Arial" w:cs="Arial" w:eastAsia="Arial" w:hAnsi="Arial"/>
                <w:sz w:val="14"/>
                <w:szCs w:val="14"/>
                <w:color w:val="auto"/>
              </w:rPr>
              <w:t>No.</w:t>
            </w:r>
          </w:p>
        </w:tc>
        <w:tc>
          <w:tcPr>
            <w:tcW w:w="2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140" w:type="dxa"/>
            <w:vAlign w:val="bottom"/>
          </w:tcPr>
          <w:p>
            <w:pPr>
              <w:spacing w:after="0"/>
              <w:rPr>
                <w:sz w:val="14"/>
                <w:szCs w:val="14"/>
                <w:color w:val="auto"/>
              </w:rPr>
            </w:pPr>
          </w:p>
        </w:tc>
      </w:tr>
      <w:tr>
        <w:trPr>
          <w:trHeight w:val="411"/>
        </w:trPr>
        <w:tc>
          <w:tcPr>
            <w:tcW w:w="820" w:type="dxa"/>
            <w:vAlign w:val="bottom"/>
          </w:tcPr>
          <w:p>
            <w:pPr>
              <w:spacing w:after="0"/>
              <w:rPr>
                <w:sz w:val="20"/>
                <w:szCs w:val="20"/>
                <w:color w:val="auto"/>
              </w:rPr>
            </w:pPr>
            <w:r>
              <w:rPr>
                <w:rFonts w:ascii="Arial" w:cs="Arial" w:eastAsia="Arial" w:hAnsi="Arial"/>
                <w:sz w:val="18"/>
                <w:szCs w:val="18"/>
                <w:color w:val="auto"/>
              </w:rPr>
              <w:t>4.1</w:t>
            </w:r>
          </w:p>
        </w:tc>
        <w:tc>
          <w:tcPr>
            <w:tcW w:w="10600" w:type="dxa"/>
            <w:vAlign w:val="bottom"/>
            <w:gridSpan w:val="7"/>
          </w:tcPr>
          <w:p>
            <w:pPr>
              <w:ind w:left="340"/>
              <w:spacing w:after="0"/>
              <w:rPr>
                <w:sz w:val="20"/>
                <w:szCs w:val="20"/>
                <w:color w:val="auto"/>
              </w:rPr>
            </w:pPr>
            <w:r>
              <w:rPr>
                <w:rFonts w:ascii="Arial" w:cs="Arial" w:eastAsia="Arial" w:hAnsi="Arial"/>
                <w:sz w:val="18"/>
                <w:szCs w:val="18"/>
                <w:color w:val="auto"/>
                <w:w w:val="93"/>
              </w:rPr>
              <w:t>Junior Subordinated Indenture dated as of January 31, 2008 between M&amp;T Bank Corporation and The Bank of New York. Incorporated by</w:t>
            </w:r>
          </w:p>
        </w:tc>
      </w:tr>
      <w:tr>
        <w:trPr>
          <w:trHeight w:val="230"/>
        </w:trPr>
        <w:tc>
          <w:tcPr>
            <w:tcW w:w="820" w:type="dxa"/>
            <w:vAlign w:val="bottom"/>
          </w:tcPr>
          <w:p>
            <w:pPr>
              <w:spacing w:after="0"/>
              <w:rPr>
                <w:sz w:val="20"/>
                <w:szCs w:val="20"/>
                <w:color w:val="auto"/>
              </w:rPr>
            </w:pPr>
          </w:p>
        </w:tc>
        <w:tc>
          <w:tcPr>
            <w:tcW w:w="8460" w:type="dxa"/>
            <w:vAlign w:val="bottom"/>
            <w:gridSpan w:val="6"/>
          </w:tcPr>
          <w:p>
            <w:pPr>
              <w:ind w:left="340"/>
              <w:spacing w:after="0"/>
              <w:rPr>
                <w:sz w:val="20"/>
                <w:szCs w:val="20"/>
                <w:color w:val="auto"/>
              </w:rPr>
            </w:pPr>
            <w:r>
              <w:rPr>
                <w:rFonts w:ascii="Arial" w:cs="Arial" w:eastAsia="Arial" w:hAnsi="Arial"/>
                <w:sz w:val="18"/>
                <w:szCs w:val="18"/>
                <w:color w:val="auto"/>
              </w:rPr>
              <w:t>reference to Exhibit 4.1 to the Form 8-K dated January 31, 2008 (File No. 1-9861).</w:t>
            </w:r>
          </w:p>
        </w:tc>
        <w:tc>
          <w:tcPr>
            <w:tcW w:w="2140" w:type="dxa"/>
            <w:vAlign w:val="bottom"/>
          </w:tcPr>
          <w:p>
            <w:pPr>
              <w:spacing w:after="0"/>
              <w:rPr>
                <w:sz w:val="20"/>
                <w:szCs w:val="20"/>
                <w:color w:val="auto"/>
              </w:rPr>
            </w:pPr>
          </w:p>
        </w:tc>
      </w:tr>
      <w:tr>
        <w:trPr>
          <w:trHeight w:val="418"/>
        </w:trPr>
        <w:tc>
          <w:tcPr>
            <w:tcW w:w="820" w:type="dxa"/>
            <w:vAlign w:val="bottom"/>
          </w:tcPr>
          <w:p>
            <w:pPr>
              <w:spacing w:after="0"/>
              <w:rPr>
                <w:sz w:val="20"/>
                <w:szCs w:val="20"/>
                <w:color w:val="auto"/>
              </w:rPr>
            </w:pPr>
            <w:r>
              <w:rPr>
                <w:rFonts w:ascii="Arial" w:cs="Arial" w:eastAsia="Arial" w:hAnsi="Arial"/>
                <w:sz w:val="18"/>
                <w:szCs w:val="18"/>
                <w:color w:val="auto"/>
              </w:rPr>
              <w:t>4.2</w:t>
            </w:r>
          </w:p>
        </w:tc>
        <w:tc>
          <w:tcPr>
            <w:tcW w:w="10600" w:type="dxa"/>
            <w:vAlign w:val="bottom"/>
            <w:gridSpan w:val="7"/>
          </w:tcPr>
          <w:p>
            <w:pPr>
              <w:ind w:left="340"/>
              <w:spacing w:after="0"/>
              <w:rPr>
                <w:sz w:val="20"/>
                <w:szCs w:val="20"/>
                <w:color w:val="auto"/>
              </w:rPr>
            </w:pPr>
            <w:r>
              <w:rPr>
                <w:rFonts w:ascii="Arial" w:cs="Arial" w:eastAsia="Arial" w:hAnsi="Arial"/>
                <w:sz w:val="18"/>
                <w:szCs w:val="18"/>
                <w:color w:val="auto"/>
                <w:w w:val="94"/>
              </w:rPr>
              <w:t>First Supplemental Indenture dated as of January 31, 2008 between M&amp;T Bank Corporation and The Bank of New York. Incorporated by</w:t>
            </w:r>
          </w:p>
        </w:tc>
      </w:tr>
      <w:tr>
        <w:trPr>
          <w:trHeight w:val="230"/>
        </w:trPr>
        <w:tc>
          <w:tcPr>
            <w:tcW w:w="820" w:type="dxa"/>
            <w:vAlign w:val="bottom"/>
          </w:tcPr>
          <w:p>
            <w:pPr>
              <w:spacing w:after="0"/>
              <w:rPr>
                <w:sz w:val="20"/>
                <w:szCs w:val="20"/>
                <w:color w:val="auto"/>
              </w:rPr>
            </w:pPr>
          </w:p>
        </w:tc>
        <w:tc>
          <w:tcPr>
            <w:tcW w:w="8460" w:type="dxa"/>
            <w:vAlign w:val="bottom"/>
            <w:gridSpan w:val="6"/>
          </w:tcPr>
          <w:p>
            <w:pPr>
              <w:ind w:left="340"/>
              <w:spacing w:after="0"/>
              <w:rPr>
                <w:sz w:val="20"/>
                <w:szCs w:val="20"/>
                <w:color w:val="auto"/>
              </w:rPr>
            </w:pPr>
            <w:r>
              <w:rPr>
                <w:rFonts w:ascii="Arial" w:cs="Arial" w:eastAsia="Arial" w:hAnsi="Arial"/>
                <w:sz w:val="18"/>
                <w:szCs w:val="18"/>
                <w:color w:val="auto"/>
              </w:rPr>
              <w:t>reference to Exhibit 4.2 to the Form 8-K dated January 31, 2008 (File No. 1-9861).</w:t>
            </w:r>
          </w:p>
        </w:tc>
        <w:tc>
          <w:tcPr>
            <w:tcW w:w="2140" w:type="dxa"/>
            <w:vAlign w:val="bottom"/>
          </w:tcPr>
          <w:p>
            <w:pPr>
              <w:spacing w:after="0"/>
              <w:rPr>
                <w:sz w:val="20"/>
                <w:szCs w:val="20"/>
                <w:color w:val="auto"/>
              </w:rPr>
            </w:pPr>
          </w:p>
        </w:tc>
      </w:tr>
      <w:tr>
        <w:trPr>
          <w:trHeight w:val="418"/>
        </w:trPr>
        <w:tc>
          <w:tcPr>
            <w:tcW w:w="820" w:type="dxa"/>
            <w:vAlign w:val="bottom"/>
          </w:tcPr>
          <w:p>
            <w:pPr>
              <w:spacing w:after="0"/>
              <w:rPr>
                <w:sz w:val="20"/>
                <w:szCs w:val="20"/>
                <w:color w:val="auto"/>
              </w:rPr>
            </w:pPr>
            <w:r>
              <w:rPr>
                <w:rFonts w:ascii="Arial" w:cs="Arial" w:eastAsia="Arial" w:hAnsi="Arial"/>
                <w:sz w:val="18"/>
                <w:szCs w:val="18"/>
                <w:color w:val="auto"/>
              </w:rPr>
              <w:t>4.3</w:t>
            </w:r>
          </w:p>
        </w:tc>
        <w:tc>
          <w:tcPr>
            <w:tcW w:w="10600" w:type="dxa"/>
            <w:vAlign w:val="bottom"/>
            <w:gridSpan w:val="7"/>
          </w:tcPr>
          <w:p>
            <w:pPr>
              <w:ind w:left="340"/>
              <w:spacing w:after="0"/>
              <w:rPr>
                <w:sz w:val="20"/>
                <w:szCs w:val="20"/>
                <w:color w:val="auto"/>
              </w:rPr>
            </w:pPr>
            <w:r>
              <w:rPr>
                <w:rFonts w:ascii="Arial" w:cs="Arial" w:eastAsia="Arial" w:hAnsi="Arial"/>
                <w:sz w:val="18"/>
                <w:szCs w:val="18"/>
                <w:color w:val="auto"/>
                <w:w w:val="92"/>
              </w:rPr>
              <w:t>Amended and Restated Trust Agreement of M&amp;T Capital Trust IV dated as of January 31, 2008 by and among M&amp;T Bank Corporation, The</w:t>
            </w:r>
          </w:p>
        </w:tc>
      </w:tr>
      <w:tr>
        <w:trPr>
          <w:trHeight w:val="216"/>
        </w:trPr>
        <w:tc>
          <w:tcPr>
            <w:tcW w:w="820" w:type="dxa"/>
            <w:vAlign w:val="bottom"/>
          </w:tcPr>
          <w:p>
            <w:pPr>
              <w:spacing w:after="0"/>
              <w:rPr>
                <w:sz w:val="18"/>
                <w:szCs w:val="18"/>
                <w:color w:val="auto"/>
              </w:rPr>
            </w:pPr>
          </w:p>
        </w:tc>
        <w:tc>
          <w:tcPr>
            <w:tcW w:w="10600" w:type="dxa"/>
            <w:vAlign w:val="bottom"/>
            <w:gridSpan w:val="7"/>
          </w:tcPr>
          <w:p>
            <w:pPr>
              <w:ind w:left="340"/>
              <w:spacing w:after="0"/>
              <w:rPr>
                <w:sz w:val="20"/>
                <w:szCs w:val="20"/>
                <w:color w:val="auto"/>
              </w:rPr>
            </w:pPr>
            <w:r>
              <w:rPr>
                <w:rFonts w:ascii="Arial" w:cs="Arial" w:eastAsia="Arial" w:hAnsi="Arial"/>
                <w:sz w:val="18"/>
                <w:szCs w:val="18"/>
                <w:color w:val="auto"/>
                <w:w w:val="92"/>
              </w:rPr>
              <w:t>Bank of New York, BNYM (Delaware) and the Administrators named therein. Incorporated by reference to Exhibit 4.3 to the Form 8-K dated</w:t>
            </w:r>
          </w:p>
        </w:tc>
      </w:tr>
      <w:tr>
        <w:trPr>
          <w:trHeight w:val="230"/>
        </w:trPr>
        <w:tc>
          <w:tcPr>
            <w:tcW w:w="820" w:type="dxa"/>
            <w:vAlign w:val="bottom"/>
          </w:tcPr>
          <w:p>
            <w:pPr>
              <w:spacing w:after="0"/>
              <w:rPr>
                <w:sz w:val="20"/>
                <w:szCs w:val="20"/>
                <w:color w:val="auto"/>
              </w:rPr>
            </w:pPr>
          </w:p>
        </w:tc>
        <w:tc>
          <w:tcPr>
            <w:tcW w:w="3980" w:type="dxa"/>
            <w:vAlign w:val="bottom"/>
            <w:gridSpan w:val="3"/>
          </w:tcPr>
          <w:p>
            <w:pPr>
              <w:ind w:left="340"/>
              <w:spacing w:after="0"/>
              <w:rPr>
                <w:sz w:val="20"/>
                <w:szCs w:val="20"/>
                <w:color w:val="auto"/>
              </w:rPr>
            </w:pPr>
            <w:r>
              <w:rPr>
                <w:rFonts w:ascii="Arial" w:cs="Arial" w:eastAsia="Arial" w:hAnsi="Arial"/>
                <w:sz w:val="18"/>
                <w:szCs w:val="18"/>
                <w:color w:val="auto"/>
              </w:rPr>
              <w:t>January 31, 2008 (File No. 1-9861).</w:t>
            </w:r>
          </w:p>
        </w:tc>
        <w:tc>
          <w:tcPr>
            <w:tcW w:w="2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140" w:type="dxa"/>
            <w:vAlign w:val="bottom"/>
          </w:tcPr>
          <w:p>
            <w:pPr>
              <w:spacing w:after="0"/>
              <w:rPr>
                <w:sz w:val="20"/>
                <w:szCs w:val="20"/>
                <w:color w:val="auto"/>
              </w:rPr>
            </w:pPr>
          </w:p>
        </w:tc>
      </w:tr>
      <w:tr>
        <w:trPr>
          <w:trHeight w:val="418"/>
        </w:trPr>
        <w:tc>
          <w:tcPr>
            <w:tcW w:w="820" w:type="dxa"/>
            <w:vAlign w:val="bottom"/>
          </w:tcPr>
          <w:p>
            <w:pPr>
              <w:spacing w:after="0"/>
              <w:rPr>
                <w:sz w:val="20"/>
                <w:szCs w:val="20"/>
                <w:color w:val="auto"/>
              </w:rPr>
            </w:pPr>
            <w:r>
              <w:rPr>
                <w:rFonts w:ascii="Arial" w:cs="Arial" w:eastAsia="Arial" w:hAnsi="Arial"/>
                <w:sz w:val="18"/>
                <w:szCs w:val="18"/>
                <w:color w:val="auto"/>
              </w:rPr>
              <w:t>10.1</w:t>
            </w:r>
          </w:p>
        </w:tc>
        <w:tc>
          <w:tcPr>
            <w:tcW w:w="10600" w:type="dxa"/>
            <w:vAlign w:val="bottom"/>
            <w:gridSpan w:val="7"/>
          </w:tcPr>
          <w:p>
            <w:pPr>
              <w:ind w:left="340"/>
              <w:spacing w:after="0"/>
              <w:rPr>
                <w:sz w:val="20"/>
                <w:szCs w:val="20"/>
                <w:color w:val="auto"/>
              </w:rPr>
            </w:pPr>
            <w:r>
              <w:rPr>
                <w:rFonts w:ascii="Arial" w:cs="Arial" w:eastAsia="Arial" w:hAnsi="Arial"/>
                <w:sz w:val="18"/>
                <w:szCs w:val="18"/>
                <w:color w:val="auto"/>
                <w:w w:val="97"/>
              </w:rPr>
              <w:t>M&amp;T Bank Corporation 2008 Directors’ Stock Plan. Incorporated by reference to Exhibit 4.1 to the Form S-8 dated April 7, 2008 (File</w:t>
            </w:r>
          </w:p>
        </w:tc>
      </w:tr>
      <w:tr>
        <w:trPr>
          <w:trHeight w:val="230"/>
        </w:trPr>
        <w:tc>
          <w:tcPr>
            <w:tcW w:w="820" w:type="dxa"/>
            <w:vAlign w:val="bottom"/>
          </w:tcPr>
          <w:p>
            <w:pPr>
              <w:spacing w:after="0"/>
              <w:rPr>
                <w:sz w:val="20"/>
                <w:szCs w:val="20"/>
                <w:color w:val="auto"/>
              </w:rPr>
            </w:pPr>
          </w:p>
        </w:tc>
        <w:tc>
          <w:tcPr>
            <w:tcW w:w="3980" w:type="dxa"/>
            <w:vAlign w:val="bottom"/>
            <w:gridSpan w:val="3"/>
          </w:tcPr>
          <w:p>
            <w:pPr>
              <w:ind w:left="340"/>
              <w:spacing w:after="0"/>
              <w:rPr>
                <w:sz w:val="20"/>
                <w:szCs w:val="20"/>
                <w:color w:val="auto"/>
              </w:rPr>
            </w:pPr>
            <w:r>
              <w:rPr>
                <w:rFonts w:ascii="Arial" w:cs="Arial" w:eastAsia="Arial" w:hAnsi="Arial"/>
                <w:sz w:val="18"/>
                <w:szCs w:val="18"/>
                <w:color w:val="auto"/>
              </w:rPr>
              <w:t>No. 333-150122).</w:t>
            </w:r>
          </w:p>
        </w:tc>
        <w:tc>
          <w:tcPr>
            <w:tcW w:w="2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140" w:type="dxa"/>
            <w:vAlign w:val="bottom"/>
          </w:tcPr>
          <w:p>
            <w:pPr>
              <w:spacing w:after="0"/>
              <w:rPr>
                <w:sz w:val="20"/>
                <w:szCs w:val="20"/>
                <w:color w:val="auto"/>
              </w:rPr>
            </w:pPr>
          </w:p>
        </w:tc>
      </w:tr>
      <w:tr>
        <w:trPr>
          <w:trHeight w:val="432"/>
        </w:trPr>
        <w:tc>
          <w:tcPr>
            <w:tcW w:w="820" w:type="dxa"/>
            <w:vAlign w:val="bottom"/>
          </w:tcPr>
          <w:p>
            <w:pPr>
              <w:spacing w:after="0"/>
              <w:rPr>
                <w:sz w:val="20"/>
                <w:szCs w:val="20"/>
                <w:color w:val="auto"/>
              </w:rPr>
            </w:pPr>
            <w:r>
              <w:rPr>
                <w:rFonts w:ascii="Arial" w:cs="Arial" w:eastAsia="Arial" w:hAnsi="Arial"/>
                <w:sz w:val="18"/>
                <w:szCs w:val="18"/>
                <w:color w:val="auto"/>
              </w:rPr>
              <w:t>31.1</w:t>
            </w:r>
          </w:p>
        </w:tc>
        <w:tc>
          <w:tcPr>
            <w:tcW w:w="8460" w:type="dxa"/>
            <w:vAlign w:val="bottom"/>
            <w:gridSpan w:val="6"/>
          </w:tcPr>
          <w:p>
            <w:pPr>
              <w:ind w:left="340"/>
              <w:spacing w:after="0"/>
              <w:rPr>
                <w:sz w:val="20"/>
                <w:szCs w:val="20"/>
                <w:color w:val="auto"/>
              </w:rPr>
            </w:pPr>
            <w:r>
              <w:rPr>
                <w:rFonts w:ascii="Arial" w:cs="Arial" w:eastAsia="Arial" w:hAnsi="Arial"/>
                <w:sz w:val="18"/>
                <w:szCs w:val="18"/>
                <w:color w:val="auto"/>
                <w:w w:val="94"/>
              </w:rPr>
              <w:t>Certification of Chief Executive Officer under Section 302 of the Sarbanes-Oxley Act of 2002. Filed herewith.</w:t>
            </w:r>
          </w:p>
        </w:tc>
        <w:tc>
          <w:tcPr>
            <w:tcW w:w="2140" w:type="dxa"/>
            <w:vAlign w:val="bottom"/>
          </w:tcPr>
          <w:p>
            <w:pPr>
              <w:spacing w:after="0"/>
              <w:rPr>
                <w:sz w:val="24"/>
                <w:szCs w:val="24"/>
                <w:color w:val="auto"/>
              </w:rPr>
            </w:pPr>
          </w:p>
        </w:tc>
      </w:tr>
      <w:tr>
        <w:trPr>
          <w:trHeight w:val="405"/>
        </w:trPr>
        <w:tc>
          <w:tcPr>
            <w:tcW w:w="8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40" w:type="dxa"/>
            <w:vAlign w:val="bottom"/>
          </w:tcPr>
          <w:p>
            <w:pPr>
              <w:jc w:val="center"/>
              <w:ind w:right="736"/>
              <w:spacing w:after="0"/>
              <w:rPr>
                <w:sz w:val="20"/>
                <w:szCs w:val="20"/>
                <w:color w:val="auto"/>
              </w:rPr>
            </w:pPr>
            <w:r>
              <w:rPr>
                <w:rFonts w:ascii="Arial" w:cs="Arial" w:eastAsia="Arial" w:hAnsi="Arial"/>
                <w:sz w:val="18"/>
                <w:szCs w:val="18"/>
                <w:color w:val="auto"/>
                <w:w w:val="90"/>
              </w:rPr>
              <w:t>- 62 -</w:t>
            </w:r>
          </w:p>
        </w:tc>
        <w:tc>
          <w:tcPr>
            <w:tcW w:w="5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226"/>
        </w:trPr>
        <w:tc>
          <w:tcPr>
            <w:tcW w:w="820" w:type="dxa"/>
            <w:vAlign w:val="bottom"/>
            <w:tcBorders>
              <w:bottom w:val="single" w:sz="8" w:color="808080"/>
            </w:tcBorders>
          </w:tcPr>
          <w:p>
            <w:pPr>
              <w:spacing w:after="0"/>
              <w:rPr>
                <w:sz w:val="19"/>
                <w:szCs w:val="19"/>
                <w:color w:val="auto"/>
              </w:rPr>
            </w:pPr>
          </w:p>
        </w:tc>
        <w:tc>
          <w:tcPr>
            <w:tcW w:w="262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264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280" w:type="dxa"/>
            <w:vAlign w:val="bottom"/>
            <w:tcBorders>
              <w:bottom w:val="single" w:sz="8" w:color="808080"/>
            </w:tcBorders>
          </w:tcPr>
          <w:p>
            <w:pPr>
              <w:spacing w:after="0"/>
              <w:rPr>
                <w:sz w:val="19"/>
                <w:szCs w:val="19"/>
                <w:color w:val="auto"/>
              </w:rPr>
            </w:pPr>
          </w:p>
        </w:tc>
        <w:tc>
          <w:tcPr>
            <w:tcW w:w="21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1" w:lineRule="exact"/>
        <w:rPr>
          <w:sz w:val="20"/>
          <w:szCs w:val="20"/>
          <w:color w:val="auto"/>
        </w:rPr>
      </w:pPr>
    </w:p>
    <w:p>
      <w:pPr>
        <w:jc w:val="center"/>
        <w:ind w:right="10600"/>
        <w:spacing w:after="0"/>
        <w:rPr>
          <w:sz w:val="20"/>
          <w:szCs w:val="20"/>
          <w:color w:val="auto"/>
        </w:rPr>
      </w:pPr>
      <w:r>
        <w:rPr>
          <w:rFonts w:ascii="Arial" w:cs="Arial" w:eastAsia="Arial" w:hAnsi="Arial"/>
          <w:sz w:val="14"/>
          <w:szCs w:val="14"/>
          <w:color w:val="auto"/>
        </w:rPr>
        <w:t>Exhibit</w:t>
      </w:r>
    </w:p>
    <w:p>
      <w:pPr>
        <w:jc w:val="center"/>
        <w:ind w:right="10600"/>
        <w:spacing w:after="0"/>
        <w:rPr>
          <w:sz w:val="20"/>
          <w:szCs w:val="20"/>
          <w:color w:val="auto"/>
        </w:rPr>
      </w:pPr>
      <w:r>
        <w:rPr>
          <w:rFonts w:ascii="Arial" w:cs="Arial" w:eastAsia="Arial" w:hAnsi="Arial"/>
          <w:sz w:val="14"/>
          <w:szCs w:val="14"/>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51435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14350" cy="8890"/>
                    </a:xfrm>
                    <a:prstGeom prst="rect">
                      <a:avLst/>
                    </a:prstGeom>
                    <a:noFill/>
                  </pic:spPr>
                </pic:pic>
              </a:graphicData>
            </a:graphic>
          </wp:anchor>
        </w:drawing>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0" w:type="dxa"/>
            <w:vAlign w:val="bottom"/>
          </w:tcPr>
          <w:p>
            <w:pPr>
              <w:jc w:val="right"/>
              <w:ind w:right="330"/>
              <w:spacing w:after="0"/>
              <w:rPr>
                <w:sz w:val="20"/>
                <w:szCs w:val="20"/>
                <w:color w:val="auto"/>
              </w:rPr>
            </w:pPr>
            <w:r>
              <w:rPr>
                <w:rFonts w:ascii="Arial" w:cs="Arial" w:eastAsia="Arial" w:hAnsi="Arial"/>
                <w:sz w:val="18"/>
                <w:szCs w:val="18"/>
                <w:color w:val="auto"/>
                <w:w w:val="85"/>
              </w:rPr>
              <w:t>31.2</w:t>
            </w:r>
          </w:p>
        </w:tc>
        <w:tc>
          <w:tcPr>
            <w:tcW w:w="10640" w:type="dxa"/>
            <w:vAlign w:val="bottom"/>
          </w:tcPr>
          <w:p>
            <w:pPr>
              <w:ind w:left="420"/>
              <w:spacing w:after="0"/>
              <w:rPr>
                <w:sz w:val="20"/>
                <w:szCs w:val="20"/>
                <w:color w:val="auto"/>
              </w:rPr>
            </w:pPr>
            <w:r>
              <w:rPr>
                <w:rFonts w:ascii="Arial" w:cs="Arial" w:eastAsia="Arial" w:hAnsi="Arial"/>
                <w:sz w:val="18"/>
                <w:szCs w:val="18"/>
                <w:color w:val="auto"/>
              </w:rPr>
              <w:t>Certification of Chief Financial Officer under Section 302 of the Sarbanes-Oxley Act of 2002. Filed herewith.</w:t>
            </w:r>
          </w:p>
        </w:tc>
      </w:tr>
      <w:tr>
        <w:trPr>
          <w:trHeight w:val="432"/>
        </w:trPr>
        <w:tc>
          <w:tcPr>
            <w:tcW w:w="740" w:type="dxa"/>
            <w:vAlign w:val="bottom"/>
          </w:tcPr>
          <w:p>
            <w:pPr>
              <w:jc w:val="right"/>
              <w:ind w:right="330"/>
              <w:spacing w:after="0"/>
              <w:rPr>
                <w:sz w:val="20"/>
                <w:szCs w:val="20"/>
                <w:color w:val="auto"/>
              </w:rPr>
            </w:pPr>
            <w:r>
              <w:rPr>
                <w:rFonts w:ascii="Arial" w:cs="Arial" w:eastAsia="Arial" w:hAnsi="Arial"/>
                <w:sz w:val="18"/>
                <w:szCs w:val="18"/>
                <w:color w:val="auto"/>
                <w:w w:val="85"/>
              </w:rPr>
              <w:t>32.1</w:t>
            </w:r>
          </w:p>
        </w:tc>
        <w:tc>
          <w:tcPr>
            <w:tcW w:w="10640" w:type="dxa"/>
            <w:vAlign w:val="bottom"/>
          </w:tcPr>
          <w:p>
            <w:pPr>
              <w:ind w:left="420"/>
              <w:spacing w:after="0"/>
              <w:rPr>
                <w:sz w:val="20"/>
                <w:szCs w:val="20"/>
                <w:color w:val="auto"/>
              </w:rPr>
            </w:pPr>
            <w:r>
              <w:rPr>
                <w:rFonts w:ascii="Arial" w:cs="Arial" w:eastAsia="Arial" w:hAnsi="Arial"/>
                <w:sz w:val="18"/>
                <w:szCs w:val="18"/>
                <w:color w:val="auto"/>
                <w:w w:val="92"/>
              </w:rPr>
              <w:t>Certification of Chief Executive Officer Under 18 U.S.C. §1350 pursuant to Section 906 of the Sarbanes-Oxley Act of 2002. Filed herewith.</w:t>
            </w:r>
          </w:p>
        </w:tc>
      </w:tr>
      <w:tr>
        <w:trPr>
          <w:trHeight w:val="432"/>
        </w:trPr>
        <w:tc>
          <w:tcPr>
            <w:tcW w:w="740" w:type="dxa"/>
            <w:vAlign w:val="bottom"/>
          </w:tcPr>
          <w:p>
            <w:pPr>
              <w:jc w:val="right"/>
              <w:ind w:right="330"/>
              <w:spacing w:after="0"/>
              <w:rPr>
                <w:sz w:val="20"/>
                <w:szCs w:val="20"/>
                <w:color w:val="auto"/>
              </w:rPr>
            </w:pPr>
            <w:r>
              <w:rPr>
                <w:rFonts w:ascii="Arial" w:cs="Arial" w:eastAsia="Arial" w:hAnsi="Arial"/>
                <w:sz w:val="18"/>
                <w:szCs w:val="18"/>
                <w:color w:val="auto"/>
                <w:w w:val="85"/>
              </w:rPr>
              <w:t>32.2</w:t>
            </w:r>
          </w:p>
        </w:tc>
        <w:tc>
          <w:tcPr>
            <w:tcW w:w="10640" w:type="dxa"/>
            <w:vAlign w:val="bottom"/>
          </w:tcPr>
          <w:p>
            <w:pPr>
              <w:ind w:left="420"/>
              <w:spacing w:after="0"/>
              <w:rPr>
                <w:sz w:val="20"/>
                <w:szCs w:val="20"/>
                <w:color w:val="auto"/>
              </w:rPr>
            </w:pPr>
            <w:r>
              <w:rPr>
                <w:rFonts w:ascii="Arial" w:cs="Arial" w:eastAsia="Arial" w:hAnsi="Arial"/>
                <w:sz w:val="18"/>
                <w:szCs w:val="18"/>
                <w:color w:val="auto"/>
                <w:w w:val="93"/>
              </w:rPr>
              <w:t>Certification of Chief Financial Officer Under 18 U.S.C. §1350 pursuant to Section 906 of the Sarbanes-Oxley Act of 2002. Filed herewith.</w:t>
            </w:r>
          </w:p>
        </w:tc>
      </w:tr>
      <w:tr>
        <w:trPr>
          <w:trHeight w:val="418"/>
        </w:trPr>
        <w:tc>
          <w:tcPr>
            <w:tcW w:w="740" w:type="dxa"/>
            <w:vAlign w:val="bottom"/>
          </w:tcPr>
          <w:p>
            <w:pPr>
              <w:jc w:val="right"/>
              <w:ind w:right="330"/>
              <w:spacing w:after="0"/>
              <w:rPr>
                <w:sz w:val="20"/>
                <w:szCs w:val="20"/>
                <w:color w:val="auto"/>
              </w:rPr>
            </w:pPr>
            <w:r>
              <w:rPr>
                <w:rFonts w:ascii="Arial" w:cs="Arial" w:eastAsia="Arial" w:hAnsi="Arial"/>
                <w:sz w:val="18"/>
                <w:szCs w:val="18"/>
                <w:color w:val="auto"/>
                <w:w w:val="85"/>
              </w:rPr>
              <w:t>99.1</w:t>
            </w:r>
          </w:p>
        </w:tc>
        <w:tc>
          <w:tcPr>
            <w:tcW w:w="10640" w:type="dxa"/>
            <w:vAlign w:val="bottom"/>
          </w:tcPr>
          <w:p>
            <w:pPr>
              <w:ind w:left="420"/>
              <w:spacing w:after="0"/>
              <w:rPr>
                <w:sz w:val="20"/>
                <w:szCs w:val="20"/>
                <w:color w:val="auto"/>
              </w:rPr>
            </w:pPr>
            <w:r>
              <w:rPr>
                <w:rFonts w:ascii="Arial" w:cs="Arial" w:eastAsia="Arial" w:hAnsi="Arial"/>
                <w:sz w:val="18"/>
                <w:szCs w:val="18"/>
                <w:color w:val="auto"/>
                <w:w w:val="91"/>
              </w:rPr>
              <w:t>Replacement Capital Covenant of M&amp;T Bank Corporation dated January 31, 2008. Incorporated by reference to Exhibit 99.1 to the Form 8-K</w:t>
            </w:r>
          </w:p>
        </w:tc>
      </w:tr>
      <w:tr>
        <w:trPr>
          <w:trHeight w:val="230"/>
        </w:trPr>
        <w:tc>
          <w:tcPr>
            <w:tcW w:w="740" w:type="dxa"/>
            <w:vAlign w:val="bottom"/>
          </w:tcPr>
          <w:p>
            <w:pPr>
              <w:spacing w:after="0"/>
              <w:rPr>
                <w:sz w:val="20"/>
                <w:szCs w:val="20"/>
                <w:color w:val="auto"/>
              </w:rPr>
            </w:pPr>
          </w:p>
        </w:tc>
        <w:tc>
          <w:tcPr>
            <w:tcW w:w="10640" w:type="dxa"/>
            <w:vAlign w:val="bottom"/>
          </w:tcPr>
          <w:p>
            <w:pPr>
              <w:ind w:left="420"/>
              <w:spacing w:after="0"/>
              <w:rPr>
                <w:sz w:val="20"/>
                <w:szCs w:val="20"/>
                <w:color w:val="auto"/>
              </w:rPr>
            </w:pPr>
            <w:r>
              <w:rPr>
                <w:rFonts w:ascii="Arial" w:cs="Arial" w:eastAsia="Arial" w:hAnsi="Arial"/>
                <w:sz w:val="18"/>
                <w:szCs w:val="18"/>
                <w:color w:val="auto"/>
              </w:rPr>
              <w:t>dated January 31, 2008 (File No. 1-9861).</w:t>
            </w: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w:t>
      </w:r>
    </w:p>
    <w:p>
      <w:pPr>
        <w:spacing w:after="0" w:line="11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60" w:type="dxa"/>
            <w:vAlign w:val="bottom"/>
          </w:tcPr>
          <w:p>
            <w:pPr>
              <w:spacing w:after="0"/>
              <w:rPr>
                <w:sz w:val="20"/>
                <w:szCs w:val="20"/>
                <w:color w:val="auto"/>
              </w:rPr>
            </w:pPr>
          </w:p>
        </w:tc>
        <w:tc>
          <w:tcPr>
            <w:tcW w:w="6380" w:type="dxa"/>
            <w:vAlign w:val="bottom"/>
            <w:gridSpan w:val="2"/>
          </w:tcPr>
          <w:p>
            <w:pPr>
              <w:ind w:left="2000"/>
              <w:spacing w:after="0"/>
              <w:rPr>
                <w:sz w:val="20"/>
                <w:szCs w:val="20"/>
                <w:color w:val="auto"/>
              </w:rPr>
            </w:pPr>
            <w:r>
              <w:rPr>
                <w:rFonts w:ascii="Arial" w:cs="Arial" w:eastAsia="Arial" w:hAnsi="Arial"/>
                <w:sz w:val="18"/>
                <w:szCs w:val="18"/>
                <w:color w:val="auto"/>
              </w:rPr>
              <w:t>M&amp;T BANK CORPORATION</w:t>
            </w:r>
          </w:p>
        </w:tc>
        <w:tc>
          <w:tcPr>
            <w:tcW w:w="1680" w:type="dxa"/>
            <w:vAlign w:val="bottom"/>
          </w:tcPr>
          <w:p>
            <w:pPr>
              <w:spacing w:after="0"/>
              <w:rPr>
                <w:sz w:val="20"/>
                <w:szCs w:val="20"/>
                <w:color w:val="auto"/>
              </w:rPr>
            </w:pPr>
          </w:p>
        </w:tc>
      </w:tr>
      <w:tr>
        <w:trPr>
          <w:trHeight w:val="432"/>
        </w:trPr>
        <w:tc>
          <w:tcPr>
            <w:tcW w:w="3360" w:type="dxa"/>
            <w:vAlign w:val="bottom"/>
          </w:tcPr>
          <w:p>
            <w:pPr>
              <w:spacing w:after="0"/>
              <w:rPr>
                <w:sz w:val="20"/>
                <w:szCs w:val="20"/>
                <w:color w:val="auto"/>
              </w:rPr>
            </w:pPr>
            <w:r>
              <w:rPr>
                <w:rFonts w:ascii="Arial" w:cs="Arial" w:eastAsia="Arial" w:hAnsi="Arial"/>
                <w:sz w:val="18"/>
                <w:szCs w:val="18"/>
                <w:color w:val="auto"/>
              </w:rPr>
              <w:t>Date: May 7, 2008</w:t>
            </w:r>
          </w:p>
        </w:tc>
        <w:tc>
          <w:tcPr>
            <w:tcW w:w="6380" w:type="dxa"/>
            <w:vAlign w:val="bottom"/>
            <w:gridSpan w:val="2"/>
          </w:tcPr>
          <w:p>
            <w:pPr>
              <w:ind w:left="2000"/>
              <w:spacing w:after="0"/>
              <w:rPr>
                <w:sz w:val="20"/>
                <w:szCs w:val="20"/>
                <w:color w:val="auto"/>
              </w:rPr>
            </w:pPr>
            <w:r>
              <w:rPr>
                <w:rFonts w:ascii="Arial" w:cs="Arial" w:eastAsia="Arial" w:hAnsi="Arial"/>
                <w:sz w:val="18"/>
                <w:szCs w:val="18"/>
                <w:color w:val="auto"/>
              </w:rPr>
              <w:t>By: /s/ René F. Jones</w:t>
            </w:r>
          </w:p>
        </w:tc>
        <w:tc>
          <w:tcPr>
            <w:tcW w:w="1680" w:type="dxa"/>
            <w:vAlign w:val="bottom"/>
          </w:tcPr>
          <w:p>
            <w:pPr>
              <w:spacing w:after="0"/>
              <w:rPr>
                <w:sz w:val="24"/>
                <w:szCs w:val="24"/>
                <w:color w:val="auto"/>
              </w:rPr>
            </w:pPr>
          </w:p>
        </w:tc>
      </w:tr>
      <w:tr>
        <w:trPr>
          <w:trHeight w:val="195"/>
        </w:trPr>
        <w:tc>
          <w:tcPr>
            <w:tcW w:w="336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4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René F. Jones</w:t>
            </w:r>
          </w:p>
        </w:tc>
        <w:tc>
          <w:tcPr>
            <w:tcW w:w="1680" w:type="dxa"/>
            <w:vAlign w:val="bottom"/>
          </w:tcPr>
          <w:p>
            <w:pPr>
              <w:spacing w:after="0"/>
              <w:rPr>
                <w:sz w:val="16"/>
                <w:szCs w:val="16"/>
                <w:color w:val="auto"/>
              </w:rPr>
            </w:pPr>
          </w:p>
        </w:tc>
      </w:tr>
      <w:tr>
        <w:trPr>
          <w:trHeight w:val="216"/>
        </w:trPr>
        <w:tc>
          <w:tcPr>
            <w:tcW w:w="336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Executive Vice President</w:t>
            </w:r>
          </w:p>
        </w:tc>
        <w:tc>
          <w:tcPr>
            <w:tcW w:w="1680" w:type="dxa"/>
            <w:vAlign w:val="bottom"/>
          </w:tcPr>
          <w:p>
            <w:pPr>
              <w:spacing w:after="0"/>
              <w:rPr>
                <w:sz w:val="18"/>
                <w:szCs w:val="18"/>
                <w:color w:val="auto"/>
              </w:rPr>
            </w:pPr>
          </w:p>
        </w:tc>
      </w:tr>
      <w:tr>
        <w:trPr>
          <w:trHeight w:val="230"/>
        </w:trPr>
        <w:tc>
          <w:tcPr>
            <w:tcW w:w="336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and Chief Financial Officer</w:t>
            </w:r>
          </w:p>
        </w:tc>
        <w:tc>
          <w:tcPr>
            <w:tcW w:w="1680" w:type="dxa"/>
            <w:vAlign w:val="bottom"/>
          </w:tcPr>
          <w:p>
            <w:pPr>
              <w:spacing w:after="0"/>
              <w:rPr>
                <w:sz w:val="20"/>
                <w:szCs w:val="20"/>
                <w:color w:val="auto"/>
              </w:rPr>
            </w:pPr>
          </w:p>
        </w:tc>
      </w:tr>
      <w:tr>
        <w:trPr>
          <w:trHeight w:val="621"/>
        </w:trPr>
        <w:tc>
          <w:tcPr>
            <w:tcW w:w="3360" w:type="dxa"/>
            <w:vAlign w:val="bottom"/>
          </w:tcPr>
          <w:p>
            <w:pPr>
              <w:spacing w:after="0"/>
              <w:rPr>
                <w:sz w:val="24"/>
                <w:szCs w:val="24"/>
                <w:color w:val="auto"/>
              </w:rPr>
            </w:pPr>
          </w:p>
        </w:tc>
        <w:tc>
          <w:tcPr>
            <w:tcW w:w="6380" w:type="dxa"/>
            <w:vAlign w:val="bottom"/>
            <w:gridSpan w:val="2"/>
          </w:tcPr>
          <w:p>
            <w:pPr>
              <w:jc w:val="right"/>
              <w:ind w:right="3750"/>
              <w:spacing w:after="0"/>
              <w:rPr>
                <w:sz w:val="20"/>
                <w:szCs w:val="20"/>
                <w:color w:val="auto"/>
              </w:rPr>
            </w:pPr>
            <w:r>
              <w:rPr>
                <w:rFonts w:ascii="Arial" w:cs="Arial" w:eastAsia="Arial" w:hAnsi="Arial"/>
                <w:sz w:val="18"/>
                <w:szCs w:val="18"/>
                <w:color w:val="auto"/>
              </w:rPr>
              <w:t>- 63 -</w:t>
            </w:r>
          </w:p>
        </w:tc>
        <w:tc>
          <w:tcPr>
            <w:tcW w:w="1680" w:type="dxa"/>
            <w:vAlign w:val="bottom"/>
          </w:tcPr>
          <w:p>
            <w:pPr>
              <w:spacing w:after="0"/>
              <w:rPr>
                <w:sz w:val="24"/>
                <w:szCs w:val="24"/>
                <w:color w:val="auto"/>
              </w:rPr>
            </w:pPr>
          </w:p>
        </w:tc>
      </w:tr>
      <w:tr>
        <w:trPr>
          <w:trHeight w:val="226"/>
        </w:trPr>
        <w:tc>
          <w:tcPr>
            <w:tcW w:w="3360" w:type="dxa"/>
            <w:vAlign w:val="bottom"/>
            <w:tcBorders>
              <w:bottom w:val="single" w:sz="8" w:color="808080"/>
            </w:tcBorders>
          </w:tcPr>
          <w:p>
            <w:pPr>
              <w:spacing w:after="0"/>
              <w:rPr>
                <w:sz w:val="19"/>
                <w:szCs w:val="19"/>
                <w:color w:val="auto"/>
              </w:rPr>
            </w:pPr>
          </w:p>
        </w:tc>
        <w:tc>
          <w:tcPr>
            <w:tcW w:w="2340" w:type="dxa"/>
            <w:vAlign w:val="bottom"/>
            <w:tcBorders>
              <w:bottom w:val="single" w:sz="8" w:color="808080"/>
            </w:tcBorders>
          </w:tcPr>
          <w:p>
            <w:pPr>
              <w:spacing w:after="0"/>
              <w:rPr>
                <w:sz w:val="19"/>
                <w:szCs w:val="19"/>
                <w:color w:val="auto"/>
              </w:rPr>
            </w:pPr>
          </w:p>
        </w:tc>
        <w:tc>
          <w:tcPr>
            <w:tcW w:w="4040" w:type="dxa"/>
            <w:vAlign w:val="bottom"/>
            <w:tcBorders>
              <w:bottom w:val="single" w:sz="8" w:color="808080"/>
            </w:tcBorders>
          </w:tcPr>
          <w:p>
            <w:pPr>
              <w:spacing w:after="0"/>
              <w:rPr>
                <w:sz w:val="19"/>
                <w:szCs w:val="19"/>
                <w:color w:val="auto"/>
              </w:rPr>
            </w:pPr>
          </w:p>
        </w:tc>
        <w:tc>
          <w:tcPr>
            <w:tcW w:w="16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0" w:type="dxa"/>
            <w:vAlign w:val="bottom"/>
          </w:tcPr>
          <w:p>
            <w:pPr>
              <w:spacing w:after="0"/>
              <w:rPr>
                <w:sz w:val="20"/>
                <w:szCs w:val="20"/>
                <w:color w:val="auto"/>
              </w:rPr>
            </w:pPr>
          </w:p>
        </w:tc>
        <w:tc>
          <w:tcPr>
            <w:tcW w:w="10560" w:type="dxa"/>
            <w:vAlign w:val="bottom"/>
          </w:tcPr>
          <w:p>
            <w:pPr>
              <w:ind w:left="4240"/>
              <w:spacing w:after="0"/>
              <w:rPr>
                <w:sz w:val="20"/>
                <w:szCs w:val="20"/>
                <w:color w:val="auto"/>
              </w:rPr>
            </w:pPr>
            <w:r>
              <w:rPr>
                <w:rFonts w:ascii="Arial" w:cs="Arial" w:eastAsia="Arial" w:hAnsi="Arial"/>
                <w:sz w:val="18"/>
                <w:szCs w:val="18"/>
                <w:color w:val="auto"/>
              </w:rPr>
              <w:t>EXHIBIT INDEX</w:t>
            </w:r>
          </w:p>
        </w:tc>
      </w:tr>
      <w:tr>
        <w:trPr>
          <w:trHeight w:val="346"/>
        </w:trPr>
        <w:tc>
          <w:tcPr>
            <w:tcW w:w="820" w:type="dxa"/>
            <w:vAlign w:val="bottom"/>
          </w:tcPr>
          <w:p>
            <w:pPr>
              <w:ind w:left="200"/>
              <w:spacing w:after="0"/>
              <w:rPr>
                <w:sz w:val="20"/>
                <w:szCs w:val="20"/>
                <w:color w:val="auto"/>
              </w:rPr>
            </w:pPr>
            <w:r>
              <w:rPr>
                <w:rFonts w:ascii="Arial" w:cs="Arial" w:eastAsia="Arial" w:hAnsi="Arial"/>
                <w:sz w:val="14"/>
                <w:szCs w:val="14"/>
                <w:color w:val="auto"/>
              </w:rPr>
              <w:t>Exhibit</w:t>
            </w:r>
          </w:p>
        </w:tc>
        <w:tc>
          <w:tcPr>
            <w:tcW w:w="10560" w:type="dxa"/>
            <w:vAlign w:val="bottom"/>
          </w:tcPr>
          <w:p>
            <w:pPr>
              <w:spacing w:after="0"/>
              <w:rPr>
                <w:sz w:val="24"/>
                <w:szCs w:val="24"/>
                <w:color w:val="auto"/>
              </w:rPr>
            </w:pPr>
          </w:p>
        </w:tc>
      </w:tr>
      <w:tr>
        <w:trPr>
          <w:trHeight w:val="167"/>
        </w:trPr>
        <w:tc>
          <w:tcPr>
            <w:tcW w:w="820" w:type="dxa"/>
            <w:vAlign w:val="bottom"/>
            <w:tcBorders>
              <w:bottom w:val="single" w:sz="8" w:color="auto"/>
            </w:tcBorders>
          </w:tcPr>
          <w:p>
            <w:pPr>
              <w:ind w:left="300"/>
              <w:spacing w:after="0"/>
              <w:rPr>
                <w:sz w:val="20"/>
                <w:szCs w:val="20"/>
                <w:color w:val="auto"/>
              </w:rPr>
            </w:pPr>
            <w:r>
              <w:rPr>
                <w:rFonts w:ascii="Arial" w:cs="Arial" w:eastAsia="Arial" w:hAnsi="Arial"/>
                <w:sz w:val="14"/>
                <w:szCs w:val="14"/>
                <w:color w:val="auto"/>
              </w:rPr>
              <w:t>No.</w:t>
            </w:r>
          </w:p>
        </w:tc>
        <w:tc>
          <w:tcPr>
            <w:tcW w:w="10560" w:type="dxa"/>
            <w:vAlign w:val="bottom"/>
          </w:tcPr>
          <w:p>
            <w:pPr>
              <w:spacing w:after="0"/>
              <w:rPr>
                <w:sz w:val="14"/>
                <w:szCs w:val="14"/>
                <w:color w:val="auto"/>
              </w:rPr>
            </w:pPr>
          </w:p>
        </w:tc>
      </w:tr>
      <w:tr>
        <w:trPr>
          <w:trHeight w:val="411"/>
        </w:trPr>
        <w:tc>
          <w:tcPr>
            <w:tcW w:w="820" w:type="dxa"/>
            <w:vAlign w:val="bottom"/>
          </w:tcPr>
          <w:p>
            <w:pPr>
              <w:spacing w:after="0"/>
              <w:rPr>
                <w:sz w:val="20"/>
                <w:szCs w:val="20"/>
                <w:color w:val="auto"/>
              </w:rPr>
            </w:pPr>
            <w:r>
              <w:rPr>
                <w:rFonts w:ascii="Arial" w:cs="Arial" w:eastAsia="Arial" w:hAnsi="Arial"/>
                <w:sz w:val="18"/>
                <w:szCs w:val="18"/>
                <w:color w:val="auto"/>
              </w:rPr>
              <w:t>4.1</w:t>
            </w:r>
          </w:p>
        </w:tc>
        <w:tc>
          <w:tcPr>
            <w:tcW w:w="10560" w:type="dxa"/>
            <w:vAlign w:val="bottom"/>
          </w:tcPr>
          <w:p>
            <w:pPr>
              <w:ind w:left="340"/>
              <w:spacing w:after="0"/>
              <w:rPr>
                <w:sz w:val="20"/>
                <w:szCs w:val="20"/>
                <w:color w:val="auto"/>
              </w:rPr>
            </w:pPr>
            <w:r>
              <w:rPr>
                <w:rFonts w:ascii="Arial" w:cs="Arial" w:eastAsia="Arial" w:hAnsi="Arial"/>
                <w:sz w:val="18"/>
                <w:szCs w:val="18"/>
                <w:color w:val="auto"/>
                <w:w w:val="93"/>
              </w:rPr>
              <w:t>Junior Subordinated Indenture dated as of January 31, 2008 between M&amp;T Bank Corporation and The Bank of New York. Incorporated by</w:t>
            </w:r>
          </w:p>
        </w:tc>
      </w:tr>
      <w:tr>
        <w:trPr>
          <w:trHeight w:val="230"/>
        </w:trPr>
        <w:tc>
          <w:tcPr>
            <w:tcW w:w="820" w:type="dxa"/>
            <w:vAlign w:val="bottom"/>
          </w:tcPr>
          <w:p>
            <w:pPr>
              <w:spacing w:after="0"/>
              <w:rPr>
                <w:sz w:val="20"/>
                <w:szCs w:val="20"/>
                <w:color w:val="auto"/>
              </w:rPr>
            </w:pPr>
          </w:p>
        </w:tc>
        <w:tc>
          <w:tcPr>
            <w:tcW w:w="10560" w:type="dxa"/>
            <w:vAlign w:val="bottom"/>
          </w:tcPr>
          <w:p>
            <w:pPr>
              <w:ind w:left="340"/>
              <w:spacing w:after="0"/>
              <w:rPr>
                <w:sz w:val="20"/>
                <w:szCs w:val="20"/>
                <w:color w:val="auto"/>
              </w:rPr>
            </w:pPr>
            <w:r>
              <w:rPr>
                <w:rFonts w:ascii="Arial" w:cs="Arial" w:eastAsia="Arial" w:hAnsi="Arial"/>
                <w:sz w:val="18"/>
                <w:szCs w:val="18"/>
                <w:color w:val="auto"/>
              </w:rPr>
              <w:t>reference to Exhibit 4.1 to the Form 8-K dated January 31, 2008 (File No. 1-9861).</w:t>
            </w:r>
          </w:p>
        </w:tc>
      </w:tr>
      <w:tr>
        <w:trPr>
          <w:trHeight w:val="418"/>
        </w:trPr>
        <w:tc>
          <w:tcPr>
            <w:tcW w:w="820" w:type="dxa"/>
            <w:vAlign w:val="bottom"/>
          </w:tcPr>
          <w:p>
            <w:pPr>
              <w:spacing w:after="0"/>
              <w:rPr>
                <w:sz w:val="20"/>
                <w:szCs w:val="20"/>
                <w:color w:val="auto"/>
              </w:rPr>
            </w:pPr>
            <w:r>
              <w:rPr>
                <w:rFonts w:ascii="Arial" w:cs="Arial" w:eastAsia="Arial" w:hAnsi="Arial"/>
                <w:sz w:val="18"/>
                <w:szCs w:val="18"/>
                <w:color w:val="auto"/>
              </w:rPr>
              <w:t>4.2</w:t>
            </w:r>
          </w:p>
        </w:tc>
        <w:tc>
          <w:tcPr>
            <w:tcW w:w="10560" w:type="dxa"/>
            <w:vAlign w:val="bottom"/>
          </w:tcPr>
          <w:p>
            <w:pPr>
              <w:ind w:left="340"/>
              <w:spacing w:after="0"/>
              <w:rPr>
                <w:sz w:val="20"/>
                <w:szCs w:val="20"/>
                <w:color w:val="auto"/>
              </w:rPr>
            </w:pPr>
            <w:r>
              <w:rPr>
                <w:rFonts w:ascii="Arial" w:cs="Arial" w:eastAsia="Arial" w:hAnsi="Arial"/>
                <w:sz w:val="18"/>
                <w:szCs w:val="18"/>
                <w:color w:val="auto"/>
                <w:w w:val="93"/>
              </w:rPr>
              <w:t>First Supplemental Indenture dated as of January 31, 2008 between M&amp;T Bank Corporation and The Bank of New York. Incorporated by</w:t>
            </w:r>
          </w:p>
        </w:tc>
      </w:tr>
      <w:tr>
        <w:trPr>
          <w:trHeight w:val="230"/>
        </w:trPr>
        <w:tc>
          <w:tcPr>
            <w:tcW w:w="820" w:type="dxa"/>
            <w:vAlign w:val="bottom"/>
          </w:tcPr>
          <w:p>
            <w:pPr>
              <w:spacing w:after="0"/>
              <w:rPr>
                <w:sz w:val="20"/>
                <w:szCs w:val="20"/>
                <w:color w:val="auto"/>
              </w:rPr>
            </w:pPr>
          </w:p>
        </w:tc>
        <w:tc>
          <w:tcPr>
            <w:tcW w:w="10560" w:type="dxa"/>
            <w:vAlign w:val="bottom"/>
          </w:tcPr>
          <w:p>
            <w:pPr>
              <w:ind w:left="340"/>
              <w:spacing w:after="0"/>
              <w:rPr>
                <w:sz w:val="20"/>
                <w:szCs w:val="20"/>
                <w:color w:val="auto"/>
              </w:rPr>
            </w:pPr>
            <w:r>
              <w:rPr>
                <w:rFonts w:ascii="Arial" w:cs="Arial" w:eastAsia="Arial" w:hAnsi="Arial"/>
                <w:sz w:val="18"/>
                <w:szCs w:val="18"/>
                <w:color w:val="auto"/>
              </w:rPr>
              <w:t>reference to Exhibit 4.2 to the Form 8-K dated January 31, 2008 (File No. 1-9861).</w:t>
            </w:r>
          </w:p>
        </w:tc>
      </w:tr>
      <w:tr>
        <w:trPr>
          <w:trHeight w:val="418"/>
        </w:trPr>
        <w:tc>
          <w:tcPr>
            <w:tcW w:w="820" w:type="dxa"/>
            <w:vAlign w:val="bottom"/>
          </w:tcPr>
          <w:p>
            <w:pPr>
              <w:spacing w:after="0"/>
              <w:rPr>
                <w:sz w:val="20"/>
                <w:szCs w:val="20"/>
                <w:color w:val="auto"/>
              </w:rPr>
            </w:pPr>
            <w:r>
              <w:rPr>
                <w:rFonts w:ascii="Arial" w:cs="Arial" w:eastAsia="Arial" w:hAnsi="Arial"/>
                <w:sz w:val="18"/>
                <w:szCs w:val="18"/>
                <w:color w:val="auto"/>
              </w:rPr>
              <w:t>4.3</w:t>
            </w:r>
          </w:p>
        </w:tc>
        <w:tc>
          <w:tcPr>
            <w:tcW w:w="10560" w:type="dxa"/>
            <w:vAlign w:val="bottom"/>
          </w:tcPr>
          <w:p>
            <w:pPr>
              <w:ind w:left="340"/>
              <w:spacing w:after="0"/>
              <w:rPr>
                <w:sz w:val="20"/>
                <w:szCs w:val="20"/>
                <w:color w:val="auto"/>
              </w:rPr>
            </w:pPr>
            <w:r>
              <w:rPr>
                <w:rFonts w:ascii="Arial" w:cs="Arial" w:eastAsia="Arial" w:hAnsi="Arial"/>
                <w:sz w:val="18"/>
                <w:szCs w:val="18"/>
                <w:color w:val="auto"/>
                <w:w w:val="92"/>
              </w:rPr>
              <w:t>Amended and Restated Trust Agreement of M&amp;T Capital Trust IV dated as of January 31, 2008 by and among M&amp;T Bank Corporation, The</w:t>
            </w:r>
          </w:p>
        </w:tc>
      </w:tr>
      <w:tr>
        <w:trPr>
          <w:trHeight w:val="216"/>
        </w:trPr>
        <w:tc>
          <w:tcPr>
            <w:tcW w:w="820" w:type="dxa"/>
            <w:vAlign w:val="bottom"/>
          </w:tcPr>
          <w:p>
            <w:pPr>
              <w:spacing w:after="0"/>
              <w:rPr>
                <w:sz w:val="18"/>
                <w:szCs w:val="18"/>
                <w:color w:val="auto"/>
              </w:rPr>
            </w:pPr>
          </w:p>
        </w:tc>
        <w:tc>
          <w:tcPr>
            <w:tcW w:w="10560" w:type="dxa"/>
            <w:vAlign w:val="bottom"/>
          </w:tcPr>
          <w:p>
            <w:pPr>
              <w:ind w:left="340"/>
              <w:spacing w:after="0"/>
              <w:rPr>
                <w:sz w:val="20"/>
                <w:szCs w:val="20"/>
                <w:color w:val="auto"/>
              </w:rPr>
            </w:pPr>
            <w:r>
              <w:rPr>
                <w:rFonts w:ascii="Arial" w:cs="Arial" w:eastAsia="Arial" w:hAnsi="Arial"/>
                <w:sz w:val="18"/>
                <w:szCs w:val="18"/>
                <w:color w:val="auto"/>
                <w:w w:val="91"/>
              </w:rPr>
              <w:t>Bank of New York, BNYM (Delaware) and the Administrators named therein. Incorporated by reference to Exhibit 4.3 to the Form 8-K dated</w:t>
            </w:r>
          </w:p>
        </w:tc>
      </w:tr>
      <w:tr>
        <w:trPr>
          <w:trHeight w:val="230"/>
        </w:trPr>
        <w:tc>
          <w:tcPr>
            <w:tcW w:w="820" w:type="dxa"/>
            <w:vAlign w:val="bottom"/>
          </w:tcPr>
          <w:p>
            <w:pPr>
              <w:spacing w:after="0"/>
              <w:rPr>
                <w:sz w:val="20"/>
                <w:szCs w:val="20"/>
                <w:color w:val="auto"/>
              </w:rPr>
            </w:pPr>
          </w:p>
        </w:tc>
        <w:tc>
          <w:tcPr>
            <w:tcW w:w="10560" w:type="dxa"/>
            <w:vAlign w:val="bottom"/>
          </w:tcPr>
          <w:p>
            <w:pPr>
              <w:ind w:left="340"/>
              <w:spacing w:after="0"/>
              <w:rPr>
                <w:sz w:val="20"/>
                <w:szCs w:val="20"/>
                <w:color w:val="auto"/>
              </w:rPr>
            </w:pPr>
            <w:r>
              <w:rPr>
                <w:rFonts w:ascii="Arial" w:cs="Arial" w:eastAsia="Arial" w:hAnsi="Arial"/>
                <w:sz w:val="18"/>
                <w:szCs w:val="18"/>
                <w:color w:val="auto"/>
              </w:rPr>
              <w:t>January 31, 2008 (File No. 1-9861).</w:t>
            </w:r>
          </w:p>
        </w:tc>
      </w:tr>
      <w:tr>
        <w:trPr>
          <w:trHeight w:val="418"/>
        </w:trPr>
        <w:tc>
          <w:tcPr>
            <w:tcW w:w="820" w:type="dxa"/>
            <w:vAlign w:val="bottom"/>
          </w:tcPr>
          <w:p>
            <w:pPr>
              <w:spacing w:after="0"/>
              <w:rPr>
                <w:sz w:val="20"/>
                <w:szCs w:val="20"/>
                <w:color w:val="auto"/>
              </w:rPr>
            </w:pPr>
            <w:r>
              <w:rPr>
                <w:rFonts w:ascii="Arial" w:cs="Arial" w:eastAsia="Arial" w:hAnsi="Arial"/>
                <w:sz w:val="18"/>
                <w:szCs w:val="18"/>
                <w:color w:val="auto"/>
              </w:rPr>
              <w:t>10.1</w:t>
            </w:r>
          </w:p>
        </w:tc>
        <w:tc>
          <w:tcPr>
            <w:tcW w:w="10560" w:type="dxa"/>
            <w:vAlign w:val="bottom"/>
          </w:tcPr>
          <w:p>
            <w:pPr>
              <w:ind w:left="340"/>
              <w:spacing w:after="0"/>
              <w:rPr>
                <w:sz w:val="20"/>
                <w:szCs w:val="20"/>
                <w:color w:val="auto"/>
              </w:rPr>
            </w:pPr>
            <w:r>
              <w:rPr>
                <w:rFonts w:ascii="Arial" w:cs="Arial" w:eastAsia="Arial" w:hAnsi="Arial"/>
                <w:sz w:val="18"/>
                <w:szCs w:val="18"/>
                <w:color w:val="auto"/>
                <w:w w:val="97"/>
              </w:rPr>
              <w:t>M&amp;T Bank Corporation 2008 Directors’ Stock Plan. Incorporated by reference to Exhibit 4.1 to the Form S-8 dated April 7, 2008 (File</w:t>
            </w:r>
          </w:p>
        </w:tc>
      </w:tr>
      <w:tr>
        <w:trPr>
          <w:trHeight w:val="230"/>
        </w:trPr>
        <w:tc>
          <w:tcPr>
            <w:tcW w:w="820" w:type="dxa"/>
            <w:vAlign w:val="bottom"/>
          </w:tcPr>
          <w:p>
            <w:pPr>
              <w:spacing w:after="0"/>
              <w:rPr>
                <w:sz w:val="20"/>
                <w:szCs w:val="20"/>
                <w:color w:val="auto"/>
              </w:rPr>
            </w:pPr>
          </w:p>
        </w:tc>
        <w:tc>
          <w:tcPr>
            <w:tcW w:w="10560" w:type="dxa"/>
            <w:vAlign w:val="bottom"/>
          </w:tcPr>
          <w:p>
            <w:pPr>
              <w:ind w:left="340"/>
              <w:spacing w:after="0"/>
              <w:rPr>
                <w:sz w:val="20"/>
                <w:szCs w:val="20"/>
                <w:color w:val="auto"/>
              </w:rPr>
            </w:pPr>
            <w:r>
              <w:rPr>
                <w:rFonts w:ascii="Arial" w:cs="Arial" w:eastAsia="Arial" w:hAnsi="Arial"/>
                <w:sz w:val="18"/>
                <w:szCs w:val="18"/>
                <w:color w:val="auto"/>
              </w:rPr>
              <w:t>No. 333-150122).</w:t>
            </w:r>
          </w:p>
        </w:tc>
      </w:tr>
      <w:tr>
        <w:trPr>
          <w:trHeight w:val="432"/>
        </w:trPr>
        <w:tc>
          <w:tcPr>
            <w:tcW w:w="820" w:type="dxa"/>
            <w:vAlign w:val="bottom"/>
          </w:tcPr>
          <w:p>
            <w:pPr>
              <w:spacing w:after="0"/>
              <w:rPr>
                <w:sz w:val="20"/>
                <w:szCs w:val="20"/>
                <w:color w:val="auto"/>
              </w:rPr>
            </w:pPr>
            <w:r>
              <w:rPr>
                <w:rFonts w:ascii="Arial" w:cs="Arial" w:eastAsia="Arial" w:hAnsi="Arial"/>
                <w:sz w:val="18"/>
                <w:szCs w:val="18"/>
                <w:color w:val="auto"/>
              </w:rPr>
              <w:t>31.1</w:t>
            </w:r>
          </w:p>
        </w:tc>
        <w:tc>
          <w:tcPr>
            <w:tcW w:w="10560" w:type="dxa"/>
            <w:vAlign w:val="bottom"/>
          </w:tcPr>
          <w:p>
            <w:pPr>
              <w:ind w:left="340"/>
              <w:spacing w:after="0"/>
              <w:rPr>
                <w:sz w:val="20"/>
                <w:szCs w:val="20"/>
                <w:color w:val="auto"/>
              </w:rPr>
            </w:pPr>
            <w:r>
              <w:rPr>
                <w:rFonts w:ascii="Arial" w:cs="Arial" w:eastAsia="Arial" w:hAnsi="Arial"/>
                <w:sz w:val="18"/>
                <w:szCs w:val="18"/>
                <w:color w:val="auto"/>
              </w:rPr>
              <w:t>Certification of Chief Executive Officer under Section 302 of the Sarbanes-Oxley Act of 2002. Filed herewith.</w:t>
            </w:r>
          </w:p>
        </w:tc>
      </w:tr>
      <w:tr>
        <w:trPr>
          <w:trHeight w:val="432"/>
        </w:trPr>
        <w:tc>
          <w:tcPr>
            <w:tcW w:w="820" w:type="dxa"/>
            <w:vAlign w:val="bottom"/>
          </w:tcPr>
          <w:p>
            <w:pPr>
              <w:spacing w:after="0"/>
              <w:rPr>
                <w:sz w:val="20"/>
                <w:szCs w:val="20"/>
                <w:color w:val="auto"/>
              </w:rPr>
            </w:pPr>
            <w:r>
              <w:rPr>
                <w:rFonts w:ascii="Arial" w:cs="Arial" w:eastAsia="Arial" w:hAnsi="Arial"/>
                <w:sz w:val="18"/>
                <w:szCs w:val="18"/>
                <w:color w:val="auto"/>
              </w:rPr>
              <w:t>31.2</w:t>
            </w:r>
          </w:p>
        </w:tc>
        <w:tc>
          <w:tcPr>
            <w:tcW w:w="10560" w:type="dxa"/>
            <w:vAlign w:val="bottom"/>
          </w:tcPr>
          <w:p>
            <w:pPr>
              <w:ind w:left="340"/>
              <w:spacing w:after="0"/>
              <w:rPr>
                <w:sz w:val="20"/>
                <w:szCs w:val="20"/>
                <w:color w:val="auto"/>
              </w:rPr>
            </w:pPr>
            <w:r>
              <w:rPr>
                <w:rFonts w:ascii="Arial" w:cs="Arial" w:eastAsia="Arial" w:hAnsi="Arial"/>
                <w:sz w:val="18"/>
                <w:szCs w:val="18"/>
                <w:color w:val="auto"/>
              </w:rPr>
              <w:t>Certification of Chief Financial Officer under Section 302 of the Sarbanes-Oxley Act of 2002. Filed herewith.</w:t>
            </w:r>
          </w:p>
        </w:tc>
      </w:tr>
      <w:tr>
        <w:trPr>
          <w:trHeight w:val="432"/>
        </w:trPr>
        <w:tc>
          <w:tcPr>
            <w:tcW w:w="820" w:type="dxa"/>
            <w:vAlign w:val="bottom"/>
          </w:tcPr>
          <w:p>
            <w:pPr>
              <w:spacing w:after="0"/>
              <w:rPr>
                <w:sz w:val="20"/>
                <w:szCs w:val="20"/>
                <w:color w:val="auto"/>
              </w:rPr>
            </w:pPr>
            <w:r>
              <w:rPr>
                <w:rFonts w:ascii="Arial" w:cs="Arial" w:eastAsia="Arial" w:hAnsi="Arial"/>
                <w:sz w:val="18"/>
                <w:szCs w:val="18"/>
                <w:color w:val="auto"/>
              </w:rPr>
              <w:t>32.1</w:t>
            </w:r>
          </w:p>
        </w:tc>
        <w:tc>
          <w:tcPr>
            <w:tcW w:w="10560" w:type="dxa"/>
            <w:vAlign w:val="bottom"/>
          </w:tcPr>
          <w:p>
            <w:pPr>
              <w:ind w:left="340"/>
              <w:spacing w:after="0"/>
              <w:rPr>
                <w:sz w:val="20"/>
                <w:szCs w:val="20"/>
                <w:color w:val="auto"/>
              </w:rPr>
            </w:pPr>
            <w:r>
              <w:rPr>
                <w:rFonts w:ascii="Arial" w:cs="Arial" w:eastAsia="Arial" w:hAnsi="Arial"/>
                <w:sz w:val="18"/>
                <w:szCs w:val="18"/>
                <w:color w:val="auto"/>
                <w:w w:val="92"/>
              </w:rPr>
              <w:t>Certification of Chief Executive Officer Under 18 U.S.C. §1350 pursuant to Section 906 of the Sarbanes-Oxley Act of 2002. Filed herewith.</w:t>
            </w:r>
          </w:p>
        </w:tc>
      </w:tr>
      <w:tr>
        <w:trPr>
          <w:trHeight w:val="432"/>
        </w:trPr>
        <w:tc>
          <w:tcPr>
            <w:tcW w:w="820" w:type="dxa"/>
            <w:vAlign w:val="bottom"/>
          </w:tcPr>
          <w:p>
            <w:pPr>
              <w:spacing w:after="0"/>
              <w:rPr>
                <w:sz w:val="20"/>
                <w:szCs w:val="20"/>
                <w:color w:val="auto"/>
              </w:rPr>
            </w:pPr>
            <w:r>
              <w:rPr>
                <w:rFonts w:ascii="Arial" w:cs="Arial" w:eastAsia="Arial" w:hAnsi="Arial"/>
                <w:sz w:val="18"/>
                <w:szCs w:val="18"/>
                <w:color w:val="auto"/>
              </w:rPr>
              <w:t>32.2</w:t>
            </w:r>
          </w:p>
        </w:tc>
        <w:tc>
          <w:tcPr>
            <w:tcW w:w="10560" w:type="dxa"/>
            <w:vAlign w:val="bottom"/>
          </w:tcPr>
          <w:p>
            <w:pPr>
              <w:ind w:left="340"/>
              <w:spacing w:after="0"/>
              <w:rPr>
                <w:sz w:val="20"/>
                <w:szCs w:val="20"/>
                <w:color w:val="auto"/>
              </w:rPr>
            </w:pPr>
            <w:r>
              <w:rPr>
                <w:rFonts w:ascii="Arial" w:cs="Arial" w:eastAsia="Arial" w:hAnsi="Arial"/>
                <w:sz w:val="18"/>
                <w:szCs w:val="18"/>
                <w:color w:val="auto"/>
                <w:w w:val="93"/>
              </w:rPr>
              <w:t>Certification of Chief Financial Officer Under 18 U.S.C. §1350 pursuant to Section 906 of the Sarbanes-Oxley Act of 2002. Filed herewith.</w:t>
            </w:r>
          </w:p>
        </w:tc>
      </w:tr>
      <w:tr>
        <w:trPr>
          <w:trHeight w:val="418"/>
        </w:trPr>
        <w:tc>
          <w:tcPr>
            <w:tcW w:w="820" w:type="dxa"/>
            <w:vAlign w:val="bottom"/>
          </w:tcPr>
          <w:p>
            <w:pPr>
              <w:spacing w:after="0"/>
              <w:rPr>
                <w:sz w:val="20"/>
                <w:szCs w:val="20"/>
                <w:color w:val="auto"/>
              </w:rPr>
            </w:pPr>
            <w:r>
              <w:rPr>
                <w:rFonts w:ascii="Arial" w:cs="Arial" w:eastAsia="Arial" w:hAnsi="Arial"/>
                <w:sz w:val="18"/>
                <w:szCs w:val="18"/>
                <w:color w:val="auto"/>
              </w:rPr>
              <w:t>99.1</w:t>
            </w:r>
          </w:p>
        </w:tc>
        <w:tc>
          <w:tcPr>
            <w:tcW w:w="10560" w:type="dxa"/>
            <w:vAlign w:val="bottom"/>
          </w:tcPr>
          <w:p>
            <w:pPr>
              <w:ind w:left="340"/>
              <w:spacing w:after="0"/>
              <w:rPr>
                <w:sz w:val="20"/>
                <w:szCs w:val="20"/>
                <w:color w:val="auto"/>
              </w:rPr>
            </w:pPr>
            <w:r>
              <w:rPr>
                <w:rFonts w:ascii="Arial" w:cs="Arial" w:eastAsia="Arial" w:hAnsi="Arial"/>
                <w:sz w:val="18"/>
                <w:szCs w:val="18"/>
                <w:color w:val="auto"/>
                <w:w w:val="91"/>
              </w:rPr>
              <w:t>Replacement Capital Covenant of M&amp;T Bank Corporation dated January 31, 2008. Incorporated by reference to Exhibit 99.1 to the Form 8-K</w:t>
            </w:r>
          </w:p>
        </w:tc>
      </w:tr>
      <w:tr>
        <w:trPr>
          <w:trHeight w:val="230"/>
        </w:trPr>
        <w:tc>
          <w:tcPr>
            <w:tcW w:w="820" w:type="dxa"/>
            <w:vAlign w:val="bottom"/>
          </w:tcPr>
          <w:p>
            <w:pPr>
              <w:spacing w:after="0"/>
              <w:rPr>
                <w:sz w:val="20"/>
                <w:szCs w:val="20"/>
                <w:color w:val="auto"/>
              </w:rPr>
            </w:pPr>
          </w:p>
        </w:tc>
        <w:tc>
          <w:tcPr>
            <w:tcW w:w="10560" w:type="dxa"/>
            <w:vAlign w:val="bottom"/>
          </w:tcPr>
          <w:p>
            <w:pPr>
              <w:ind w:left="340"/>
              <w:spacing w:after="0"/>
              <w:rPr>
                <w:sz w:val="20"/>
                <w:szCs w:val="20"/>
                <w:color w:val="auto"/>
              </w:rPr>
            </w:pPr>
            <w:r>
              <w:rPr>
                <w:rFonts w:ascii="Arial" w:cs="Arial" w:eastAsia="Arial" w:hAnsi="Arial"/>
                <w:sz w:val="18"/>
                <w:szCs w:val="18"/>
                <w:color w:val="auto"/>
              </w:rPr>
              <w:t>dated January 31, 2008 (File No. 1-9861).</w:t>
            </w:r>
          </w:p>
        </w:tc>
      </w:tr>
      <w:tr>
        <w:trPr>
          <w:trHeight w:val="405"/>
        </w:trPr>
        <w:tc>
          <w:tcPr>
            <w:tcW w:w="820" w:type="dxa"/>
            <w:vAlign w:val="bottom"/>
          </w:tcPr>
          <w:p>
            <w:pPr>
              <w:spacing w:after="0"/>
              <w:rPr>
                <w:sz w:val="24"/>
                <w:szCs w:val="24"/>
                <w:color w:val="auto"/>
              </w:rPr>
            </w:pPr>
          </w:p>
        </w:tc>
        <w:tc>
          <w:tcPr>
            <w:tcW w:w="10560" w:type="dxa"/>
            <w:vAlign w:val="bottom"/>
          </w:tcPr>
          <w:p>
            <w:pPr>
              <w:ind w:left="4700"/>
              <w:spacing w:after="0"/>
              <w:rPr>
                <w:sz w:val="20"/>
                <w:szCs w:val="20"/>
                <w:color w:val="auto"/>
              </w:rPr>
            </w:pPr>
            <w:r>
              <w:rPr>
                <w:rFonts w:ascii="Arial" w:cs="Arial" w:eastAsia="Arial" w:hAnsi="Arial"/>
                <w:sz w:val="18"/>
                <w:szCs w:val="18"/>
                <w:color w:val="auto"/>
              </w:rPr>
              <w:t>- 64 -</w:t>
            </w:r>
          </w:p>
        </w:tc>
      </w:tr>
    </w:tbl>
    <w:p>
      <w:pPr>
        <w:sectPr>
          <w:pgSz w:w="11900" w:h="16838" w:orient="portrait"/>
          <w:cols w:equalWidth="0" w:num="1">
            <w:col w:w="11380"/>
          </w:cols>
          <w:pgMar w:left="240" w:top="419" w:right="27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Robert G. Wilmers, certify that:</w:t>
      </w:r>
    </w:p>
    <w:p>
      <w:pPr>
        <w:spacing w:after="0" w:line="117"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M&amp;T Bank Corporation;</w:t>
      </w:r>
    </w:p>
    <w:p>
      <w:pPr>
        <w:spacing w:after="0" w:line="130"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60" w:right="80" w:hanging="452"/>
        <w:spacing w:after="0" w:line="264"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7" w:lineRule="exact"/>
        <w:rPr>
          <w:sz w:val="20"/>
          <w:szCs w:val="20"/>
          <w:color w:val="auto"/>
        </w:rPr>
      </w:pPr>
    </w:p>
    <w:p>
      <w:pPr>
        <w:ind w:left="460" w:right="280" w:hanging="452"/>
        <w:spacing w:after="0" w:line="264"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460" w:right="80" w:hanging="452"/>
        <w:spacing w:after="0" w:line="264"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ind w:left="460" w:right="120" w:hanging="452"/>
        <w:spacing w:after="0" w:line="308" w:lineRule="auto"/>
        <w:tabs>
          <w:tab w:leader="none" w:pos="4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1" w:lineRule="exact"/>
        <w:rPr>
          <w:rFonts w:ascii="Arial" w:cs="Arial" w:eastAsia="Arial" w:hAnsi="Arial"/>
          <w:sz w:val="17"/>
          <w:szCs w:val="17"/>
          <w:color w:val="auto"/>
        </w:rPr>
      </w:pPr>
    </w:p>
    <w:p>
      <w:pPr>
        <w:ind w:left="460" w:right="140" w:hanging="452"/>
        <w:spacing w:after="0" w:line="264"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7" w:lineRule="exact"/>
        <w:rPr>
          <w:sz w:val="20"/>
          <w:szCs w:val="20"/>
          <w:color w:val="auto"/>
        </w:rPr>
      </w:pPr>
    </w:p>
    <w:p>
      <w:pPr>
        <w:ind w:left="460" w:right="200" w:hanging="452"/>
        <w:spacing w:after="0" w:line="308" w:lineRule="auto"/>
        <w:tabs>
          <w:tab w:leader="none" w:pos="4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2" w:lineRule="exact"/>
        <w:rPr>
          <w:sz w:val="20"/>
          <w:szCs w:val="20"/>
          <w:color w:val="auto"/>
        </w:rPr>
      </w:pPr>
    </w:p>
    <w:p>
      <w:pPr>
        <w:ind w:left="460" w:right="60" w:hanging="452"/>
        <w:spacing w:after="0" w:line="277"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460" w:right="300" w:hanging="452"/>
        <w:spacing w:after="0" w:line="277"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7, 2008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Robert G. Wilmers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14605</wp:posOffset>
            </wp:positionV>
            <wp:extent cx="250444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Robert G. Wilmers</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Chairman of the Board and</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936" w:right="23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René F. Jones, certify that:</w:t>
      </w:r>
    </w:p>
    <w:p>
      <w:pPr>
        <w:spacing w:after="0" w:line="117" w:lineRule="exact"/>
        <w:rPr>
          <w:sz w:val="20"/>
          <w:szCs w:val="20"/>
          <w:color w:val="auto"/>
        </w:rPr>
      </w:pPr>
    </w:p>
    <w:p>
      <w:pPr>
        <w:ind w:left="460" w:hanging="452"/>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M&amp;T Bank Corporation;</w:t>
      </w:r>
    </w:p>
    <w:p>
      <w:pPr>
        <w:spacing w:after="0" w:line="130"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60" w:right="80" w:hanging="452"/>
        <w:spacing w:after="0" w:line="264"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7" w:lineRule="exact"/>
        <w:rPr>
          <w:sz w:val="20"/>
          <w:szCs w:val="20"/>
          <w:color w:val="auto"/>
        </w:rPr>
      </w:pPr>
    </w:p>
    <w:p>
      <w:pPr>
        <w:ind w:left="460" w:right="280" w:hanging="452"/>
        <w:spacing w:after="0" w:line="264"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460" w:right="80" w:hanging="452"/>
        <w:spacing w:after="0" w:line="264"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ind w:left="460" w:right="120" w:hanging="452"/>
        <w:spacing w:after="0" w:line="308" w:lineRule="auto"/>
        <w:tabs>
          <w:tab w:leader="none" w:pos="4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1" w:lineRule="exact"/>
        <w:rPr>
          <w:rFonts w:ascii="Arial" w:cs="Arial" w:eastAsia="Arial" w:hAnsi="Arial"/>
          <w:sz w:val="17"/>
          <w:szCs w:val="17"/>
          <w:color w:val="auto"/>
        </w:rPr>
      </w:pPr>
    </w:p>
    <w:p>
      <w:pPr>
        <w:ind w:left="460" w:right="140" w:hanging="452"/>
        <w:spacing w:after="0" w:line="264"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7" w:lineRule="exact"/>
        <w:rPr>
          <w:sz w:val="20"/>
          <w:szCs w:val="20"/>
          <w:color w:val="auto"/>
        </w:rPr>
      </w:pPr>
    </w:p>
    <w:p>
      <w:pPr>
        <w:ind w:left="460" w:right="200" w:hanging="452"/>
        <w:spacing w:after="0" w:line="308" w:lineRule="auto"/>
        <w:tabs>
          <w:tab w:leader="none" w:pos="4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2" w:lineRule="exact"/>
        <w:rPr>
          <w:sz w:val="20"/>
          <w:szCs w:val="20"/>
          <w:color w:val="auto"/>
        </w:rPr>
      </w:pPr>
    </w:p>
    <w:p>
      <w:pPr>
        <w:ind w:left="460" w:right="60" w:hanging="452"/>
        <w:spacing w:after="0" w:line="277"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460" w:right="300" w:hanging="452"/>
        <w:spacing w:after="0" w:line="277"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7, 2008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René F.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14605</wp:posOffset>
            </wp:positionV>
            <wp:extent cx="250444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René F. Jones</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Executive Vice President</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and Chief Financial Officer</w:t>
      </w:r>
    </w:p>
    <w:p>
      <w:pPr>
        <w:sectPr>
          <w:pgSz w:w="11900" w:h="16838" w:orient="portrait"/>
          <w:cols w:equalWidth="0" w:num="1">
            <w:col w:w="11420"/>
          </w:cols>
          <w:pgMar w:left="240" w:top="936" w:right="2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 UNDER 18 U.S.C. §1350</w:t>
      </w:r>
    </w:p>
    <w:p>
      <w:pPr>
        <w:spacing w:after="0" w:line="11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 Robert G. Wilmers, Chairman of the Board and Chief Executive Officer of M&amp;T Bank Corporation, certify, pursuant to Section 906 of the Sarbanes-Oxley Act of 2002, 18 U.S.C. Section 1350, that:</w:t>
      </w:r>
    </w:p>
    <w:p>
      <w:pPr>
        <w:spacing w:after="0" w:line="62" w:lineRule="exact"/>
        <w:rPr>
          <w:sz w:val="20"/>
          <w:szCs w:val="20"/>
          <w:color w:val="auto"/>
        </w:rPr>
      </w:pPr>
    </w:p>
    <w:p>
      <w:pPr>
        <w:ind w:left="900" w:right="60" w:hanging="446"/>
        <w:spacing w:after="0" w:line="277"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Quarterly Report on Form 10-Q of M&amp;T Bank Corporation for the quarterly period ended March 31, 2008 (the “Report”) fully complies with the requirements of Section 13(a) or 15(d) of the Securities Exchange Act of 1934 (15 U.S.C. 78m or 78o(d)); and</w:t>
      </w:r>
    </w:p>
    <w:p>
      <w:pPr>
        <w:spacing w:after="0" w:line="75" w:lineRule="exact"/>
        <w:rPr>
          <w:rFonts w:ascii="Arial" w:cs="Arial" w:eastAsia="Arial" w:hAnsi="Arial"/>
          <w:sz w:val="18"/>
          <w:szCs w:val="18"/>
          <w:color w:val="auto"/>
        </w:rPr>
      </w:pPr>
    </w:p>
    <w:p>
      <w:pPr>
        <w:ind w:left="900" w:right="300" w:hanging="446"/>
        <w:spacing w:after="0" w:line="277"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M&amp;T Bank Corporation.</w:t>
      </w:r>
    </w:p>
    <w:p>
      <w:pPr>
        <w:spacing w:after="0" w:line="62"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 foregoing certification is being furnished solely pursuant to 18 U.S.C. §1350 and is not being filed as part of the Report or as a separate disclosure document.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 Robert G. Wilmers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68414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Robert G. Wilmers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7, 2008</w:t>
      </w:r>
    </w:p>
    <w:p>
      <w:pPr>
        <w:spacing w:after="0" w:line="103"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M&amp;T Bank Corporation and will be retained by M&amp;T Bank Corporation and furnished to the Securities and Exchange Commission or its staff upon request.</w:t>
      </w:r>
    </w:p>
    <w:p>
      <w:pPr>
        <w:sectPr>
          <w:pgSz w:w="11900" w:h="16838" w:orient="portrait"/>
          <w:cols w:equalWidth="0" w:num="1">
            <w:col w:w="11420"/>
          </w:cols>
          <w:pgMar w:left="240" w:top="935" w:right="23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color w:val="auto"/>
        </w:rPr>
        <w:t>EXHIBIT 32.2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 UNDER 18 U.S.C. §1350</w:t>
      </w:r>
    </w:p>
    <w:p>
      <w:pPr>
        <w:spacing w:after="0" w:line="11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 René F. Jones, Executive Vice President and Chief Financial Officer of M&amp;T Bank Corporation, certify, pursuant to Section 906 of the Sarbanes-Oxley Act of 2002, 18 U.S.C. Section 1350, that:</w:t>
      </w:r>
    </w:p>
    <w:p>
      <w:pPr>
        <w:spacing w:after="0" w:line="62" w:lineRule="exact"/>
        <w:rPr>
          <w:sz w:val="20"/>
          <w:szCs w:val="20"/>
          <w:color w:val="auto"/>
        </w:rPr>
      </w:pPr>
    </w:p>
    <w:p>
      <w:pPr>
        <w:ind w:left="900" w:right="60" w:hanging="446"/>
        <w:spacing w:after="0" w:line="277"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Quarterly Report on Form 10-Q of M&amp;T Bank Corporation for the quarterly period ended March 31, 2008 (the “Report”) fully complies with the requirements of Section 13(a) or 15(d) of the Securities Exchange Act of 1934 (15 U.S.C. 78m or 78o(d)); and</w:t>
      </w:r>
    </w:p>
    <w:p>
      <w:pPr>
        <w:spacing w:after="0" w:line="75" w:lineRule="exact"/>
        <w:rPr>
          <w:rFonts w:ascii="Arial" w:cs="Arial" w:eastAsia="Arial" w:hAnsi="Arial"/>
          <w:sz w:val="18"/>
          <w:szCs w:val="18"/>
          <w:color w:val="auto"/>
        </w:rPr>
      </w:pPr>
    </w:p>
    <w:p>
      <w:pPr>
        <w:ind w:left="900" w:right="300" w:hanging="446"/>
        <w:spacing w:after="0" w:line="277"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M&amp;T Bank Corporation.</w:t>
      </w:r>
    </w:p>
    <w:p>
      <w:pPr>
        <w:spacing w:after="0" w:line="62"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 foregoing certification is being furnished solely pursuant to 18 U.S.C. §1350 and is not being filed as part of the Report or as a separate disclosure document.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 René F.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68414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René F. Jones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7, 2008</w:t>
      </w:r>
    </w:p>
    <w:p>
      <w:pPr>
        <w:spacing w:after="0" w:line="103"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M&amp;T Bank Corporation and will be retained by M&amp;T Bank Corporation and furnished to the Securities and Exchange Commission or its staff upon request.</w:t>
      </w:r>
    </w:p>
    <w:sectPr>
      <w:pgSz w:w="11900" w:h="16838" w:orient="portrait"/>
      <w:cols w:equalWidth="0" w:num="1">
        <w:col w:w="11420"/>
      </w:cols>
      <w:pgMar w:left="240" w:top="93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o"/>
      <w:numFmt w:val="bullet"/>
      <w:start w:val="1"/>
    </w:lvl>
  </w:abstractNum>
  <w:abstractNum w:abstractNumId="2">
    <w:nsid w:val="6B68079A"/>
    <w:multiLevelType w:val="hybridMultilevel"/>
    <w:lvl w:ilvl="0">
      <w:lvlJc w:val="left"/>
      <w:lvlText w:val="(%1)"/>
      <w:numFmt w:val="lowerLetter"/>
      <w:start w:val="1"/>
    </w:lvl>
    <w:lvl w:ilvl="1">
      <w:lvlJc w:val="left"/>
      <w:lvlText w:val="-"/>
      <w:numFmt w:val="bullet"/>
      <w:start w:val="1"/>
    </w:lvl>
  </w:abstractNum>
  <w:abstractNum w:abstractNumId="3">
    <w:nsid w:val="4E6AFB66"/>
    <w:multiLevelType w:val="hybridMultilevel"/>
    <w:lvl w:ilvl="0">
      <w:lvlJc w:val="left"/>
      <w:lvlText w:val="(%1)"/>
      <w:numFmt w:val="lowerLetter"/>
      <w:start w:val="2"/>
    </w:lvl>
  </w:abstractNum>
  <w:abstractNum w:abstractNumId="4">
    <w:nsid w:val="25E45D32"/>
    <w:multiLevelType w:val="hybridMultilevel"/>
    <w:lvl w:ilvl="0">
      <w:lvlJc w:val="left"/>
      <w:lvlText w:val="•"/>
      <w:numFmt w:val="bullet"/>
      <w:start w:val="1"/>
    </w:lvl>
  </w:abstractNum>
  <w:abstractNum w:abstractNumId="5">
    <w:nsid w:val="519B500D"/>
    <w:multiLevelType w:val="hybridMultilevel"/>
    <w:lvl w:ilvl="0">
      <w:lvlJc w:val="left"/>
      <w:lvlText w:val="(%1)"/>
      <w:numFmt w:val="lowerLetter"/>
      <w:start w:val="1"/>
    </w:lvl>
  </w:abstractNum>
  <w:abstractNum w:abstractNumId="6">
    <w:nsid w:val="431BD7B7"/>
    <w:multiLevelType w:val="hybridMultilevel"/>
    <w:lvl w:ilvl="0">
      <w:lvlJc w:val="left"/>
      <w:lvlText w:val="(%1)"/>
      <w:numFmt w:val="lowerLetter"/>
      <w:start w:val="1"/>
    </w:lvl>
    <w:lvl w:ilvl="1">
      <w:lvlJc w:val="left"/>
      <w:lvlText w:val="-"/>
      <w:numFmt w:val="bullet"/>
      <w:start w:val="1"/>
    </w:lvl>
  </w:abstractNum>
  <w:abstractNum w:abstractNumId="7">
    <w:nsid w:val="3F2DBA31"/>
    <w:multiLevelType w:val="hybridMultilevel"/>
    <w:lvl w:ilvl="0">
      <w:lvlJc w:val="left"/>
      <w:lvlText w:val="*"/>
      <w:numFmt w:val="bullet"/>
      <w:start w:val="1"/>
    </w:lvl>
  </w:abstractNum>
  <w:abstractNum w:abstractNumId="8">
    <w:nsid w:val="7C83E458"/>
    <w:multiLevelType w:val="hybridMultilevel"/>
    <w:lvl w:ilvl="0">
      <w:lvlJc w:val="left"/>
      <w:lvlText w:val="**"/>
      <w:numFmt w:val="bullet"/>
      <w:start w:val="1"/>
    </w:lvl>
  </w:abstractNum>
  <w:abstractNum w:abstractNumId="9">
    <w:nsid w:val="257130A3"/>
    <w:multiLevelType w:val="hybridMultilevel"/>
    <w:lvl w:ilvl="0">
      <w:lvlJc w:val="left"/>
      <w:lvlText w:val="*"/>
      <w:numFmt w:val="bullet"/>
      <w:start w:val="1"/>
    </w:lvl>
  </w:abstractNum>
  <w:abstractNum w:abstractNumId="10">
    <w:nsid w:val="62BBD95A"/>
    <w:multiLevelType w:val="hybridMultilevel"/>
    <w:lvl w:ilvl="0">
      <w:lvlJc w:val="left"/>
      <w:lvlText w:val="(%1)"/>
      <w:numFmt w:val="lowerRoman"/>
      <w:start w:val="3"/>
    </w:lvl>
  </w:abstractNum>
  <w:abstractNum w:abstractNumId="11">
    <w:nsid w:val="436C6125"/>
    <w:multiLevelType w:val="hybridMultilevel"/>
    <w:lvl w:ilvl="0">
      <w:lvlJc w:val="left"/>
      <w:lvlText w:val="(%1)"/>
      <w:numFmt w:val="lowerLetter"/>
      <w:start w:val="1"/>
    </w:lvl>
    <w:lvl w:ilvl="1">
      <w:lvlJc w:val="left"/>
      <w:lvlText w:val="-"/>
      <w:numFmt w:val="bullet"/>
      <w:start w:val="1"/>
    </w:lvl>
  </w:abstractNum>
  <w:abstractNum w:abstractNumId="12">
    <w:nsid w:val="628C895D"/>
    <w:multiLevelType w:val="hybridMultilevel"/>
    <w:lvl w:ilvl="0">
      <w:lvlJc w:val="left"/>
      <w:lvlText w:val="*"/>
      <w:numFmt w:val="bullet"/>
      <w:start w:val="1"/>
    </w:lvl>
  </w:abstractNum>
  <w:abstractNum w:abstractNumId="13">
    <w:nsid w:val="333AB105"/>
    <w:multiLevelType w:val="hybridMultilevel"/>
    <w:lvl w:ilvl="0">
      <w:lvlJc w:val="left"/>
      <w:lvlText w:val="**"/>
      <w:numFmt w:val="bullet"/>
      <w:start w:val="1"/>
    </w:lvl>
  </w:abstractNum>
  <w:abstractNum w:abstractNumId="14">
    <w:nsid w:val="721DA317"/>
    <w:multiLevelType w:val="hybridMultilevel"/>
    <w:lvl w:ilvl="0">
      <w:lvlJc w:val="left"/>
      <w:lvlText w:val="*"/>
      <w:numFmt w:val="bullet"/>
      <w:start w:val="1"/>
    </w:lvl>
  </w:abstractNum>
  <w:abstractNum w:abstractNumId="15">
    <w:nsid w:val="2443A858"/>
    <w:multiLevelType w:val="hybridMultilevel"/>
    <w:lvl w:ilvl="0">
      <w:lvlJc w:val="left"/>
      <w:lvlText w:val="**"/>
      <w:numFmt w:val="bullet"/>
      <w:start w:val="1"/>
    </w:lvl>
  </w:abstractNum>
  <w:abstractNum w:abstractNumId="16">
    <w:nsid w:val="2D1D5AE9"/>
    <w:multiLevelType w:val="hybridMultilevel"/>
    <w:lvl w:ilvl="0">
      <w:lvlJc w:val="left"/>
      <w:lvlText w:val="(%1)"/>
      <w:numFmt w:val="lowerLetter"/>
      <w:start w:val="1"/>
    </w:lvl>
  </w:abstractNum>
  <w:abstractNum w:abstractNumId="17">
    <w:nsid w:val="6763845E"/>
    <w:multiLevelType w:val="hybridMultilevel"/>
    <w:lvl w:ilvl="0">
      <w:lvlJc w:val="left"/>
      <w:lvlText w:val="(%1)"/>
      <w:numFmt w:val="decimal"/>
      <w:start w:val="1"/>
    </w:lvl>
  </w:abstractNum>
  <w:abstractNum w:abstractNumId="18">
    <w:nsid w:val="75A2A8D4"/>
    <w:multiLevelType w:val="hybridMultilevel"/>
    <w:lvl w:ilvl="0">
      <w:lvlJc w:val="left"/>
      <w:lvlText w:val="(%1)"/>
      <w:numFmt w:val="decimal"/>
      <w:start w:val="20"/>
    </w:lvl>
  </w:abstractNum>
  <w:abstractNum w:abstractNumId="19">
    <w:nsid w:val="8EDBDAB"/>
    <w:multiLevelType w:val="hybridMultilevel"/>
    <w:lvl w:ilvl="0">
      <w:lvlJc w:val="left"/>
      <w:lvlText w:val="%1."/>
      <w:numFmt w:val="decimal"/>
      <w:start w:val="1"/>
    </w:lvl>
  </w:abstractNum>
  <w:abstractNum w:abstractNumId="20">
    <w:nsid w:val="79838CB2"/>
    <w:multiLevelType w:val="hybridMultilevel"/>
    <w:lvl w:ilvl="0">
      <w:lvlJc w:val="left"/>
      <w:lvlText w:val="%1)"/>
      <w:numFmt w:val="lowerLetter"/>
      <w:start w:val="1"/>
    </w:lvl>
  </w:abstractNum>
  <w:abstractNum w:abstractNumId="21">
    <w:nsid w:val="4353D0CD"/>
    <w:multiLevelType w:val="hybridMultilevel"/>
    <w:lvl w:ilvl="0">
      <w:lvlJc w:val="left"/>
      <w:lvlText w:val="%1."/>
      <w:numFmt w:val="decimal"/>
      <w:start w:val="5"/>
    </w:lvl>
  </w:abstractNum>
  <w:abstractNum w:abstractNumId="22">
    <w:nsid w:val="B03E0C6"/>
    <w:multiLevelType w:val="hybridMultilevel"/>
    <w:lvl w:ilvl="0">
      <w:lvlJc w:val="left"/>
      <w:lvlText w:val="%1)"/>
      <w:numFmt w:val="lowerLetter"/>
      <w:start w:val="1"/>
    </w:lvl>
  </w:abstractNum>
  <w:abstractNum w:abstractNumId="23">
    <w:nsid w:val="189A769B"/>
    <w:multiLevelType w:val="hybridMultilevel"/>
    <w:lvl w:ilvl="0">
      <w:lvlJc w:val="left"/>
      <w:lvlText w:val="%1."/>
      <w:numFmt w:val="decimal"/>
      <w:start w:val="1"/>
    </w:lvl>
  </w:abstractNum>
  <w:abstractNum w:abstractNumId="24">
    <w:nsid w:val="54E49EB4"/>
    <w:multiLevelType w:val="hybridMultilevel"/>
    <w:lvl w:ilvl="0">
      <w:lvlJc w:val="left"/>
      <w:lvlText w:val="%1)"/>
      <w:numFmt w:val="lowerLetter"/>
      <w:start w:val="1"/>
    </w:lvl>
  </w:abstractNum>
  <w:abstractNum w:abstractNumId="25">
    <w:nsid w:val="71F32454"/>
    <w:multiLevelType w:val="hybridMultilevel"/>
    <w:lvl w:ilvl="0">
      <w:lvlJc w:val="left"/>
      <w:lvlText w:val="%1."/>
      <w:numFmt w:val="decimal"/>
      <w:start w:val="5"/>
    </w:lvl>
  </w:abstractNum>
  <w:abstractNum w:abstractNumId="26">
    <w:nsid w:val="2CA88611"/>
    <w:multiLevelType w:val="hybridMultilevel"/>
    <w:lvl w:ilvl="0">
      <w:lvlJc w:val="left"/>
      <w:lvlText w:val="%1)"/>
      <w:numFmt w:val="lowerLetter"/>
      <w:start w:val="1"/>
    </w:lvl>
  </w:abstractNum>
  <w:abstractNum w:abstractNumId="27">
    <w:nsid w:val="836C40E"/>
    <w:multiLevelType w:val="hybridMultilevel"/>
    <w:lvl w:ilvl="0">
      <w:lvlJc w:val="left"/>
      <w:lvlText w:val="(%1)"/>
      <w:numFmt w:val="decimal"/>
      <w:start w:val="1"/>
    </w:lvl>
  </w:abstractNum>
  <w:abstractNum w:abstractNumId="28">
    <w:nsid w:val="2901D8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2019-12-11T12:24:10Z</dcterms:created>
  <dcterms:modified xsi:type="dcterms:W3CDTF">2019-12-11T12:24:10Z</dcterms:modified>
</cp:coreProperties>
</file>