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98425</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126365</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31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106045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103505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6" w:lineRule="exact"/>
        <w:rPr>
          <w:sz w:val="24"/>
          <w:szCs w:val="24"/>
          <w:color w:val="auto"/>
        </w:rPr>
      </w:pPr>
    </w:p>
    <w:tbl>
      <w:tblPr>
        <w:tblLayout w:type="fixed"/>
        <w:tblInd w:w="1100" w:type="dxa"/>
        <w:tblCellMar>
          <w:top w:w="0" w:type="dxa"/>
          <w:left w:w="0" w:type="dxa"/>
          <w:bottom w:w="0" w:type="dxa"/>
          <w:right w:w="0" w:type="dxa"/>
        </w:tblCellMar>
      </w:tblPr>
      <w:tr>
        <w:trPr>
          <w:trHeight w:val="211"/>
        </w:trPr>
        <w:tc>
          <w:tcPr>
            <w:tcW w:w="270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New York</w:t>
            </w:r>
          </w:p>
        </w:tc>
        <w:tc>
          <w:tcPr>
            <w:tcW w:w="590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8"/>
        </w:trPr>
        <w:tc>
          <w:tcPr>
            <w:tcW w:w="27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900" w:type="dxa"/>
            <w:vAlign w:val="bottom"/>
          </w:tcPr>
          <w:p>
            <w:pPr>
              <w:jc w:val="center"/>
              <w:ind w:left="47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incorporation or organization)</w:t>
            </w:r>
          </w:p>
        </w:tc>
        <w:tc>
          <w:tcPr>
            <w:tcW w:w="5900" w:type="dxa"/>
            <w:vAlign w:val="bottom"/>
          </w:tcPr>
          <w:p>
            <w:pPr>
              <w:jc w:val="center"/>
              <w:ind w:left="47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700" w:type="dxa"/>
            <w:vAlign w:val="bottom"/>
          </w:tcPr>
          <w:p>
            <w:pPr>
              <w:jc w:val="center"/>
              <w:ind w:right="219"/>
              <w:spacing w:after="0"/>
              <w:rPr>
                <w:sz w:val="20"/>
                <w:szCs w:val="20"/>
                <w:color w:val="auto"/>
              </w:rPr>
            </w:pPr>
            <w:r>
              <w:rPr>
                <w:rFonts w:ascii="Arial" w:cs="Arial" w:eastAsia="Arial" w:hAnsi="Arial"/>
                <w:sz w:val="18"/>
                <w:szCs w:val="18"/>
                <w:b w:val="1"/>
                <w:bCs w:val="1"/>
                <w:color w:val="auto"/>
                <w:w w:val="97"/>
              </w:rPr>
              <w:t>One M &amp; T Plaza</w:t>
            </w:r>
          </w:p>
        </w:tc>
        <w:tc>
          <w:tcPr>
            <w:tcW w:w="5900" w:type="dxa"/>
            <w:vAlign w:val="bottom"/>
          </w:tcPr>
          <w:p>
            <w:pPr>
              <w:spacing w:after="0"/>
              <w:rPr>
                <w:sz w:val="24"/>
                <w:szCs w:val="24"/>
                <w:color w:val="auto"/>
              </w:rPr>
            </w:pPr>
          </w:p>
        </w:tc>
      </w:tr>
      <w:tr>
        <w:trPr>
          <w:trHeight w:val="211"/>
        </w:trPr>
        <w:tc>
          <w:tcPr>
            <w:tcW w:w="270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Buffalo, New York</w:t>
            </w:r>
          </w:p>
        </w:tc>
        <w:tc>
          <w:tcPr>
            <w:tcW w:w="590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70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00" w:type="dxa"/>
            <w:vAlign w:val="bottom"/>
          </w:tcPr>
          <w:p>
            <w:pPr>
              <w:jc w:val="center"/>
              <w:ind w:left="4700"/>
              <w:spacing w:after="0"/>
              <w:rPr>
                <w:sz w:val="20"/>
                <w:szCs w:val="20"/>
                <w:color w:val="auto"/>
              </w:rPr>
            </w:pPr>
            <w:r>
              <w:rPr>
                <w:rFonts w:ascii="Arial" w:cs="Arial" w:eastAsia="Arial" w:hAnsi="Arial"/>
                <w:sz w:val="14"/>
                <w:szCs w:val="14"/>
                <w:b w:val="1"/>
                <w:bCs w:val="1"/>
                <w:color w:val="auto"/>
                <w:w w:val="98"/>
              </w:rPr>
              <w:t>(Zip Code)</w:t>
            </w:r>
          </w:p>
        </w:tc>
      </w:tr>
      <w:tr>
        <w:trPr>
          <w:trHeight w:val="256"/>
        </w:trPr>
        <w:tc>
          <w:tcPr>
            <w:tcW w:w="2700" w:type="dxa"/>
            <w:vAlign w:val="bottom"/>
          </w:tcPr>
          <w:p>
            <w:pPr>
              <w:spacing w:after="0"/>
              <w:rPr>
                <w:sz w:val="22"/>
                <w:szCs w:val="22"/>
                <w:color w:val="auto"/>
              </w:rPr>
            </w:pPr>
          </w:p>
        </w:tc>
        <w:tc>
          <w:tcPr>
            <w:tcW w:w="5900" w:type="dxa"/>
            <w:vAlign w:val="bottom"/>
          </w:tcPr>
          <w:p>
            <w:pPr>
              <w:jc w:val="center"/>
              <w:ind w:right="19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2700" w:type="dxa"/>
            <w:vAlign w:val="bottom"/>
          </w:tcPr>
          <w:p>
            <w:pPr>
              <w:spacing w:after="0"/>
              <w:rPr>
                <w:sz w:val="22"/>
                <w:szCs w:val="22"/>
                <w:color w:val="auto"/>
              </w:rPr>
            </w:pPr>
          </w:p>
        </w:tc>
        <w:tc>
          <w:tcPr>
            <w:tcW w:w="590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bl>
    <w:p>
      <w:pPr>
        <w:spacing w:after="0" w:line="31" w:lineRule="exact"/>
        <w:rPr>
          <w:sz w:val="24"/>
          <w:szCs w:val="24"/>
          <w:color w:val="auto"/>
        </w:rPr>
      </w:pPr>
    </w:p>
    <w:p>
      <w:pPr>
        <w:sectPr>
          <w:pgSz w:w="11900" w:h="16838" w:orient="portrait"/>
          <w:cols w:equalWidth="0" w:num="1">
            <w:col w:w="11420"/>
          </w:cols>
          <w:pgMar w:left="240" w:top="377" w:right="239" w:bottom="1440" w:gutter="0" w:footer="0" w:header="0"/>
        </w:sectPr>
      </w:pPr>
    </w:p>
    <w:p>
      <w:pPr>
        <w:spacing w:after="0" w:line="256" w:lineRule="exact"/>
        <w:rPr>
          <w:sz w:val="24"/>
          <w:szCs w:val="24"/>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Title of Each Class</w:t>
      </w:r>
    </w:p>
    <w:p>
      <w:pPr>
        <w:jc w:val="center"/>
        <w:ind w:left="500"/>
        <w:spacing w:after="0" w:line="226" w:lineRule="auto"/>
        <w:rPr>
          <w:sz w:val="20"/>
          <w:szCs w:val="20"/>
          <w:color w:val="auto"/>
        </w:rPr>
      </w:pPr>
      <w:r>
        <w:rPr>
          <w:rFonts w:ascii="Arial" w:cs="Arial" w:eastAsia="Arial" w:hAnsi="Arial"/>
          <w:sz w:val="14"/>
          <w:szCs w:val="14"/>
          <w:color w:val="auto"/>
        </w:rPr>
        <w:t>Common Stock, $.50 par value</w:t>
      </w:r>
    </w:p>
    <w:p>
      <w:pPr>
        <w:jc w:val="center"/>
        <w:ind w:left="500"/>
        <w:spacing w:after="0" w:line="276" w:lineRule="auto"/>
        <w:rPr>
          <w:sz w:val="20"/>
          <w:szCs w:val="20"/>
          <w:color w:val="auto"/>
        </w:rPr>
      </w:pPr>
      <w:r>
        <w:rPr>
          <w:rFonts w:ascii="Arial" w:cs="Arial" w:eastAsia="Arial" w:hAnsi="Arial"/>
          <w:sz w:val="12"/>
          <w:szCs w:val="12"/>
          <w:color w:val="auto"/>
        </w:rPr>
        <w:t>6.375% Cumulative Perpetual Preferred Stock, Series A, $1,000 liquidation preference per share 6.375% Cumulative Perpetual Preferred Stock, Series C, $1,000 liquidation preference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2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1240" w:type="dxa"/>
            <w:vAlign w:val="bottom"/>
          </w:tcPr>
          <w:p>
            <w:pPr>
              <w:spacing w:after="0"/>
              <w:rPr>
                <w:sz w:val="19"/>
                <w:szCs w:val="19"/>
                <w:color w:val="auto"/>
              </w:rPr>
            </w:pPr>
          </w:p>
        </w:tc>
        <w:tc>
          <w:tcPr>
            <w:tcW w:w="298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3"/>
              </w:rPr>
              <w:t>Trading Symbols</w:t>
            </w: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76"/>
        </w:trPr>
        <w:tc>
          <w:tcPr>
            <w:tcW w:w="12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MTB</w:t>
            </w:r>
          </w:p>
        </w:tc>
        <w:tc>
          <w:tcPr>
            <w:tcW w:w="1920" w:type="dxa"/>
            <w:vAlign w:val="bottom"/>
          </w:tcPr>
          <w:p>
            <w:pPr>
              <w:spacing w:after="0"/>
              <w:rPr>
                <w:sz w:val="15"/>
                <w:szCs w:val="15"/>
                <w:color w:val="auto"/>
              </w:rPr>
            </w:pPr>
          </w:p>
        </w:tc>
        <w:tc>
          <w:tcPr>
            <w:tcW w:w="282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New York Stock Exchange</w:t>
            </w:r>
          </w:p>
        </w:tc>
        <w:tc>
          <w:tcPr>
            <w:tcW w:w="20" w:type="dxa"/>
            <w:vAlign w:val="bottom"/>
          </w:tcPr>
          <w:p>
            <w:pPr>
              <w:spacing w:after="0"/>
              <w:rPr>
                <w:sz w:val="15"/>
                <w:szCs w:val="15"/>
                <w:color w:val="auto"/>
              </w:rPr>
            </w:pPr>
          </w:p>
        </w:tc>
      </w:tr>
      <w:tr>
        <w:trPr>
          <w:trHeight w:val="197"/>
        </w:trPr>
        <w:tc>
          <w:tcPr>
            <w:tcW w:w="1240" w:type="dxa"/>
            <w:vAlign w:val="bottom"/>
          </w:tcPr>
          <w:p>
            <w:pPr>
              <w:spacing w:after="0"/>
              <w:rPr>
                <w:sz w:val="17"/>
                <w:szCs w:val="17"/>
                <w:color w:val="auto"/>
              </w:rPr>
            </w:pPr>
          </w:p>
        </w:tc>
        <w:tc>
          <w:tcPr>
            <w:tcW w:w="2980" w:type="dxa"/>
            <w:vAlign w:val="bottom"/>
            <w:gridSpan w:val="2"/>
          </w:tcPr>
          <w:p>
            <w:pPr>
              <w:jc w:val="center"/>
              <w:ind w:right="1940"/>
              <w:spacing w:after="0"/>
              <w:rPr>
                <w:sz w:val="20"/>
                <w:szCs w:val="20"/>
                <w:color w:val="auto"/>
              </w:rPr>
            </w:pPr>
            <w:r>
              <w:rPr>
                <w:rFonts w:ascii="Arial" w:cs="Arial" w:eastAsia="Arial" w:hAnsi="Arial"/>
                <w:sz w:val="14"/>
                <w:szCs w:val="14"/>
                <w:color w:val="auto"/>
              </w:rPr>
              <w:t>MTBPr</w:t>
            </w:r>
          </w:p>
        </w:tc>
        <w:tc>
          <w:tcPr>
            <w:tcW w:w="2840" w:type="dxa"/>
            <w:vAlign w:val="bottom"/>
            <w:gridSpan w:val="2"/>
          </w:tcPr>
          <w:p>
            <w:pPr>
              <w:ind w:left="560"/>
              <w:spacing w:after="0"/>
              <w:rPr>
                <w:sz w:val="20"/>
                <w:szCs w:val="20"/>
                <w:color w:val="auto"/>
              </w:rPr>
            </w:pPr>
            <w:r>
              <w:rPr>
                <w:rFonts w:ascii="Arial" w:cs="Arial" w:eastAsia="Arial" w:hAnsi="Arial"/>
                <w:sz w:val="14"/>
                <w:szCs w:val="14"/>
                <w:color w:val="auto"/>
              </w:rPr>
              <w:t>New York Stock Exchange</w:t>
            </w:r>
          </w:p>
        </w:tc>
      </w:tr>
      <w:tr>
        <w:trPr>
          <w:trHeight w:val="297"/>
        </w:trPr>
        <w:tc>
          <w:tcPr>
            <w:tcW w:w="1240" w:type="dxa"/>
            <w:vAlign w:val="bottom"/>
          </w:tcPr>
          <w:p>
            <w:pPr>
              <w:spacing w:after="0"/>
              <w:rPr>
                <w:sz w:val="24"/>
                <w:szCs w:val="24"/>
                <w:color w:val="auto"/>
              </w:rPr>
            </w:pPr>
          </w:p>
        </w:tc>
        <w:tc>
          <w:tcPr>
            <w:tcW w:w="2980" w:type="dxa"/>
            <w:vAlign w:val="bottom"/>
            <w:gridSpan w:val="2"/>
          </w:tcPr>
          <w:p>
            <w:pPr>
              <w:jc w:val="center"/>
              <w:ind w:right="1920"/>
              <w:spacing w:after="0"/>
              <w:rPr>
                <w:sz w:val="20"/>
                <w:szCs w:val="20"/>
                <w:color w:val="auto"/>
              </w:rPr>
            </w:pPr>
            <w:r>
              <w:rPr>
                <w:rFonts w:ascii="Arial" w:cs="Arial" w:eastAsia="Arial" w:hAnsi="Arial"/>
                <w:sz w:val="14"/>
                <w:szCs w:val="14"/>
                <w:color w:val="auto"/>
              </w:rPr>
              <w:t>MTBPrC</w:t>
            </w:r>
          </w:p>
        </w:tc>
        <w:tc>
          <w:tcPr>
            <w:tcW w:w="2840" w:type="dxa"/>
            <w:vAlign w:val="bottom"/>
            <w:gridSpan w:val="2"/>
          </w:tcPr>
          <w:p>
            <w:pPr>
              <w:ind w:left="560"/>
              <w:spacing w:after="0"/>
              <w:rPr>
                <w:sz w:val="20"/>
                <w:szCs w:val="20"/>
                <w:color w:val="auto"/>
              </w:rPr>
            </w:pPr>
            <w:r>
              <w:rPr>
                <w:rFonts w:ascii="Arial" w:cs="Arial" w:eastAsia="Arial" w:hAnsi="Arial"/>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385445</wp:posOffset>
            </wp:positionH>
            <wp:positionV relativeFrom="paragraph">
              <wp:posOffset>144780</wp:posOffset>
            </wp:positionV>
            <wp:extent cx="145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300" w:lineRule="exact"/>
        <w:rPr>
          <w:sz w:val="24"/>
          <w:szCs w:val="24"/>
          <w:color w:val="auto"/>
        </w:rPr>
      </w:pPr>
    </w:p>
    <w:p>
      <w:pPr>
        <w:sectPr>
          <w:pgSz w:w="11900" w:h="16838" w:orient="portrait"/>
          <w:cols w:equalWidth="0" w:num="2">
            <w:col w:w="3320" w:space="640"/>
            <w:col w:w="7460"/>
          </w:cols>
          <w:pgMar w:left="240" w:top="377" w:right="239" w:bottom="1440" w:gutter="0" w:footer="0" w:header="0"/>
          <w:type w:val="continuous"/>
        </w:sectPr>
      </w:pPr>
    </w:p>
    <w:p>
      <w:pPr>
        <w:spacing w:after="0" w:line="3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ind w:right="20"/>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3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2"/>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73"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26, 2019: 136,622,163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254635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Arial" w:cs="Arial" w:eastAsia="Arial" w:hAnsi="Arial"/>
                <w:sz w:val="18"/>
                <w:szCs w:val="18"/>
                <w:color w:val="auto"/>
                <w:w w:val="97"/>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FORM 10-Q</w:t>
            </w:r>
          </w:p>
        </w:tc>
        <w:tc>
          <w:tcPr>
            <w:tcW w:w="660" w:type="dxa"/>
            <w:vAlign w:val="bottom"/>
            <w:tcBorders>
              <w:top w:val="single" w:sz="8" w:color="auto"/>
            </w:tcBorders>
            <w:gridSpan w:val="2"/>
          </w:tcPr>
          <w:p>
            <w:pPr>
              <w:spacing w:after="0"/>
              <w:rPr>
                <w:sz w:val="24"/>
                <w:szCs w:val="24"/>
                <w:color w:val="auto"/>
              </w:rPr>
            </w:pPr>
          </w:p>
        </w:tc>
        <w:tc>
          <w:tcPr>
            <w:tcW w:w="420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60" w:type="dxa"/>
            <w:vAlign w:val="bottom"/>
            <w:gridSpan w:val="15"/>
          </w:tcPr>
          <w:p>
            <w:pPr>
              <w:jc w:val="center"/>
              <w:ind w:right="3600"/>
              <w:spacing w:after="0"/>
              <w:rPr>
                <w:sz w:val="20"/>
                <w:szCs w:val="20"/>
                <w:color w:val="auto"/>
              </w:rPr>
            </w:pPr>
            <w:r>
              <w:rPr>
                <w:rFonts w:ascii="Arial" w:cs="Arial" w:eastAsia="Arial" w:hAnsi="Arial"/>
                <w:sz w:val="18"/>
                <w:szCs w:val="18"/>
                <w:color w:val="auto"/>
                <w:w w:val="90"/>
              </w:rPr>
              <w:t>For the Quarterly Period Ended March 31, 2019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80" w:type="dxa"/>
            <w:vAlign w:val="bottom"/>
            <w:gridSpan w:val="13"/>
          </w:tcPr>
          <w:p>
            <w:pPr>
              <w:spacing w:after="0"/>
              <w:rPr>
                <w:sz w:val="20"/>
                <w:szCs w:val="20"/>
                <w:color w:val="auto"/>
              </w:rPr>
            </w:pPr>
            <w:r>
              <w:rPr>
                <w:rFonts w:ascii="Arial" w:cs="Arial" w:eastAsia="Arial" w:hAnsi="Arial"/>
                <w:sz w:val="18"/>
                <w:szCs w:val="18"/>
                <w:color w:val="auto"/>
                <w:w w:val="95"/>
              </w:rPr>
              <w:t>Table of Contents of Information Required in Report</w:t>
            </w:r>
          </w:p>
        </w:tc>
        <w:tc>
          <w:tcPr>
            <w:tcW w:w="3460" w:type="dxa"/>
            <w:vAlign w:val="bottom"/>
            <w:tcBorders>
              <w:top w:val="single" w:sz="8" w:color="auto"/>
            </w:tcBorders>
            <w:gridSpan w:val="10"/>
          </w:tcPr>
          <w:p>
            <w:pPr>
              <w:spacing w:after="0"/>
              <w:rPr>
                <w:sz w:val="24"/>
                <w:szCs w:val="24"/>
                <w:color w:val="auto"/>
              </w:rPr>
            </w:pPr>
          </w:p>
        </w:tc>
        <w:tc>
          <w:tcPr>
            <w:tcW w:w="3600" w:type="dxa"/>
            <w:vAlign w:val="bottom"/>
            <w:gridSpan w:val="5"/>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gridSpan w:val="1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00" w:type="dxa"/>
            <w:vAlign w:val="bottom"/>
            <w:gridSpan w:val="12"/>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March 31, 2019 and December 31, 2018</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 OF INCOME – Three months ended March 31, 2019 and 2018</w:t>
              </w:r>
            </w:hyperlink>
          </w:p>
        </w:tc>
        <w:tc>
          <w:tcPr>
            <w:tcW w:w="272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 xml:space="preserve">CONSOLIDATED STATEMENT OF COMPREHENSIVE INCOME – </w:t>
              </w:r>
            </w:hyperlink>
            <w:r>
              <w:rPr>
                <w:rFonts w:ascii="Arial" w:cs="Arial" w:eastAsia="Arial" w:hAnsi="Arial"/>
                <w:sz w:val="18"/>
                <w:szCs w:val="18"/>
                <w:color w:val="000000"/>
              </w:rPr>
              <w:t>Three</w:t>
            </w:r>
            <w:r>
              <w:rPr>
                <w:rFonts w:ascii="Arial" w:cs="Arial" w:eastAsia="Arial" w:hAnsi="Arial"/>
                <w:sz w:val="18"/>
                <w:szCs w:val="18"/>
                <w:color w:val="0000EE"/>
              </w:rPr>
              <w:t xml:space="preserve"> </w:t>
            </w:r>
            <w:r>
              <w:rPr>
                <w:rFonts w:ascii="Arial" w:cs="Arial" w:eastAsia="Arial" w:hAnsi="Arial"/>
                <w:sz w:val="18"/>
                <w:szCs w:val="18"/>
                <w:color w:val="000000"/>
              </w:rPr>
              <w:t>months ended March 31, 2019 and 2018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Three months ended March 31, 2019 and 2018</w:t>
              </w:r>
            </w:hyperlink>
          </w:p>
        </w:tc>
        <w:tc>
          <w:tcPr>
            <w:tcW w:w="230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2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SHAREHOLDERS' EQUITY – Three months ended March 31, 2019 and 2018</w:t>
              </w:r>
            </w:hyperlink>
          </w:p>
        </w:tc>
        <w:tc>
          <w:tcPr>
            <w:tcW w:w="1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6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6"/>
          </w:tcPr>
          <w:p>
            <w:pPr>
              <w:spacing w:after="0"/>
              <w:rPr>
                <w:sz w:val="24"/>
                <w:szCs w:val="24"/>
                <w:color w:val="auto"/>
              </w:rPr>
            </w:pPr>
          </w:p>
        </w:tc>
        <w:tc>
          <w:tcPr>
            <w:tcW w:w="32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6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38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Unregistered Sales of Equity Securities and Use of Proceeds.</w:t>
              </w:r>
            </w:hyperlink>
          </w:p>
        </w:tc>
        <w:tc>
          <w:tcPr>
            <w:tcW w:w="53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Defaults Upon Senior Securities.</w:t>
              </w:r>
            </w:hyperlink>
          </w:p>
        </w:tc>
        <w:tc>
          <w:tcPr>
            <w:tcW w:w="738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82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9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40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9"/>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7"/>
          </w:tcPr>
          <w:p>
            <w:pPr>
              <w:jc w:val="center"/>
              <w:ind w:left="3870"/>
              <w:spacing w:after="0"/>
              <w:rPr>
                <w:sz w:val="20"/>
                <w:szCs w:val="20"/>
                <w:color w:val="auto"/>
              </w:rPr>
            </w:pPr>
            <w:r>
              <w:rPr>
                <w:rFonts w:ascii="Arial" w:cs="Arial" w:eastAsia="Arial" w:hAnsi="Arial"/>
                <w:sz w:val="18"/>
                <w:szCs w:val="18"/>
                <w:color w:val="auto"/>
                <w:w w:val="93"/>
              </w:rPr>
              <w:t>- 2 -</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1,267,260</w:t>
            </w:r>
          </w:p>
        </w:tc>
        <w:tc>
          <w:tcPr>
            <w:tcW w:w="26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1,605,439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7,602,897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8,105,197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Trading account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276,322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185,584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$471,572 at March 31, 2019; $487,365 at December 31, 2018)</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60"/>
              <w:spacing w:after="0" w:line="162" w:lineRule="exact"/>
              <w:rPr>
                <w:sz w:val="20"/>
                <w:szCs w:val="20"/>
                <w:color w:val="auto"/>
              </w:rPr>
            </w:pPr>
            <w:r>
              <w:rPr>
                <w:rFonts w:ascii="Arial" w:cs="Arial" w:eastAsia="Arial" w:hAnsi="Arial"/>
                <w:sz w:val="15"/>
                <w:szCs w:val="15"/>
                <w:color w:val="auto"/>
              </w:rPr>
              <w:t>Available for sale (cost: $8,398,686 at March 31, 2019;</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rPr>
                <w:sz w:val="20"/>
                <w:szCs w:val="20"/>
                <w:color w:val="auto"/>
              </w:rPr>
            </w:pPr>
            <w:r>
              <w:rPr>
                <w:rFonts w:ascii="Arial" w:cs="Arial" w:eastAsia="Arial" w:hAnsi="Arial"/>
                <w:sz w:val="15"/>
                <w:szCs w:val="15"/>
                <w:color w:val="auto"/>
              </w:rPr>
              <w:t>$8,869,423 at December 31, 2018)</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8,325,584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8,682,509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Held to maturity (fair value: $3,699,596 at March 31, 2019;</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$3,255,483 at December 31, 2018)</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3,714,699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3,316,640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60"/>
              <w:spacing w:after="0" w:line="162" w:lineRule="exact"/>
              <w:rPr>
                <w:sz w:val="20"/>
                <w:szCs w:val="20"/>
                <w:color w:val="auto"/>
              </w:rPr>
            </w:pPr>
            <w:r>
              <w:rPr>
                <w:rFonts w:ascii="Arial" w:cs="Arial" w:eastAsia="Arial" w:hAnsi="Arial"/>
                <w:sz w:val="15"/>
                <w:szCs w:val="15"/>
                <w:color w:val="auto"/>
              </w:rPr>
              <w:t>Equity and other securities (cost: $468,232 at March 31, 2019;</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$677,187 at December 31, 2018)</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496,557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693,664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12,536,840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12,692,813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Arial" w:cs="Arial" w:eastAsia="Arial" w:hAnsi="Arial"/>
                <w:sz w:val="15"/>
                <w:szCs w:val="15"/>
                <w:color w:val="auto"/>
              </w:rPr>
              <w:t>Loans and leases</w:t>
            </w:r>
          </w:p>
        </w:tc>
        <w:tc>
          <w:tcPr>
            <w:tcW w:w="2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88,897,260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color w:val="auto"/>
              </w:rPr>
              <w:t>88,733,492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Unearned discount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(257,377)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(267,015)</w:t>
            </w:r>
          </w:p>
        </w:tc>
        <w:tc>
          <w:tcPr>
            <w:tcW w:w="0" w:type="dxa"/>
            <w:vAlign w:val="bottom"/>
          </w:tcPr>
          <w:p>
            <w:pPr>
              <w:spacing w:after="0"/>
              <w:rPr>
                <w:sz w:val="1"/>
                <w:szCs w:val="1"/>
                <w:color w:val="auto"/>
              </w:rPr>
            </w:pPr>
          </w:p>
        </w:tc>
      </w:tr>
      <w:tr>
        <w:trPr>
          <w:trHeight w:val="169"/>
        </w:trPr>
        <w:tc>
          <w:tcPr>
            <w:tcW w:w="8020" w:type="dxa"/>
            <w:vAlign w:val="bottom"/>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88,639,883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88,466,477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Allowance for credit losses</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(1,019,337)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(1,019,444)</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87,620,546</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87,447,033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Premises and equipment</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1,044,761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647,408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4,593,112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Core deposit and other intangible assets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43,947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Accrued interest and other assets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5,039,520</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4,773,750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120,025,205</w:t>
            </w:r>
          </w:p>
        </w:tc>
        <w:tc>
          <w:tcPr>
            <w:tcW w:w="2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120,097,403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Noninterest-bearing deposits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29,966,753</w:t>
            </w:r>
          </w:p>
        </w:tc>
        <w:tc>
          <w:tcPr>
            <w:tcW w:w="2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32,256,668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Savings and interest-checking deposits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52,932,297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50,963,744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Time deposits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6,501,509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6,124,254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Deposits at Cayman Islands office</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1,069,191</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811,906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90,469,750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90,156,572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Arial" w:cs="Arial" w:eastAsia="Arial" w:hAnsi="Arial"/>
                <w:sz w:val="15"/>
                <w:szCs w:val="15"/>
                <w:color w:val="auto"/>
              </w:rPr>
              <w:t>Short-term borrowings</w:t>
            </w:r>
          </w:p>
        </w:tc>
        <w:tc>
          <w:tcPr>
            <w:tcW w:w="2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3,602,566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color w:val="auto"/>
              </w:rPr>
              <w:t>4,398,378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liabilities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1,889,336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1,637,348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Long-term borrowings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8,476,024</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8,444,914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104,437,676</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104,637,212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FF0FC"/>
          </w:tcPr>
          <w:p>
            <w:pPr>
              <w:spacing w:after="0" w:line="165" w:lineRule="exact"/>
              <w:rPr>
                <w:sz w:val="20"/>
                <w:szCs w:val="20"/>
                <w:color w:val="auto"/>
              </w:rPr>
            </w:pPr>
            <w:r>
              <w:rPr>
                <w:rFonts w:ascii="Arial" w:cs="Arial" w:eastAsia="Arial" w:hAnsi="Arial"/>
                <w:sz w:val="15"/>
                <w:szCs w:val="15"/>
                <w:color w:val="auto"/>
              </w:rPr>
              <w:t>Preferred stock, $1.00 par, 1,000,000 shares authorized;</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share: 731,500 shares at March 31, 2019 and December 31, 2018;</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Liquidation preference of $10,000 per share: 50,000</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shares at March 31, 2019 and December 31, 2018</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120"/>
              <w:spacing w:after="0" w:line="162" w:lineRule="exact"/>
              <w:rPr>
                <w:sz w:val="20"/>
                <w:szCs w:val="20"/>
                <w:color w:val="auto"/>
              </w:rPr>
            </w:pPr>
            <w:r>
              <w:rPr>
                <w:rFonts w:ascii="Arial" w:cs="Arial" w:eastAsia="Arial" w:hAnsi="Arial"/>
                <w:sz w:val="15"/>
                <w:szCs w:val="15"/>
                <w:color w:val="auto"/>
              </w:rPr>
              <w:t>159,741,898 shares issued at March 31, 2019;</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rPr>
                <w:sz w:val="20"/>
                <w:szCs w:val="20"/>
                <w:color w:val="auto"/>
              </w:rPr>
            </w:pPr>
            <w:r>
              <w:rPr>
                <w:rFonts w:ascii="Arial" w:cs="Arial" w:eastAsia="Arial" w:hAnsi="Arial"/>
                <w:sz w:val="15"/>
                <w:szCs w:val="15"/>
                <w:color w:val="auto"/>
              </w:rPr>
              <w:t>159,765,044 shares issued at December 31, 2018</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79,871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79,883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issuable, 21,324 shares at March 31, 2019;</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24,563 shares at December 31, 2018</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6,568,480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6,579,342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11,842,371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11,516,672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5"/>
                <w:szCs w:val="15"/>
                <w:color w:val="auto"/>
              </w:rPr>
              <w:t>Accumulated other comprehensive income (loss), net</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(288,009)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(420,081)</w:t>
            </w: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Treasury stock — common, at cost — 23,126,505 shares at March 31, 2019;</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160"/>
              <w:spacing w:after="0"/>
              <w:rPr>
                <w:sz w:val="20"/>
                <w:szCs w:val="20"/>
                <w:color w:val="auto"/>
              </w:rPr>
            </w:pPr>
            <w:r>
              <w:rPr>
                <w:rFonts w:ascii="Arial" w:cs="Arial" w:eastAsia="Arial" w:hAnsi="Arial"/>
                <w:sz w:val="15"/>
                <w:szCs w:val="15"/>
                <w:color w:val="auto"/>
              </w:rPr>
              <w:t>21,255,275 shares at December 31, 2018</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(3,848,198)</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(3,528,851)</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15,587,529</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15,460,191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22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120,025,205</w:t>
            </w:r>
          </w:p>
        </w:tc>
        <w:tc>
          <w:tcPr>
            <w:tcW w:w="2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120,097,403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Loans and leases, including fees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1,117,913</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taxable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60"/>
              <w:spacing w:after="0"/>
              <w:rPr>
                <w:sz w:val="20"/>
                <w:szCs w:val="20"/>
                <w:color w:val="auto"/>
              </w:rPr>
            </w:pPr>
            <w:r>
              <w:rPr>
                <w:rFonts w:ascii="Arial" w:cs="Arial" w:eastAsia="Arial" w:hAnsi="Arial"/>
                <w:sz w:val="18"/>
                <w:szCs w:val="18"/>
                <w:color w:val="auto"/>
              </w:rPr>
              <w:t>Exempt from federal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27,407</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1,226,309</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76,138</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Time deposits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21,081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Deposits at Cayman Islands office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Short-term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67,579</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176,249</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interest income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1,050,060</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1,028,060</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Mortgage banking revenues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95,311</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103,112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132,786</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12,476</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and foreign exchange gains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10,802</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Gain (loss) on bank investment securities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 operations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134,437</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500,765</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499,200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79,347</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52,417</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218,808</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894,348</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933,344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634,477</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151,735</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462,086</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462,086</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b w:val="1"/>
                <w:bCs w:val="1"/>
                <w:color w:val="auto"/>
              </w:rPr>
              <w:t>Average common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137,889</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137,920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ectPr>
          <w:pgSz w:w="11900" w:h="16838" w:orient="portrait"/>
          <w:cols w:equalWidth="0" w:num="1">
            <w:col w:w="11420"/>
          </w:cols>
          <w:pgMar w:left="240" w:top="126"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5"/>
        </w:trPr>
        <w:tc>
          <w:tcPr>
            <w:tcW w:w="63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352,610</w:t>
            </w:r>
          </w:p>
        </w:tc>
        <w:tc>
          <w:tcPr>
            <w:tcW w:w="100" w:type="dxa"/>
            <w:vAlign w:val="bottom"/>
            <w:shd w:val="clear" w:color="auto" w:fill="CFF0FC"/>
          </w:tcPr>
          <w:p>
            <w:pPr>
              <w:spacing w:after="0"/>
              <w:rPr>
                <w:sz w:val="19"/>
                <w:szCs w:val="19"/>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84,591</w:t>
            </w: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(100,684)</w:t>
            </w: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Cash flow hedges adjustments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44,921</w:t>
            </w:r>
          </w:p>
        </w:tc>
        <w:tc>
          <w:tcPr>
            <w:tcW w:w="4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(10,442)</w:t>
            </w: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2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4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Borders>
              <w:bottom w:val="single" w:sz="8" w:color="CFF0FC"/>
            </w:tcBorders>
          </w:tcPr>
          <w:p>
            <w:pPr>
              <w:spacing w:after="0"/>
              <w:rPr>
                <w:sz w:val="19"/>
                <w:szCs w:val="19"/>
                <w:color w:val="auto"/>
              </w:rPr>
            </w:pPr>
          </w:p>
        </w:tc>
      </w:tr>
      <w:tr>
        <w:trPr>
          <w:trHeight w:val="223"/>
        </w:trPr>
        <w:tc>
          <w:tcPr>
            <w:tcW w:w="6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132,072</w:t>
            </w:r>
          </w:p>
        </w:tc>
        <w:tc>
          <w:tcPr>
            <w:tcW w:w="4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(102,576)</w:t>
            </w:r>
          </w:p>
        </w:tc>
        <w:tc>
          <w:tcPr>
            <w:tcW w:w="100" w:type="dxa"/>
            <w:vAlign w:val="bottom"/>
            <w:shd w:val="clear" w:color="auto" w:fill="CFF0FC"/>
          </w:tcPr>
          <w:p>
            <w:pPr>
              <w:spacing w:after="0"/>
              <w:rPr>
                <w:sz w:val="19"/>
                <w:szCs w:val="19"/>
                <w:color w:val="auto"/>
              </w:rPr>
            </w:pPr>
          </w:p>
        </w:tc>
      </w:tr>
      <w:tr>
        <w:trPr>
          <w:trHeight w:val="223"/>
        </w:trPr>
        <w:tc>
          <w:tcPr>
            <w:tcW w:w="63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22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614,814</w:t>
            </w:r>
          </w:p>
        </w:tc>
        <w:tc>
          <w:tcPr>
            <w:tcW w:w="4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250,034</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482,742</w:t>
            </w:r>
          </w:p>
        </w:tc>
        <w:tc>
          <w:tcPr>
            <w:tcW w:w="42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352,610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Provision for credit losses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 of premises and equipment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50,982</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Amortization of capitalized servicing rights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16,170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core deposit and other intangible assets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Provision for deferred income taxes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13,441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(124,772)</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Asset write-downs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1,919</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Net gain on sales of assets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(5,171)</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change in accrued interest receivable, payable</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(35,071)</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(14,803)</w:t>
            </w: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Net change in other accrued income and expense</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(171,304)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165,114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change in loans originated for sale</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202,670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(72,403)</w:t>
            </w: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Arial" w:cs="Arial" w:eastAsia="Arial" w:hAnsi="Arial"/>
                <w:sz w:val="14"/>
                <w:szCs w:val="14"/>
                <w:color w:val="auto"/>
              </w:rPr>
              <w:t>Net change in trading account assets and liabilities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(170,092)</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91,219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413,306</w:t>
            </w:r>
          </w:p>
        </w:tc>
        <w:tc>
          <w:tcPr>
            <w:tcW w:w="4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484,179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Available for sale</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and other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312,743</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254,860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Proceeds from maturities of investment securities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Available for sale</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371,714</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349,294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Held to maturity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99,960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123,923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Purchases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Available for sale</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(1,595)</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Held to maturity</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(495,277)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Equity and other securities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(103,795)</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(288,259)</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loans and leases</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(412,670)</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303,886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Net (increase) decrease in interest-bearing deposits at banks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502,300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(1,056,531)</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net</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(30,710)</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(9,544)</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Net decrease in loan servicing advances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22,891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115,163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Other, net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(41,322)</w:t>
            </w: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provided (used) by investing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271,261</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(248,530)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Net increase (decrease) in deposits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313,849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(1,484,629)</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short-term borrowings</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(795,812)</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1,451,030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999,594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on long-term borrowings</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(1,139)</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(504,192)</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(365,628)</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(720,966)</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Dividends paid — common</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(139,595)</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(112,318)</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Dividends paid — preferred</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(17,368)</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(17,368)</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Other, net</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(17,053)</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by financing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(1,022,746)</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(363,873)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(338,179)</w:t>
            </w: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(128,224)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1,605,439</w:t>
            </w: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1,420,888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1,267,260</w:t>
            </w:r>
          </w:p>
        </w:tc>
        <w:tc>
          <w:tcPr>
            <w:tcW w:w="4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1,292,664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Interest received during the period</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1,194,023</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1,077,676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Interest paid during the period</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191,309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118,342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Income taxes paid during the period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149,548</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Real estate acquired in settlement of loans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24,840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Securitization of residential mortgage loans allocated to</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Available-for-sale investment securities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5,379</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Capitalized servicing rights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Adoption of lease accounting standard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Arial" w:cs="Arial" w:eastAsia="Arial" w:hAnsi="Arial"/>
                <w:sz w:val="14"/>
                <w:szCs w:val="14"/>
                <w:color w:val="auto"/>
              </w:rPr>
              <w:t>Right-of-use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393,877</w:t>
            </w:r>
          </w:p>
        </w:tc>
        <w:tc>
          <w:tcPr>
            <w:tcW w:w="42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398,810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540" w:type="dxa"/>
            <w:vAlign w:val="bottom"/>
          </w:tcPr>
          <w:p>
            <w:pPr>
              <w:spacing w:after="0"/>
              <w:rPr>
                <w:sz w:val="20"/>
                <w:szCs w:val="20"/>
                <w:color w:val="auto"/>
              </w:rPr>
            </w:pPr>
            <w:r>
              <w:rPr>
                <w:rFonts w:ascii="Arial" w:cs="Arial" w:eastAsia="Arial" w:hAnsi="Arial"/>
                <w:sz w:val="14"/>
                <w:szCs w:val="14"/>
                <w:color w:val="auto"/>
              </w:rPr>
              <w:t>Additions to right-of-use assets under operating leases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20,410</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Additional</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Comprehensive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Preferred</w:t>
            </w: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Retained</w:t>
            </w: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Income</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Treasury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1140" w:type="dxa"/>
            <w:vAlign w:val="bottom"/>
          </w:tcPr>
          <w:p>
            <w:pPr>
              <w:spacing w:after="0"/>
              <w:rPr>
                <w:sz w:val="14"/>
                <w:szCs w:val="14"/>
                <w:color w:val="auto"/>
              </w:rPr>
            </w:pPr>
          </w:p>
        </w:tc>
        <w:tc>
          <w:tcPr>
            <w:tcW w:w="660" w:type="dxa"/>
            <w:vAlign w:val="bottom"/>
          </w:tcPr>
          <w:p>
            <w:pPr>
              <w:jc w:val="right"/>
              <w:ind w:right="93"/>
              <w:spacing w:after="0" w:line="148"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4"/>
                <w:szCs w:val="14"/>
                <w:color w:val="auto"/>
              </w:rPr>
            </w:pPr>
          </w:p>
        </w:tc>
        <w:tc>
          <w:tcPr>
            <w:tcW w:w="72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88"/>
              </w:rPr>
              <w:t>Issuable</w:t>
            </w:r>
          </w:p>
        </w:tc>
        <w:tc>
          <w:tcPr>
            <w:tcW w:w="86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Earnings</w:t>
            </w: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(Loss), Net</w:t>
            </w:r>
          </w:p>
        </w:tc>
        <w:tc>
          <w:tcPr>
            <w:tcW w:w="90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Stock</w:t>
            </w:r>
          </w:p>
        </w:tc>
        <w:tc>
          <w:tcPr>
            <w:tcW w:w="84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2018</w:t>
            </w:r>
          </w:p>
        </w:tc>
        <w:tc>
          <w:tcPr>
            <w:tcW w:w="11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3"/>
                <w:szCs w:val="13"/>
                <w:color w:val="auto"/>
              </w:rPr>
              <w:t>Balance — January 1, 2018</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$ 1,231,500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79,909</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1,847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6,590,855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10,164,804</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(363,814)</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(1,454,282)</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$ 16,250,819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Cumulative effect of change in</w:t>
            </w: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FF0FC"/>
          </w:tcPr>
          <w:p>
            <w:pPr>
              <w:ind w:left="100"/>
              <w:spacing w:after="0" w:line="149" w:lineRule="exact"/>
              <w:rPr>
                <w:sz w:val="20"/>
                <w:szCs w:val="20"/>
                <w:color w:val="auto"/>
              </w:rPr>
            </w:pPr>
            <w:r>
              <w:rPr>
                <w:rFonts w:ascii="Arial" w:cs="Arial" w:eastAsia="Arial" w:hAnsi="Arial"/>
                <w:sz w:val="13"/>
                <w:szCs w:val="13"/>
                <w:color w:val="auto"/>
              </w:rPr>
              <w:t>accounting principle — equity</w:t>
            </w:r>
          </w:p>
        </w:tc>
        <w:tc>
          <w:tcPr>
            <w:tcW w:w="1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securities</w:t>
            </w: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16,853</w:t>
            </w:r>
          </w:p>
        </w:tc>
        <w:tc>
          <w:tcPr>
            <w:tcW w:w="180" w:type="dxa"/>
            <w:vAlign w:val="bottom"/>
            <w:tcBorders>
              <w:right w:val="single" w:sz="8" w:color="CFF0FC"/>
            </w:tcBorders>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(16,853)</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352,610</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(102,576)</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250,034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(18,130)</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(18,130)</w:t>
            </w:r>
          </w:p>
        </w:tc>
        <w:tc>
          <w:tcPr>
            <w:tcW w:w="0" w:type="dxa"/>
            <w:vAlign w:val="bottom"/>
          </w:tcPr>
          <w:p>
            <w:pPr>
              <w:spacing w:after="0"/>
              <w:rPr>
                <w:sz w:val="1"/>
                <w:szCs w:val="1"/>
                <w:color w:val="auto"/>
              </w:rPr>
            </w:pPr>
          </w:p>
        </w:tc>
      </w:tr>
      <w:tr>
        <w:trPr>
          <w:trHeight w:val="151"/>
        </w:trPr>
        <w:tc>
          <w:tcPr>
            <w:tcW w:w="3340" w:type="dxa"/>
            <w:vAlign w:val="bottom"/>
            <w:gridSpan w:val="2"/>
          </w:tcPr>
          <w:p>
            <w:pPr>
              <w:spacing w:after="0"/>
              <w:rPr>
                <w:sz w:val="20"/>
                <w:szCs w:val="20"/>
                <w:color w:val="auto"/>
              </w:rPr>
            </w:pPr>
            <w:r>
              <w:rPr>
                <w:rFonts w:ascii="Arial" w:cs="Arial" w:eastAsia="Arial" w:hAnsi="Arial"/>
                <w:sz w:val="13"/>
                <w:szCs w:val="13"/>
                <w:color w:val="auto"/>
              </w:rPr>
              <w:t>Exercise of 36,974 Series A stock</w:t>
            </w: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100"/>
              <w:spacing w:after="0" w:line="149" w:lineRule="exact"/>
              <w:rPr>
                <w:sz w:val="20"/>
                <w:szCs w:val="20"/>
                <w:color w:val="auto"/>
              </w:rPr>
            </w:pPr>
            <w:r>
              <w:rPr>
                <w:rFonts w:ascii="Arial" w:cs="Arial" w:eastAsia="Arial" w:hAnsi="Arial"/>
                <w:sz w:val="13"/>
                <w:szCs w:val="13"/>
                <w:color w:val="auto"/>
              </w:rPr>
              <w:t>warrants into 22,553 shares of</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1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(3,455)</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3,455</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(720,966)</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(720,966)</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3"/>
                <w:szCs w:val="13"/>
                <w:color w:val="auto"/>
              </w:rPr>
              <w:t>Stock-based compensation plans:</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Compensation expense, net</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(25)</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(15,362)</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21,220</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Arial" w:cs="Arial" w:eastAsia="Arial" w:hAnsi="Arial"/>
                <w:sz w:val="13"/>
                <w:szCs w:val="13"/>
                <w:color w:val="auto"/>
              </w:rPr>
              <w:t>Exercises of stock options, net</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(1,945)</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44,045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 purchase plan</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2,358</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8,766</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Arial" w:cs="Arial" w:eastAsia="Arial" w:hAnsi="Arial"/>
                <w:sz w:val="13"/>
                <w:szCs w:val="13"/>
                <w:color w:val="auto"/>
              </w:rPr>
              <w:t>Directors’ stock plan</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74</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515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Deferred compensation plans, net,</w:t>
            </w: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40" w:type="dxa"/>
            <w:vAlign w:val="bottom"/>
            <w:gridSpan w:val="2"/>
            <w:shd w:val="clear" w:color="auto" w:fill="CFF0FC"/>
          </w:tcPr>
          <w:p>
            <w:pPr>
              <w:ind w:left="360"/>
              <w:spacing w:after="0"/>
              <w:rPr>
                <w:sz w:val="20"/>
                <w:szCs w:val="20"/>
                <w:color w:val="auto"/>
              </w:rPr>
            </w:pPr>
            <w:r>
              <w:rPr>
                <w:rFonts w:ascii="Arial" w:cs="Arial" w:eastAsia="Arial" w:hAnsi="Arial"/>
                <w:sz w:val="13"/>
                <w:szCs w:val="13"/>
                <w:color w:val="auto"/>
              </w:rPr>
              <w:t>including dividend equivalents</w:t>
            </w: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(172)</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(244)</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1"/>
        </w:trPr>
        <w:tc>
          <w:tcPr>
            <w:tcW w:w="33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40" w:type="dxa"/>
            <w:vAlign w:val="bottom"/>
            <w:gridSpan w:val="2"/>
          </w:tcPr>
          <w:p>
            <w:pPr>
              <w:ind w:left="100"/>
              <w:spacing w:after="0"/>
              <w:rPr>
                <w:sz w:val="20"/>
                <w:szCs w:val="20"/>
                <w:color w:val="auto"/>
              </w:rPr>
            </w:pPr>
            <w:r>
              <w:rPr>
                <w:rFonts w:ascii="Arial" w:cs="Arial" w:eastAsia="Arial" w:hAnsi="Arial"/>
                <w:sz w:val="13"/>
                <w:szCs w:val="13"/>
                <w:color w:val="auto"/>
              </w:rPr>
              <w:t>$.75 per share</w:t>
            </w:r>
          </w:p>
        </w:tc>
        <w:tc>
          <w:tcPr>
            <w:tcW w:w="1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(111,661)</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(111,661)</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March 31, 2018</w:t>
            </w:r>
          </w:p>
        </w:tc>
        <w:tc>
          <w:tcPr>
            <w:tcW w:w="1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$ 1,231,500</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79,884</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6,572,281</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10,404,458</w:t>
            </w:r>
          </w:p>
        </w:tc>
        <w:tc>
          <w:tcPr>
            <w:tcW w:w="180" w:type="dxa"/>
            <w:vAlign w:val="bottom"/>
            <w:tcBorders>
              <w:right w:val="single" w:sz="8" w:color="CFF0FC"/>
            </w:tcBorders>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(483,243)</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(2,096,861)</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$ 15,709,694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2019</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$ 1,231,500</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79,883</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1,726</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6,579,342</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11,516,672</w:t>
            </w:r>
          </w:p>
        </w:tc>
        <w:tc>
          <w:tcPr>
            <w:tcW w:w="180" w:type="dxa"/>
            <w:vAlign w:val="bottom"/>
            <w:tcBorders>
              <w:right w:val="single" w:sz="8" w:color="CFF0FC"/>
            </w:tcBorders>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(420,081)</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(3,528,851)</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$ 15,460,191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482,742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132,072</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614,814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(18,130)</w:t>
            </w: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(18,130)</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(365,628)</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(365,628)</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Arial" w:cs="Arial" w:eastAsia="Arial" w:hAnsi="Arial"/>
                <w:sz w:val="13"/>
                <w:szCs w:val="13"/>
                <w:color w:val="auto"/>
              </w:rPr>
              <w:t>Compensation expense, net</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(12)</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(7,606)</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25,738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Exercises of stock options, net</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(2,818)</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Arial" w:cs="Arial" w:eastAsia="Arial" w:hAnsi="Arial"/>
                <w:sz w:val="13"/>
                <w:szCs w:val="13"/>
                <w:color w:val="auto"/>
              </w:rPr>
              <w:t>Stock purchase plan</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(67)</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11,899</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Directors’ stock plan</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(84)</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40" w:type="dxa"/>
            <w:vAlign w:val="bottom"/>
            <w:gridSpan w:val="2"/>
          </w:tcPr>
          <w:p>
            <w:pPr>
              <w:ind w:left="260"/>
              <w:spacing w:after="0"/>
              <w:rPr>
                <w:sz w:val="20"/>
                <w:szCs w:val="20"/>
                <w:color w:val="auto"/>
              </w:rPr>
            </w:pPr>
            <w:r>
              <w:rPr>
                <w:rFonts w:ascii="Arial" w:cs="Arial" w:eastAsia="Arial" w:hAnsi="Arial"/>
                <w:sz w:val="13"/>
                <w:szCs w:val="13"/>
                <w:color w:val="auto"/>
              </w:rPr>
              <w:t>Deferred compensation plans, net,</w:t>
            </w: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40" w:type="dxa"/>
            <w:vAlign w:val="bottom"/>
            <w:gridSpan w:val="2"/>
          </w:tcPr>
          <w:p>
            <w:pPr>
              <w:ind w:left="360"/>
              <w:spacing w:after="0"/>
              <w:rPr>
                <w:sz w:val="20"/>
                <w:szCs w:val="20"/>
                <w:color w:val="auto"/>
              </w:rPr>
            </w:pPr>
            <w:r>
              <w:rPr>
                <w:rFonts w:ascii="Arial" w:cs="Arial" w:eastAsia="Arial" w:hAnsi="Arial"/>
                <w:sz w:val="13"/>
                <w:szCs w:val="13"/>
                <w:color w:val="auto"/>
              </w:rPr>
              <w:t>including dividend equivalents</w:t>
            </w:r>
          </w:p>
        </w:tc>
        <w:tc>
          <w:tcPr>
            <w:tcW w:w="1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(212)</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(316)</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(22)</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486</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Performance share unit dividends</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8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(29)</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3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40" w:type="dxa"/>
            <w:vAlign w:val="bottom"/>
            <w:gridSpan w:val="2"/>
          </w:tcPr>
          <w:p>
            <w:pPr>
              <w:ind w:left="100"/>
              <w:spacing w:after="0"/>
              <w:rPr>
                <w:sz w:val="20"/>
                <w:szCs w:val="20"/>
                <w:color w:val="auto"/>
              </w:rPr>
            </w:pPr>
            <w:r>
              <w:rPr>
                <w:rFonts w:ascii="Arial" w:cs="Arial" w:eastAsia="Arial" w:hAnsi="Arial"/>
                <w:sz w:val="13"/>
                <w:szCs w:val="13"/>
                <w:color w:val="auto"/>
              </w:rPr>
              <w:t>$1.00 per share</w:t>
            </w:r>
          </w:p>
        </w:tc>
        <w:tc>
          <w:tcPr>
            <w:tcW w:w="1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(138,862)</w:t>
            </w: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(138,862)</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March 31, 2019</w:t>
            </w:r>
          </w:p>
        </w:tc>
        <w:tc>
          <w:tcPr>
            <w:tcW w:w="1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$ 1,231,500</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1,514</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6,568,480</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11,842,371</w:t>
            </w:r>
          </w:p>
        </w:tc>
        <w:tc>
          <w:tcPr>
            <w:tcW w:w="180" w:type="dxa"/>
            <w:vAlign w:val="bottom"/>
            <w:tcBorders>
              <w:right w:val="single" w:sz="8" w:color="CFF0FC"/>
            </w:tcBorders>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(288,009)</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(3,848,198)</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$ 15,587,529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80" w:right="640" w:hanging="572"/>
        <w:spacing w:after="0" w:line="292"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three-month periods ended March 31, 2019 and 2018, dividends per preferred share were: Preferred Series A- $15.9375; Preferred Series C - $15.9375; Preferred Series E - $16.125; and Preferred Series F - $128.125.</w:t>
      </w:r>
    </w:p>
    <w:p>
      <w:pPr>
        <w:spacing w:after="0" w:line="75" w:lineRule="exact"/>
        <w:rPr>
          <w:sz w:val="20"/>
          <w:szCs w:val="20"/>
          <w:color w:val="auto"/>
        </w:rPr>
      </w:pPr>
    </w:p>
    <w:p>
      <w:pPr>
        <w:ind w:left="40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5"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2018 (“2018 Annual Report”), except that effective January 1, 2019 the Company adopted accounting guidance that is discussed in notes 3, 4 and 16 herein. The financial statements contain all adjustments which are, in the opinion of management, necessary for a fair statement of the Company’s financial position, results of operations and cash flows for the interim periods presented.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Investment securities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9"/>
          <w:szCs w:val="19"/>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4"/>
          </w:tcPr>
          <w:p>
            <w:pPr>
              <w:jc w:val="right"/>
              <w:ind w:right="633"/>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1,144,288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1,139,428</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7,115,459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29,959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7,053,907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137,742</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131,052</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8,398,686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31,216</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8,325,584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944,230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944,950</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2,652,219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2,644,623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107,858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99,604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3,714,699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25,444</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3,699,596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12,113,385</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56,660</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144,865</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12,025,180</w:t>
            </w:r>
          </w:p>
        </w:tc>
        <w:tc>
          <w:tcPr>
            <w:tcW w:w="120" w:type="dxa"/>
            <w:vAlign w:val="bottom"/>
            <w:tcBorders>
              <w:bottom w:val="single" w:sz="8" w:color="CFF0FC"/>
            </w:tcBorders>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48,261</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76,586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419,971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419,971</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468,232</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28,913</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496,557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- 8 -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ind w:left="6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1,346,782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7,383,340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7,216,991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8,869,423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16,528</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8,682,509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446,542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2,745,776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2,694,830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3,316,640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16,532</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77,689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12,186,063</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33,060</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281,131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11,937,992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77,440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677,187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17,295</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48"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quarters ended March 31, 2019 and 2018. Net unrealized gains recorded as gain (loss) on bank investment securities in the consolidated statement of income during the three months ended March 31, 2019 were $12 million, compared with losses of $9 million during the three months ended March 31, 2018.</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March 31, 2019, the amortized cost and estimated fair value of debt securities by contractual maturity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3"/>
          </w:tcPr>
          <w:p>
            <w:pPr>
              <w:jc w:val="right"/>
              <w:ind w:right="61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1,141,640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1,136,864</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9,470</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102,101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99,642</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25,800</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1,283,211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1,271,661</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7,115,475</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7,053,923</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8,398,686</w:t>
            </w:r>
          </w:p>
        </w:tc>
        <w:tc>
          <w:tcPr>
            <w:tcW w:w="3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8,325,584</w:t>
            </w:r>
          </w:p>
        </w:tc>
        <w:tc>
          <w:tcPr>
            <w:tcW w:w="80" w:type="dxa"/>
            <w:vAlign w:val="bottom"/>
            <w:tcBorders>
              <w:bottom w:val="single" w:sz="8" w:color="CFF0FC"/>
            </w:tcBorders>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947,176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947,905</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80" w:type="dxa"/>
            <w:vAlign w:val="bottom"/>
            <w:tcBorders>
              <w:bottom w:val="single" w:sz="8" w:color="CFF0FC"/>
            </w:tcBorders>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954,622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955,369</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2,760,077</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2,744,227</w:t>
            </w:r>
          </w:p>
        </w:tc>
        <w:tc>
          <w:tcPr>
            <w:tcW w:w="80" w:type="dxa"/>
            <w:vAlign w:val="bottom"/>
            <w:tcBorders>
              <w:bottom w:val="single" w:sz="8" w:color="CFF0FC"/>
            </w:tcBorders>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3,714,699</w:t>
            </w: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3,699,596</w:t>
            </w:r>
          </w:p>
        </w:tc>
        <w:tc>
          <w:tcPr>
            <w:tcW w:w="80" w:type="dxa"/>
            <w:vAlign w:val="bottom"/>
            <w:tcBorders>
              <w:bottom w:val="single" w:sz="8" w:color="CFF0FC"/>
            </w:tcBorders>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40" w:type="dxa"/>
            <w:vAlign w:val="bottom"/>
            <w:vMerge w:val="restart"/>
          </w:tcPr>
          <w:p>
            <w:pPr>
              <w:jc w:val="right"/>
              <w:ind w:right="810"/>
              <w:spacing w:after="0"/>
              <w:rPr>
                <w:sz w:val="20"/>
                <w:szCs w:val="20"/>
                <w:color w:val="auto"/>
              </w:rPr>
            </w:pPr>
            <w:r>
              <w:rPr>
                <w:rFonts w:ascii="Arial" w:cs="Arial" w:eastAsia="Arial" w:hAnsi="Arial"/>
                <w:sz w:val="18"/>
                <w:szCs w:val="18"/>
                <w:color w:val="auto"/>
              </w:rPr>
              <w:t>- 9 -</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115"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A summary of investment securities that as of March 31, 2019 and December 31, 2018 had been in a continuous unrealized loss position for less than twelve months and those that had been in a continuous unrealized loss position for twelve months or longer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Less Than 12 Months</w:t>
            </w: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5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84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84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r>
      <w:tr>
        <w:trPr>
          <w:trHeight w:val="171"/>
        </w:trPr>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Losses</w:t>
            </w:r>
          </w:p>
        </w:tc>
      </w:tr>
      <w:tr>
        <w:trPr>
          <w:trHeight w:val="155"/>
        </w:trPr>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ind w:left="56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1,137,550</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(4,863)</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18,447</w:t>
            </w: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860" w:type="dxa"/>
            <w:vAlign w:val="bottom"/>
          </w:tcPr>
          <w:p>
            <w:pPr>
              <w:jc w:val="right"/>
              <w:spacing w:after="0"/>
              <w:rPr>
                <w:sz w:val="20"/>
                <w:szCs w:val="20"/>
                <w:color w:val="auto"/>
              </w:rPr>
            </w:pPr>
            <w:r>
              <w:rPr>
                <w:rFonts w:ascii="Arial" w:cs="Arial" w:eastAsia="Arial" w:hAnsi="Arial"/>
                <w:sz w:val="18"/>
                <w:szCs w:val="18"/>
                <w:color w:val="auto"/>
              </w:rPr>
              <w:t>5,076,762</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(91,400)</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36,500</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(294)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67,662</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(7,645)</w:t>
            </w:r>
          </w:p>
        </w:tc>
      </w:tr>
      <w:tr>
        <w:trPr>
          <w:trHeight w:val="223"/>
        </w:trPr>
        <w:tc>
          <w:tcPr>
            <w:tcW w:w="516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55,221</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6,282,481</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(103,912)</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249,082</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1,620,580</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(19,472)</w:t>
            </w: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51,091</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(21,060)</w:t>
            </w:r>
          </w:p>
        </w:tc>
      </w:tr>
      <w:tr>
        <w:trPr>
          <w:trHeight w:val="223"/>
        </w:trPr>
        <w:tc>
          <w:tcPr>
            <w:tcW w:w="51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249,082</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1,671,671</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304,303</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7,954,152</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(144,444)</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December 31, 2018</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1,335,559</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(9,849)</w:t>
            </w: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405,558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(2,892)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5,646,773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(179,211)</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(2,187)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(9,294)</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459,960</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(5,088)</w:t>
            </w:r>
          </w:p>
        </w:tc>
        <w:tc>
          <w:tcPr>
            <w:tcW w:w="860" w:type="dxa"/>
            <w:vAlign w:val="bottom"/>
          </w:tcPr>
          <w:p>
            <w:pPr>
              <w:jc w:val="right"/>
              <w:spacing w:after="0"/>
              <w:rPr>
                <w:sz w:val="20"/>
                <w:szCs w:val="20"/>
                <w:color w:val="auto"/>
              </w:rPr>
            </w:pPr>
            <w:r>
              <w:rPr>
                <w:rFonts w:ascii="Arial" w:cs="Arial" w:eastAsia="Arial" w:hAnsi="Arial"/>
                <w:sz w:val="18"/>
                <w:szCs w:val="18"/>
                <w:color w:val="auto"/>
              </w:rPr>
              <w:t>7,048,346</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(198,354)</w:t>
            </w:r>
          </w:p>
        </w:tc>
      </w:tr>
      <w:tr>
        <w:trPr>
          <w:trHeight w:val="236"/>
        </w:trPr>
        <w:tc>
          <w:tcPr>
            <w:tcW w:w="5160" w:type="dxa"/>
            <w:vAlign w:val="bottom"/>
            <w:tcBorders>
              <w:top w:val="single" w:sz="8" w:color="CFF0FC"/>
            </w:tcBorders>
            <w:shd w:val="clear" w:color="auto" w:fill="CFF0FC"/>
          </w:tcPr>
          <w:p>
            <w:pPr>
              <w:spacing w:after="0"/>
              <w:rPr>
                <w:sz w:val="20"/>
                <w:szCs w:val="20"/>
                <w:color w:val="auto"/>
              </w:rPr>
            </w:pPr>
          </w:p>
        </w:tc>
        <w:tc>
          <w:tcPr>
            <w:tcW w:w="1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446,303</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(239)</w:t>
            </w: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3,126</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179,354</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(989)</w:t>
            </w:r>
          </w:p>
        </w:tc>
        <w:tc>
          <w:tcPr>
            <w:tcW w:w="860" w:type="dxa"/>
            <w:vAlign w:val="bottom"/>
          </w:tcPr>
          <w:p>
            <w:pPr>
              <w:jc w:val="right"/>
              <w:spacing w:after="0"/>
              <w:rPr>
                <w:sz w:val="20"/>
                <w:szCs w:val="20"/>
                <w:color w:val="auto"/>
              </w:rPr>
            </w:pPr>
            <w:r>
              <w:rPr>
                <w:rFonts w:ascii="Arial" w:cs="Arial" w:eastAsia="Arial" w:hAnsi="Arial"/>
                <w:sz w:val="18"/>
                <w:szCs w:val="18"/>
                <w:color w:val="auto"/>
              </w:rPr>
              <w:t>2,082,723</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(54,122)</w:t>
            </w:r>
          </w:p>
        </w:tc>
      </w:tr>
      <w:tr>
        <w:trPr>
          <w:trHeight w:val="24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(22,327)</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625,657</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(1,228)</w:t>
            </w:r>
          </w:p>
        </w:tc>
        <w:tc>
          <w:tcPr>
            <w:tcW w:w="860" w:type="dxa"/>
            <w:vAlign w:val="bottom"/>
          </w:tcPr>
          <w:p>
            <w:pPr>
              <w:jc w:val="right"/>
              <w:spacing w:after="0"/>
              <w:rPr>
                <w:sz w:val="20"/>
                <w:szCs w:val="20"/>
                <w:color w:val="auto"/>
              </w:rPr>
            </w:pPr>
            <w:r>
              <w:rPr>
                <w:rFonts w:ascii="Arial" w:cs="Arial" w:eastAsia="Arial" w:hAnsi="Arial"/>
                <w:sz w:val="18"/>
                <w:szCs w:val="18"/>
                <w:color w:val="auto"/>
              </w:rPr>
              <w:t>2,137,792</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(76,461)</w:t>
            </w:r>
          </w:p>
        </w:tc>
      </w:tr>
      <w:tr>
        <w:trPr>
          <w:trHeight w:val="20"/>
        </w:trPr>
        <w:tc>
          <w:tcPr>
            <w:tcW w:w="51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1,085,617</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(6,316)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9,186,138</w:t>
            </w:r>
          </w:p>
        </w:tc>
        <w:tc>
          <w:tcPr>
            <w:tcW w:w="3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(274,815)</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Company owned 1,166 individual debt securities with aggregate gross unrealized losses of $145 million at March 31, 2019. Based on a review of each of the securities in the investment securities portfolio at March 31, 2019, the Company concluded that it expected to recover the amortized cost basis of its investment. As of March 31, 2019, the Company does not intend to sell nor is it anticipated that it would be required to sell any of its impaired investment securities at a loss. At March 31, 2019, the Company has not identified events or changes in circumstances which may have a significant adverse effect on the fair value of the $420 million of cost method equity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March 31, 2019 and December 31, 2018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Accruing</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Accruing</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Loans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Acquired at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Loans Past</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 Discount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30-89 Days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Due 90</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Past Due</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Purchased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Days or</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90 days</w:t>
            </w:r>
          </w:p>
        </w:tc>
        <w:tc>
          <w:tcPr>
            <w:tcW w:w="1120" w:type="dxa"/>
            <w:vAlign w:val="bottom"/>
            <w:gridSpan w:val="2"/>
            <w:vMerge w:val="continue"/>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Nonaccrual</w:t>
            </w: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Past Due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More (a)</w:t>
            </w: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or More (b)</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Impaired (c)</w:t>
            </w: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$22,701,500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141,555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245,819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$23,090,204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25,441,419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159,209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207,709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25,826,194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1,738,846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7,036,036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31,032</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7,118,759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13,337,558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406,106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210,266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14,347,926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tcPr>
          <w:p>
            <w:pPr>
              <w:ind w:left="260"/>
              <w:spacing w:after="0"/>
              <w:rPr>
                <w:sz w:val="20"/>
                <w:szCs w:val="20"/>
                <w:color w:val="auto"/>
              </w:rPr>
            </w:pPr>
            <w:r>
              <w:rPr>
                <w:rFonts w:ascii="Arial" w:cs="Arial" w:eastAsia="Arial" w:hAnsi="Arial"/>
                <w:sz w:val="18"/>
                <w:szCs w:val="18"/>
                <w:color w:val="auto"/>
              </w:rPr>
              <w:t>Residential — limited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80"/>
              <w:spacing w:after="0"/>
              <w:rPr>
                <w:sz w:val="20"/>
                <w:szCs w:val="20"/>
                <w:color w:val="auto"/>
              </w:rPr>
            </w:pPr>
            <w:r>
              <w:rPr>
                <w:rFonts w:ascii="Arial" w:cs="Arial" w:eastAsia="Arial" w:hAnsi="Arial"/>
                <w:sz w:val="18"/>
                <w:szCs w:val="18"/>
                <w:color w:val="auto"/>
              </w:rPr>
              <w:t>documentation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2,186,132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71,354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79,658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84,863</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4,634,634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31,145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4,871</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69,245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4,739,895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4,295,732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4,329,488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3,619,015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21,209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1,257,839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$ 86,248,711</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942,526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244,257</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43,995</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278,783</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881,611</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88,639,883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$22,701,020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$22,977,976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Real estate:</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25,250,983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25,610,365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1,665,178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6,982,077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13,591,790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404,808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203,044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233,352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14,629,326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2,278,040</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72,544</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89,851</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84,685</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Consumer:</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4,758,513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4,860,254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4,085,781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3,555,757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1,271,811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15,598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27,654</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86,140,950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88,466,477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23" w:lineRule="exact"/>
        <w:rPr>
          <w:rFonts w:ascii="Arial" w:cs="Arial" w:eastAsia="Arial" w:hAnsi="Arial"/>
          <w:sz w:val="18"/>
          <w:szCs w:val="18"/>
          <w:i w:val="1"/>
          <w:iCs w:val="1"/>
          <w:color w:val="auto"/>
        </w:rPr>
      </w:pPr>
    </w:p>
    <w:p>
      <w:pPr>
        <w:ind w:left="580" w:right="20" w:hanging="572"/>
        <w:spacing w:after="0" w:line="250"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97"/>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right="20" w:firstLine="518"/>
        <w:spacing w:after="0" w:line="252" w:lineRule="auto"/>
        <w:rPr>
          <w:sz w:val="20"/>
          <w:szCs w:val="20"/>
          <w:color w:val="auto"/>
        </w:rPr>
      </w:pPr>
      <w:r>
        <w:rPr>
          <w:rFonts w:ascii="Arial" w:cs="Arial" w:eastAsia="Arial" w:hAnsi="Arial"/>
          <w:sz w:val="21"/>
          <w:szCs w:val="21"/>
          <w:color w:val="auto"/>
        </w:rPr>
        <w:t>One-to-four family residential mortgage loans held for sale were $178 million and $205 million at March 31, 2019 and December 31, 2018, respectively. Commercial real estate loans held for sale were $166 million at March 31, 2019 and $347 million at December 31, 2018.</w:t>
      </w:r>
    </w:p>
    <w:p>
      <w:pPr>
        <w:spacing w:after="0" w:line="76"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80"/>
        </w:trPr>
        <w:tc>
          <w:tcPr>
            <w:tcW w:w="4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r>
      <w:tr>
        <w:trPr>
          <w:trHeight w:val="205"/>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960,990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1,016,785</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Carrying amount: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27,073</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135,047</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442,260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473,511</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91,860</w:t>
            </w:r>
          </w:p>
        </w:tc>
        <w:tc>
          <w:tcPr>
            <w:tcW w:w="8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686,116</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firstLine="518"/>
        <w:spacing w:after="0" w:line="252" w:lineRule="auto"/>
        <w:rPr>
          <w:sz w:val="20"/>
          <w:szCs w:val="20"/>
          <w:color w:val="auto"/>
        </w:rPr>
      </w:pPr>
      <w:r>
        <w:rPr>
          <w:rFonts w:ascii="Arial" w:cs="Arial" w:eastAsia="Arial" w:hAnsi="Arial"/>
          <w:sz w:val="21"/>
          <w:szCs w:val="21"/>
          <w:color w:val="auto"/>
        </w:rPr>
        <w:t>Purchased impaired loans included in the table above totaled $279 million at March 31, 2019 and $303 million at December 31, 2018, representing less than 1% of the Company’s assets as of each date. A summary of changes in the accretable yield for loans acquired at a discount for the three months ended March 31, 2019 and 2018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5100" w:type="dxa"/>
            <w:vAlign w:val="bottom"/>
          </w:tcPr>
          <w:p>
            <w:pPr>
              <w:spacing w:after="0"/>
              <w:rPr>
                <w:sz w:val="12"/>
                <w:szCs w:val="12"/>
                <w:color w:val="auto"/>
              </w:rPr>
            </w:pPr>
          </w:p>
        </w:tc>
        <w:tc>
          <w:tcPr>
            <w:tcW w:w="920" w:type="dxa"/>
            <w:vAlign w:val="bottom"/>
            <w:gridSpan w:val="3"/>
          </w:tcPr>
          <w:p>
            <w:pPr>
              <w:jc w:val="right"/>
              <w:ind w:right="200"/>
              <w:spacing w:after="0" w:line="146" w:lineRule="exact"/>
              <w:rPr>
                <w:sz w:val="20"/>
                <w:szCs w:val="20"/>
                <w:color w:val="auto"/>
              </w:rPr>
            </w:pPr>
            <w:r>
              <w:rPr>
                <w:rFonts w:ascii="Arial" w:cs="Arial" w:eastAsia="Arial" w:hAnsi="Arial"/>
                <w:sz w:val="14"/>
                <w:szCs w:val="14"/>
                <w:b w:val="1"/>
                <w:bCs w:val="1"/>
                <w:color w:val="auto"/>
                <w:w w:val="97"/>
              </w:rPr>
              <w:t>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7"/>
              <w:spacing w:after="0" w:line="146"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right"/>
              <w:ind w:right="340"/>
              <w:spacing w:after="0" w:line="146" w:lineRule="exact"/>
              <w:rPr>
                <w:sz w:val="20"/>
                <w:szCs w:val="20"/>
                <w:color w:val="auto"/>
              </w:rPr>
            </w:pPr>
            <w:r>
              <w:rPr>
                <w:rFonts w:ascii="Arial" w:cs="Arial" w:eastAsia="Arial" w:hAnsi="Arial"/>
                <w:sz w:val="14"/>
                <w:szCs w:val="14"/>
                <w:b w:val="1"/>
                <w:bCs w:val="1"/>
                <w:color w:val="auto"/>
                <w:w w:val="97"/>
              </w:rPr>
              <w:t>Purchased</w:t>
            </w:r>
          </w:p>
        </w:tc>
        <w:tc>
          <w:tcPr>
            <w:tcW w:w="100" w:type="dxa"/>
            <w:vAlign w:val="bottom"/>
          </w:tcPr>
          <w:p>
            <w:pPr>
              <w:spacing w:after="0"/>
              <w:rPr>
                <w:sz w:val="12"/>
                <w:szCs w:val="12"/>
                <w:color w:val="auto"/>
              </w:rPr>
            </w:pPr>
          </w:p>
        </w:tc>
        <w:tc>
          <w:tcPr>
            <w:tcW w:w="700" w:type="dxa"/>
            <w:vAlign w:val="bottom"/>
          </w:tcPr>
          <w:p>
            <w:pPr>
              <w:jc w:val="right"/>
              <w:ind w:right="135"/>
              <w:spacing w:after="0" w:line="146"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Impaired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Acquired</w:t>
            </w:r>
          </w:p>
        </w:tc>
      </w:tr>
      <w:tr>
        <w:trPr>
          <w:trHeight w:val="180"/>
        </w:trPr>
        <w:tc>
          <w:tcPr>
            <w:tcW w:w="5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34"/>
        </w:trPr>
        <w:tc>
          <w:tcPr>
            <w:tcW w:w="51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147,210</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96,907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157,918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133,162</w:t>
            </w:r>
          </w:p>
        </w:tc>
        <w:tc>
          <w:tcPr>
            <w:tcW w:w="8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(9,717)</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(9,819)</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(15,112)</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Reclassifications from nonaccretable balance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149,007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118,184</w:t>
            </w: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Other changes in expected cash flows including changes in interest rates and prepayment assumptions.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2019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16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216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Leasing, etc.</w:t>
            </w:r>
          </w:p>
        </w:tc>
        <w:tc>
          <w:tcPr>
            <w:tcW w:w="108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5"/>
              </w:rPr>
              <w:t>Consumer</w:t>
            </w: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508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330,055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341,655</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200,564</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78,045</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$ 1,019,444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(2,447)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(8,500)</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(283)</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(3,372)</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(32,945)</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12,543</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335,620</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337,995</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65,136</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203,045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77,541</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$ 1,019,337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- 12 -</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2018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620" w:type="dxa"/>
            <w:vAlign w:val="bottom"/>
            <w:gridSpan w:val="4"/>
          </w:tcPr>
          <w:p>
            <w:pPr>
              <w:ind w:left="166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4"/>
                <w:szCs w:val="14"/>
                <w:color w:val="auto"/>
              </w:rPr>
            </w:pPr>
          </w:p>
        </w:tc>
        <w:tc>
          <w:tcPr>
            <w:tcW w:w="20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Real Estate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2"/>
              </w:rPr>
              <w:t>Commercial</w:t>
            </w: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Residential</w:t>
            </w:r>
          </w:p>
        </w:tc>
        <w:tc>
          <w:tcPr>
            <w:tcW w:w="280" w:type="dxa"/>
            <w:vAlign w:val="bottom"/>
          </w:tcPr>
          <w:p>
            <w:pPr>
              <w:spacing w:after="0"/>
              <w:rPr>
                <w:sz w:val="13"/>
                <w:szCs w:val="13"/>
                <w:color w:val="auto"/>
              </w:rPr>
            </w:pPr>
          </w:p>
        </w:tc>
        <w:tc>
          <w:tcPr>
            <w:tcW w:w="10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2"/>
              </w:rPr>
              <w:t>Consumer</w:t>
            </w:r>
          </w:p>
        </w:tc>
        <w:tc>
          <w:tcPr>
            <w:tcW w:w="1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ind w:right="68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Beginning balance</w:t>
            </w: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328,599</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374,085</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65,405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170,809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$ 1,017,198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(5,225)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10,486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Net charge-offs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(14,581)</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(1,366)</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(4,354)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(36,451)</w:t>
            </w: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(56,752)</w:t>
            </w:r>
          </w:p>
        </w:tc>
        <w:tc>
          <w:tcPr>
            <w:tcW w:w="0" w:type="dxa"/>
            <w:vAlign w:val="bottom"/>
          </w:tcPr>
          <w:p>
            <w:pPr>
              <w:spacing w:after="0"/>
              <w:rPr>
                <w:sz w:val="1"/>
                <w:szCs w:val="1"/>
                <w:color w:val="auto"/>
              </w:rPr>
            </w:pPr>
          </w:p>
        </w:tc>
      </w:tr>
      <w:tr>
        <w:trPr>
          <w:trHeight w:val="229"/>
        </w:trPr>
        <w:tc>
          <w:tcPr>
            <w:tcW w:w="368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4,823</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9,669</w:t>
            </w:r>
          </w:p>
        </w:tc>
        <w:tc>
          <w:tcPr>
            <w:tcW w:w="2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(26,782)</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Ending balance</w:t>
            </w:r>
          </w:p>
        </w:tc>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326,071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73,047</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78,995</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$ 1,019,671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w:t>
      </w:r>
    </w:p>
    <w:p>
      <w:pPr>
        <w:spacing w:after="0" w:line="6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right="20" w:firstLine="518"/>
        <w:spacing w:after="0" w:line="289" w:lineRule="auto"/>
        <w:rPr>
          <w:sz w:val="20"/>
          <w:szCs w:val="20"/>
          <w:color w:val="auto"/>
        </w:rPr>
      </w:pPr>
      <w:r>
        <w:rPr>
          <w:rFonts w:ascii="Arial" w:cs="Arial" w:eastAsia="Arial" w:hAnsi="Arial"/>
          <w:sz w:val="18"/>
          <w:szCs w:val="18"/>
          <w:color w:val="auto"/>
        </w:rPr>
        <w:t>I</w:t>
      </w:r>
      <w:r>
        <w:rPr>
          <w:rFonts w:ascii="Arial" w:cs="Arial" w:eastAsia="Arial" w:hAnsi="Arial"/>
          <w:sz w:val="20"/>
          <w:szCs w:val="20"/>
          <w:color w:val="auto"/>
        </w:rPr>
        <w:t>nformation with respect to loans and leases that were considered impaired as of March 31, 2019 and December 31, 2018 and for</w:t>
      </w:r>
      <w:r>
        <w:rPr>
          <w:rFonts w:ascii="Arial" w:cs="Arial" w:eastAsia="Arial" w:hAnsi="Arial"/>
          <w:sz w:val="18"/>
          <w:szCs w:val="18"/>
          <w:color w:val="auto"/>
        </w:rPr>
        <w:t xml:space="preserve"> </w:t>
      </w:r>
      <w:r>
        <w:rPr>
          <w:rFonts w:ascii="Arial" w:cs="Arial" w:eastAsia="Arial" w:hAnsi="Arial"/>
          <w:sz w:val="20"/>
          <w:szCs w:val="20"/>
          <w:color w:val="auto"/>
        </w:rPr>
        <w:t>the three-month periods ended March 31, 2019 and 2018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March 31, 2019</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Recorded</w:t>
            </w: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Unpaid</w:t>
            </w: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Recorded</w:t>
            </w:r>
          </w:p>
        </w:tc>
        <w:tc>
          <w:tcPr>
            <w:tcW w:w="30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Unpaid</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Principal</w:t>
            </w:r>
          </w:p>
        </w:tc>
        <w:tc>
          <w:tcPr>
            <w:tcW w:w="10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Allowance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11"/>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$ 201,337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220,116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50,192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153,478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175,549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102,247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119,062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10,449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125,117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6,805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7,399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10,696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13,624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11,113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121,351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142,872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124,974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147,817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71,113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86,276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90,066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47,363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52,583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53,248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Recreational finance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5,740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3,603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3,599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11,902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8,380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575,585</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663,177</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81,991</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542,255</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630,609</w:t>
            </w:r>
          </w:p>
        </w:tc>
        <w:tc>
          <w:tcPr>
            <w:tcW w:w="3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91,355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97,342</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105,507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136,128</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125,289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138,095</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113,376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124,657</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9,203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9,432</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11,880</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25,771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6,145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10,434</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9,796</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254,283</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283,855</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254,196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305,559</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292,692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317,458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311,677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227,536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257,157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223,629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249,774</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9,561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10,180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9,159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19,899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22,993</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140,886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168,643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140,353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168,313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77,258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96,710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99,862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47,363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52,583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53,248</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5,539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5,740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9,163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5,612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11,902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8,380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$ 829,868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947,032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81,991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796,451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936,168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1820" w:type="dxa"/>
            <w:vAlign w:val="bottom"/>
            <w:gridSpan w:val="2"/>
          </w:tcPr>
          <w:p>
            <w:pPr>
              <w:jc w:val="right"/>
              <w:ind w:right="137"/>
              <w:spacing w:after="0"/>
              <w:rPr>
                <w:sz w:val="20"/>
                <w:szCs w:val="20"/>
                <w:color w:val="auto"/>
              </w:rPr>
            </w:pPr>
            <w:r>
              <w:rPr>
                <w:rFonts w:ascii="Arial" w:cs="Arial" w:eastAsia="Arial" w:hAnsi="Arial"/>
                <w:sz w:val="18"/>
                <w:szCs w:val="18"/>
                <w:color w:val="auto"/>
              </w:rPr>
              <w:t>- 14 -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 2019</w:t>
            </w:r>
          </w:p>
        </w:tc>
        <w:tc>
          <w:tcPr>
            <w:tcW w:w="31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 2018</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Interest Income</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spacing w:after="0" w:line="133" w:lineRule="exact"/>
              <w:rPr>
                <w:sz w:val="20"/>
                <w:szCs w:val="20"/>
                <w:color w:val="auto"/>
              </w:rPr>
            </w:pPr>
            <w:r>
              <w:rPr>
                <w:rFonts w:ascii="Arial" w:cs="Arial" w:eastAsia="Arial" w:hAnsi="Arial"/>
                <w:sz w:val="14"/>
                <w:szCs w:val="14"/>
                <w:b w:val="1"/>
                <w:bCs w:val="1"/>
                <w:color w:val="auto"/>
                <w:w w:val="94"/>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89"/>
              </w:rPr>
              <w:t>Recognized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89"/>
              </w:rPr>
              <w:t>Recognized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11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13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300" w:type="dxa"/>
            <w:vAlign w:val="bottom"/>
            <w:gridSpan w:val="3"/>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320" w:type="dxa"/>
            <w:vAlign w:val="bottom"/>
            <w:gridSpan w:val="3"/>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50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265,248</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3,038</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272,172</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225,374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181,846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20,398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140,403</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121,209</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78,238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85,595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47,556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48,797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800,863</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745,805</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firstLine="518"/>
        <w:spacing w:after="0" w:line="275"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55"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The following table summarizes the loan grades applied to the various classes of the Company’s commercial loans and commercial real estate loans.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Commercial,</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0"/>
              </w:rPr>
              <w:t>Residential</w:t>
            </w:r>
          </w:p>
        </w:tc>
        <w:tc>
          <w:tcPr>
            <w:tcW w:w="9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Financial,</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Builder and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Commercial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Leasing, etc.</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Developer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4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3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Pass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$21,734,455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24,686,100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1,535,068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6,870,882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1,109,930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932,385</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206,517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Criticized nonaccrual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245,819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207,709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23,090,204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25,826,194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1,745,977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7,118,759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$21,693,705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24,539,706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1,546,002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6,890,562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Criticized accrual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1,049,848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866,987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139,509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22,977,976</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25,610,365</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1,690,309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20" w:type="dxa"/>
            <w:vAlign w:val="bottom"/>
            <w:vMerge w:val="restart"/>
          </w:tcPr>
          <w:p>
            <w:pPr>
              <w:jc w:val="right"/>
              <w:ind w:right="570"/>
              <w:spacing w:after="0"/>
              <w:rPr>
                <w:sz w:val="20"/>
                <w:szCs w:val="20"/>
                <w:color w:val="auto"/>
              </w:rPr>
            </w:pPr>
            <w:r>
              <w:rPr>
                <w:rFonts w:ascii="Arial" w:cs="Arial" w:eastAsia="Arial" w:hAnsi="Arial"/>
                <w:sz w:val="18"/>
                <w:szCs w:val="18"/>
                <w:color w:val="auto"/>
              </w:rPr>
              <w:t>- 15 -</w:t>
            </w: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5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$29 million and $22 million, respectively, at March 31, 2019 and $29 million and $23 million, respectively, at December 31, 2018. Residential real estate loans and home equity loans and lines of credit that were more than 150 days past due but did not require a partial charge-off because the net realizable value of the collateral exceeded the outstanding customer balance were $19 million and $33 million, respectively, at March 31, 2019 and $21 million and $31 million, respectively, at December 31, 2018.</w:t>
      </w:r>
    </w:p>
    <w:p>
      <w:pPr>
        <w:spacing w:after="0" w:line="6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allocation of the allowance for credit losses summarized on the basis of the Company’s impairment methodology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Commercial,</w:t>
            </w:r>
          </w:p>
        </w:tc>
        <w:tc>
          <w:tcPr>
            <w:tcW w:w="270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Real Estate</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Financial,</w:t>
            </w:r>
          </w:p>
        </w:tc>
        <w:tc>
          <w:tcPr>
            <w:tcW w:w="270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Leasing, etc.</w:t>
            </w:r>
          </w:p>
        </w:tc>
        <w:tc>
          <w:tcPr>
            <w:tcW w:w="13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Commercial</w:t>
            </w: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Residential</w:t>
            </w:r>
          </w:p>
        </w:tc>
        <w:tc>
          <w:tcPr>
            <w:tcW w:w="340" w:type="dxa"/>
            <w:vAlign w:val="bottom"/>
          </w:tcPr>
          <w:p>
            <w:pPr>
              <w:spacing w:after="0"/>
              <w:rPr>
                <w:sz w:val="13"/>
                <w:szCs w:val="13"/>
                <w:color w:val="auto"/>
              </w:rPr>
            </w:pPr>
          </w:p>
        </w:tc>
        <w:tc>
          <w:tcPr>
            <w:tcW w:w="13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Consumer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50,192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12,029</w:t>
            </w:r>
          </w:p>
        </w:tc>
        <w:tc>
          <w:tcPr>
            <w:tcW w:w="36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285,428</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326,516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191,016</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Purchased impaired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9,817</w:t>
            </w:r>
          </w:p>
        </w:tc>
        <w:tc>
          <w:tcPr>
            <w:tcW w:w="3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335,620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337,995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203,045</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941,796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77,541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FF0FC"/>
            </w:tcBorders>
            <w:vMerge w:val="continue"/>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1,019,337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8,402</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w:t>
            </w:r>
          </w:p>
        </w:tc>
        <w:tc>
          <w:tcPr>
            <w:tcW w:w="3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284,021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328,616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48,326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188,393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0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330,055</w:t>
            </w:r>
          </w:p>
        </w:tc>
        <w:tc>
          <w:tcPr>
            <w:tcW w:w="36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341,655</w:t>
            </w:r>
          </w:p>
        </w:tc>
        <w:tc>
          <w:tcPr>
            <w:tcW w:w="3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69,125</w:t>
            </w:r>
          </w:p>
        </w:tc>
        <w:tc>
          <w:tcPr>
            <w:tcW w:w="3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200,564</w:t>
            </w:r>
          </w:p>
        </w:tc>
        <w:tc>
          <w:tcPr>
            <w:tcW w:w="3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CFF0FC"/>
            </w:tcBorders>
          </w:tcPr>
          <w:p>
            <w:pPr>
              <w:spacing w:after="0"/>
              <w:rPr>
                <w:sz w:val="22"/>
                <w:szCs w:val="22"/>
                <w:color w:val="auto"/>
              </w:rPr>
            </w:pPr>
          </w:p>
        </w:tc>
        <w:tc>
          <w:tcPr>
            <w:tcW w:w="8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941,399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1,019,444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Commercial,</w:t>
            </w:r>
          </w:p>
        </w:tc>
        <w:tc>
          <w:tcPr>
            <w:tcW w:w="242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Real Estate</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Financial,</w:t>
            </w:r>
          </w:p>
        </w:tc>
        <w:tc>
          <w:tcPr>
            <w:tcW w:w="2420" w:type="dxa"/>
            <w:vAlign w:val="bottom"/>
            <w:gridSpan w:val="4"/>
            <w:vMerge w:val="continue"/>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Pr>
          <w:p>
            <w:pPr>
              <w:spacing w:after="0"/>
              <w:rPr>
                <w:sz w:val="13"/>
                <w:szCs w:val="13"/>
                <w:color w:val="auto"/>
              </w:rPr>
            </w:pPr>
          </w:p>
        </w:tc>
        <w:tc>
          <w:tcPr>
            <w:tcW w:w="122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Leasing, etc.</w:t>
            </w:r>
          </w:p>
        </w:tc>
        <w:tc>
          <w:tcPr>
            <w:tcW w:w="12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Residential</w:t>
            </w:r>
          </w:p>
        </w:tc>
        <w:tc>
          <w:tcPr>
            <w:tcW w:w="280" w:type="dxa"/>
            <w:vAlign w:val="bottom"/>
          </w:tcPr>
          <w:p>
            <w:pPr>
              <w:spacing w:after="0"/>
              <w:rPr>
                <w:sz w:val="13"/>
                <w:szCs w:val="13"/>
                <w:color w:val="auto"/>
              </w:rPr>
            </w:pPr>
          </w:p>
        </w:tc>
        <w:tc>
          <w:tcPr>
            <w:tcW w:w="1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3"/>
                <w:szCs w:val="13"/>
                <w:color w:val="auto"/>
              </w:rPr>
            </w:pPr>
          </w:p>
        </w:tc>
        <w:tc>
          <w:tcPr>
            <w:tcW w:w="9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9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292,692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256,996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218,144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62,036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829,868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22,797,512</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34,422,440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16,284,500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14,026,780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87,531,232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11,494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267,289</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23,090,204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34,690,930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16,769,933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14,088,816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88,639,883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258,985</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254,476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220,140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22,718,991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34,098,670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16,641,411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13,907,649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87,366,721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292,895</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22,977,976</w:t>
            </w: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34,363,556</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17,154,446</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13,970,499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88,466,477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periods ended March 31, 2019 and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Pre-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Post-modification (a)</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modification</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2"/>
                <w:szCs w:val="12"/>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 Rate</w:t>
            </w: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2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Reduction</w:t>
            </w:r>
          </w:p>
        </w:tc>
        <w:tc>
          <w:tcPr>
            <w:tcW w:w="160" w:type="dxa"/>
            <w:vAlign w:val="bottom"/>
          </w:tcPr>
          <w:p>
            <w:pPr>
              <w:spacing w:after="0"/>
              <w:rPr>
                <w:sz w:val="14"/>
                <w:szCs w:val="14"/>
                <w:color w:val="auto"/>
              </w:rPr>
            </w:pPr>
          </w:p>
        </w:tc>
        <w:tc>
          <w:tcPr>
            <w:tcW w:w="6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Types</w:t>
            </w: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ind w:lef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30,615</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$ 30,744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7,967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10,924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$ 46,291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Three Months Ended March 31, 2018</w:t>
            </w:r>
          </w:p>
        </w:tc>
        <w:tc>
          <w:tcPr>
            <w:tcW w:w="5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00" w:type="dxa"/>
            <w:vAlign w:val="bottom"/>
            <w:tcBorders>
              <w:top w:val="single" w:sz="8" w:color="auto"/>
            </w:tcBorders>
            <w:shd w:val="clear" w:color="auto" w:fill="CFF0FC"/>
          </w:tcPr>
          <w:p>
            <w:pPr>
              <w:spacing w:after="0"/>
              <w:rPr>
                <w:sz w:val="5"/>
                <w:szCs w:val="5"/>
                <w:color w:val="auto"/>
              </w:rPr>
            </w:pPr>
          </w:p>
        </w:tc>
        <w:tc>
          <w:tcPr>
            <w:tcW w:w="318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4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FF0FC"/>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35,673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$ 49,344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49,656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$ 72,622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20" w:hanging="372"/>
        <w:spacing w:after="0" w:line="26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2019 and 2018 and for which there was a subsequent payment default during the three-month periods ended March 31, 2019 and 2018, respectively, were not material.</w:t>
      </w:r>
    </w:p>
    <w:p>
      <w:pPr>
        <w:spacing w:after="0" w:line="7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amount of foreclosed residential real estate property held by the Company was $81 million and $77 million at March 31, 2019 and December 31, 2018, respectively. There were $382 million and $391 million at March 31, 2019 and December 31, 2018, respectively, in loans secured by residential real estate that were in the process of foreclosure. Of all loans in the process of foreclosure at March 31, 2019, approximately 38% were classified as purchased impaired and 21% were government guaranteed.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9"/>
          <w:szCs w:val="19"/>
          <w:color w:val="auto"/>
        </w:rPr>
        <w:t>The Company’s loan and lease portfolio includes commercial lease financing receivables consisting of direct financing and leveraged leases for machinery and equipment, railroad equipment, commercial trucks and trailers, and aircraft. Certain leases contain payment schedules that are tied to variable interest rate indices. In general, early termination options are provided if the lessee is not in default, returns the leased equipment and pays an early termination fee. Additionally, options to purchase the underlying asset by the lessee are generally at the fair market value of the equipment. Effective January 1, 2019, the Company adopted new guidance related to lease accounting published by the Financial Accounting Standards Board (“FASB”). Under the new guidance, the accounting applied by lessors is largely unchanged from previous GAAP, however, the guidance eliminates the accounting model for leveraged leases that commence after the effective date of the guidance. A summary of lease financing receivables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5"/>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539"/>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56"/>
        </w:trPr>
        <w:tc>
          <w:tcPr>
            <w:tcW w:w="6880" w:type="dxa"/>
            <w:vAlign w:val="bottom"/>
            <w:shd w:val="clear" w:color="auto" w:fill="CFF0FC"/>
          </w:tcPr>
          <w:p>
            <w:pPr>
              <w:spacing w:after="0"/>
              <w:rPr>
                <w:sz w:val="20"/>
                <w:szCs w:val="20"/>
                <w:color w:val="auto"/>
              </w:rPr>
            </w:pPr>
            <w:r>
              <w:rPr>
                <w:rFonts w:ascii="Arial" w:cs="Arial" w:eastAsia="Arial" w:hAnsi="Arial"/>
                <w:sz w:val="21"/>
                <w:szCs w:val="21"/>
                <w:color w:val="auto"/>
              </w:rPr>
              <w:t>Commercial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260"/>
              <w:spacing w:after="0"/>
              <w:rPr>
                <w:sz w:val="20"/>
                <w:szCs w:val="20"/>
                <w:color w:val="auto"/>
              </w:rPr>
            </w:pPr>
            <w:r>
              <w:rPr>
                <w:rFonts w:ascii="Arial" w:cs="Arial" w:eastAsia="Arial" w:hAnsi="Arial"/>
                <w:sz w:val="21"/>
                <w:szCs w:val="21"/>
                <w:color w:val="auto"/>
              </w:rPr>
              <w:t>Direct financings: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Arial" w:cs="Arial" w:eastAsia="Arial" w:hAnsi="Arial"/>
                <w:sz w:val="21"/>
                <w:szCs w:val="21"/>
                <w:color w:val="auto"/>
              </w:rPr>
              <w:t>Lease payments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1"/>
                <w:szCs w:val="21"/>
                <w:color w:val="auto"/>
                <w:w w:val="87"/>
              </w:rPr>
              <w:t>1,140,794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1"/>
                <w:szCs w:val="21"/>
                <w:color w:val="auto"/>
                <w:w w:val="87"/>
              </w:rPr>
              <w:t>1,155,464</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Arial" w:cs="Arial" w:eastAsia="Arial" w:hAnsi="Arial"/>
                <w:sz w:val="21"/>
                <w:szCs w:val="21"/>
                <w:color w:val="auto"/>
              </w:rPr>
              <w:t>Estimated residual value of leased assets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82,686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85,169</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Arial" w:cs="Arial" w:eastAsia="Arial" w:hAnsi="Arial"/>
                <w:sz w:val="21"/>
                <w:szCs w:val="21"/>
                <w:color w:val="auto"/>
              </w:rPr>
              <w:t>Unearned income</w:t>
            </w:r>
          </w:p>
        </w:tc>
        <w:tc>
          <w:tcPr>
            <w:tcW w:w="1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1"/>
                <w:szCs w:val="21"/>
                <w:color w:val="auto"/>
              </w:rPr>
              <w:t>(106,797)</w:t>
            </w:r>
          </w:p>
        </w:tc>
        <w:tc>
          <w:tcPr>
            <w:tcW w:w="1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21"/>
                <w:szCs w:val="21"/>
                <w:color w:val="auto"/>
              </w:rPr>
              <w:t>(110,458)</w:t>
            </w:r>
          </w:p>
        </w:tc>
      </w:tr>
      <w:tr>
        <w:trPr>
          <w:trHeight w:val="250"/>
        </w:trPr>
        <w:tc>
          <w:tcPr>
            <w:tcW w:w="6880" w:type="dxa"/>
            <w:vAlign w:val="bottom"/>
          </w:tcPr>
          <w:p>
            <w:pPr>
              <w:ind w:left="740"/>
              <w:spacing w:after="0"/>
              <w:rPr>
                <w:sz w:val="20"/>
                <w:szCs w:val="20"/>
                <w:color w:val="auto"/>
              </w:rPr>
            </w:pPr>
            <w:r>
              <w:rPr>
                <w:rFonts w:ascii="Arial" w:cs="Arial" w:eastAsia="Arial" w:hAnsi="Arial"/>
                <w:sz w:val="21"/>
                <w:szCs w:val="21"/>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w w:val="87"/>
              </w:rPr>
              <w:t>1,116,683</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w w:val="87"/>
              </w:rPr>
              <w:t>1,130,175</w:t>
            </w:r>
          </w:p>
        </w:tc>
        <w:tc>
          <w:tcPr>
            <w:tcW w:w="80" w:type="dxa"/>
            <w:vAlign w:val="bottom"/>
          </w:tcPr>
          <w:p>
            <w:pPr>
              <w:spacing w:after="0"/>
              <w:rPr>
                <w:sz w:val="21"/>
                <w:szCs w:val="21"/>
                <w:color w:val="auto"/>
              </w:rPr>
            </w:pPr>
          </w:p>
        </w:tc>
      </w:tr>
      <w:tr>
        <w:trPr>
          <w:trHeight w:val="256"/>
        </w:trPr>
        <w:tc>
          <w:tcPr>
            <w:tcW w:w="6880" w:type="dxa"/>
            <w:vAlign w:val="bottom"/>
            <w:shd w:val="clear" w:color="auto" w:fill="CFF0FC"/>
          </w:tcPr>
          <w:p>
            <w:pPr>
              <w:ind w:left="260"/>
              <w:spacing w:after="0"/>
              <w:rPr>
                <w:sz w:val="20"/>
                <w:szCs w:val="20"/>
                <w:color w:val="auto"/>
              </w:rPr>
            </w:pPr>
            <w:r>
              <w:rPr>
                <w:rFonts w:ascii="Arial" w:cs="Arial" w:eastAsia="Arial" w:hAnsi="Arial"/>
                <w:sz w:val="21"/>
                <w:szCs w:val="21"/>
                <w:color w:val="auto"/>
              </w:rPr>
              <w:t>Leveraged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Arial" w:cs="Arial" w:eastAsia="Arial" w:hAnsi="Arial"/>
                <w:sz w:val="21"/>
                <w:szCs w:val="21"/>
                <w:color w:val="auto"/>
              </w:rPr>
              <w:t>Lease payments receivable</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82,841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85,007</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Arial" w:cs="Arial" w:eastAsia="Arial" w:hAnsi="Arial"/>
                <w:sz w:val="21"/>
                <w:szCs w:val="21"/>
                <w:color w:val="auto"/>
              </w:rPr>
              <w:t>Estimated residual value of leased assets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81,261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81,261</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Arial" w:cs="Arial" w:eastAsia="Arial" w:hAnsi="Arial"/>
                <w:sz w:val="21"/>
                <w:szCs w:val="21"/>
                <w:color w:val="auto"/>
              </w:rPr>
              <w:t>Unearned income</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1"/>
                <w:szCs w:val="21"/>
                <w:color w:val="auto"/>
              </w:rPr>
              <w:t>(33,273)</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1"/>
                <w:szCs w:val="21"/>
                <w:color w:val="auto"/>
              </w:rPr>
              <w:t>(33,717)</w:t>
            </w:r>
          </w:p>
        </w:tc>
      </w:tr>
      <w:tr>
        <w:trPr>
          <w:trHeight w:val="250"/>
        </w:trPr>
        <w:tc>
          <w:tcPr>
            <w:tcW w:w="68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21"/>
                <w:szCs w:val="21"/>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color w:val="auto"/>
              </w:rPr>
              <w:t>130,829</w:t>
            </w:r>
          </w:p>
        </w:tc>
        <w:tc>
          <w:tcPr>
            <w:tcW w:w="2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color w:val="auto"/>
              </w:rPr>
              <w:t>132,551</w:t>
            </w:r>
          </w:p>
        </w:tc>
        <w:tc>
          <w:tcPr>
            <w:tcW w:w="80" w:type="dxa"/>
            <w:vAlign w:val="bottom"/>
            <w:tcBorders>
              <w:top w:val="single" w:sz="8" w:color="CFF0FC"/>
            </w:tcBorders>
            <w:shd w:val="clear" w:color="auto" w:fill="CFF0FC"/>
          </w:tcPr>
          <w:p>
            <w:pPr>
              <w:spacing w:after="0"/>
              <w:rPr>
                <w:sz w:val="21"/>
                <w:szCs w:val="21"/>
                <w:color w:val="auto"/>
              </w:rPr>
            </w:pPr>
          </w:p>
        </w:tc>
      </w:tr>
      <w:tr>
        <w:trPr>
          <w:trHeight w:val="290"/>
        </w:trPr>
        <w:tc>
          <w:tcPr>
            <w:tcW w:w="6880" w:type="dxa"/>
            <w:vAlign w:val="bottom"/>
            <w:tcBorders>
              <w:bottom w:val="single" w:sz="8" w:color="CFF0FC"/>
            </w:tcBorders>
          </w:tcPr>
          <w:p>
            <w:pPr>
              <w:spacing w:after="0"/>
              <w:rPr>
                <w:sz w:val="20"/>
                <w:szCs w:val="20"/>
                <w:color w:val="auto"/>
              </w:rPr>
            </w:pPr>
            <w:r>
              <w:rPr>
                <w:rFonts w:ascii="Arial" w:cs="Arial" w:eastAsia="Arial" w:hAnsi="Arial"/>
                <w:sz w:val="21"/>
                <w:szCs w:val="21"/>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87"/>
              </w:rPr>
              <w:t>1,247,512</w:t>
            </w: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87"/>
              </w:rPr>
              <w:t>1,262,726</w:t>
            </w:r>
          </w:p>
        </w:tc>
        <w:tc>
          <w:tcPr>
            <w:tcW w:w="80" w:type="dxa"/>
            <w:vAlign w:val="bottom"/>
            <w:tcBorders>
              <w:bottom w:val="single" w:sz="8" w:color="CFF0FC"/>
            </w:tcBorders>
          </w:tcPr>
          <w:p>
            <w:pPr>
              <w:spacing w:after="0"/>
              <w:rPr>
                <w:sz w:val="24"/>
                <w:szCs w:val="24"/>
                <w:color w:val="auto"/>
              </w:rPr>
            </w:pPr>
          </w:p>
        </w:tc>
      </w:tr>
      <w:tr>
        <w:trPr>
          <w:trHeight w:val="237"/>
        </w:trPr>
        <w:tc>
          <w:tcPr>
            <w:tcW w:w="6880" w:type="dxa"/>
            <w:vAlign w:val="bottom"/>
            <w:shd w:val="clear" w:color="auto" w:fill="CFF0FC"/>
          </w:tcPr>
          <w:p>
            <w:pPr>
              <w:spacing w:after="0" w:line="237" w:lineRule="exact"/>
              <w:rPr>
                <w:sz w:val="20"/>
                <w:szCs w:val="20"/>
                <w:color w:val="auto"/>
              </w:rPr>
            </w:pPr>
            <w:r>
              <w:rPr>
                <w:rFonts w:ascii="Arial" w:cs="Arial" w:eastAsia="Arial" w:hAnsi="Arial"/>
                <w:sz w:val="21"/>
                <w:szCs w:val="21"/>
                <w:color w:val="auto"/>
              </w:rPr>
              <w:t>Deferred taxes payable arising from leveraged leases</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FF0FC"/>
          </w:tcPr>
          <w:p>
            <w:pPr>
              <w:jc w:val="right"/>
              <w:spacing w:after="0" w:line="237" w:lineRule="exact"/>
              <w:rPr>
                <w:sz w:val="20"/>
                <w:szCs w:val="20"/>
                <w:color w:val="auto"/>
              </w:rPr>
            </w:pPr>
            <w:r>
              <w:rPr>
                <w:rFonts w:ascii="Arial" w:cs="Arial" w:eastAsia="Arial" w:hAnsi="Arial"/>
                <w:sz w:val="21"/>
                <w:szCs w:val="21"/>
                <w:color w:val="auto"/>
              </w:rPr>
              <w:t>73,808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line="237" w:lineRule="exact"/>
              <w:rPr>
                <w:sz w:val="20"/>
                <w:szCs w:val="20"/>
                <w:color w:val="auto"/>
              </w:rPr>
            </w:pPr>
            <w:r>
              <w:rPr>
                <w:rFonts w:ascii="Arial" w:cs="Arial" w:eastAsia="Arial" w:hAnsi="Arial"/>
                <w:sz w:val="21"/>
                <w:szCs w:val="21"/>
                <w:color w:val="auto"/>
              </w:rPr>
              <w:t>74,995</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20" w:firstLine="518"/>
        <w:spacing w:after="0" w:line="316" w:lineRule="auto"/>
        <w:rPr>
          <w:sz w:val="20"/>
          <w:szCs w:val="20"/>
          <w:color w:val="auto"/>
        </w:rPr>
      </w:pPr>
      <w:r>
        <w:rPr>
          <w:rFonts w:ascii="Arial" w:cs="Arial" w:eastAsia="Arial" w:hAnsi="Arial"/>
          <w:sz w:val="19"/>
          <w:szCs w:val="19"/>
          <w:color w:val="auto"/>
        </w:rPr>
        <w:t>Included within the estimated residual value of leased assets at March 31, 2019 and December 31, 2018 were $35 million and $39 million, respectively, in residual value associated with direct financing leases that are guaranteed by the lessees or others.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At March 31, 2019, the minimum future lease payments to be received from lease financings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spacing w:after="0"/>
              <w:rPr>
                <w:sz w:val="20"/>
                <w:szCs w:val="20"/>
                <w:color w:val="auto"/>
              </w:rPr>
            </w:pPr>
            <w:r>
              <w:rPr>
                <w:rFonts w:ascii="Arial" w:cs="Arial" w:eastAsia="Arial" w:hAnsi="Arial"/>
                <w:sz w:val="21"/>
                <w:szCs w:val="21"/>
                <w:color w:val="auto"/>
              </w:rPr>
              <w:t>Twelve-month period ending March 31:</w:t>
            </w:r>
          </w:p>
        </w:tc>
        <w:tc>
          <w:tcPr>
            <w:tcW w:w="3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60"/>
              <w:spacing w:after="0"/>
              <w:rPr>
                <w:sz w:val="20"/>
                <w:szCs w:val="20"/>
                <w:color w:val="auto"/>
              </w:rPr>
            </w:pPr>
            <w:r>
              <w:rPr>
                <w:rFonts w:ascii="Arial" w:cs="Arial" w:eastAsia="Arial" w:hAnsi="Arial"/>
                <w:sz w:val="21"/>
                <w:szCs w:val="21"/>
                <w:color w:val="auto"/>
              </w:rPr>
              <w:t>2020</w:t>
            </w:r>
          </w:p>
        </w:tc>
        <w:tc>
          <w:tcPr>
            <w:tcW w:w="358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322,403</w:t>
            </w: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260"/>
              <w:spacing w:after="0"/>
              <w:rPr>
                <w:sz w:val="20"/>
                <w:szCs w:val="20"/>
                <w:color w:val="auto"/>
              </w:rPr>
            </w:pPr>
            <w:r>
              <w:rPr>
                <w:rFonts w:ascii="Arial" w:cs="Arial" w:eastAsia="Arial" w:hAnsi="Arial"/>
                <w:sz w:val="21"/>
                <w:szCs w:val="21"/>
                <w:color w:val="auto"/>
              </w:rPr>
              <w:t>2021</w:t>
            </w:r>
          </w:p>
        </w:tc>
        <w:tc>
          <w:tcPr>
            <w:tcW w:w="3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302,912</w:t>
            </w:r>
          </w:p>
        </w:tc>
        <w:tc>
          <w:tcPr>
            <w:tcW w:w="80" w:type="dxa"/>
            <w:vAlign w:val="bottom"/>
            <w:shd w:val="clear" w:color="auto" w:fill="CFF0FC"/>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60"/>
              <w:spacing w:after="0"/>
              <w:rPr>
                <w:sz w:val="20"/>
                <w:szCs w:val="20"/>
                <w:color w:val="auto"/>
              </w:rPr>
            </w:pPr>
            <w:r>
              <w:rPr>
                <w:rFonts w:ascii="Arial" w:cs="Arial" w:eastAsia="Arial" w:hAnsi="Arial"/>
                <w:sz w:val="21"/>
                <w:szCs w:val="21"/>
                <w:color w:val="auto"/>
              </w:rPr>
              <w:t>2022</w:t>
            </w: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220,516</w:t>
            </w: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260"/>
              <w:spacing w:after="0"/>
              <w:rPr>
                <w:sz w:val="20"/>
                <w:szCs w:val="20"/>
                <w:color w:val="auto"/>
              </w:rPr>
            </w:pPr>
            <w:r>
              <w:rPr>
                <w:rFonts w:ascii="Arial" w:cs="Arial" w:eastAsia="Arial" w:hAnsi="Arial"/>
                <w:sz w:val="21"/>
                <w:szCs w:val="21"/>
                <w:color w:val="auto"/>
              </w:rPr>
              <w:t>2023</w:t>
            </w:r>
          </w:p>
        </w:tc>
        <w:tc>
          <w:tcPr>
            <w:tcW w:w="3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148,313</w:t>
            </w:r>
          </w:p>
        </w:tc>
        <w:tc>
          <w:tcPr>
            <w:tcW w:w="80" w:type="dxa"/>
            <w:vAlign w:val="bottom"/>
            <w:shd w:val="clear" w:color="auto" w:fill="CFF0FC"/>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60"/>
              <w:spacing w:after="0"/>
              <w:rPr>
                <w:sz w:val="20"/>
                <w:szCs w:val="20"/>
                <w:color w:val="auto"/>
              </w:rPr>
            </w:pPr>
            <w:r>
              <w:rPr>
                <w:rFonts w:ascii="Arial" w:cs="Arial" w:eastAsia="Arial" w:hAnsi="Arial"/>
                <w:sz w:val="21"/>
                <w:szCs w:val="21"/>
                <w:color w:val="auto"/>
              </w:rPr>
              <w:t>2024</w:t>
            </w: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84,610</w:t>
            </w: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260"/>
              <w:spacing w:after="0"/>
              <w:rPr>
                <w:sz w:val="20"/>
                <w:szCs w:val="20"/>
                <w:color w:val="auto"/>
              </w:rPr>
            </w:pPr>
            <w:r>
              <w:rPr>
                <w:rFonts w:ascii="Arial" w:cs="Arial" w:eastAsia="Arial" w:hAnsi="Arial"/>
                <w:sz w:val="21"/>
                <w:szCs w:val="21"/>
                <w:color w:val="auto"/>
              </w:rPr>
              <w:t>Later years</w:t>
            </w:r>
          </w:p>
        </w:tc>
        <w:tc>
          <w:tcPr>
            <w:tcW w:w="3460" w:type="dxa"/>
            <w:vAlign w:val="bottom"/>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1"/>
                <w:szCs w:val="21"/>
                <w:color w:val="auto"/>
              </w:rPr>
              <w:t>144,881</w:t>
            </w:r>
          </w:p>
        </w:tc>
        <w:tc>
          <w:tcPr>
            <w:tcW w:w="80" w:type="dxa"/>
            <w:vAlign w:val="bottom"/>
            <w:shd w:val="clear" w:color="auto" w:fill="CFF0FC"/>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58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21"/>
                <w:szCs w:val="21"/>
                <w:color w:val="auto"/>
              </w:rPr>
              <w:t>1,223,635</w:t>
            </w:r>
          </w:p>
        </w:tc>
        <w:tc>
          <w:tcPr>
            <w:tcW w:w="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60" w:type="dxa"/>
            <w:vAlign w:val="bottom"/>
            <w:vMerge w:val="restart"/>
          </w:tcPr>
          <w:p>
            <w:pPr>
              <w:jc w:val="right"/>
              <w:ind w:right="1881"/>
              <w:spacing w:after="0"/>
              <w:rPr>
                <w:sz w:val="20"/>
                <w:szCs w:val="20"/>
                <w:color w:val="auto"/>
              </w:rPr>
            </w:pPr>
            <w:r>
              <w:rPr>
                <w:rFonts w:ascii="Arial" w:cs="Arial" w:eastAsia="Arial" w:hAnsi="Arial"/>
                <w:sz w:val="18"/>
                <w:szCs w:val="18"/>
                <w:color w:val="auto"/>
              </w:rPr>
              <w:t>- 19 -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4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Operating leases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January 1, 2019 adoption of new lease accounting guidance resulted in the Company recording right-of-use assets and lease liabilities in the consolidated balance sheet for all operating leases with a term greater than twelve months. In addition, the Company elected the practical expedients that (1) reassessment is not needed for whether any existing contracts are or contain leases, (2) reassessment of the classification of existing operating and finance leases is not required, and (3) a lease that has a term of twelve months or less is not required to apply the asset and liability recognition requirements.</w:t>
      </w:r>
    </w:p>
    <w:p>
      <w:pPr>
        <w:spacing w:after="0" w:line="6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The Company determines whether a contract contains a lease based on whether a contract, or a part of a contract, conveys the right to control the use of an identified asset for a period of time in exchange for consideration. If it is determined that a contract contains a lease, the consideration in the contract is separated between lease and nonlease components (for example, taxes or common area maintenance). In calculating the present value of the lease payments, the Company has utilized its incremental borrowing rate based on electing the original lease term to account for each lease component.</w:t>
      </w:r>
    </w:p>
    <w:p>
      <w:pPr>
        <w:spacing w:after="0" w:line="67"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right-of-use assets and lease liabilities relate to banking offices and other space occupied by the Company and use of certain equipment under noncancelable operating lease agreements, which prior to the adoption of the guidance were not reflected in the consolidated balance sheet.</w:t>
      </w:r>
    </w:p>
    <w:p>
      <w:pPr>
        <w:spacing w:after="0" w:line="76" w:lineRule="exact"/>
        <w:rPr>
          <w:sz w:val="20"/>
          <w:szCs w:val="20"/>
          <w:color w:val="auto"/>
        </w:rPr>
      </w:pPr>
    </w:p>
    <w:p>
      <w:pPr>
        <w:jc w:val="both"/>
        <w:ind w:right="20" w:firstLine="518"/>
        <w:spacing w:after="0" w:line="306" w:lineRule="auto"/>
        <w:rPr>
          <w:sz w:val="20"/>
          <w:szCs w:val="20"/>
          <w:color w:val="auto"/>
        </w:rPr>
      </w:pPr>
      <w:r>
        <w:rPr>
          <w:rFonts w:ascii="Arial" w:cs="Arial" w:eastAsia="Arial" w:hAnsi="Arial"/>
          <w:sz w:val="19"/>
          <w:szCs w:val="19"/>
          <w:color w:val="auto"/>
        </w:rPr>
        <w:t>As of March 31, 2019, the Company reported right-of-use assets recognized as a component of “premises and equipment” and lease liabilities recognized as a component of “accrued interest and other liabilities” in the consolidated balance sheet, as follows:</w:t>
      </w:r>
    </w:p>
    <w:p>
      <w:pPr>
        <w:ind w:left="7860"/>
        <w:spacing w:after="0"/>
        <w:rPr>
          <w:sz w:val="20"/>
          <w:szCs w:val="20"/>
          <w:color w:val="auto"/>
        </w:rPr>
      </w:pPr>
      <w:r>
        <w:rPr>
          <w:rFonts w:ascii="Arial" w:cs="Arial" w:eastAsia="Arial" w:hAnsi="Arial"/>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4861560</wp:posOffset>
            </wp:positionH>
            <wp:positionV relativeFrom="paragraph">
              <wp:posOffset>6350</wp:posOffset>
            </wp:positionV>
            <wp:extent cx="882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Pr>
          <w:p>
            <w:pPr>
              <w:spacing w:after="0"/>
              <w:rPr>
                <w:sz w:val="20"/>
                <w:szCs w:val="20"/>
                <w:color w:val="auto"/>
              </w:rPr>
            </w:pPr>
            <w:r>
              <w:rPr>
                <w:rFonts w:ascii="Arial" w:cs="Arial" w:eastAsia="Arial" w:hAnsi="Arial"/>
                <w:sz w:val="21"/>
                <w:szCs w:val="21"/>
                <w:color w:val="auto"/>
              </w:rPr>
              <w:t>Right-of-use assets</w:t>
            </w:r>
          </w:p>
        </w:tc>
        <w:tc>
          <w:tcPr>
            <w:tcW w:w="3440" w:type="dxa"/>
            <w:vAlign w:val="bottom"/>
          </w:tcPr>
          <w:p>
            <w:pPr>
              <w:jc w:val="right"/>
              <w:ind w:right="197"/>
              <w:spacing w:after="0"/>
              <w:rPr>
                <w:sz w:val="20"/>
                <w:szCs w:val="20"/>
                <w:color w:val="auto"/>
              </w:rPr>
            </w:pPr>
            <w:r>
              <w:rPr>
                <w:rFonts w:ascii="Arial" w:cs="Arial" w:eastAsia="Arial" w:hAnsi="Arial"/>
                <w:sz w:val="21"/>
                <w:szCs w:val="21"/>
                <w:color w:val="auto"/>
              </w:rPr>
              <w:t>$</w:t>
            </w:r>
          </w:p>
        </w:tc>
        <w:tc>
          <w:tcPr>
            <w:tcW w:w="1060" w:type="dxa"/>
            <w:vAlign w:val="bottom"/>
          </w:tcPr>
          <w:p>
            <w:pPr>
              <w:jc w:val="right"/>
              <w:spacing w:after="0"/>
              <w:rPr>
                <w:sz w:val="20"/>
                <w:szCs w:val="20"/>
                <w:color w:val="auto"/>
              </w:rPr>
            </w:pPr>
            <w:r>
              <w:rPr>
                <w:rFonts w:ascii="Arial" w:cs="Arial" w:eastAsia="Arial" w:hAnsi="Arial"/>
                <w:sz w:val="21"/>
                <w:szCs w:val="21"/>
                <w:color w:val="auto"/>
              </w:rPr>
              <w:t>392,847</w:t>
            </w:r>
          </w:p>
        </w:tc>
      </w:tr>
      <w:tr>
        <w:trPr>
          <w:trHeight w:val="256"/>
        </w:trPr>
        <w:tc>
          <w:tcPr>
            <w:tcW w:w="4620" w:type="dxa"/>
            <w:vAlign w:val="bottom"/>
            <w:shd w:val="clear" w:color="auto" w:fill="CFF0FC"/>
          </w:tcPr>
          <w:p>
            <w:pPr>
              <w:spacing w:after="0"/>
              <w:rPr>
                <w:sz w:val="20"/>
                <w:szCs w:val="20"/>
                <w:color w:val="auto"/>
              </w:rPr>
            </w:pPr>
            <w:r>
              <w:rPr>
                <w:rFonts w:ascii="Arial" w:cs="Arial" w:eastAsia="Arial" w:hAnsi="Arial"/>
                <w:sz w:val="21"/>
                <w:szCs w:val="21"/>
                <w:color w:val="auto"/>
              </w:rPr>
              <w:t>Lease liabilities</w:t>
            </w:r>
          </w:p>
        </w:tc>
        <w:tc>
          <w:tcPr>
            <w:tcW w:w="34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419,958</w:t>
            </w: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The Company’s noncancelable operating lease agreements expire at various dates over the next 23 years. Real estate leases generally consist of fixed monthly rental payments with certain leases containing escalation clauses. Any variable lease payments or payments for nonlease components are recognized in the consolidated statement of income as a component of “equipment and net occupancy” expense based on actual costs incurred. Some of these real estate leases contain lessee options to extend the term. Those options are included in the lease term when it is determined that it is reasonably certain the option will be exercised.</w:t>
      </w:r>
    </w:p>
    <w:p>
      <w:pPr>
        <w:spacing w:after="0" w:line="52"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The Company has noncancelable operating lease agreements for certain equipment related to ATMs, servers, printers and mail machines that are used in the normal course of operations. The ATM leases are either based on the rights to a specific square footage or a license agreement whereby the Company has the right to operate an ATM in a landlord's location. The lease terms generally contain both fixed payments and variable payments that are transaction-based. Given the transaction-based nature of the variable payments, they are excluded from the measurement of the right-of-use asset and lease liability and are recognized in the consolidated statement of income as a component of “equipment and net occupancy” expense when incurred.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Operating leases, continued</w:t>
      </w:r>
    </w:p>
    <w:p>
      <w:pPr>
        <w:spacing w:after="0" w:line="115" w:lineRule="exact"/>
        <w:rPr>
          <w:sz w:val="20"/>
          <w:szCs w:val="20"/>
          <w:color w:val="auto"/>
        </w:rPr>
      </w:pPr>
    </w:p>
    <w:p>
      <w:pPr>
        <w:ind w:right="20" w:firstLine="518"/>
        <w:spacing w:after="0" w:line="316" w:lineRule="auto"/>
        <w:rPr>
          <w:sz w:val="20"/>
          <w:szCs w:val="20"/>
          <w:color w:val="auto"/>
        </w:rPr>
      </w:pPr>
      <w:r>
        <w:rPr>
          <w:rFonts w:ascii="Arial" w:cs="Arial" w:eastAsia="Arial" w:hAnsi="Arial"/>
          <w:sz w:val="19"/>
          <w:szCs w:val="19"/>
          <w:color w:val="auto"/>
        </w:rPr>
        <w:t>The following table presents information about the Company’s lease costs for operating leases recorded in the consolidated balance sheet, cash paid toward lease liabilities, and the weighted-average remaining term and discount rates of the operating leases.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2019</w:t>
            </w:r>
          </w:p>
        </w:tc>
      </w:tr>
      <w:tr>
        <w:trPr>
          <w:trHeight w:val="155"/>
        </w:trPr>
        <w:tc>
          <w:tcPr>
            <w:tcW w:w="6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21"/>
                <w:szCs w:val="21"/>
                <w:b w:val="1"/>
                <w:bCs w:val="1"/>
                <w:color w:val="auto"/>
              </w:rPr>
              <w:t>Lease cost</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21"/>
                <w:szCs w:val="21"/>
                <w:color w:val="auto"/>
              </w:rPr>
              <w:t>Operating lease cost</w:t>
            </w:r>
          </w:p>
        </w:tc>
        <w:tc>
          <w:tcPr>
            <w:tcW w:w="13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480" w:type="dxa"/>
            <w:vAlign w:val="bottom"/>
          </w:tcPr>
          <w:p>
            <w:pPr>
              <w:jc w:val="right"/>
              <w:spacing w:after="0"/>
              <w:rPr>
                <w:sz w:val="20"/>
                <w:szCs w:val="20"/>
                <w:color w:val="auto"/>
              </w:rPr>
            </w:pPr>
            <w:r>
              <w:rPr>
                <w:rFonts w:ascii="Arial" w:cs="Arial" w:eastAsia="Arial" w:hAnsi="Arial"/>
                <w:sz w:val="21"/>
                <w:szCs w:val="21"/>
                <w:color w:val="auto"/>
              </w:rPr>
              <w:t>24,639</w:t>
            </w:r>
          </w:p>
        </w:tc>
        <w:tc>
          <w:tcPr>
            <w:tcW w:w="180" w:type="dxa"/>
            <w:vAlign w:val="bottom"/>
          </w:tcPr>
          <w:p>
            <w:pPr>
              <w:spacing w:after="0"/>
              <w:rPr>
                <w:sz w:val="22"/>
                <w:szCs w:val="22"/>
                <w:color w:val="auto"/>
              </w:rPr>
            </w:pP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21"/>
                <w:szCs w:val="21"/>
                <w:color w:val="auto"/>
              </w:rPr>
              <w:t>Short-term lease cost</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34</w:t>
            </w:r>
          </w:p>
        </w:tc>
        <w:tc>
          <w:tcPr>
            <w:tcW w:w="180" w:type="dxa"/>
            <w:vAlign w:val="bottom"/>
            <w:shd w:val="clear" w:color="auto" w:fill="CFF0FC"/>
          </w:tcPr>
          <w:p>
            <w:pPr>
              <w:spacing w:after="0"/>
              <w:rPr>
                <w:sz w:val="22"/>
                <w:szCs w:val="22"/>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21"/>
                <w:szCs w:val="21"/>
                <w:color w:val="auto"/>
              </w:rPr>
              <w:t>Variable lease cost</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466</w:t>
            </w:r>
          </w:p>
        </w:tc>
        <w:tc>
          <w:tcPr>
            <w:tcW w:w="180" w:type="dxa"/>
            <w:vAlign w:val="bottom"/>
          </w:tcPr>
          <w:p>
            <w:pPr>
              <w:spacing w:after="0"/>
              <w:rPr>
                <w:sz w:val="22"/>
                <w:szCs w:val="22"/>
                <w:color w:val="auto"/>
              </w:rPr>
            </w:pP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21"/>
                <w:szCs w:val="21"/>
                <w:color w:val="auto"/>
              </w:rPr>
              <w:t>Sublease income</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21"/>
                <w:szCs w:val="21"/>
                <w:color w:val="auto"/>
              </w:rPr>
              <w:t>(1,917)</w:t>
            </w:r>
          </w:p>
        </w:tc>
      </w:tr>
      <w:tr>
        <w:trPr>
          <w:trHeight w:val="290"/>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21"/>
                <w:szCs w:val="21"/>
                <w:color w:val="auto"/>
              </w:rPr>
              <w:t>Total net lease cost</w:t>
            </w:r>
          </w:p>
        </w:tc>
        <w:tc>
          <w:tcPr>
            <w:tcW w:w="1200" w:type="dxa"/>
            <w:vAlign w:val="bottom"/>
            <w:tcBorders>
              <w:bottom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rPr>
              <w:t>23,222</w:t>
            </w:r>
          </w:p>
        </w:tc>
        <w:tc>
          <w:tcPr>
            <w:tcW w:w="180" w:type="dxa"/>
            <w:vAlign w:val="bottom"/>
            <w:tcBorders>
              <w:bottom w:val="single" w:sz="8" w:color="CFF0FC"/>
            </w:tcBorders>
          </w:tcPr>
          <w:p>
            <w:pPr>
              <w:spacing w:after="0"/>
              <w:rPr>
                <w:sz w:val="24"/>
                <w:szCs w:val="24"/>
                <w:color w:val="auto"/>
              </w:rPr>
            </w:pPr>
          </w:p>
        </w:tc>
      </w:tr>
      <w:tr>
        <w:trPr>
          <w:trHeight w:val="237"/>
        </w:trPr>
        <w:tc>
          <w:tcPr>
            <w:tcW w:w="6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21"/>
                <w:szCs w:val="21"/>
                <w:b w:val="1"/>
                <w:bCs w:val="1"/>
                <w:color w:val="auto"/>
              </w:rPr>
              <w:t>Other information</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43"/>
        </w:trPr>
        <w:tc>
          <w:tcPr>
            <w:tcW w:w="6140" w:type="dxa"/>
            <w:vAlign w:val="bottom"/>
            <w:shd w:val="clear" w:color="auto" w:fill="CFF0FC"/>
          </w:tcPr>
          <w:p>
            <w:pPr>
              <w:spacing w:after="0"/>
              <w:rPr>
                <w:sz w:val="20"/>
                <w:szCs w:val="20"/>
                <w:color w:val="auto"/>
              </w:rPr>
            </w:pPr>
            <w:r>
              <w:rPr>
                <w:rFonts w:ascii="Arial" w:cs="Arial" w:eastAsia="Arial" w:hAnsi="Arial"/>
                <w:sz w:val="21"/>
                <w:szCs w:val="21"/>
                <w:color w:val="auto"/>
              </w:rPr>
              <w:t>Right-of-use assets obtained in exchange for new operating</w:t>
            </w: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6"/>
        </w:trPr>
        <w:tc>
          <w:tcPr>
            <w:tcW w:w="6140" w:type="dxa"/>
            <w:vAlign w:val="bottom"/>
            <w:shd w:val="clear" w:color="auto" w:fill="CFF0FC"/>
          </w:tcPr>
          <w:p>
            <w:pPr>
              <w:ind w:left="220"/>
              <w:spacing w:after="0"/>
              <w:rPr>
                <w:sz w:val="20"/>
                <w:szCs w:val="20"/>
                <w:color w:val="auto"/>
              </w:rPr>
            </w:pPr>
            <w:r>
              <w:rPr>
                <w:rFonts w:ascii="Arial" w:cs="Arial" w:eastAsia="Arial" w:hAnsi="Arial"/>
                <w:sz w:val="21"/>
                <w:szCs w:val="21"/>
                <w:color w:val="auto"/>
              </w:rPr>
              <w:t>lease liabilities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20,410</w:t>
            </w:r>
          </w:p>
        </w:tc>
        <w:tc>
          <w:tcPr>
            <w:tcW w:w="180" w:type="dxa"/>
            <w:vAlign w:val="bottom"/>
            <w:shd w:val="clear" w:color="auto" w:fill="CFF0FC"/>
          </w:tcPr>
          <w:p>
            <w:pPr>
              <w:spacing w:after="0"/>
              <w:rPr>
                <w:sz w:val="22"/>
                <w:szCs w:val="22"/>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21"/>
                <w:szCs w:val="21"/>
                <w:color w:val="auto"/>
              </w:rPr>
              <w:t>Cash paid toward lease liabilities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25,656</w:t>
            </w:r>
          </w:p>
        </w:tc>
        <w:tc>
          <w:tcPr>
            <w:tcW w:w="180" w:type="dxa"/>
            <w:vAlign w:val="bottom"/>
          </w:tcPr>
          <w:p>
            <w:pPr>
              <w:spacing w:after="0"/>
              <w:rPr>
                <w:sz w:val="22"/>
                <w:szCs w:val="22"/>
                <w:color w:val="auto"/>
              </w:rPr>
            </w:pP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21"/>
                <w:szCs w:val="21"/>
                <w:color w:val="auto"/>
              </w:rPr>
              <w:t>Weighted-average remaining lease term</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21"/>
                <w:szCs w:val="21"/>
                <w:color w:val="auto"/>
              </w:rPr>
              <w:t>7 years</w:t>
            </w:r>
          </w:p>
        </w:tc>
      </w:tr>
      <w:tr>
        <w:trPr>
          <w:trHeight w:val="264"/>
        </w:trPr>
        <w:tc>
          <w:tcPr>
            <w:tcW w:w="6140" w:type="dxa"/>
            <w:vAlign w:val="bottom"/>
          </w:tcPr>
          <w:p>
            <w:pPr>
              <w:spacing w:after="0"/>
              <w:rPr>
                <w:sz w:val="20"/>
                <w:szCs w:val="20"/>
                <w:color w:val="auto"/>
              </w:rPr>
            </w:pPr>
            <w:r>
              <w:rPr>
                <w:rFonts w:ascii="Arial" w:cs="Arial" w:eastAsia="Arial" w:hAnsi="Arial"/>
                <w:sz w:val="21"/>
                <w:szCs w:val="21"/>
                <w:color w:val="auto"/>
              </w:rPr>
              <w:t>Weighted-average discount rate</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21"/>
                <w:szCs w:val="21"/>
                <w:color w:val="auto"/>
              </w:rPr>
              <w:t>3.2%</w:t>
            </w:r>
          </w:p>
        </w:tc>
      </w:tr>
    </w:tbl>
    <w:p>
      <w:pPr>
        <w:spacing w:after="0" w:line="194"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Minimum lease payments under noncancelable operating leases are summarized in the following table. These minimum lease payments are not materially different from those reported in the 2018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40" w:type="dxa"/>
            <w:vAlign w:val="bottom"/>
            <w:shd w:val="clear" w:color="auto" w:fill="CFF0FC"/>
          </w:tcPr>
          <w:p>
            <w:pPr>
              <w:spacing w:after="0"/>
              <w:rPr>
                <w:sz w:val="20"/>
                <w:szCs w:val="20"/>
                <w:color w:val="auto"/>
              </w:rPr>
            </w:pPr>
            <w:r>
              <w:rPr>
                <w:rFonts w:ascii="Arial" w:cs="Arial" w:eastAsia="Arial" w:hAnsi="Arial"/>
                <w:sz w:val="21"/>
                <w:szCs w:val="21"/>
                <w:color w:val="auto"/>
              </w:rPr>
              <w:t>Twelve-month period ending March 31:</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Arial" w:cs="Arial" w:eastAsia="Arial" w:hAnsi="Arial"/>
                <w:sz w:val="21"/>
                <w:szCs w:val="21"/>
                <w:color w:val="auto"/>
              </w:rPr>
              <w:t>2020</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1"/>
                <w:szCs w:val="21"/>
                <w:color w:val="auto"/>
              </w:rPr>
              <w:t>93,460</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Arial" w:cs="Arial" w:eastAsia="Arial" w:hAnsi="Arial"/>
                <w:sz w:val="21"/>
                <w:szCs w:val="21"/>
                <w:color w:val="auto"/>
              </w:rPr>
              <w:t>2021</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87,025</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Arial" w:cs="Arial" w:eastAsia="Arial" w:hAnsi="Arial"/>
                <w:sz w:val="21"/>
                <w:szCs w:val="21"/>
                <w:color w:val="auto"/>
              </w:rPr>
              <w:t>2022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71,369</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Arial" w:cs="Arial" w:eastAsia="Arial" w:hAnsi="Arial"/>
                <w:sz w:val="21"/>
                <w:szCs w:val="21"/>
                <w:color w:val="auto"/>
              </w:rPr>
              <w:t>2023</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58,847</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Arial" w:cs="Arial" w:eastAsia="Arial" w:hAnsi="Arial"/>
                <w:sz w:val="21"/>
                <w:szCs w:val="21"/>
                <w:color w:val="auto"/>
              </w:rPr>
              <w:t>2024</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41,034</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Arial" w:cs="Arial" w:eastAsia="Arial" w:hAnsi="Arial"/>
                <w:sz w:val="21"/>
                <w:szCs w:val="21"/>
                <w:color w:val="auto"/>
              </w:rPr>
              <w:t>Later years</w:t>
            </w: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1"/>
                <w:szCs w:val="21"/>
                <w:color w:val="auto"/>
              </w:rPr>
              <w:t>111,683</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Arial" w:cs="Arial" w:eastAsia="Arial" w:hAnsi="Arial"/>
                <w:sz w:val="21"/>
                <w:szCs w:val="21"/>
                <w:color w:val="auto"/>
              </w:rPr>
              <w:t>Total lease payments</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1"/>
                <w:szCs w:val="21"/>
                <w:color w:val="auto"/>
              </w:rPr>
              <w:t>463,418</w:t>
            </w:r>
          </w:p>
        </w:tc>
        <w:tc>
          <w:tcPr>
            <w:tcW w:w="80" w:type="dxa"/>
            <w:vAlign w:val="bottom"/>
          </w:tcPr>
          <w:p>
            <w:pPr>
              <w:spacing w:after="0"/>
              <w:rPr>
                <w:sz w:val="21"/>
                <w:szCs w:val="21"/>
                <w:color w:val="auto"/>
              </w:rPr>
            </w:pPr>
          </w:p>
        </w:tc>
      </w:tr>
      <w:tr>
        <w:trPr>
          <w:trHeight w:val="256"/>
        </w:trPr>
        <w:tc>
          <w:tcPr>
            <w:tcW w:w="7740" w:type="dxa"/>
            <w:vAlign w:val="bottom"/>
            <w:shd w:val="clear" w:color="auto" w:fill="CFF0FC"/>
          </w:tcPr>
          <w:p>
            <w:pPr>
              <w:spacing w:after="0"/>
              <w:rPr>
                <w:sz w:val="20"/>
                <w:szCs w:val="20"/>
                <w:color w:val="auto"/>
              </w:rPr>
            </w:pPr>
            <w:r>
              <w:rPr>
                <w:rFonts w:ascii="Arial" w:cs="Arial" w:eastAsia="Arial" w:hAnsi="Arial"/>
                <w:sz w:val="21"/>
                <w:szCs w:val="21"/>
                <w:color w:val="auto"/>
              </w:rPr>
              <w:t>Less: imputed interest</w:t>
            </w: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1"/>
                <w:szCs w:val="21"/>
                <w:color w:val="auto"/>
              </w:rPr>
              <w:t>43,460</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Arial" w:cs="Arial" w:eastAsia="Arial" w:hAnsi="Arial"/>
                <w:sz w:val="21"/>
                <w:szCs w:val="2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419,958</w:t>
            </w:r>
          </w:p>
        </w:tc>
        <w:tc>
          <w:tcPr>
            <w:tcW w:w="8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All other operating leasing activities were not material to the Company’s consolidated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M&amp;T had $523 million of fixed and variable rate junior subordinated deferrable interest debentures ("Junior Subordinated Debentures") outstanding at March 31, 2019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5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4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Also included in long-term borrowings are agreements to repurchase securities of $406 million and $409 million at March 31, 2019 and December 31, 2018,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$425 million and $428 million at March 31, 2019 and December 31, 2018, respectively</w:t>
      </w:r>
      <w:r>
        <w:rPr>
          <w:rFonts w:ascii="Arial" w:cs="Arial" w:eastAsia="Arial" w:hAnsi="Arial"/>
          <w:sz w:val="15"/>
          <w:szCs w:val="15"/>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2019 and December 31, 2018, the Company had $54 million and $56 million, respectively, of uncollected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each of March 31, 2019 and December 31, 2018, the Company had deferred revenue of $43 million related to the sources in the accompanying tables recorded in accrued interest and other liabilities in the consolidated balance sheet.</w:t>
      </w:r>
    </w:p>
    <w:p>
      <w:pPr>
        <w:spacing w:after="0" w:line="62"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The following tables summarize sources of the Company’s noninterest income during the three-month periods ended March 31, 2019 and 2018 that are subject to the noted accounting guidance.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Business</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Commercial</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Commercial</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Discretionary</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Residential</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Mortgage</w:t>
            </w:r>
          </w:p>
        </w:tc>
        <w:tc>
          <w:tcPr>
            <w:tcW w:w="800" w:type="dxa"/>
            <w:vAlign w:val="bottom"/>
            <w:gridSpan w:val="2"/>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6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Banking</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Banking</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Real Estate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Banking</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Banking</w:t>
            </w: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 statement</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of income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15,109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23,210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2,526</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61,151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103,112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132,567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132,786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8,882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12,092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606</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1,002</w:t>
            </w:r>
          </w:p>
        </w:tc>
        <w:tc>
          <w:tcPr>
            <w:tcW w:w="16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1,788</w:t>
            </w:r>
          </w:p>
        </w:tc>
        <w:tc>
          <w:tcPr>
            <w:tcW w:w="1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16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8,494</w:t>
            </w:r>
          </w:p>
        </w:tc>
        <w:tc>
          <w:tcPr>
            <w:tcW w:w="16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10,488</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23,237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23,996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36,518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1,066</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72,783</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157,065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296,749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 statement</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of income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15,404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2,764</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60,601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105,115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131,375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131,375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13,392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7,503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12,712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3,388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1,563</w:t>
            </w:r>
          </w:p>
        </w:tc>
        <w:tc>
          <w:tcPr>
            <w:tcW w:w="16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w:t>
            </w:r>
          </w:p>
        </w:tc>
        <w:tc>
          <w:tcPr>
            <w:tcW w:w="1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6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9,865</w:t>
            </w:r>
          </w:p>
        </w:tc>
        <w:tc>
          <w:tcPr>
            <w:tcW w:w="16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9,108</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22,890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22,907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38,929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73,854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156,179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297,544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Pension plans and other postretirement benefits</w:t>
      </w:r>
    </w:p>
    <w:p>
      <w:pPr>
        <w:spacing w:after="0" w:line="11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Pension</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7"/>
              </w:rPr>
              <w:t>Benefits</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0"/>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6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color w:val="auto"/>
                <w:w w:val="95"/>
              </w:rPr>
              <w:t>Three Months Ended March 31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18,805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98"/>
              </w:rPr>
              <w:t>(30,600)</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(30,875)</w:t>
            </w:r>
          </w:p>
        </w:tc>
        <w:tc>
          <w:tcPr>
            <w:tcW w:w="12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20" w:type="dxa"/>
            <w:vAlign w:val="bottom"/>
          </w:tcPr>
          <w:p>
            <w:pPr>
              <w:jc w:val="right"/>
              <w:ind w:right="185"/>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$22.2 million and $21.3 million for the three months ended March 31, 2019 and 2018, respectively, and are included in salaries and employee benefits expense.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80"/>
        </w:trPr>
        <w:tc>
          <w:tcPr>
            <w:tcW w:w="6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5"/>
              </w:rPr>
              <w:t>(In thousands, except per share)</w:t>
            </w:r>
          </w:p>
        </w:tc>
        <w:tc>
          <w:tcPr>
            <w:tcW w:w="120" w:type="dxa"/>
            <w:vAlign w:val="bottom"/>
          </w:tcPr>
          <w:p>
            <w:pPr>
              <w:spacing w:after="0"/>
              <w:rPr>
                <w:sz w:val="15"/>
                <w:szCs w:val="15"/>
                <w:color w:val="auto"/>
              </w:rPr>
            </w:pPr>
          </w:p>
        </w:tc>
      </w:tr>
      <w:tr>
        <w:trPr>
          <w:trHeight w:val="367"/>
        </w:trPr>
        <w:tc>
          <w:tcPr>
            <w:tcW w:w="604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352,610</w:t>
            </w:r>
          </w:p>
        </w:tc>
        <w:tc>
          <w:tcPr>
            <w:tcW w:w="120" w:type="dxa"/>
            <w:vAlign w:val="bottom"/>
            <w:shd w:val="clear" w:color="auto" w:fill="CFF0FC"/>
          </w:tcPr>
          <w:p>
            <w:pPr>
              <w:spacing w:after="0"/>
              <w:rPr>
                <w:sz w:val="19"/>
                <w:szCs w:val="19"/>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Less: Preferred stock dividends (a)</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(18,130)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(18,130)</w:t>
            </w:r>
          </w:p>
        </w:tc>
      </w:tr>
      <w:tr>
        <w:trPr>
          <w:trHeight w:val="223"/>
        </w:trPr>
        <w:tc>
          <w:tcPr>
            <w:tcW w:w="6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464,612</w:t>
            </w:r>
          </w:p>
        </w:tc>
        <w:tc>
          <w:tcPr>
            <w:tcW w:w="3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04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04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(2,526)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(1,732)</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462,086</w:t>
            </w:r>
          </w:p>
        </w:tc>
        <w:tc>
          <w:tcPr>
            <w:tcW w:w="3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 awards</w:t>
            </w:r>
          </w:p>
        </w:tc>
        <w:tc>
          <w:tcPr>
            <w:tcW w:w="1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138,637</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149,470</w:t>
            </w:r>
          </w:p>
        </w:tc>
        <w:tc>
          <w:tcPr>
            <w:tcW w:w="120" w:type="dxa"/>
            <w:vAlign w:val="bottom"/>
            <w:shd w:val="clear" w:color="auto" w:fill="CFF0FC"/>
          </w:tcPr>
          <w:p>
            <w:pPr>
              <w:spacing w:after="0"/>
              <w:rPr>
                <w:sz w:val="20"/>
                <w:szCs w:val="20"/>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(748)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(782)</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137,889</w:t>
            </w:r>
          </w:p>
        </w:tc>
        <w:tc>
          <w:tcPr>
            <w:tcW w:w="3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r>
    </w:tbl>
    <w:p>
      <w:pPr>
        <w:spacing w:after="0" w:line="71" w:lineRule="exact"/>
        <w:rPr>
          <w:sz w:val="20"/>
          <w:szCs w:val="20"/>
          <w:color w:val="auto"/>
        </w:rPr>
      </w:pPr>
    </w:p>
    <w:p>
      <w:pPr>
        <w:ind w:left="880" w:hanging="832"/>
        <w:spacing w:after="0"/>
        <w:tabs>
          <w:tab w:leader="none" w:pos="8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Including impact of not as yet declared cumulative dividends.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71"/>
        </w:trPr>
        <w:tc>
          <w:tcPr>
            <w:tcW w:w="7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80"/>
        </w:trPr>
        <w:tc>
          <w:tcPr>
            <w:tcW w:w="7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2"/>
              </w:rPr>
              <w:t>(In thousands, except per share)</w:t>
            </w:r>
          </w:p>
        </w:tc>
        <w:tc>
          <w:tcPr>
            <w:tcW w:w="100" w:type="dxa"/>
            <w:vAlign w:val="bottom"/>
          </w:tcPr>
          <w:p>
            <w:pPr>
              <w:spacing w:after="0"/>
              <w:rPr>
                <w:sz w:val="15"/>
                <w:szCs w:val="15"/>
                <w:color w:val="auto"/>
              </w:rPr>
            </w:pPr>
          </w:p>
        </w:tc>
      </w:tr>
      <w:tr>
        <w:trPr>
          <w:trHeight w:val="434"/>
        </w:trPr>
        <w:tc>
          <w:tcPr>
            <w:tcW w:w="780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464,612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334,480</w:t>
            </w:r>
          </w:p>
        </w:tc>
        <w:tc>
          <w:tcPr>
            <w:tcW w:w="100" w:type="dxa"/>
            <w:vAlign w:val="bottom"/>
          </w:tcPr>
          <w:p>
            <w:pPr>
              <w:spacing w:after="0"/>
              <w:rPr>
                <w:sz w:val="24"/>
                <w:szCs w:val="24"/>
                <w:color w:val="auto"/>
              </w:rPr>
            </w:pPr>
          </w:p>
        </w:tc>
      </w:tr>
      <w:tr>
        <w:trPr>
          <w:trHeight w:val="215"/>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(2,526)</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(1,731)</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462,086</w:t>
            </w:r>
          </w:p>
        </w:tc>
        <w:tc>
          <w:tcPr>
            <w:tcW w:w="3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332,749</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 awards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138,637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149,470</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(748)</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(782)</w:t>
            </w:r>
          </w:p>
        </w:tc>
      </w:tr>
      <w:tr>
        <w:trPr>
          <w:trHeight w:val="215"/>
        </w:trPr>
        <w:tc>
          <w:tcPr>
            <w:tcW w:w="780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tcPr>
          <w:p>
            <w:pPr>
              <w:spacing w:after="0"/>
              <w:rPr>
                <w:sz w:val="20"/>
                <w:szCs w:val="20"/>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137,920</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148,905</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Stock-based compensation awards and warrants to purchase common stock of M&amp;T representing 280,818 and 237,584 common shares during the three-month periods ended March 31, 2019 and 2018, respectively, were not included in the computations of diluted earnings per common share because the effect on those periods would have been antidilutive.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3"/>
        </w:trPr>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2"/>
              </w:rPr>
              <w:t>Defined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59"/>
              <w:spacing w:after="0" w:line="143" w:lineRule="exact"/>
              <w:rPr>
                <w:sz w:val="20"/>
                <w:szCs w:val="20"/>
                <w:color w:val="auto"/>
              </w:rPr>
            </w:pPr>
            <w:r>
              <w:rPr>
                <w:rFonts w:ascii="Arial" w:cs="Arial" w:eastAsia="Arial" w:hAnsi="Arial"/>
                <w:sz w:val="13"/>
                <w:szCs w:val="13"/>
                <w:b w:val="1"/>
                <w:bCs w:val="1"/>
                <w:color w:val="auto"/>
                <w:w w:val="89"/>
              </w:rPr>
              <w:t>Total</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Benefit</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59"/>
              <w:spacing w:after="0"/>
              <w:rPr>
                <w:sz w:val="20"/>
                <w:szCs w:val="20"/>
                <w:color w:val="auto"/>
              </w:rPr>
            </w:pPr>
            <w:r>
              <w:rPr>
                <w:rFonts w:ascii="Arial" w:cs="Arial" w:eastAsia="Arial" w:hAnsi="Arial"/>
                <w:sz w:val="13"/>
                <w:szCs w:val="13"/>
                <w:b w:val="1"/>
                <w:bCs w:val="1"/>
                <w:color w:val="auto"/>
                <w:w w:val="97"/>
              </w:rPr>
              <w:t>Amount</w:t>
            </w:r>
          </w:p>
        </w:tc>
        <w:tc>
          <w:tcPr>
            <w:tcW w:w="3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w w:val="86"/>
              </w:rPr>
              <w:t>Securities</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Plans</w:t>
            </w: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840" w:type="dxa"/>
            <w:vAlign w:val="bottom"/>
            <w:gridSpan w:val="2"/>
          </w:tcPr>
          <w:p>
            <w:pPr>
              <w:jc w:val="center"/>
              <w:ind w:right="159"/>
              <w:spacing w:after="0"/>
              <w:rPr>
                <w:sz w:val="20"/>
                <w:szCs w:val="20"/>
                <w:color w:val="auto"/>
              </w:rPr>
            </w:pPr>
            <w:r>
              <w:rPr>
                <w:rFonts w:ascii="Arial" w:cs="Arial" w:eastAsia="Arial" w:hAnsi="Arial"/>
                <w:sz w:val="13"/>
                <w:szCs w:val="13"/>
                <w:b w:val="1"/>
                <w:bCs w:val="1"/>
                <w:color w:val="auto"/>
                <w:w w:val="95"/>
              </w:rPr>
              <w:t>Before Tax</w:t>
            </w:r>
          </w:p>
        </w:tc>
        <w:tc>
          <w:tcPr>
            <w:tcW w:w="38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Tax</w:t>
            </w:r>
          </w:p>
        </w:tc>
        <w:tc>
          <w:tcPr>
            <w:tcW w:w="180" w:type="dxa"/>
            <w:vAlign w:val="bottom"/>
          </w:tcPr>
          <w:p>
            <w:pPr>
              <w:spacing w:after="0"/>
              <w:rPr>
                <w:sz w:val="14"/>
                <w:szCs w:val="14"/>
                <w:color w:val="auto"/>
              </w:rPr>
            </w:pPr>
          </w:p>
        </w:tc>
        <w:tc>
          <w:tcPr>
            <w:tcW w:w="740" w:type="dxa"/>
            <w:vAlign w:val="bottom"/>
            <w:gridSpan w:val="2"/>
          </w:tcPr>
          <w:p>
            <w:pPr>
              <w:jc w:val="right"/>
              <w:ind w:right="379"/>
              <w:spacing w:after="0"/>
              <w:rPr>
                <w:sz w:val="20"/>
                <w:szCs w:val="20"/>
                <w:color w:val="auto"/>
              </w:rPr>
            </w:pPr>
            <w:r>
              <w:rPr>
                <w:rFonts w:ascii="Arial" w:cs="Arial" w:eastAsia="Arial" w:hAnsi="Arial"/>
                <w:sz w:val="13"/>
                <w:szCs w:val="13"/>
                <w:b w:val="1"/>
                <w:bCs w:val="1"/>
                <w:color w:val="auto"/>
              </w:rPr>
              <w:t>Net</w:t>
            </w:r>
          </w:p>
        </w:tc>
      </w:tr>
      <w:tr>
        <w:trPr>
          <w:trHeight w:val="168"/>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5"/>
          </w:tcPr>
          <w:p>
            <w:pPr>
              <w:jc w:val="center"/>
              <w:ind w:left="88"/>
              <w:spacing w:after="0"/>
              <w:rPr>
                <w:sz w:val="20"/>
                <w:szCs w:val="20"/>
                <w:color w:val="auto"/>
              </w:rPr>
            </w:pPr>
            <w:r>
              <w:rPr>
                <w:rFonts w:ascii="Arial" w:cs="Arial" w:eastAsia="Arial" w:hAnsi="Arial"/>
                <w:sz w:val="13"/>
                <w:szCs w:val="13"/>
                <w:b w:val="1"/>
                <w:bCs w:val="1"/>
                <w:color w:val="auto"/>
                <w:w w:val="91"/>
              </w:rPr>
              <w:t>(In thousands)</w:t>
            </w:r>
          </w:p>
        </w:tc>
        <w:tc>
          <w:tcPr>
            <w:tcW w:w="3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11"/>
        </w:trPr>
        <w:tc>
          <w:tcPr>
            <w:tcW w:w="4520" w:type="dxa"/>
            <w:vAlign w:val="bottom"/>
          </w:tcPr>
          <w:p>
            <w:pPr>
              <w:spacing w:after="0"/>
              <w:rPr>
                <w:sz w:val="20"/>
                <w:szCs w:val="20"/>
                <w:color w:val="auto"/>
              </w:rPr>
            </w:pPr>
            <w:r>
              <w:rPr>
                <w:rFonts w:ascii="Arial" w:cs="Arial" w:eastAsia="Arial" w:hAnsi="Arial"/>
                <w:sz w:val="14"/>
                <w:szCs w:val="14"/>
                <w:color w:val="auto"/>
              </w:rPr>
              <w:t>Balance — January 1, 2019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(200,107)</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(354,502)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(14,719)</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(569,328)</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149,247</w:t>
            </w:r>
          </w:p>
        </w:tc>
        <w:tc>
          <w:tcPr>
            <w:tcW w:w="24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(420,081)</w:t>
            </w: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Unrealized holding gains, net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113,805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113,805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(29,902)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83,903</w:t>
            </w:r>
          </w:p>
        </w:tc>
        <w:tc>
          <w:tcPr>
            <w:tcW w:w="120" w:type="dxa"/>
            <w:vAlign w:val="bottom"/>
          </w:tcPr>
          <w:p>
            <w:pPr>
              <w:spacing w:after="0"/>
              <w:rPr>
                <w:sz w:val="14"/>
                <w:szCs w:val="14"/>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Unrealized gains on cash flow hedges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54,347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54,347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(14,288)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40,059</w:t>
            </w:r>
          </w:p>
        </w:tc>
        <w:tc>
          <w:tcPr>
            <w:tcW w:w="120" w:type="dxa"/>
            <w:vAlign w:val="bottom"/>
          </w:tcPr>
          <w:p>
            <w:pPr>
              <w:spacing w:after="0"/>
              <w:rPr>
                <w:sz w:val="14"/>
                <w:szCs w:val="14"/>
                <w:color w:val="auto"/>
              </w:rPr>
            </w:pPr>
          </w:p>
        </w:tc>
      </w:tr>
      <w:tr>
        <w:trPr>
          <w:trHeight w:val="123"/>
        </w:trPr>
        <w:tc>
          <w:tcPr>
            <w:tcW w:w="452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6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67"/>
        </w:trPr>
        <w:tc>
          <w:tcPr>
            <w:tcW w:w="4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113,805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54,695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168,500</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(44,263)</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124,237</w:t>
            </w:r>
          </w:p>
        </w:tc>
        <w:tc>
          <w:tcPr>
            <w:tcW w:w="120" w:type="dxa"/>
            <w:vAlign w:val="bottom"/>
            <w:shd w:val="clear" w:color="auto" w:fill="CFF0FC"/>
          </w:tcPr>
          <w:p>
            <w:pPr>
              <w:spacing w:after="0"/>
              <w:rPr>
                <w:sz w:val="14"/>
                <w:szCs w:val="14"/>
                <w:color w:val="auto"/>
              </w:rPr>
            </w:pPr>
          </w:p>
        </w:tc>
      </w:tr>
      <w:tr>
        <w:trPr>
          <w:trHeight w:val="137"/>
        </w:trPr>
        <w:tc>
          <w:tcPr>
            <w:tcW w:w="452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52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5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held-to-maturity (“HTM”) securities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(a)</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(245)</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Losses realized in net income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(b)</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(c)</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(21)</w:t>
            </w: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6,625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6,625</w:t>
            </w:r>
          </w:p>
        </w:tc>
        <w:tc>
          <w:tcPr>
            <w:tcW w:w="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(a)</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(1,742)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4,883</w:t>
            </w:r>
          </w:p>
        </w:tc>
        <w:tc>
          <w:tcPr>
            <w:tcW w:w="120" w:type="dxa"/>
            <w:vAlign w:val="bottom"/>
          </w:tcPr>
          <w:p>
            <w:pPr>
              <w:spacing w:after="0"/>
              <w:rPr>
                <w:sz w:val="14"/>
                <w:szCs w:val="14"/>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(1,050)</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(1,050)</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(d)</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(774)</w:t>
            </w: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4,150</w:t>
            </w:r>
          </w:p>
        </w:tc>
        <w:tc>
          <w:tcPr>
            <w:tcW w:w="2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4,150</w:t>
            </w:r>
          </w:p>
        </w:tc>
        <w:tc>
          <w:tcPr>
            <w:tcW w:w="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(d)</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(1,091)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3,059</w:t>
            </w:r>
          </w:p>
        </w:tc>
        <w:tc>
          <w:tcPr>
            <w:tcW w:w="120" w:type="dxa"/>
            <w:vAlign w:val="bottom"/>
          </w:tcPr>
          <w:p>
            <w:pPr>
              <w:spacing w:after="0"/>
              <w:rPr>
                <w:sz w:val="14"/>
                <w:szCs w:val="14"/>
                <w:color w:val="auto"/>
              </w:rPr>
            </w:pPr>
          </w:p>
        </w:tc>
      </w:tr>
      <w:tr>
        <w:trPr>
          <w:trHeight w:val="155"/>
        </w:trPr>
        <w:tc>
          <w:tcPr>
            <w:tcW w:w="4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6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114,740</w:t>
            </w:r>
          </w:p>
        </w:tc>
        <w:tc>
          <w:tcPr>
            <w:tcW w:w="1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3,100</w:t>
            </w:r>
          </w:p>
        </w:tc>
        <w:tc>
          <w:tcPr>
            <w:tcW w:w="2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61,292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179,132</w:t>
            </w:r>
          </w:p>
        </w:tc>
        <w:tc>
          <w:tcPr>
            <w:tcW w:w="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(47,060)</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132,072</w:t>
            </w:r>
          </w:p>
        </w:tc>
        <w:tc>
          <w:tcPr>
            <w:tcW w:w="120" w:type="dxa"/>
            <w:vAlign w:val="bottom"/>
            <w:tcBorders>
              <w:top w:val="single" w:sz="8" w:color="CFF0FC"/>
            </w:tcBorders>
            <w:shd w:val="clear" w:color="auto" w:fill="CFF0FC"/>
          </w:tcPr>
          <w:p>
            <w:pPr>
              <w:spacing w:after="0"/>
              <w:rPr>
                <w:sz w:val="13"/>
                <w:szCs w:val="13"/>
                <w:color w:val="auto"/>
              </w:rPr>
            </w:pPr>
          </w:p>
        </w:tc>
      </w:tr>
      <w:tr>
        <w:trPr>
          <w:trHeight w:val="195"/>
        </w:trPr>
        <w:tc>
          <w:tcPr>
            <w:tcW w:w="45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 March 31, 2019</w:t>
            </w:r>
          </w:p>
        </w:tc>
        <w:tc>
          <w:tcPr>
            <w:tcW w:w="6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(85,367</w:t>
            </w:r>
          </w:p>
        </w:tc>
        <w:tc>
          <w:tcPr>
            <w:tcW w:w="120" w:type="dxa"/>
            <w:vAlign w:val="bottom"/>
            <w:tcBorders>
              <w:bottom w:val="single" w:sz="8" w:color="CFF0FC"/>
            </w:tcBorders>
          </w:tcPr>
          <w:p>
            <w:pPr>
              <w:jc w:val="right"/>
              <w:spacing w:after="0" w:line="155" w:lineRule="exact"/>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(351,402)</w:t>
            </w:r>
          </w:p>
        </w:tc>
        <w:tc>
          <w:tcPr>
            <w:tcW w:w="26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46,573</w:t>
            </w:r>
          </w:p>
        </w:tc>
        <w:tc>
          <w:tcPr>
            <w:tcW w:w="24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(390,196</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102,187</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(288,009</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color w:val="auto"/>
                <w:w w:val="73"/>
              </w:rPr>
              <w:t>)</w:t>
            </w:r>
          </w:p>
        </w:tc>
      </w:tr>
      <w:tr>
        <w:trPr>
          <w:trHeight w:val="142"/>
        </w:trPr>
        <w:tc>
          <w:tcPr>
            <w:tcW w:w="45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(59,957)</w:t>
            </w: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(413,168)</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(20,165)</w:t>
            </w:r>
          </w:p>
        </w:tc>
        <w:tc>
          <w:tcPr>
            <w:tcW w:w="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(493,290)</w:t>
            </w: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129,476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(363,814)</w:t>
            </w:r>
          </w:p>
        </w:tc>
      </w:tr>
      <w:tr>
        <w:trPr>
          <w:trHeight w:val="143"/>
        </w:trPr>
        <w:tc>
          <w:tcPr>
            <w:tcW w:w="4520" w:type="dxa"/>
            <w:vAlign w:val="bottom"/>
          </w:tcPr>
          <w:p>
            <w:pPr>
              <w:spacing w:after="0" w:line="143" w:lineRule="exact"/>
              <w:rPr>
                <w:sz w:val="20"/>
                <w:szCs w:val="20"/>
                <w:color w:val="auto"/>
              </w:rPr>
            </w:pPr>
            <w:r>
              <w:rPr>
                <w:rFonts w:ascii="Arial" w:cs="Arial" w:eastAsia="Arial" w:hAnsi="Arial"/>
                <w:sz w:val="14"/>
                <w:szCs w:val="14"/>
                <w:color w:val="auto"/>
              </w:rPr>
              <w:t>Cumulative effect of change in accounting principle — equity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20" w:type="dxa"/>
            <w:vAlign w:val="bottom"/>
          </w:tcPr>
          <w:p>
            <w:pPr>
              <w:ind w:left="160"/>
              <w:spacing w:after="0"/>
              <w:rPr>
                <w:sz w:val="20"/>
                <w:szCs w:val="20"/>
                <w:color w:val="auto"/>
              </w:rPr>
            </w:pPr>
            <w:r>
              <w:rPr>
                <w:rFonts w:ascii="Arial" w:cs="Arial" w:eastAsia="Arial" w:hAnsi="Arial"/>
                <w:sz w:val="14"/>
                <w:szCs w:val="14"/>
                <w:color w:val="auto"/>
              </w:rPr>
              <w:t>securities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(22,795)</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(22,795)</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(16,853)</w:t>
            </w: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Unrealized holding losses, net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(145,457)</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(145,457)</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44,176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(101,281)</w:t>
            </w: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(342)</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Unrealized losses on cash flow hedges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(14,719)</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(14,719)</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(10,849)</w:t>
            </w:r>
          </w:p>
        </w:tc>
      </w:tr>
      <w:tr>
        <w:trPr>
          <w:trHeight w:val="137"/>
        </w:trPr>
        <w:tc>
          <w:tcPr>
            <w:tcW w:w="45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6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7"/>
        </w:trPr>
        <w:tc>
          <w:tcPr>
            <w:tcW w:w="4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(145,457)</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(13,087)</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(158,544)</w:t>
            </w: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47,704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(110,840)</w:t>
            </w:r>
          </w:p>
        </w:tc>
      </w:tr>
      <w:tr>
        <w:trPr>
          <w:trHeight w:val="137"/>
        </w:trPr>
        <w:tc>
          <w:tcPr>
            <w:tcW w:w="452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52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5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HTM securities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(a)</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(c)</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(21)</w:t>
            </w: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(a)</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FF0FC"/>
          </w:tcPr>
          <w:p>
            <w:pPr>
              <w:spacing w:after="0"/>
              <w:rPr>
                <w:sz w:val="14"/>
                <w:szCs w:val="14"/>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Amortization of prior service credit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(1,050)</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(1,050)</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(d)</w:t>
            </w:r>
          </w:p>
        </w:tc>
        <w:tc>
          <w:tcPr>
            <w:tcW w:w="760" w:type="dxa"/>
            <w:vAlign w:val="bottom"/>
          </w:tcPr>
          <w:p>
            <w:pPr>
              <w:jc w:val="right"/>
              <w:spacing w:after="0"/>
              <w:rPr>
                <w:sz w:val="20"/>
                <w:szCs w:val="20"/>
                <w:color w:val="auto"/>
              </w:rPr>
            </w:pPr>
            <w:r>
              <w:rPr>
                <w:rFonts w:ascii="Arial" w:cs="Arial" w:eastAsia="Arial" w:hAnsi="Arial"/>
                <w:sz w:val="14"/>
                <w:szCs w:val="14"/>
                <w:color w:val="auto"/>
              </w:rPr>
              <w:t>276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(774)</w:t>
            </w: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actuarial losses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10,900</w:t>
            </w: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10,900</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(d)</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(2,866)</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8,034</w:t>
            </w:r>
          </w:p>
        </w:tc>
        <w:tc>
          <w:tcPr>
            <w:tcW w:w="120" w:type="dxa"/>
            <w:vAlign w:val="bottom"/>
            <w:shd w:val="clear" w:color="auto" w:fill="CFF0FC"/>
          </w:tcPr>
          <w:p>
            <w:pPr>
              <w:spacing w:after="0"/>
              <w:rPr>
                <w:sz w:val="14"/>
                <w:szCs w:val="14"/>
                <w:color w:val="auto"/>
              </w:rPr>
            </w:pPr>
          </w:p>
        </w:tc>
      </w:tr>
      <w:tr>
        <w:trPr>
          <w:trHeight w:val="155"/>
        </w:trPr>
        <w:tc>
          <w:tcPr>
            <w:tcW w:w="45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6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(144,647)</w:t>
            </w:r>
          </w:p>
        </w:tc>
        <w:tc>
          <w:tcPr>
            <w:tcW w:w="1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9,850</w:t>
            </w:r>
          </w:p>
        </w:tc>
        <w:tc>
          <w:tcPr>
            <w:tcW w:w="26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(12,535)</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(147,332)</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44,756</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(102,576)</w:t>
            </w:r>
          </w:p>
        </w:tc>
        <w:tc>
          <w:tcPr>
            <w:tcW w:w="120" w:type="dxa"/>
            <w:vAlign w:val="bottom"/>
            <w:tcBorders>
              <w:bottom w:val="single" w:sz="8" w:color="CFF0FC"/>
            </w:tcBorders>
          </w:tcPr>
          <w:p>
            <w:pPr>
              <w:spacing w:after="0"/>
              <w:rPr>
                <w:sz w:val="13"/>
                <w:szCs w:val="13"/>
                <w:color w:val="auto"/>
              </w:rPr>
            </w:pPr>
          </w:p>
        </w:tc>
      </w:tr>
      <w:tr>
        <w:trPr>
          <w:trHeight w:val="155"/>
        </w:trPr>
        <w:tc>
          <w:tcPr>
            <w:tcW w:w="45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2018</w:t>
            </w:r>
          </w:p>
        </w:tc>
        <w:tc>
          <w:tcPr>
            <w:tcW w:w="6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(227,399</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(403,318)</w:t>
            </w:r>
          </w:p>
        </w:tc>
        <w:tc>
          <w:tcPr>
            <w:tcW w:w="26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(32,700)</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(663,417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180,174</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(483,243</w:t>
            </w:r>
          </w:p>
        </w:tc>
        <w:tc>
          <w:tcPr>
            <w:tcW w:w="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r>
      <w:tr>
        <w:trPr>
          <w:trHeight w:val="20"/>
        </w:trPr>
        <w:tc>
          <w:tcPr>
            <w:tcW w:w="4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20" w:hanging="512"/>
        <w:spacing w:after="0" w:line="221" w:lineRule="auto"/>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20" w:hanging="512"/>
        <w:spacing w:after="0" w:line="221" w:lineRule="auto"/>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20" w:hanging="512"/>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6"/>
              </w:rPr>
              <w:t>Defined</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9"/>
              </w:rPr>
              <w:t>Investment</w:t>
            </w:r>
          </w:p>
        </w:tc>
        <w:tc>
          <w:tcPr>
            <w:tcW w:w="176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5"/>
              </w:rPr>
              <w:t>Benefit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Securities</w:t>
            </w:r>
          </w:p>
        </w:tc>
        <w:tc>
          <w:tcPr>
            <w:tcW w:w="176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86"/>
              </w:rPr>
              <w:t>Plans</w:t>
            </w:r>
          </w:p>
        </w:tc>
        <w:tc>
          <w:tcPr>
            <w:tcW w:w="114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r>
      <w:tr>
        <w:trPr>
          <w:trHeight w:val="168"/>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w w:val="98"/>
              </w:rPr>
              <w:t>(In thousands)</w:t>
            </w:r>
          </w:p>
        </w:tc>
        <w:tc>
          <w:tcPr>
            <w:tcW w:w="7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11"/>
        </w:trPr>
        <w:tc>
          <w:tcPr>
            <w:tcW w:w="3840" w:type="dxa"/>
            <w:vAlign w:val="bottom"/>
          </w:tcPr>
          <w:p>
            <w:pPr>
              <w:spacing w:after="0"/>
              <w:rPr>
                <w:sz w:val="20"/>
                <w:szCs w:val="20"/>
                <w:color w:val="auto"/>
              </w:rPr>
            </w:pPr>
            <w:r>
              <w:rPr>
                <w:rFonts w:ascii="Arial" w:cs="Arial" w:eastAsia="Arial" w:hAnsi="Arial"/>
                <w:sz w:val="14"/>
                <w:szCs w:val="14"/>
                <w:color w:val="auto"/>
              </w:rPr>
              <w:t>Balance — December 31, 2018</w:t>
            </w:r>
          </w:p>
        </w:tc>
        <w:tc>
          <w:tcPr>
            <w:tcW w:w="21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(147,526)</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(261,303)</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(11,252)</w:t>
            </w:r>
          </w:p>
        </w:tc>
        <w:tc>
          <w:tcPr>
            <w:tcW w:w="240" w:type="dxa"/>
            <w:vAlign w:val="bottom"/>
            <w:gridSpan w:val="2"/>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(420,081)</w:t>
            </w: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Net gain during period</w:t>
            </w:r>
          </w:p>
        </w:tc>
        <w:tc>
          <w:tcPr>
            <w:tcW w:w="20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84,591</w:t>
            </w:r>
          </w:p>
        </w:tc>
        <w:tc>
          <w:tcPr>
            <w:tcW w:w="38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2,285</w:t>
            </w:r>
          </w:p>
        </w:tc>
        <w:tc>
          <w:tcPr>
            <w:tcW w:w="3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45,196</w:t>
            </w:r>
          </w:p>
        </w:tc>
        <w:tc>
          <w:tcPr>
            <w:tcW w:w="3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132,072</w:t>
            </w:r>
          </w:p>
        </w:tc>
        <w:tc>
          <w:tcPr>
            <w:tcW w:w="100" w:type="dxa"/>
            <w:vAlign w:val="bottom"/>
            <w:shd w:val="clear" w:color="auto" w:fill="CFF0FC"/>
          </w:tcPr>
          <w:p>
            <w:pPr>
              <w:spacing w:after="0"/>
              <w:rPr>
                <w:sz w:val="14"/>
                <w:szCs w:val="14"/>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color w:val="auto"/>
              </w:rPr>
              <w:t>Balance — March 31, 2019</w:t>
            </w:r>
          </w:p>
        </w:tc>
        <w:tc>
          <w:tcPr>
            <w:tcW w:w="20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(62,935)</w:t>
            </w:r>
          </w:p>
        </w:tc>
        <w:tc>
          <w:tcPr>
            <w:tcW w:w="3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(259,018)</w:t>
            </w: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33,944</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(288,009)</w:t>
            </w:r>
          </w:p>
        </w:tc>
        <w:tc>
          <w:tcPr>
            <w:tcW w:w="10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2019.</w:t>
      </w:r>
    </w:p>
    <w:p>
      <w:pPr>
        <w:spacing w:after="0" w:line="8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20"/>
          <w:szCs w:val="20"/>
          <w:color w:val="auto"/>
        </w:rPr>
        <w:t>The net effect of interest rate swap agreements was to decrease net interest income by $13 million during the three months ended March 31, 2019 and increase net interest income by $1 million during the three months ended March 31, 2018.</w:t>
      </w:r>
    </w:p>
    <w:p>
      <w:pPr>
        <w:spacing w:after="0" w:line="4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ind w:left="740"/>
              <w:spacing w:after="0"/>
              <w:rPr>
                <w:sz w:val="20"/>
                <w:szCs w:val="20"/>
                <w:color w:val="auto"/>
              </w:rPr>
            </w:pPr>
            <w:r>
              <w:rPr>
                <w:rFonts w:ascii="Arial" w:cs="Arial" w:eastAsia="Arial" w:hAnsi="Arial"/>
                <w:sz w:val="14"/>
                <w:szCs w:val="14"/>
                <w:b w:val="1"/>
                <w:bCs w:val="1"/>
                <w:color w:val="auto"/>
                <w:w w:val="94"/>
              </w:rPr>
              <w:t>Weighted-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Notional</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Fixed</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Variable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Gain (Loss) (a)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5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estate loans (b)(c)</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29,750,000</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5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(12,534)</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34,200,000</w:t>
            </w:r>
          </w:p>
        </w:tc>
        <w:tc>
          <w:tcPr>
            <w:tcW w:w="3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5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estate loans (b)(d)</w:t>
            </w: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15,400,000</w:t>
            </w:r>
          </w:p>
        </w:tc>
        <w:tc>
          <w:tcPr>
            <w:tcW w:w="30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19,850,000</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40" w:right="160" w:hanging="532"/>
        <w:spacing w:after="0" w:line="227" w:lineRule="auto"/>
        <w:tabs>
          <w:tab w:leader="none" w:pos="5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Certain clearinghouse exchanges consider payments by counterparties for variation margin on derivative instruments to be settlements of those positions. The impact of such treatment at March 31, 2019 and December 31, 2018 was a reduction of the estimated fair value losses on interest rate swap agreements designated as fair value hedges of $11.9 million and $54.7 million, respectively, and on interest rate swap agreements designated as cash flow hedges of $65.7 million and $9.1 million, respectively.</w:t>
      </w:r>
    </w:p>
    <w:p>
      <w:pPr>
        <w:ind w:left="540" w:hanging="532"/>
        <w:spacing w:after="0" w:line="221" w:lineRule="auto"/>
        <w:tabs>
          <w:tab w:leader="none" w:pos="5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40" w:hanging="532"/>
        <w:spacing w:after="0"/>
        <w:tabs>
          <w:tab w:leader="none" w:pos="5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$16.4 billion of forward-starting interest rate swap agreements that become effective in 2019, 2020 and 2021.</w:t>
      </w:r>
    </w:p>
    <w:p>
      <w:pPr>
        <w:spacing w:after="0" w:line="9" w:lineRule="exact"/>
        <w:rPr>
          <w:rFonts w:ascii="Arial" w:cs="Arial" w:eastAsia="Arial" w:hAnsi="Arial"/>
          <w:sz w:val="14"/>
          <w:szCs w:val="14"/>
          <w:i w:val="1"/>
          <w:iCs w:val="1"/>
          <w:color w:val="auto"/>
        </w:rPr>
      </w:pPr>
    </w:p>
    <w:p>
      <w:pPr>
        <w:ind w:left="540" w:hanging="532"/>
        <w:spacing w:after="0" w:line="189" w:lineRule="auto"/>
        <w:tabs>
          <w:tab w:leader="none" w:pos="540" w:val="left"/>
        </w:tabs>
        <w:numPr>
          <w:ilvl w:val="0"/>
          <w:numId w:val="8"/>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Includes notional amount and terms of $12.6 billion of forward-starting interest rate swap agreements that become effective in 2019 and 2020</w:t>
      </w:r>
      <w:r>
        <w:rPr>
          <w:rFonts w:ascii="Arial" w:cs="Arial" w:eastAsia="Arial" w:hAnsi="Arial"/>
          <w:sz w:val="13"/>
          <w:szCs w:val="13"/>
          <w:i w:val="1"/>
          <w:iCs w:val="1"/>
          <w:color w:val="auto"/>
        </w:rPr>
        <w:t>.</w:t>
      </w:r>
    </w:p>
    <w:p>
      <w:pPr>
        <w:spacing w:after="0" w:line="119" w:lineRule="exact"/>
        <w:rPr>
          <w:sz w:val="20"/>
          <w:szCs w:val="20"/>
          <w:color w:val="auto"/>
        </w:rPr>
      </w:pPr>
    </w:p>
    <w:p>
      <w:pPr>
        <w:jc w:val="both"/>
        <w:ind w:firstLine="518"/>
        <w:spacing w:after="0" w:line="242"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8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$43.3 billion and $42.9 billion at March 31, 2019 and December 31, 2018, respectively. The notional amounts of foreign currency and other option and futures contracts entered into for trading account purposes aggregated $832 million and $763 million at March 31, 2019 and December 31, 2018,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5"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0"/>
              </w:rPr>
              <w:t>Asset Derivatives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Liability Derivatives</w:t>
            </w: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416"/>
              <w:spacing w:after="0" w:line="146" w:lineRule="exact"/>
              <w:rPr>
                <w:sz w:val="20"/>
                <w:szCs w:val="20"/>
                <w:color w:val="auto"/>
              </w:rPr>
            </w:pPr>
            <w:r>
              <w:rPr>
                <w:rFonts w:ascii="Arial" w:cs="Arial" w:eastAsia="Arial" w:hAnsi="Arial"/>
                <w:sz w:val="14"/>
                <w:szCs w:val="14"/>
                <w:b w:val="1"/>
                <w:bCs w:val="1"/>
                <w:color w:val="auto"/>
                <w:w w:val="95"/>
              </w:rPr>
              <w:t>Fair Value</w:t>
            </w: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436"/>
              <w:spacing w:after="0" w:line="146" w:lineRule="exact"/>
              <w:rPr>
                <w:sz w:val="20"/>
                <w:szCs w:val="20"/>
                <w:color w:val="auto"/>
              </w:rPr>
            </w:pPr>
            <w:r>
              <w:rPr>
                <w:rFonts w:ascii="Arial" w:cs="Arial" w:eastAsia="Arial" w:hAnsi="Arial"/>
                <w:sz w:val="14"/>
                <w:szCs w:val="14"/>
                <w:b w:val="1"/>
                <w:bCs w:val="1"/>
                <w:color w:val="auto"/>
                <w:w w:val="95"/>
              </w:rPr>
              <w:t>Fair Value</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4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8,059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for sale (a)</w:t>
            </w: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199,404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118,687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92,383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169,255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6,390</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142,242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102,242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220,442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148,862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122,846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190,686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20" w:right="20" w:hanging="512"/>
        <w:spacing w:after="0" w:line="234" w:lineRule="auto"/>
        <w:tabs>
          <w:tab w:leader="none" w:pos="5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March 31, 2019 and December 31, 2018 was a reduction of the estimated fair value of interest rate contracts in the trading account in an asset position of $88.1 million and $170.7 million, respectively, and in a liability position of $122.8 million and $49.7 million,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Amount of Gain (Loss) Recognized</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4"/>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1"/>
                <w:szCs w:val="11"/>
                <w:color w:val="auto"/>
              </w:rPr>
            </w:pPr>
          </w:p>
        </w:tc>
        <w:tc>
          <w:tcPr>
            <w:tcW w:w="1740" w:type="dxa"/>
            <w:vAlign w:val="bottom"/>
            <w:gridSpan w:val="3"/>
          </w:tcPr>
          <w:p>
            <w:pPr>
              <w:jc w:val="center"/>
              <w:ind w:right="59"/>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6"/>
              </w:rPr>
              <w:t>March 31, 2019</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4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Derivative</w:t>
            </w:r>
          </w:p>
        </w:tc>
        <w:tc>
          <w:tcPr>
            <w:tcW w:w="340" w:type="dxa"/>
            <w:vAlign w:val="bottom"/>
          </w:tcPr>
          <w:p>
            <w:pPr>
              <w:spacing w:after="0"/>
              <w:rPr>
                <w:sz w:val="11"/>
                <w:szCs w:val="11"/>
                <w:color w:val="auto"/>
              </w:rPr>
            </w:pPr>
          </w:p>
        </w:tc>
        <w:tc>
          <w:tcPr>
            <w:tcW w:w="78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Hedged</w:t>
            </w:r>
          </w:p>
        </w:tc>
        <w:tc>
          <w:tcPr>
            <w:tcW w:w="340" w:type="dxa"/>
            <w:vAlign w:val="bottom"/>
          </w:tcPr>
          <w:p>
            <w:pPr>
              <w:spacing w:after="0"/>
              <w:rPr>
                <w:sz w:val="11"/>
                <w:szCs w:val="11"/>
                <w:color w:val="auto"/>
              </w:rPr>
            </w:pPr>
          </w:p>
        </w:tc>
        <w:tc>
          <w:tcPr>
            <w:tcW w:w="10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Derivative</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Item</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Item</w:t>
            </w:r>
          </w:p>
        </w:tc>
        <w:tc>
          <w:tcPr>
            <w:tcW w:w="10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140" w:type="dxa"/>
            <w:vAlign w:val="bottom"/>
          </w:tcPr>
          <w:p>
            <w:pPr>
              <w:ind w:left="260"/>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34,180</w:t>
            </w:r>
          </w:p>
        </w:tc>
        <w:tc>
          <w:tcPr>
            <w:tcW w:w="1460" w:type="dxa"/>
            <w:vAlign w:val="bottom"/>
            <w:gridSpan w:val="3"/>
          </w:tcPr>
          <w:p>
            <w:pPr>
              <w:ind w:left="560"/>
              <w:spacing w:after="0"/>
              <w:rPr>
                <w:sz w:val="20"/>
                <w:szCs w:val="20"/>
                <w:color w:val="auto"/>
              </w:rPr>
            </w:pPr>
            <w:r>
              <w:rPr>
                <w:rFonts w:ascii="Arial" w:cs="Arial" w:eastAsia="Arial" w:hAnsi="Arial"/>
                <w:sz w:val="18"/>
                <w:szCs w:val="18"/>
                <w:color w:val="auto"/>
              </w:rPr>
              <w:t>(34,014)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(42,390)</w:t>
            </w:r>
          </w:p>
        </w:tc>
        <w:tc>
          <w:tcPr>
            <w:tcW w:w="820" w:type="dxa"/>
            <w:vAlign w:val="bottom"/>
          </w:tcPr>
          <w:p>
            <w:pPr>
              <w:jc w:val="right"/>
              <w:spacing w:after="0"/>
              <w:rPr>
                <w:sz w:val="20"/>
                <w:szCs w:val="20"/>
                <w:color w:val="auto"/>
              </w:rPr>
            </w:pPr>
            <w:r>
              <w:rPr>
                <w:rFonts w:ascii="Arial" w:cs="Arial" w:eastAsia="Arial" w:hAnsi="Arial"/>
                <w:sz w:val="18"/>
                <w:szCs w:val="18"/>
                <w:color w:val="auto"/>
              </w:rPr>
              <w:t>42,370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Trading:</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contracts (b)</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(1,605)</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520" w:hanging="472"/>
        <w:spacing w:after="0"/>
        <w:tabs>
          <w:tab w:leader="none" w:pos="5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adjustment to interest expense.</w:t>
      </w:r>
    </w:p>
    <w:p>
      <w:pPr>
        <w:spacing w:after="0" w:line="22" w:lineRule="exact"/>
        <w:rPr>
          <w:rFonts w:ascii="Arial" w:cs="Arial" w:eastAsia="Arial" w:hAnsi="Arial"/>
          <w:sz w:val="16"/>
          <w:szCs w:val="16"/>
          <w:i w:val="1"/>
          <w:iCs w:val="1"/>
          <w:color w:val="auto"/>
        </w:rPr>
      </w:pPr>
    </w:p>
    <w:p>
      <w:pPr>
        <w:ind w:left="520" w:hanging="472"/>
        <w:spacing w:after="0"/>
        <w:tabs>
          <w:tab w:leader="none" w:pos="5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trading account and foreign exchange gains.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Cumulative Amount of 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 of the Hedged Item</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5"/>
              </w:rPr>
              <w:t>the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95"/>
              </w:rPr>
              <w:t>Hedged Item</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March 31, 2019</w:t>
            </w:r>
          </w:p>
        </w:tc>
        <w:tc>
          <w:tcPr>
            <w:tcW w:w="1200" w:type="dxa"/>
            <w:vAlign w:val="bottom"/>
            <w:tcBorders>
              <w:top w:val="single" w:sz="8" w:color="auto"/>
            </w:tcBorders>
          </w:tcPr>
          <w:p>
            <w:pPr>
              <w:ind w:left="280"/>
              <w:spacing w:after="0" w:line="133" w:lineRule="exact"/>
              <w:rPr>
                <w:sz w:val="20"/>
                <w:szCs w:val="20"/>
                <w:color w:val="auto"/>
              </w:rPr>
            </w:pPr>
            <w:r>
              <w:rPr>
                <w:rFonts w:ascii="Arial" w:cs="Arial" w:eastAsia="Arial" w:hAnsi="Arial"/>
                <w:sz w:val="14"/>
                <w:szCs w:val="14"/>
                <w:b w:val="1"/>
                <w:bCs w:val="1"/>
                <w:color w:val="auto"/>
                <w:w w:val="98"/>
              </w:rPr>
              <w:t>December 31,</w:t>
            </w:r>
          </w:p>
        </w:tc>
        <w:tc>
          <w:tcPr>
            <w:tcW w:w="420" w:type="dxa"/>
            <w:vAlign w:val="bottom"/>
          </w:tcPr>
          <w:p>
            <w:pPr>
              <w:spacing w:after="0"/>
              <w:rPr>
                <w:sz w:val="11"/>
                <w:szCs w:val="11"/>
                <w:color w:val="auto"/>
              </w:rPr>
            </w:pPr>
          </w:p>
        </w:tc>
        <w:tc>
          <w:tcPr>
            <w:tcW w:w="10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March 31, 2019</w:t>
            </w:r>
          </w:p>
        </w:tc>
        <w:tc>
          <w:tcPr>
            <w:tcW w:w="1340" w:type="dxa"/>
            <w:vAlign w:val="bottom"/>
            <w:tcBorders>
              <w:top w:val="single" w:sz="8" w:color="auto"/>
            </w:tcBorders>
            <w:gridSpan w:val="2"/>
          </w:tcPr>
          <w:p>
            <w:pPr>
              <w:jc w:val="center"/>
              <w:ind w:left="26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0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 of</w:t>
            </w:r>
          </w:p>
        </w:tc>
        <w:tc>
          <w:tcPr>
            <w:tcW w:w="1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the Hedged Items in Fair Value Hedges</w:t>
            </w:r>
          </w:p>
        </w:tc>
        <w:tc>
          <w:tcPr>
            <w:tcW w:w="15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7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  4,428,645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4,394,109</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(17,088)</w:t>
            </w:r>
          </w:p>
        </w:tc>
        <w:tc>
          <w:tcPr>
            <w:tcW w:w="60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4"/>
                <w:szCs w:val="24"/>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- 28 -</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amount of gain (loss) recognized in the consolidated statement of income associated with derivatives designated as cash flow hedges was not material.</w:t>
      </w:r>
    </w:p>
    <w:p>
      <w:pPr>
        <w:spacing w:after="0" w:line="6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$16 million and $18 million at March 31, 2019 and December 31, 2018, respectively. Changes in unrealized gains and losses are included in mortgage banking revenues and, in general, are realized in subsequent periods as the related loans are sold and commitments satisfied.</w:t>
      </w:r>
    </w:p>
    <w:p>
      <w:pPr>
        <w:spacing w:after="0" w:line="5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4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The aggregate fair value of derivative financial instruments in a liability position and the net liability positions with counterparties, which are subject to enforceable master netting arrangements, was $20 million and $21 million at March 31, 2019 and December 31, 2018, respectively. The Company was required to post collateral relating to those positions of $20 million and $18 million at March 31, 2019 and December 31, 2018,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2019 was not significant. If the credit risk-related contingent features had been triggered on March 31, 2019, the Company would not have been required to post any additional collateral to counterparties.</w:t>
      </w:r>
    </w:p>
    <w:p>
      <w:pPr>
        <w:spacing w:after="0" w:line="73"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$7 million and $18 million at March 31, 2019 and December 31, 2018, respectively. Counterparties posted collateral relating to those positions of $3 million and $16 million at March 31, 2019 and December 31, 2018, respectively. Trading account interest rate swap agreements entered into with customers are subject to the Company’s credit risk standards and often contain collateral provisions.</w:t>
      </w:r>
    </w:p>
    <w:p>
      <w:pPr>
        <w:spacing w:after="0" w:line="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$71 million and $65 million at March 31, 2019 and December 31, 2018,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securitization activity has consisted of securitizing loans originated for sale into government issued or guaranteed mortgage-backed securities. The amounts of those securitizations during the three-month periods ended March 31, 2019 and 2018 are presented in the Company’s consolidated statement of cash flows. The Company has not recognized any losses as a result of having securitized assets.</w:t>
      </w:r>
    </w:p>
    <w:p>
      <w:pPr>
        <w:spacing w:after="0" w:line="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2019 and December 31, 2018,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$1.1 billion at March 31, 2019 and December 31, 2018.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$517 million, including $278 million of unfunded commitments, at March 31, 2019 and $523 million, including $280 million of unfunded commitments, at December 31, 2018. Contingent commitments to provide additional capital contributions to these partnerships were not material at March 31, 2019.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$17 million and $13 million of its investments in qualified affordable housing projects to income tax expense during the three-month periods ended March 31, 2019 and 2018, respectively, and recognized $20 million and $16 million of tax credits and other tax benefits during those periods.</w:t>
      </w:r>
    </w:p>
    <w:p>
      <w:pPr>
        <w:spacing w:after="0" w:line="71" w:lineRule="exact"/>
        <w:rPr>
          <w:sz w:val="20"/>
          <w:szCs w:val="20"/>
          <w:color w:val="auto"/>
        </w:rPr>
      </w:pPr>
    </w:p>
    <w:p>
      <w:pPr>
        <w:jc w:val="both"/>
        <w:ind w:right="20" w:firstLine="518"/>
        <w:spacing w:after="0" w:line="347"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5"/>
          <w:szCs w:val="15"/>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March 31, 2019.</w:t>
      </w:r>
    </w:p>
    <w:p>
      <w:pPr>
        <w:spacing w:after="0" w:line="64"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40" w:hanging="519"/>
        <w:spacing w:after="0" w:line="252" w:lineRule="auto"/>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21"/>
          <w:szCs w:val="21"/>
          <w:color w:val="auto"/>
        </w:rPr>
      </w:pPr>
    </w:p>
    <w:p>
      <w:pPr>
        <w:jc w:val="both"/>
        <w:ind w:left="1040" w:hanging="519"/>
        <w:spacing w:after="0" w:line="252" w:lineRule="auto"/>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5"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The following tables present assets and liabilities at March 31, 2019 and December 31, 2018 measured at estimated fair value on a recurring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Level 1 (a)</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3"/>
              </w:rPr>
              <w:t>Level 2 (a)</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Measurements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276,322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46,521</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229,801</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1,139,428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1,139,428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7,053,907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7,053,907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131,052</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131,052</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8,325,584</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8,325,568</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76,586</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344,350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344,350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13,158</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9,036,000</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89,822</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8,938,103</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98,771</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98,771</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23,447</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122,844</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122,218</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185,584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46,018</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139,566</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1,336,931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1,336,931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8,682,509</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8,682,487</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551,697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551,697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19,626</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10,322</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9,533,333</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118,007</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9,406,000</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178,125</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12,561</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190,686</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189,094</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2"/>
        <w:spacing w:after="0" w:line="258" w:lineRule="auto"/>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2019 and the year ended December 31, 2018.</w:t>
      </w:r>
    </w:p>
    <w:p>
      <w:pPr>
        <w:spacing w:after="0" w:line="1" w:lineRule="exact"/>
        <w:rPr>
          <w:rFonts w:ascii="Arial" w:cs="Arial" w:eastAsia="Arial" w:hAnsi="Arial"/>
          <w:sz w:val="18"/>
          <w:szCs w:val="18"/>
          <w:i w:val="1"/>
          <w:iCs w:val="1"/>
          <w:color w:val="auto"/>
        </w:rPr>
      </w:pPr>
    </w:p>
    <w:p>
      <w:pPr>
        <w:ind w:left="520" w:hanging="512"/>
        <w:spacing w:after="0" w:line="260" w:lineRule="auto"/>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March 31, 2019 and 2018 were as follows:</w:t>
      </w:r>
    </w:p>
    <w:p>
      <w:pPr>
        <w:spacing w:after="0" w:line="230"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Investment</w:t>
      </w:r>
    </w:p>
    <w:p>
      <w:pPr>
        <w:jc w:val="center"/>
        <w:ind w:left="700"/>
        <w:spacing w:after="0" w:line="226" w:lineRule="auto"/>
        <w:rPr>
          <w:sz w:val="20"/>
          <w:szCs w:val="20"/>
          <w:color w:val="auto"/>
        </w:rPr>
      </w:pPr>
      <w:r>
        <w:rPr>
          <w:rFonts w:ascii="Arial" w:cs="Arial" w:eastAsia="Arial" w:hAnsi="Arial"/>
          <w:sz w:val="14"/>
          <w:szCs w:val="14"/>
          <w:b w:val="1"/>
          <w:bCs w:val="1"/>
          <w:color w:val="auto"/>
        </w:rPr>
        <w:t>Securities</w:t>
      </w:r>
    </w:p>
    <w:p>
      <w:pPr>
        <w:jc w:val="center"/>
        <w:ind w:left="70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0" w:type="dxa"/>
            <w:vAlign w:val="bottom"/>
            <w:tcBorders>
              <w:top w:val="single" w:sz="8" w:color="auto"/>
            </w:tcBorders>
          </w:tcPr>
          <w:p>
            <w:pPr>
              <w:jc w:val="center"/>
              <w:ind w:left="147"/>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4"/>
              </w:rPr>
              <w:t>Mortgage-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2019</w:t>
            </w:r>
          </w:p>
        </w:tc>
        <w:tc>
          <w:tcPr>
            <w:tcW w:w="4900" w:type="dxa"/>
            <w:vAlign w:val="bottom"/>
          </w:tcPr>
          <w:p>
            <w:pPr>
              <w:spacing w:after="0"/>
              <w:rPr>
                <w:sz w:val="14"/>
                <w:szCs w:val="14"/>
                <w:color w:val="auto"/>
              </w:rPr>
            </w:pPr>
          </w:p>
        </w:tc>
        <w:tc>
          <w:tcPr>
            <w:tcW w:w="1400" w:type="dxa"/>
            <w:vAlign w:val="bottom"/>
            <w:tcBorders>
              <w:bottom w:val="single" w:sz="8" w:color="auto"/>
            </w:tcBorders>
          </w:tcPr>
          <w:p>
            <w:pPr>
              <w:jc w:val="center"/>
              <w:ind w:left="127"/>
              <w:spacing w:after="0"/>
              <w:rPr>
                <w:sz w:val="20"/>
                <w:szCs w:val="20"/>
                <w:color w:val="auto"/>
              </w:rPr>
            </w:pPr>
            <w:r>
              <w:rPr>
                <w:rFonts w:ascii="Arial" w:cs="Arial" w:eastAsia="Arial" w:hAnsi="Arial"/>
                <w:sz w:val="14"/>
                <w:szCs w:val="14"/>
                <w:b w:val="1"/>
                <w:bCs w:val="1"/>
                <w:color w:val="auto"/>
                <w:w w:val="89"/>
              </w:rPr>
              <w:t>Backed Securities</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Other Liabilities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5"/>
                <w:szCs w:val="15"/>
                <w:color w:val="auto"/>
              </w:rPr>
            </w:pPr>
          </w:p>
        </w:tc>
        <w:tc>
          <w:tcPr>
            <w:tcW w:w="4900" w:type="dxa"/>
            <w:vAlign w:val="bottom"/>
          </w:tcPr>
          <w:p>
            <w:pPr>
              <w:spacing w:after="0"/>
              <w:rPr>
                <w:sz w:val="15"/>
                <w:szCs w:val="15"/>
                <w:color w:val="auto"/>
              </w:rPr>
            </w:pPr>
          </w:p>
        </w:tc>
        <w:tc>
          <w:tcPr>
            <w:tcW w:w="3480" w:type="dxa"/>
            <w:vAlign w:val="bottom"/>
            <w:gridSpan w:val="4"/>
          </w:tcPr>
          <w:p>
            <w:pPr>
              <w:jc w:val="right"/>
              <w:ind w:right="121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60" w:type="dxa"/>
            <w:vAlign w:val="bottom"/>
            <w:gridSpan w:val="2"/>
          </w:tcPr>
          <w:p>
            <w:pPr>
              <w:spacing w:after="0"/>
              <w:rPr>
                <w:sz w:val="20"/>
                <w:szCs w:val="20"/>
                <w:color w:val="auto"/>
              </w:rPr>
            </w:pPr>
            <w:r>
              <w:rPr>
                <w:rFonts w:ascii="Arial" w:cs="Arial" w:eastAsia="Arial" w:hAnsi="Arial"/>
                <w:sz w:val="18"/>
                <w:szCs w:val="18"/>
                <w:color w:val="auto"/>
              </w:rPr>
              <w:t>Balance — January 1, 2019</w:t>
            </w:r>
          </w:p>
        </w:tc>
        <w:tc>
          <w:tcPr>
            <w:tcW w:w="1400" w:type="dxa"/>
            <w:vAlign w:val="bottom"/>
          </w:tcPr>
          <w:p>
            <w:pPr>
              <w:jc w:val="right"/>
              <w:ind w:right="124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16,546</w:t>
            </w: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Transfers out of Level 3 (a)</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
              <w:spacing w:after="0"/>
              <w:rPr>
                <w:sz w:val="20"/>
                <w:szCs w:val="20"/>
                <w:color w:val="auto"/>
              </w:rPr>
            </w:pPr>
            <w:r>
              <w:rPr>
                <w:rFonts w:ascii="Arial" w:cs="Arial" w:eastAsia="Arial" w:hAnsi="Arial"/>
                <w:sz w:val="18"/>
                <w:szCs w:val="18"/>
                <w:color w:val="auto"/>
              </w:rPr>
              <w:t>(16,825) (c)</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March 31, 2019</w:t>
            </w:r>
          </w:p>
        </w:tc>
        <w:tc>
          <w:tcPr>
            <w:tcW w:w="1400" w:type="dxa"/>
            <w:vAlign w:val="bottom"/>
            <w:tcBorders>
              <w:top w:val="single" w:sz="8" w:color="auto"/>
              <w:bottom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March 31, 2019</w:t>
            </w:r>
          </w:p>
        </w:tc>
        <w:tc>
          <w:tcPr>
            <w:tcW w:w="1400" w:type="dxa"/>
            <w:vAlign w:val="bottom"/>
          </w:tcPr>
          <w:p>
            <w:pPr>
              <w:jc w:val="right"/>
              <w:ind w:right="124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8,525</w:t>
            </w: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rPr>
                <w:sz w:val="21"/>
                <w:szCs w:val="21"/>
                <w:color w:val="auto"/>
              </w:rPr>
            </w:pPr>
          </w:p>
        </w:tc>
        <w:tc>
          <w:tcPr>
            <w:tcW w:w="4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2018</w:t>
            </w:r>
          </w:p>
        </w:tc>
        <w:tc>
          <w:tcPr>
            <w:tcW w:w="1400" w:type="dxa"/>
            <w:vAlign w:val="bottom"/>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4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 (a)</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(7,673) (c)</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March 31, 2018</w:t>
            </w:r>
          </w:p>
        </w:tc>
        <w:tc>
          <w:tcPr>
            <w:tcW w:w="1400" w:type="dxa"/>
            <w:vAlign w:val="bottom"/>
            <w:tcBorders>
              <w:top w:val="single" w:sz="8" w:color="auto"/>
              <w:bottom w:val="single" w:sz="8" w:color="auto"/>
            </w:tcBorders>
          </w:tcPr>
          <w:p>
            <w:pPr>
              <w:jc w:val="right"/>
              <w:ind w:right="12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w:t>
            </w:r>
          </w:p>
        </w:tc>
        <w:tc>
          <w:tcPr>
            <w:tcW w:w="260" w:type="dxa"/>
            <w:vAlign w:val="bottom"/>
            <w:tcBorders>
              <w:bottom w:val="single" w:sz="8" w:color="CFF0FC"/>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3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26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March 31, 2018</w:t>
            </w:r>
          </w:p>
        </w:tc>
        <w:tc>
          <w:tcPr>
            <w:tcW w:w="1400" w:type="dxa"/>
            <w:vAlign w:val="bottom"/>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w:t>
            </w:r>
          </w:p>
        </w:tc>
        <w:tc>
          <w:tcPr>
            <w:tcW w:w="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hanging="512"/>
        <w:spacing w:after="0" w:line="258" w:lineRule="auto"/>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45" w:lineRule="exact"/>
        <w:rPr>
          <w:rFonts w:ascii="Arial" w:cs="Arial" w:eastAsia="Arial" w:hAnsi="Arial"/>
          <w:sz w:val="16"/>
          <w:szCs w:val="16"/>
          <w:i w:val="1"/>
          <w:iCs w:val="1"/>
          <w:color w:val="auto"/>
        </w:rPr>
      </w:pPr>
    </w:p>
    <w:p>
      <w:pPr>
        <w:ind w:left="520" w:hanging="512"/>
        <w:spacing w:after="0"/>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03" w:lineRule="exact"/>
        <w:rPr>
          <w:sz w:val="20"/>
          <w:szCs w:val="20"/>
          <w:color w:val="auto"/>
        </w:rPr>
      </w:pPr>
    </w:p>
    <w:p>
      <w:pPr>
        <w:ind w:right="100" w:firstLine="737"/>
        <w:spacing w:after="0" w:line="263" w:lineRule="auto"/>
        <w:rPr>
          <w:sz w:val="20"/>
          <w:szCs w:val="20"/>
          <w:color w:val="auto"/>
        </w:rPr>
      </w:pPr>
      <w:r>
        <w:rPr>
          <w:rFonts w:ascii="Arial" w:cs="Arial" w:eastAsia="Arial" w:hAnsi="Arial"/>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right="7900" w:firstLine="8"/>
        <w:spacing w:after="0" w:line="351" w:lineRule="auto"/>
        <w:tabs>
          <w:tab w:leader="none" w:pos="310"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Fair value measurements, continued </w:t>
      </w:r>
      <w:r>
        <w:rPr>
          <w:rFonts w:ascii="Arial" w:cs="Arial" w:eastAsia="Arial" w:hAnsi="Arial"/>
          <w:sz w:val="21"/>
          <w:szCs w:val="21"/>
          <w:b w:val="1"/>
          <w:bCs w:val="1"/>
          <w:i w:val="1"/>
          <w:iCs w:val="1"/>
          <w:color w:val="auto"/>
        </w:rPr>
        <w:t>Loans</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at March 31, 2019.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$199 million at March 31, 2019 ($121 million and $78 million of which were classified as Level 2 and Level 3, respectively), $268 million at December 31, 2018 ($120 million and $148 million of which were classified as Level 2 and Level 3, respectively) and $178 million at March 31, 2018 ($97 million and $81 million of which were classified as Level 2 and Level 3, respectively). Changes in fair value recognized for partial charge-offs of loans and loan impairment reserves on loans held by the Company on March 31, 2019 and 2018 were decreases of $20 million and $27 million for the three-month periods ended March 31, 2019 and 2018,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$9 million and $19 million at March 31, 2019 and 2018, respectively. Changes in fair value recognized for those foreclosed assets held by the Company were not material during the three-month periods ended March 31, 2019 and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March 31, 2019 and December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Valuation</w:t>
            </w:r>
          </w:p>
        </w:tc>
        <w:tc>
          <w:tcPr>
            <w:tcW w:w="15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Technique</w:t>
            </w: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Inputs/Assumptions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9"/>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2019</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Two independent</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pricing quotes</w:t>
            </w:r>
          </w:p>
        </w:tc>
        <w:tc>
          <w:tcPr>
            <w:tcW w:w="15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gridSpan w:val="3"/>
          </w:tcPr>
          <w:p>
            <w:pPr>
              <w:ind w:left="340"/>
              <w:spacing w:after="0"/>
              <w:rPr>
                <w:sz w:val="20"/>
                <w:szCs w:val="20"/>
                <w:color w:val="auto"/>
              </w:rPr>
            </w:pPr>
            <w:r>
              <w:rPr>
                <w:rFonts w:ascii="Arial" w:cs="Arial" w:eastAsia="Arial" w:hAnsi="Arial"/>
                <w:sz w:val="18"/>
                <w:szCs w:val="18"/>
                <w:color w:val="auto"/>
              </w:rPr>
              <w:t>Discounted cash</w:t>
            </w:r>
          </w:p>
        </w:tc>
        <w:tc>
          <w:tcPr>
            <w:tcW w:w="158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7,433</w:t>
            </w:r>
          </w:p>
        </w:tc>
        <w:tc>
          <w:tcPr>
            <w:tcW w:w="2040" w:type="dxa"/>
            <w:vAlign w:val="bottom"/>
            <w:gridSpan w:val="3"/>
          </w:tcPr>
          <w:p>
            <w:pPr>
              <w:ind w:left="340"/>
              <w:spacing w:after="0"/>
              <w:rPr>
                <w:sz w:val="20"/>
                <w:szCs w:val="20"/>
                <w:color w:val="auto"/>
              </w:rPr>
            </w:pPr>
            <w:r>
              <w:rPr>
                <w:rFonts w:ascii="Arial" w:cs="Arial" w:eastAsia="Arial" w:hAnsi="Arial"/>
                <w:sz w:val="18"/>
                <w:szCs w:val="18"/>
                <w:color w:val="auto"/>
              </w:rPr>
              <w:t>flow</w:t>
            </w:r>
          </w:p>
        </w:tc>
        <w:tc>
          <w:tcPr>
            <w:tcW w:w="158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0%-94% (17%)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Privately issued mortgage-backed</w:t>
            </w:r>
          </w:p>
        </w:tc>
        <w:tc>
          <w:tcPr>
            <w:tcW w:w="72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gridSpan w:val="3"/>
          </w:tcPr>
          <w:p>
            <w:pPr>
              <w:ind w:left="340"/>
              <w:spacing w:after="0"/>
              <w:rPr>
                <w:sz w:val="20"/>
                <w:szCs w:val="20"/>
                <w:color w:val="auto"/>
              </w:rPr>
            </w:pPr>
            <w:r>
              <w:rPr>
                <w:rFonts w:ascii="Arial" w:cs="Arial" w:eastAsia="Arial" w:hAnsi="Arial"/>
                <w:sz w:val="18"/>
                <w:szCs w:val="18"/>
                <w:color w:val="auto"/>
              </w:rPr>
              <w:t>Two independent</w:t>
            </w:r>
          </w:p>
        </w:tc>
        <w:tc>
          <w:tcPr>
            <w:tcW w:w="12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040" w:type="dxa"/>
            <w:vAlign w:val="bottom"/>
            <w:gridSpan w:val="3"/>
          </w:tcPr>
          <w:p>
            <w:pPr>
              <w:ind w:left="340"/>
              <w:spacing w:after="0"/>
              <w:rPr>
                <w:sz w:val="20"/>
                <w:szCs w:val="20"/>
                <w:color w:val="auto"/>
              </w:rPr>
            </w:pPr>
            <w:r>
              <w:rPr>
                <w:rFonts w:ascii="Arial" w:cs="Arial" w:eastAsia="Arial" w:hAnsi="Arial"/>
                <w:sz w:val="18"/>
                <w:szCs w:val="18"/>
                <w:color w:val="auto"/>
              </w:rPr>
              <w:t>pricing quotes</w:t>
            </w:r>
          </w:p>
        </w:tc>
        <w:tc>
          <w:tcPr>
            <w:tcW w:w="15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Discounted cash</w:t>
            </w:r>
          </w:p>
        </w:tc>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20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flow</w:t>
            </w:r>
          </w:p>
        </w:tc>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0%-95% (13%)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240" w:firstLine="8"/>
        <w:spacing w:after="0" w:line="410" w:lineRule="auto"/>
        <w:tabs>
          <w:tab w:leader="none" w:pos="31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2</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1,267,260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1,267,260</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1,194,318</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72,942</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7,602,897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7,602,897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7,602,897</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276,322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276,322</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46,521</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229,801</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12,536,840</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12,521,737</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43,301</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12,378,816</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23,090,204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22,755,670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22,755,670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34,690,930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34,424,612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166,019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34,258,593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16,769,933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16,764,418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3,877,095</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12,887,323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14,088,816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14,018,581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14,018,581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(1,019,337)</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87,620,546</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87,963,281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4,043,114</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83,920,167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374,084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374,084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374,084</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5"/>
              </w:rPr>
              <w:t>(29,966,753)</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(29,966,753)</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(29,966,753)</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(52,932,297)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(52,932,297)</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(52,932,297)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(6,501,509)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(6,598,274)</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(6,598,274)</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(1,069,191)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(1,069,191)</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(1,069,191)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(3,602,566)</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(3,602,566)</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(3,602,566)</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(8,476,024)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(8,511,141)</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(8,511,141)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(80,322)</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(80,322)</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(80,322)</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(98,771)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(98,771)</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(98,771)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7,433</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(1,424)</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(1,424)</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(126,811)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(126,811)</w:t>
            </w: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(16,924)</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(16,924)</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(16,924)</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- 37 -</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620"/>
              <w:spacing w:after="0" w:line="133"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Level 1</w:t>
            </w: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Level 2</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1,605,439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1,605,439</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1,528,302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77,137</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185,584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185,584</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46,018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139,566</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12,692,813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12,631,656</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12,456,467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22,977,976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22,587,387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34,363,556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33,832,558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346,775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33,485,783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17,154,446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16,974,545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3,920,447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13,054,098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13,970,499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13,819,545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13,819,545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(1,019,444)</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87,447,033</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87,214,035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4,267,222</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5"/>
              </w:rPr>
              <w:t>(32,256,668)</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(32,256,668)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(32,256,668)</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(50,963,744)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(50,963,744)</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(50,963,744)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(6,124,254)</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(6,201,957)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(6,201,957)</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(811,906)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(811,906)</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(811,906)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(4,398,378)</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(4,398,378)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(4,398,378)</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(8,444,914)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(8,385,289)</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(8,385,289)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(95,274)</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(95,274)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(95,274)</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(178,125)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(178,125)</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(178,125)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7,712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(6,177)</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(6,177)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(6,177)</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(131,688)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(131,688)</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w:t>
      </w:r>
    </w:p>
    <w:p>
      <w:pPr>
        <w:spacing w:after="0" w:line="115"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5"/>
        </w:trPr>
        <w:tc>
          <w:tcPr>
            <w:tcW w:w="5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2"/>
          </w:tcPr>
          <w:p>
            <w:pPr>
              <w:jc w:val="right"/>
              <w:ind w:right="73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5,529,111</w:t>
            </w:r>
          </w:p>
        </w:tc>
        <w:tc>
          <w:tcPr>
            <w:tcW w:w="1200" w:type="dxa"/>
            <w:vAlign w:val="bottom"/>
          </w:tcPr>
          <w:p>
            <w:pPr>
              <w:jc w:val="right"/>
              <w:spacing w:after="0"/>
              <w:rPr>
                <w:sz w:val="20"/>
                <w:szCs w:val="20"/>
                <w:color w:val="auto"/>
              </w:rPr>
            </w:pPr>
            <w:r>
              <w:rPr>
                <w:rFonts w:ascii="Arial" w:cs="Arial" w:eastAsia="Arial" w:hAnsi="Arial"/>
                <w:sz w:val="18"/>
                <w:szCs w:val="18"/>
                <w:color w:val="auto"/>
              </w:rPr>
              <w:t>5,484,197</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199,722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229,401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7,331,360</w:t>
            </w:r>
          </w:p>
        </w:tc>
        <w:tc>
          <w:tcPr>
            <w:tcW w:w="1200" w:type="dxa"/>
            <w:vAlign w:val="bottom"/>
          </w:tcPr>
          <w:p>
            <w:pPr>
              <w:jc w:val="right"/>
              <w:spacing w:after="0"/>
              <w:rPr>
                <w:sz w:val="20"/>
                <w:szCs w:val="20"/>
                <w:color w:val="auto"/>
              </w:rPr>
            </w:pPr>
            <w:r>
              <w:rPr>
                <w:rFonts w:ascii="Arial" w:cs="Arial" w:eastAsia="Arial" w:hAnsi="Arial"/>
                <w:sz w:val="18"/>
                <w:szCs w:val="18"/>
                <w:color w:val="auto"/>
              </w:rPr>
              <w:t>7,556,722</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314,402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245,211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277,708</w:t>
            </w:r>
          </w:p>
        </w:tc>
        <w:tc>
          <w:tcPr>
            <w:tcW w:w="1200" w:type="dxa"/>
            <w:vAlign w:val="bottom"/>
          </w:tcPr>
          <w:p>
            <w:pPr>
              <w:jc w:val="right"/>
              <w:spacing w:after="0"/>
              <w:rPr>
                <w:sz w:val="20"/>
                <w:szCs w:val="20"/>
                <w:color w:val="auto"/>
              </w:rPr>
            </w:pPr>
            <w:r>
              <w:rPr>
                <w:rFonts w:ascii="Arial" w:cs="Arial" w:eastAsia="Arial" w:hAnsi="Arial"/>
                <w:sz w:val="18"/>
                <w:szCs w:val="18"/>
                <w:color w:val="auto"/>
              </w:rPr>
              <w:t>219,351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14,900,142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14,363,803</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2,246,864</w:t>
            </w:r>
          </w:p>
        </w:tc>
        <w:tc>
          <w:tcPr>
            <w:tcW w:w="1200" w:type="dxa"/>
            <w:vAlign w:val="bottom"/>
          </w:tcPr>
          <w:p>
            <w:pPr>
              <w:jc w:val="right"/>
              <w:spacing w:after="0"/>
              <w:rPr>
                <w:sz w:val="20"/>
                <w:szCs w:val="20"/>
                <w:color w:val="auto"/>
              </w:rPr>
            </w:pPr>
            <w:r>
              <w:rPr>
                <w:rFonts w:ascii="Arial" w:cs="Arial" w:eastAsia="Arial" w:hAnsi="Arial"/>
                <w:sz w:val="18"/>
                <w:szCs w:val="18"/>
                <w:color w:val="auto"/>
              </w:rPr>
              <w:t>2,326,991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59,464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55,808</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3,703,612</w:t>
            </w:r>
          </w:p>
        </w:tc>
        <w:tc>
          <w:tcPr>
            <w:tcW w:w="1200" w:type="dxa"/>
            <w:vAlign w:val="bottom"/>
          </w:tcPr>
          <w:p>
            <w:pPr>
              <w:jc w:val="right"/>
              <w:spacing w:after="0"/>
              <w:rPr>
                <w:sz w:val="20"/>
                <w:szCs w:val="20"/>
                <w:color w:val="auto"/>
              </w:rPr>
            </w:pPr>
            <w:r>
              <w:rPr>
                <w:rFonts w:ascii="Arial" w:cs="Arial" w:eastAsia="Arial" w:hAnsi="Arial"/>
                <w:sz w:val="18"/>
                <w:szCs w:val="18"/>
                <w:color w:val="auto"/>
              </w:rPr>
              <w:t>3,529,136</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746,307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940,692</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$8.7 billion and $8.6 billion at March 31, 2019 and December 31, 2018,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6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$3.5 billion and $3.4 billion at March 31, 2019 and December 31, 2018, respectively.</w:t>
      </w:r>
    </w:p>
    <w:p>
      <w:pPr>
        <w:spacing w:after="0" w:line="165"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2"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 continued</w:t>
      </w:r>
    </w:p>
    <w:p>
      <w:pPr>
        <w:spacing w:after="0" w:line="115"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2019, the Company believes that its obligation to loan purchasers was not material to the Company’s consolidated financial position.</w:t>
      </w:r>
    </w:p>
    <w:p>
      <w:pPr>
        <w:spacing w:after="0" w:line="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As previously disclosed, Wilmington Trust Corporation, a wholly-owned subsidiary of M&amp;T, was the subject of a class action lawsuit alleging that Wilmington Trust Corporation’s financial reporting and securities filings prior to its acquisition by M&amp;T in 2011 were in violation of securities laws. In April 2018, the parties reached an agreement in principle and a formal settlement agreement was executed and filed with the court later in the second quarter of 2018. The proposed settlement was preliminarily approved by the court in July 2018. In the first quarter of 2018, the Company increased its reserve for litigation matters in anticipation of the settlement. The settlement amount of $200 million was paid, pursuant to the settlement agreement, during the third quarter of 2018. The settlement agreement was approved by the court in the fourth quarter of 2018.</w:t>
      </w:r>
    </w:p>
    <w:p>
      <w:pPr>
        <w:spacing w:after="0" w:line="178"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Wilmington Trust, N.A., a wholly owned bank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Wilmington Trust, N.A. has also been named as a defendant in four private party lawsuits relating to its role as trustee for four ESOP transactions. Under applicable transaction documents, Wilmington Trust, N.A. may be entitled to indemnification by the ESOP Plan Sponsors. The DOL investigations of Wilmington Trust, N.A. and the private party lawsuits could result in civil proceedings, damages, resolutions or settlements, including, among other things, enforcement actions, which could seek or result in damages and/or fines, penalties, restitution, injunctions, enforcement efforts, reputational damage or additional costs and expenses.</w:t>
      </w:r>
    </w:p>
    <w:p>
      <w:pPr>
        <w:spacing w:after="0" w:line="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The Company increased its recorded liability for legal-related matters by $50 million and $135 million during the three months ended March 31, 2019 and 2018, respectively.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$100 million as of March 31, 2019.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4"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financial information of the Company's segments was compiled utilizing the accounting policies described in note 22 of Notes to Financial Statements in the 2018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Three Months Ended March 31</w:t>
            </w:r>
          </w:p>
        </w:tc>
        <w:tc>
          <w:tcPr>
            <w:tcW w:w="6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Inter-</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Inter-</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segment</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Revenues(a)</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Revenues(a)</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0"/>
        </w:trPr>
        <w:tc>
          <w:tcPr>
            <w:tcW w:w="57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5700" w:type="dxa"/>
            <w:vAlign w:val="bottom"/>
          </w:tcPr>
          <w:p>
            <w:pPr>
              <w:spacing w:after="0"/>
              <w:rPr>
                <w:sz w:val="20"/>
                <w:szCs w:val="20"/>
                <w:color w:val="auto"/>
              </w:rPr>
            </w:pPr>
            <w:r>
              <w:rPr>
                <w:rFonts w:ascii="Arial" w:cs="Arial" w:eastAsia="Arial" w:hAnsi="Arial"/>
                <w:sz w:val="18"/>
                <w:szCs w:val="18"/>
                <w:color w:val="auto"/>
              </w:rPr>
              <w:t>Business Banking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139,322</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43,271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127,884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267,490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132,218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266,396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219,173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117,498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202,607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63,917</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(9,299)</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(10,832)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83,761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14,514</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82,458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15,421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430,891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145,066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346,271</w:t>
            </w: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(9,776)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311,354</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(9,562)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(76,941)</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1,550,825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1,434,213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Average Total Assets</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5"/>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1"/>
                <w:szCs w:val="11"/>
                <w:color w:val="auto"/>
              </w:rPr>
            </w:pPr>
          </w:p>
        </w:tc>
      </w:tr>
      <w:tr>
        <w:trPr>
          <w:trHeight w:val="162"/>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8"/>
              </w:rPr>
              <w:t>March 31</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4"/>
        </w:trPr>
        <w:tc>
          <w:tcPr>
            <w:tcW w:w="5600" w:type="dxa"/>
            <w:vAlign w:val="bottom"/>
          </w:tcPr>
          <w:p>
            <w:pPr>
              <w:spacing w:after="0"/>
              <w:rPr>
                <w:sz w:val="20"/>
                <w:szCs w:val="20"/>
                <w:color w:val="auto"/>
              </w:rPr>
            </w:pPr>
            <w:r>
              <w:rPr>
                <w:rFonts w:ascii="Arial" w:cs="Arial" w:eastAsia="Arial" w:hAnsi="Arial"/>
                <w:sz w:val="18"/>
                <w:szCs w:val="18"/>
                <w:color w:val="auto"/>
              </w:rPr>
              <w:t>Business Banking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Pr>
          <w:p>
            <w:pPr>
              <w:spacing w:after="0"/>
              <w:rPr>
                <w:sz w:val="24"/>
                <w:szCs w:val="24"/>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26,482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26,626</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22,885</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32,123</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13,656</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13,877</w:t>
            </w:r>
          </w:p>
        </w:tc>
        <w:tc>
          <w:tcPr>
            <w:tcW w:w="80" w:type="dxa"/>
            <w:vAlign w:val="bottom"/>
          </w:tcPr>
          <w:p>
            <w:pPr>
              <w:spacing w:after="0"/>
              <w:rPr>
                <w:sz w:val="19"/>
                <w:szCs w:val="19"/>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both"/>
        <w:ind w:left="520" w:hanging="512"/>
        <w:spacing w:after="0" w:line="267" w:lineRule="auto"/>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$5,967,000 and $4,809,000 for the three-month periods ended March 31, 2019 and 2018,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4"/>
          <w:szCs w:val="14"/>
          <w:i w:val="1"/>
          <w:iCs w:val="1"/>
          <w:color w:val="auto"/>
        </w:rPr>
        <w:t>.</w:t>
      </w:r>
    </w:p>
    <w:p>
      <w:pPr>
        <w:spacing w:after="0" w:line="18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Relationship with Bayview Lending Group LLC and Bayview Financial Holdings, L.P.</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M&amp;T holds a 20% minority interest in Bayview Lending Group LLC ("BLG"), a privately-held commercial mortgage company. M&amp;T recognizes income or loss from BLG using the equity method of accounting. That investment had no remaining carrying value at March 31, 2019 as a result of cumulative losses recognized and cash distributions received in prior years. Income recognized by M&amp;T is included in other revenues from operations and totaled $37 million and $23 million for the three-month periods ended March 31, 2019 and 2018, respectively.</w:t>
      </w:r>
    </w:p>
    <w:p>
      <w:pPr>
        <w:spacing w:after="0" w:line="8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$2.5 billion at each of March 31, 2019 and December 31, 2018. Revenues from those servicing rights were $3 million and $4 million for the three-month periods ended March 31, 2019 and 2018, respectively. The Company sub-services residential mortgage loans for Bayview Financial having outstanding principal balances of $54.9 billion and $56.8 billion at March 31, 2019 and December 31, 2018, respectively. Revenues earned for sub-servicing loans for Bayview Financial were $28 million and $30 million for the three-month periods ended March 31, 2019 and 2018, respectively, In addition, the Company held $108 million and $113 million of mortgage-backed securities in its held-to-maturity portfolio at March 31, 2019 and December 31, 2018, respectively, that were securitized by Bayview Financial. At March 31, 2019, the Company held $94 million of Bayview Financial’s $738 million syndicated loan facility. On January 31, 2019, the Company and Bayview Financial entered into an arrangement whereby the Company would add approximately $7.9 billion to its residential mortgage loan sub-servicing portfolio, effective April 2, 2019.</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2019 as well as standards that are not effective that could have an impact to M&amp;T’s consolidated financial statements upon adoption.</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120" w:type="dxa"/>
            <w:vAlign w:val="bottom"/>
            <w:tcBorders>
              <w:top w:val="single" w:sz="8" w:color="auto"/>
            </w:tcBorders>
          </w:tcPr>
          <w:p>
            <w:pPr>
              <w:spacing w:after="0"/>
              <w:rPr>
                <w:sz w:val="12"/>
                <w:szCs w:val="12"/>
                <w:color w:val="auto"/>
              </w:rPr>
            </w:pPr>
          </w:p>
        </w:tc>
        <w:tc>
          <w:tcPr>
            <w:tcW w:w="3860" w:type="dxa"/>
            <w:vAlign w:val="bottom"/>
            <w:tcBorders>
              <w:top w:val="single" w:sz="8" w:color="auto"/>
              <w:right w:val="single" w:sz="8" w:color="auto"/>
            </w:tcBorders>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360" w:type="dxa"/>
            <w:vAlign w:val="bottom"/>
            <w:tcBorders>
              <w:top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0"/>
              </w:rPr>
              <w:t>Standards Adopted in 2019</w:t>
            </w:r>
          </w:p>
        </w:tc>
        <w:tc>
          <w:tcPr>
            <w:tcW w:w="3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Leases</w:t>
            </w:r>
          </w:p>
        </w:tc>
        <w:tc>
          <w:tcPr>
            <w:tcW w:w="120" w:type="dxa"/>
            <w:vAlign w:val="bottom"/>
            <w:shd w:val="clear" w:color="auto" w:fill="CFF0FC"/>
          </w:tcPr>
          <w:p>
            <w:pPr>
              <w:spacing w:after="0"/>
              <w:rPr>
                <w:sz w:val="23"/>
                <w:szCs w:val="23"/>
                <w:color w:val="auto"/>
              </w:rPr>
            </w:pPr>
          </w:p>
        </w:tc>
        <w:tc>
          <w:tcPr>
            <w:tcW w:w="386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4"/>
                <w:szCs w:val="14"/>
                <w:color w:val="auto"/>
                <w:w w:val="94"/>
              </w:rPr>
              <w:t>The new guidance requires lessees to record a right-of-use asset</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2019</w:t>
            </w:r>
          </w:p>
        </w:tc>
        <w:tc>
          <w:tcPr>
            <w:tcW w:w="43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The Company adopted the guidance on January 1, 2019 and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and a lease liability for all leases with a term greater than 12</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the guidance retrospectively at the beginning of the period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months. While the guidance requires all leases to be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adoption. The Company occupies certain banking offices and uses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recognized in the balance sheet, there continues to be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certain equipment under noncancelable operating lease agreements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8"/>
              </w:rPr>
              <w:t>differentiation between finance leases and operating leases for</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which prior to the adoption of the guidance were not reflected in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purposes of income statement recognition and cash flow</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consolidated balance sheet. Upon adoption, the Company recognized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5"/>
              </w:rPr>
              <w:t>statement presentation. For finance leases, interest on the lease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 right-of-use asset of $394 million and increased liabilities by $399</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liability and amortization of the right-of-use asset will be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million as a result of recognizing lease liabilities in its consolidated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7"/>
              </w:rPr>
              <w:t>recognized separately in the statement of income. Repayments</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balance sheet. The new guidance did not have a material impact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of principal on those lease liabilities will be classified within</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the Company’s consolidated statement of income.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financing activities and payments of interest on the lease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liability will be classified within operating activities in the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statement of cash flows. For operating leases, a single lease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cost is recognized in the statement of income and allocated</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9"/>
              </w:rPr>
              <w:t>over the lease term, generally on a straight-line basis. All cash</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payments are presented within operating activities in the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statement of cash flows. The accounting applied by lessors is</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8"/>
              </w:rPr>
              <w:t>largely unchanged from existing GAAP, however, the guidance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6"/>
              </w:rPr>
              <w:t>eliminates the accounting model for leveraged leases for leases</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4"/>
                <w:szCs w:val="14"/>
                <w:color w:val="auto"/>
              </w:rPr>
              <w:t>that commence after the effective date of the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36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Premium Amortization</w:t>
            </w:r>
          </w:p>
        </w:tc>
        <w:tc>
          <w:tcPr>
            <w:tcW w:w="120" w:type="dxa"/>
            <w:vAlign w:val="bottom"/>
          </w:tcPr>
          <w:p>
            <w:pPr>
              <w:spacing w:after="0"/>
              <w:rPr>
                <w:sz w:val="23"/>
                <w:szCs w:val="23"/>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The amended guidance requires the premium on callable debt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2019</w:t>
            </w:r>
          </w:p>
        </w:tc>
        <w:tc>
          <w:tcPr>
            <w:tcW w:w="4360" w:type="dxa"/>
            <w:vAlign w:val="bottom"/>
          </w:tcPr>
          <w:p>
            <w:pPr>
              <w:ind w:left="100"/>
              <w:spacing w:after="0"/>
              <w:rPr>
                <w:sz w:val="20"/>
                <w:szCs w:val="20"/>
                <w:color w:val="auto"/>
              </w:rPr>
            </w:pPr>
            <w:r>
              <w:rPr>
                <w:rFonts w:ascii="Arial" w:cs="Arial" w:eastAsia="Arial" w:hAnsi="Arial"/>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on Purchased Callable</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securities to be amortized to the earliest call date. The</w:t>
            </w:r>
          </w:p>
        </w:tc>
        <w:tc>
          <w:tcPr>
            <w:tcW w:w="1480" w:type="dxa"/>
            <w:vAlign w:val="bottom"/>
            <w:tcBorders>
              <w:right w:val="single" w:sz="8" w:color="auto"/>
            </w:tcBorders>
          </w:tcPr>
          <w:p>
            <w:pPr>
              <w:spacing w:after="0"/>
              <w:rPr>
                <w:sz w:val="12"/>
                <w:szCs w:val="12"/>
                <w:color w:val="auto"/>
              </w:rPr>
            </w:pPr>
          </w:p>
        </w:tc>
        <w:tc>
          <w:tcPr>
            <w:tcW w:w="4360" w:type="dxa"/>
            <w:vAlign w:val="bottom"/>
          </w:tcPr>
          <w:p>
            <w:pPr>
              <w:ind w:left="100"/>
              <w:spacing w:after="0" w:line="149" w:lineRule="exact"/>
              <w:rPr>
                <w:sz w:val="20"/>
                <w:szCs w:val="20"/>
                <w:color w:val="auto"/>
              </w:rPr>
            </w:pPr>
            <w:r>
              <w:rPr>
                <w:rFonts w:ascii="Arial" w:cs="Arial" w:eastAsia="Arial" w:hAnsi="Arial"/>
                <w:sz w:val="14"/>
                <w:szCs w:val="14"/>
                <w:color w:val="auto"/>
              </w:rPr>
              <w:t>2019 and applied the modified retrospective approach for reporting</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Debt Securities</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6"/>
              </w:rPr>
              <w:t>amendments do not require an accounting change for securities</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60" w:type="dxa"/>
            <w:vAlign w:val="bottom"/>
          </w:tcPr>
          <w:p>
            <w:pPr>
              <w:ind w:left="100"/>
              <w:spacing w:after="0" w:line="149" w:lineRule="exact"/>
              <w:rPr>
                <w:sz w:val="20"/>
                <w:szCs w:val="20"/>
                <w:color w:val="auto"/>
              </w:rPr>
            </w:pPr>
            <w:r>
              <w:rPr>
                <w:rFonts w:ascii="Arial" w:cs="Arial" w:eastAsia="Arial" w:hAnsi="Arial"/>
                <w:sz w:val="14"/>
                <w:szCs w:val="14"/>
                <w:color w:val="auto"/>
              </w:rPr>
              <w:t>purposes. The adoption did not have a material effect on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held at a discount; the discount continues to be amortized to</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360" w:type="dxa"/>
            <w:vAlign w:val="bottom"/>
          </w:tcPr>
          <w:p>
            <w:pPr>
              <w:ind w:left="100"/>
              <w:spacing w:after="0" w:line="149" w:lineRule="exact"/>
              <w:rPr>
                <w:sz w:val="20"/>
                <w:szCs w:val="20"/>
                <w:color w:val="auto"/>
              </w:rPr>
            </w:pPr>
            <w:r>
              <w:rPr>
                <w:rFonts w:ascii="Arial" w:cs="Arial" w:eastAsia="Arial" w:hAnsi="Arial"/>
                <w:sz w:val="14"/>
                <w:szCs w:val="14"/>
                <w:color w:val="auto"/>
              </w:rPr>
              <w:t>Company’s consolidated financial position nor on its results of</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maturity.</w:t>
            </w:r>
          </w:p>
        </w:tc>
        <w:tc>
          <w:tcPr>
            <w:tcW w:w="148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March 31,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replaces the current incurred loss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is continuing the development of its approach for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Losses on Financial</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model for determining the allowance for credit losses.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determining expected credit losses under the new guidance.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Instruments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8"/>
              </w:rPr>
              <w:t>guidance requires financial assets measured at amortized cost</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Company has a cross-functional implementation team working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be presented at the net amount expected to be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 as of</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model development, model validation, and development of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collected. The allowance for credit losses will represent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January 1, 2019</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qualitative framework, data sourcing, and technology enhancements.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valuation account that is deducted from the amortized cost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The Company expects that the new guidance will result in an increase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basis of the financial assets to present their net carrying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in its allowance for credit losses as a result of considering credit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at the amount expected to be collected. The income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losses over the expected life of its loan portfolios, in particular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will reflect the measurement of credit losses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consumer and residential real estate loan portfolios. Increases in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newly recognized financial assets as well as expected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level of allowances will reflect new requirements to include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increases or decreases of expected credit losses that have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nonaccretable principal difference on purchased credit impaired loans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taken place during the period. When determining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and estimated credit losses on investment securities classified as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expected credit losses over the contractual term</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held-to-maturity, if any. The expected changes to the allowance for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the financial asset(s) (taking into account prepayments)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credit losses and the impact to the Company’s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will be estimated considering relevant information about past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are still to be determined. The amount of the change will be affected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events, current conditions, and reasonable and supportable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by economic conditions, reasonable forecasts of such conditions and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forecasts that affect the collectibility of the reported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composition of the Company’s portfolio as of the date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amount. The amended guidance also requires recording 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adoption.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for credit losses for purchased financial assets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with a more-than-insignificant amount of credit deterioration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since origination. The initial allowance for these assets will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 added to the purchase price at acquisition rather than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being reported as an expense. Subsequent changes in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will be recorded through the income statement as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 expense adjustment. In addition, the amended guidance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requires credit losses relating to available-for-sale debt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securities to be recorded through an allowance for credit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losses. The calculation of credit losses for available-for-sale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securities will be similar to how it is determined under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existing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Simplifying the Test</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for Goodwill</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impairment test.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Impairment</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some point in the future one of its reporting units were to fail step 1</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of the goodwill impairment test.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March 31,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Changes to the</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6"/>
              </w:rPr>
              <w:t>The amendments relating to changes in unrealized gains and losses,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Disclosure</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on fair value measurements in Topic 820, Fair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range and weighted average of significant unobservable inputs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Requirements for Fair</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Measurements. The amendments are a result of the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used to develop Level 3 fair value measurements, and the narrative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Value Measurements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disclosure framework project that focuses on improvements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description of measurements uncertainty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the effectiveness of disclosures in the notes to financial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prospectively. All other amendments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statements. The amendments remove, modify, and add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4"/>
              </w:rPr>
              <w:t>retrospectively. The Company does not expect the guidance to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certain disclosure requirements. The disclosure requirements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being removed relating to public companies are (1)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amount and reason for transfers between Level 1 and Level 2</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the fair value hierarchy, (2) the policy for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transfers between levels, and (3) the valuation process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Level 3 fair value measurements. The disclosure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requirements being modified relating to public companies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are (1) for investments in certain entities that calculate net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asset value, an entity is required to disclose the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liquidation of an investee’s asset and the date when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restrictions from redemption might lapse only if the investee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has communicated the timing to the entity or announced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timing publicly, and (2) the measurement uncertainty</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disclosure is to communicate information about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uncertainty in measurement as a result of the use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unobservable inputs. The disclosure requirements being</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added relating to public companies are (1) to disclose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changes in unrealized gains and losses for the period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recurring Level 3 fair value measurements, and (2) to</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disclose the range and weighted average of significant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unobservable inputs used to develop Level 3 fair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measurements.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Customer’s</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8"/>
              </w:rPr>
              <w:t>The amended guidance requires a hosting arrangement that is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either retrospectively 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Accounting for</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 service contract to follow the guidance in Subtopic 350-40</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prospectively to all implementation costs incurred after the date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Implementation Costs</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determine which implementation costs to capitalize and</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The Company is evaluating the impact that the guidance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Incurred in a Cloud</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which costs to expense.</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will have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Computing</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Arrangement That Is a</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Service Contract</w:t>
            </w:r>
          </w:p>
        </w:tc>
        <w:tc>
          <w:tcPr>
            <w:tcW w:w="39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right w:val="single" w:sz="8" w:color="auto"/>
            </w:tcBorders>
          </w:tcPr>
          <w:p>
            <w:pPr>
              <w:spacing w:after="0"/>
              <w:rPr>
                <w:sz w:val="11"/>
                <w:szCs w:val="11"/>
                <w:color w:val="auto"/>
              </w:rPr>
            </w:pPr>
          </w:p>
        </w:tc>
        <w:tc>
          <w:tcPr>
            <w:tcW w:w="39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4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March 31,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700" w:type="dxa"/>
            <w:vAlign w:val="bottom"/>
            <w:tcBorders>
              <w:left w:val="single" w:sz="8" w:color="auto"/>
              <w:right w:val="single" w:sz="8" w:color="auto"/>
            </w:tcBorders>
            <w:shd w:val="clear" w:color="auto" w:fill="CFF0FC"/>
          </w:tcPr>
          <w:p>
            <w:pPr>
              <w:ind w:left="160"/>
              <w:spacing w:after="0" w:line="123" w:lineRule="exact"/>
              <w:rPr>
                <w:sz w:val="20"/>
                <w:szCs w:val="20"/>
                <w:color w:val="auto"/>
              </w:rPr>
            </w:pPr>
            <w:r>
              <w:rPr>
                <w:rFonts w:ascii="Arial" w:cs="Arial" w:eastAsia="Arial" w:hAnsi="Arial"/>
                <w:sz w:val="14"/>
                <w:szCs w:val="14"/>
                <w:color w:val="auto"/>
              </w:rPr>
              <w:t>Improvements to</w:t>
            </w:r>
          </w:p>
        </w:tc>
        <w:tc>
          <w:tcPr>
            <w:tcW w:w="3980" w:type="dxa"/>
            <w:vAlign w:val="bottom"/>
            <w:tcBorders>
              <w:right w:val="single" w:sz="8" w:color="auto"/>
            </w:tcBorders>
            <w:shd w:val="clear" w:color="auto" w:fill="CFF0FC"/>
          </w:tcPr>
          <w:p>
            <w:pPr>
              <w:ind w:left="120"/>
              <w:spacing w:after="0" w:line="123" w:lineRule="exact"/>
              <w:rPr>
                <w:sz w:val="20"/>
                <w:szCs w:val="20"/>
                <w:color w:val="auto"/>
              </w:rPr>
            </w:pPr>
            <w:r>
              <w:rPr>
                <w:rFonts w:ascii="Arial" w:cs="Arial" w:eastAsia="Arial" w:hAnsi="Arial"/>
                <w:sz w:val="14"/>
                <w:szCs w:val="14"/>
                <w:color w:val="auto"/>
              </w:rPr>
              <w:t>The amended guidance requires that indirect interests held</w:t>
            </w:r>
          </w:p>
        </w:tc>
        <w:tc>
          <w:tcPr>
            <w:tcW w:w="148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shd w:val="clear" w:color="auto" w:fill="CFF0FC"/>
          </w:tcPr>
          <w:p>
            <w:pPr>
              <w:ind w:left="100"/>
              <w:spacing w:after="0" w:line="123" w:lineRule="exact"/>
              <w:rPr>
                <w:sz w:val="20"/>
                <w:szCs w:val="20"/>
                <w:color w:val="auto"/>
              </w:rPr>
            </w:pPr>
            <w:r>
              <w:rPr>
                <w:rFonts w:ascii="Arial" w:cs="Arial" w:eastAsia="Arial" w:hAnsi="Arial"/>
                <w:sz w:val="14"/>
                <w:szCs w:val="14"/>
                <w:color w:val="auto"/>
              </w:rPr>
              <w:t>The amendments should be applied retrospectively with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Related Party</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through related parties in common control arrangements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cumulative-effect adjustment to retained earnings at the beginning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Guidance for VIEs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considered on a proportional basis for determining</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earliest period presented. The Company does not expect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whether fees paid to decision makers and service providers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guidance to have a material impact on its consolidated financial</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are variable interests.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Changes to the</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2021</w:t>
            </w:r>
          </w:p>
        </w:tc>
        <w:tc>
          <w:tcPr>
            <w:tcW w:w="42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The amendments should be applied retrospectively. The Company</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Disclosure</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for employers that sponsor defined benefit pension or other</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Requirements for</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postretirement plans. The amendments are a result of the</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Defined Benefit Plans</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framework project that focuses on improvements</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the effectiveness of disclosures in the notes to financial</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statements. The amendments remove and add certain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requirements. The disclosure requirements being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removed relating to public companies are (1) the amounts 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accumulated other comprehensive income expected to be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recognized as components of net periodic benefit cost over</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next fiscal year, (2) the amount and timing of plan assets</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expected to be returned to the employer, (3) the 2001</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requirement relating to Japanese Welfare Pension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Insurance Law, (4) related party disclosures about the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amount of future annual benefits covered by insurance,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(5) the effects of a one-percentage-point change in assumed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health care cost trends on the benefit cost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obligation. The disclosure requirements being added relating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public companies are (1) the weighted-average interest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9"/>
              </w:rPr>
              <w:t>crediting rates for cash balance plans , and (2) an explanation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of the reasons for significant gains and losses related to</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changes in the benefit obligation for the period.</w:t>
            </w: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Net income for M&amp;T Bank Corporation (“M&amp;T”) in the first quarter of 2019 was $483 million or $3.35 of diluted earnings per common share, compared with $353 million or $2.23 of diluted earnings per common share in the year-earlier quarter. During the fourth quarter of 2018, net income and diluted earnings per common share were $546 million and $3.76, respectively. Basic earnings per common share were $3.35 in the recent quarter, compared with $2.24 and $3.76 in the first and fourth quarters of 2018, respectively. The annualized rate of return on average total assets for M&amp;T and its consolidated subsidiaries (“the Company”) in the first quarter of 2019 was 1.68%, compared with 1.22% in the year-earlier quarter and 1.84% in the final quarter of 2018. The annualized rate of return on average common shareholders’ equity was 13.14% in the recent quarter, compared with 9.15% in the similar 2018 quarter and 14.80% in 2018’s fourth quarter.</w:t>
      </w:r>
    </w:p>
    <w:p>
      <w:pPr>
        <w:spacing w:after="0" w:line="8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During the first quarter of 2019, the Company increased its reserve for legal matters by $50 million in conjunction with matters associated with a subsidiary’s role as trustee of Employee Stock Ownership Plans in its Institutional Client Services business. That increase, on an after-tax basis, reduced net income in the recent quarter by $37 million, or $.27 of diluted earnings per common share. Also during the recent quarter, M&amp;T realized $37 million of distributed income from Bayview Lending Group LLC (“BLG”), increasing net income in the quarter by $28 million, or $.20 of diluted earnings per common share.</w:t>
      </w:r>
    </w:p>
    <w:p>
      <w:pPr>
        <w:spacing w:after="0" w:line="67"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As of March 31, 2018, the Company increased its reserve for legal matters by $135 million in anticipation of the settlement of a civil litigation matter by a wholly-owned subsidiary of M&amp;T, Wilmington Trust Corporation (“WT Corp.”), that related to periods prior to the acquisition of WT Corp. by M&amp;T. The increase, on an after-tax basis, reduced net income by $102 million or $.68 of diluted earnings per common share in the initial quarter of 2018. That matter received final court approval and is now settled. Additionally, M&amp;T realized $23 million of income from a distribution by BLG during 2018’s first quarter, increasing net income in that quarter by $17 million, or $.11 of diluted earnings per common share. Legal-related accruals and income from BLG were not significant in the fourth quarter of 2018.</w:t>
      </w:r>
    </w:p>
    <w:p>
      <w:pPr>
        <w:spacing w:after="0" w:line="82"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In the fourth quarter 2018, M&amp;T received approval from the Internal Revenue Service to change its tax return treatment for certain loan fees retroactive to 2017. Given the reduction in Federal income tax rates resulting from the Tax Cuts and Jobs Act (“the Tax Act”) that was enacted on December 22, 2017, that change in treatment resulted in a $15 million reduction of income tax expense in 2018’s fourth quarter. Following receipt of the approval, the Company increased its fourth quarter contribution to The M&amp;T Charitable Foundation to $20 million that, after applicable tax effect, reduced net income by $15 million. There were no similar items in the first quarter of 2019 or 2018.</w:t>
      </w:r>
    </w:p>
    <w:p>
      <w:pPr>
        <w:spacing w:after="0" w:line="8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Effective January 1, 2019, the Company adopted new accounting guidance for leases. The new guidance requires lessees to record a right-of-use asset and a lease liability for all leases with a term greater than twelve months. The accounting applied by lessors is largely unchanged, however, the guidance eliminates the accounting model for leveraged leases that commence after December 31, 2018. The Company occupies certain banking offices and uses certain equipment under noncancelable operating lease agreements which, prior to January 1, 2019, were not reflected in its consolidated balance sheet. As of January 1, 2019, the Company recorded right-of-use assets of $394 million and increased lease liabilities of $399 million in its consolidated balance sheet. The adoption of the new guidance did not have a material impact on the consolidated statement of income for the three-month period ended March 31, 2019. For additional information on leases, see notes 3 and 4 of Notes to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21"/>
          <w:szCs w:val="21"/>
          <w:color w:val="auto"/>
        </w:rPr>
        <w:t>measure, M&amp;T’s management believes that this information helps investors understand the effect of acquisition activity in reported results.</w:t>
      </w:r>
    </w:p>
    <w:p>
      <w:pPr>
        <w:spacing w:after="0" w:line="64"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Net operating income aggregated $486 million in the first quarter of 2019, compared with $357 million in the year-earlier quarter. Diluted net operating earnings per common share for the first three months of 2019 were $3.38, compared with $2.26 in the initial 2018 quarter. Net operating income and diluted net operating earnings per common share were $550 million and $3.79, respectively, in the fourth quarter of 2018.</w:t>
      </w:r>
    </w:p>
    <w:p>
      <w:pPr>
        <w:spacing w:after="0" w:line="8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Net operating income in the recent quarter expressed as an annualized rate of return on average tangible assets was 1.76%, compared with 1.28% and 1.93% in the first and fourth quarters of 2018. Net operating income represented an annualized return on average tangible common equity of 19.56% in the recent quarter, compared with 13.51% in the similar quarter of 2018 and 22.16% in the final 2018 quarter.</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Taxable-equivalent net interest income was $1.06 billion in the first quarter of 2019, up 8% from $980 million in the initial quarter of 2018. That growth resulted predominantly from a widening of the net interest margin, or taxable-equivalent net interest income expressed as an annualized percentage of average earning assets, to 4.04% in the recent quarter from 3.71% in the first quarter of 2018. The improvement in the net interest margin was largely the result of the higher interest rate environment due to actions initiated by the Federal Reserve to raise its target Federal funds rate in .25% increments four times during 2018. The impact of the recent quarter’s expansion of the net interest margin on net interest income was partially offset by a decline in average earning assets of $1.1 billion as compared with the first three months of 2018, reflecting reduced holdings of mortgage-backed securities and residential mortgage loans. Taxable-equivalent net interest income in the recent quarter declined $9 million, or 1%, from the fourth quarter of 2018. A 12 basis point (hundredths of one percent) widening of the net interest margin from 3.92% in the fourth quarter of 2018 was offset by a decline in average earning assets of $1.7 billion. That decline resulted from lower interest-bearing deposits at banks of $2.8 billion offset, in part, by higher average loan and lease balances of $1.2 billion.</w:t>
      </w:r>
    </w:p>
    <w:p>
      <w:pPr>
        <w:spacing w:after="0" w:line="8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Average loans and leases totaled $88.5 billion in the recent quarter, up $710 million from $87.8 billion in the first quarter of 2018. Commercial loans and leases averaged $23.0 billion in the first quarter of 2019, $1.5 billion or 7% higher than in the year-earlier quarter. Average commercial real estate loans were $34.5 billion in the recent quarter, up $872 million, or 3%, from $33.7 billion in the initial quarter of 2018. Included in average commercial real estate loans in the first quarters of 2019 and 2018 were loans held for sale of $280 million and $120 million, respectively. Reflecting ongoing repayments of loans obtained in the 2015 acquisition of Hudson City Bancorp, Inc. (“Hudson City”), average residential real estate loans declined $2.3 billion or 12% to $16.9 billion in the first three months of 2019 from $19.3 billion in the year-earlier quarter. Included in average residential real estate loans were loans held for sale of $166 million in the recent quarter and $300 million in the first quarter of 2018. Consumer loans averaged $14.0 billion in the first quarter of 2019, up $710 million, or 5%, from $13.3 billion in the initial 2018 quarter, predominantly due to growth in average recreational finance (consisting predominantly of loans secured by recreational vehicles and boats) and automobile loans that was partially offset by declines in outstanding balances of home equity loans and lines of credit.</w:t>
      </w:r>
    </w:p>
    <w:p>
      <w:pPr>
        <w:spacing w:after="0" w:line="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Average loan and lease balances in the first quarter of 2019 increased $1.2 billion, or 1%, from $87.3 billion in the fourth quarter of 2018. Average commercial loan and lease balances in the recent quarter were up $634 million, or 3%, from $22.4 billion in the fourth quarter of 2018. Average commercial real estate loans in the first quarter of 2019 increased $938 million, or 3%, from $33.6 billion in the fourth quarter of 2018. Commercial real estate loans held for sale averaged $252 million in the fourth quarter of 2018. Average balances of residential real estate loans in the initial 2019 quarter declined $482 million, or 3%, from $17.4 billion in the fourth quarter of 2018, reflecting the continued pay down of loans obtained in the acquisition of Hudson City. Residential real estate loans held for sale averaged $229 million in the final 2018 quarter. Average consumer loans in the recent quarter increased $86 million, or 1%, from $13.9 billion in 2018’s fourth quarter. The accompanying table summarizes quarterly changes in the major components of the loan and lease portfolio.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48" w:name="page49"/>
    <w:bookmarkEnd w:id="48"/>
    <w:p>
      <w:pPr>
        <w:spacing w:after="0"/>
        <w:rPr>
          <w:sz w:val="20"/>
          <w:szCs w:val="20"/>
          <w:color w:val="auto"/>
        </w:rPr>
      </w:pPr>
      <w:r>
        <w:rPr>
          <w:rFonts w:ascii="Arial" w:cs="Arial" w:eastAsia="Arial" w:hAnsi="Arial"/>
          <w:sz w:val="21"/>
          <w:szCs w:val="21"/>
          <w:color w:val="auto"/>
        </w:rPr>
        <w:t>AVERAGE LOANS AND LEASES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Percent Increase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1st Qtr.</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(Decrease) from</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1st Qtr.</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3"/>
              <w:spacing w:after="0" w:line="146" w:lineRule="exact"/>
              <w:rPr>
                <w:sz w:val="20"/>
                <w:szCs w:val="20"/>
                <w:color w:val="auto"/>
              </w:rPr>
            </w:pPr>
            <w:r>
              <w:rPr>
                <w:rFonts w:ascii="Arial" w:cs="Arial" w:eastAsia="Arial" w:hAnsi="Arial"/>
                <w:sz w:val="14"/>
                <w:szCs w:val="14"/>
                <w:b w:val="1"/>
                <w:bCs w:val="1"/>
                <w:color w:val="auto"/>
              </w:rPr>
              <w:t>4th Qtr.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34,524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16,939</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Consumer</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consumer</w:t>
            </w:r>
          </w:p>
        </w:tc>
        <w:tc>
          <w:tcPr>
            <w:tcW w:w="17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14,004</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74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investment securities portfolio averaged $12.9 billion in the first quarter of 2019, down $1.5 billion, or 10%, from $14.5 billion in the year-earlier quarter and $86 million lower than the $13.0 billion averaged in the fourth quarter of 2018. The lower average balances in the two most recent quarters as compared with the first quarter of 2018 reflect maturities and pay downs of mortgage-backed securities. During the recent quarter, the Company purchased $500 million of U.S. Treasury notes. There were no significant purchases of investment securities during the first or fourth quarters of 2018.</w:t>
      </w:r>
    </w:p>
    <w:p>
      <w:pPr>
        <w:spacing w:after="0" w:line="73"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Fair value changes in equity securities with readily determinable fair values are recognized in the consolidated statement of income. Net unrealized gains on such equity securities during the first quarter of 2019 were $12 million, compared with net unrealized losses of $9 million during the first quarter of 2018 and net unrealized gains of $4 million in the final 2018 quarter. Those gains and losses were predominantly related to the Company’s holdings of Fannie Mae and Freddie Mac preferred stock.</w:t>
      </w:r>
    </w:p>
    <w:p>
      <w:pPr>
        <w:spacing w:after="0" w:line="6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There were no significant sales of investment securities during the three-month periods ended March 31, 2019, March 31, 2018 or December 31, 2018. The amounts of investment securities held by the Company are influenced by such factors as demand for loans, which generally yield more than investment securities and other earning assets, ongoing repayments, the levels of deposits, and management of liquidity and balance sheet size and resulting capital ratios.</w:t>
      </w:r>
    </w:p>
    <w:p>
      <w:pPr>
        <w:spacing w:after="0" w:line="57"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8"/>
          <w:szCs w:val="18"/>
          <w:color w:val="auto"/>
        </w:rPr>
        <w:t>The Company regularly reviews its investment securities for declines in value below amortized cost that might be characterized as “other than temporary.” There were no other-than-temporary impairment charges recognized in either of the first quarters of 2019 or 2018 or in the final 2018 quarter. Based on management’s assessment of future cash flows associated with individual investment securities as of March 31, 2019, the Company concluded that declines in value below amortized cost associated with individual investment securities were temporary in nature. A further discussion of fair values of investment securities is included herein under the heading “Capital.” Additional information about the investment securities portfolio is included in notes 2 and 12 of Notes to Financial Statements.</w:t>
      </w:r>
    </w:p>
    <w:p>
      <w:pPr>
        <w:spacing w:after="0" w:line="43"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Other earning assets include interest-bearing deposits at the Federal Reserve Bank of New York and other banks, trading account assets and federal funds sold. Those other earning assets in the aggregate averaged $4.7 billion in the recently completed quarter, compared with $5.0 billion in the first quarter of 2018 and $7.4 billion in the final quarter of 2018. Interest-bearing deposits at banks averaged $4.6 billion, $4.9 billion and $7.4 billion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20"/>
          <w:szCs w:val="20"/>
          <w:color w:val="auto"/>
        </w:rPr>
        <w:t>during the three-month periods ended March 31, 2019, March 31, 2018 and December 31, 2018,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63"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As a result of the changes described herein, average earning assets totaled $106.1 billion in the most recent quarter, compared with $107.2 billion in the initial 2018 quarter and $107.8 billion in the fourth quarter of 2018.</w:t>
      </w:r>
    </w:p>
    <w:p>
      <w:pPr>
        <w:spacing w:after="0" w:line="6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$84.8 billion in the first quarter of 2019, compared with $88.9 billion in the year-earlier quarter and $86.9 billion in the final quarter of 2018. The decline in average core deposits in the recent quarter from the first quarter of 2018 reflected lower balances of noninterest-bearing deposits, including trust and commercial customer deposits, and savings and interest-checking deposits, including escrow deposits. As compared with the 2018’s fourth quarter, the most significant factor contributing to the lower average core deposits in the recent quarter was a $2.3 billion decline in noninterest-bearing deposits, due in part to lower average balances of trust customer deposits. The following table provides an analysis of quarterly changes in the components of average core deposits.</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4"/>
          </w:tcPr>
          <w:p>
            <w:pPr>
              <w:ind w:left="38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1st Qtr.</w:t>
            </w: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tcBorders>
              <w:top w:val="single" w:sz="8" w:color="auto"/>
            </w:tcBorders>
            <w:gridSpan w:val="2"/>
          </w:tcPr>
          <w:p>
            <w:pPr>
              <w:ind w:left="140"/>
              <w:spacing w:after="0" w:line="146" w:lineRule="exact"/>
              <w:rPr>
                <w:sz w:val="20"/>
                <w:szCs w:val="20"/>
                <w:color w:val="auto"/>
              </w:rPr>
            </w:pPr>
            <w:r>
              <w:rPr>
                <w:rFonts w:ascii="Arial" w:cs="Arial" w:eastAsia="Arial" w:hAnsi="Arial"/>
                <w:sz w:val="14"/>
                <w:szCs w:val="14"/>
                <w:b w:val="1"/>
                <w:bCs w:val="1"/>
                <w:color w:val="auto"/>
              </w:rPr>
              <w:t>1st Qtr.</w:t>
            </w:r>
          </w:p>
        </w:tc>
        <w:tc>
          <w:tcPr>
            <w:tcW w:w="760" w:type="dxa"/>
            <w:vAlign w:val="bottom"/>
            <w:tcBorders>
              <w:top w:val="single" w:sz="8" w:color="auto"/>
            </w:tcBorders>
          </w:tcPr>
          <w:p>
            <w:pPr>
              <w:jc w:val="right"/>
              <w:ind w:right="56"/>
              <w:spacing w:after="0" w:line="146" w:lineRule="exact"/>
              <w:rPr>
                <w:sz w:val="20"/>
                <w:szCs w:val="20"/>
                <w:color w:val="auto"/>
              </w:rPr>
            </w:pPr>
            <w:r>
              <w:rPr>
                <w:rFonts w:ascii="Arial" w:cs="Arial" w:eastAsia="Arial" w:hAnsi="Arial"/>
                <w:sz w:val="14"/>
                <w:szCs w:val="14"/>
                <w:b w:val="1"/>
                <w:bCs w:val="1"/>
                <w:color w:val="auto"/>
              </w:rPr>
              <w:t>4th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49,224</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(4) %</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Time deposits</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5,302</w:t>
            </w:r>
          </w:p>
        </w:tc>
        <w:tc>
          <w:tcPr>
            <w:tcW w:w="300" w:type="dxa"/>
            <w:vAlign w:val="bottom"/>
          </w:tcPr>
          <w:p>
            <w:pPr>
              <w:spacing w:after="0"/>
              <w:rPr>
                <w:sz w:val="19"/>
                <w:szCs w:val="19"/>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(6)</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30,315</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84,841</w:t>
            </w:r>
          </w:p>
        </w:tc>
        <w:tc>
          <w:tcPr>
            <w:tcW w:w="300" w:type="dxa"/>
            <w:vAlign w:val="bottom"/>
          </w:tcPr>
          <w:p>
            <w:pPr>
              <w:spacing w:after="0"/>
              <w:rPr>
                <w:sz w:val="19"/>
                <w:szCs w:val="19"/>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(5) %</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$1.0 billion in the recent quarter, compared with $605 million in the first quarter of 2018 and $821 million in the fourth 2018 quarter. The increases in such deposits since the first quarter of 2018 were predominantly the result of the higher interest rate environment and customers’ desire to earn a higher return on their deposits. Cayman Islands office deposits averaged $972 million, $248 million and $693 million for the quarters ended March 31, 2019, March 31, 2018 and December 31, 2018, respectively. The increases in such deposits from the first and fourth quarters of 2018 to the recent quarter were the result of customers’ desire to sweep their deposit balances into higher earning products. The Company had brokered savings and interest-bearing transaction accounts, which in the aggregate averaged $2.9 billion, $1.3 billion and $2.7 billion during the first quarter of 2019, the corresponding 2018 quarter and the fourth quarter of 2018, respectively.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78"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$1.1 billion in the initial 2019 quarter, compared with $280 million in the year-earlier quarter and $315 million in the final quarter of 2018. Included in short-term borrowings were unsecured federal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0" w:name="page51"/>
    <w:bookmarkEnd w:id="50"/>
    <w:p>
      <w:pPr>
        <w:jc w:val="both"/>
        <w:spacing w:after="0" w:line="244" w:lineRule="auto"/>
        <w:rPr>
          <w:sz w:val="20"/>
          <w:szCs w:val="20"/>
          <w:color w:val="auto"/>
        </w:rPr>
      </w:pPr>
      <w:r>
        <w:rPr>
          <w:rFonts w:ascii="Arial" w:cs="Arial" w:eastAsia="Arial" w:hAnsi="Arial"/>
          <w:sz w:val="21"/>
          <w:szCs w:val="21"/>
          <w:color w:val="auto"/>
        </w:rPr>
        <w:t>funds borrowings, which generally mature on the next business day, that averaged $320 million and $141 million in the first quarters of 2019 and 2018, respectively, and $166 million in the last three months of 2018. Overnight federal funds borrowings totaled $3.4 billion at March 31, 2019, $177 million at March 31, 2018 and $137 million at December 31, 2018. Short-term borrowings from Federal Home Loan Banks averaged $718 million in the recent quarter, $87 million in the first quarter of 2018 and $85 million in the fourth quarter of 2018. In general, the higher borrowings were entered into to help ensure compliance with Liquidity Coverage Ratio (“LCR”) requirements and for other liquidity purposes. The LCR requirements are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2018 under the heading “Liquidity.”</w:t>
      </w:r>
    </w:p>
    <w:p>
      <w:pPr>
        <w:spacing w:after="0" w:line="8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Long-term borrowings averaged $8.5 billion in the recent quarter, compared with $8.6 billion and $9.2 billion in the first and fourth quarters of 2018, respectively. Average balances of outstanding senior unsecured notes were $5.5 billion during each of the three-month periods ended March 31, 2019 and March 31, 2018 and $6.3 billion during the quarter ended December 31, 2018. In December 2018, M&amp;T Bank, the principal bank subsidiary of M&amp;T, redeemed $750 million of fixed rate senior notes that were due to mature on January 31, 2019. Also included in average long-term borrowings were amounts borrowed from the Federal Home Loan Banks of New York and Pittsburgh of $576 million in the recent quarter and $577 million during each of the first and fourth quarters of 2018. Subordinated capital notes included in long-term borrowings averaged $1.4 billion in each of the three-month periods ended March 31, 2019 and December 31, 2018 and $1.6 billion in the three-month period ended March 31, 2018. Junior subordinated debentures associated with trust preferred securities that were included in average long-term borrowings were $522 million in each of the three-month periods ended March 31, 2019 and December 31, 2018 and $520 million during the initial three months of 2018. Additional information regarding junior subordinated debentures is provided in note 5 of Notes to Financial Statements. Long-term borrowings also included agreements to repurchase securities, which averaged $408 million in the first quarter of 2019, $420 million in the year-earlier quarter and $411 million in the fourth quarter of 2018. The repurchase agreements held at March 31, 2019 totaled $406 million and have various repurchase dates through 2020, however, the contractual maturities of the underlying securities extend beyond such repurchase dates.</w:t>
      </w:r>
    </w:p>
    <w:p>
      <w:pPr>
        <w:spacing w:after="0" w:line="5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3.67% in the recent quarter, compared with 3.47% in the initial 2018 quarter. The yield on earning assets during the first three months of 2019 was 4.71%, up 60 basis points from 4.11% in the year-earlier period, while the rate paid on interest-bearing liabilities increased 40 basis points to 1.04% in the recent quarter from .64% in the corresponding 2018 period. In the fourth quarter of 2018, the net interest spread was 3.57%, the yield on earning assets was 4.51% and the rate paid on interest-bearing liabilities was .94%. The widening of the net interest spread in each comparison was largely due to the effect of increases in short-term interest rates initiated by the Federal Reserve during 2017 and 2018 that contributed to higher yields on loans and leases.</w:t>
      </w:r>
    </w:p>
    <w:p>
      <w:pPr>
        <w:spacing w:after="0" w:line="7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8"/>
          <w:szCs w:val="18"/>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$37.1 billion in the first three months of 2019, compared with $39.3 billion in the initial 2018 quarter and $39.8 billion in the fourth quarter of 2018. The decrease in average net interest-free funds in the most recent quarter as compared with the first and fourth quarters of 2018 reflects lower average balances of noninterest-bearing deposits. Those deposits averaged $30.3 billion, $32.0 billion and $32.6 billion in the quarters ended March 31, 2019, March 31, 2018 and December 31, 2018, respectively. The decline in such balances in the recent quarter as compared with the first and fourth quarters of 2018 was due to lower levels of deposits of commercial and trust customers. Shareholders’ equity averaged $15.6 billion during the three-month period ended March 31, 2019, $16.1 billion during the three-month period ended March 31, 2018 and $15.4 billion during the three-month period ended December 31, 2018. Goodwill and core deposit and other intangible assets averaged $4.6 billion in each of the two most recent quarters, compared with $4.7 billion in the quarter ended March 31, 2018. The cash surrender value of bank owned life insurance averaged $1.8 billion in each of the three-month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21"/>
          <w:szCs w:val="21"/>
          <w:color w:val="auto"/>
        </w:rPr>
        <w:t>periods ended March 31, 2019, March 31, 2018 and December 31, 2018. Increases in the cash surrender value of bank owned life insurance and benefits received are not included in interest income, but rather are recorded in “other revenues from operations.” The contribution of net interest-free funds to net interest margin was .37% in the first quarter of 2019, compared with .24% and .35% in the first quarter of 2018 and fourth quarter of 2018, respectively. The increased contribution of net interest-free funds to net interest margin in the two most recent quarters as compared with the initial 2018 quarter reflects the higher rates on interest-bearing liabilities used to value net interest-free funds.</w:t>
      </w:r>
    </w:p>
    <w:p>
      <w:pPr>
        <w:spacing w:after="0" w:line="86"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interest-free funds as described herein, the Company’s net interest margin was 4.04% in the first quarter of 2019, compared with 3.71% in the similar 2018 period and 3.92% in the final quarter of 2018.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4"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$17.8 billion (excluding $16.4 billion of forward-starting swap agreements) at March 31, 2019, $7.6 billion (excluding $2.0 billion of forward-starting swap agreements) at March 31, 2018 and $7.3 billion (excluding $12.6 billion of forward-starting swap agreements) at December 31, 2018. Under the terms of those interest rate swap agreements, the Company received payments based on the outstanding notional amount at fixed rates and made payments at variable rates. Interest rate swap agreements with notional amounts of $13.4 billion at March 31, 2019 and $2.85 billion at March 31, 2018 and December 31, 2018 were serving as cash flow hedges of interest payments associated with variable rate commercial real estate loans. At March 31, 2019, March 31, 2018 and December 31, 2018, interest rate swap agreements with notional amounts of $4.45 billion, $4.7 billion and $4.45 billion, respectively, were serving as fair value hedges of fixed rate long-term borrowings.</w:t>
      </w:r>
    </w:p>
    <w:p>
      <w:pPr>
        <w:spacing w:after="0" w:line="5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March 31, 2019, March 31, 2018 and December, 2018 were not material to the Company’s consolidated results of operations. Information regarding the fair value of interest rate swap agreements and hedge ineffectiveness is presented in note 10 of Notes to Financial Statements. The changes in the fair values of the interest rate swap agreements and the hedged items primarily result from the effects of changing interest rates and spreads.</w:t>
      </w:r>
    </w:p>
    <w:p>
      <w:pPr>
        <w:spacing w:after="0" w:line="65"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The weighted-average rates to be received and paid under interest rate swap agreements currently in effect were 2.33% and 2.63%, respectively, at March 31, 2019.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vMerge w:val="restart"/>
          </w:tcPr>
          <w:p>
            <w:pPr>
              <w:ind w:left="244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9"/>
              </w:rPr>
              <w:t>Three Months Ended March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Rate(a)</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Rate(a)</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(6,625)</w:t>
            </w: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(.03)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(580)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(1,529)</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3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0" w:type="dxa"/>
            <w:vAlign w:val="bottom"/>
            <w:tcBorders>
              <w:bottom w:val="single" w:sz="8" w:color="CFF0FC"/>
            </w:tcBorders>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46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12,662,778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7,631,667</w:t>
            </w:r>
          </w:p>
        </w:tc>
        <w:tc>
          <w:tcPr>
            <w:tcW w:w="4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2.28</w:t>
            </w:r>
          </w:p>
        </w:tc>
        <w:tc>
          <w:tcPr>
            <w:tcW w:w="60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Rate paid (b)</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8" w:lineRule="exact"/>
        <w:rPr>
          <w:rFonts w:ascii="Arial" w:cs="Arial" w:eastAsia="Arial" w:hAnsi="Arial"/>
          <w:sz w:val="18"/>
          <w:szCs w:val="18"/>
          <w:i w:val="1"/>
          <w:iCs w:val="1"/>
          <w:color w:val="auto"/>
        </w:rPr>
      </w:pPr>
    </w:p>
    <w:p>
      <w:pPr>
        <w:ind w:left="520" w:hanging="512"/>
        <w:spacing w:after="0"/>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10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earning assets. At each of March 31, 2019, March 31, 2018 and December 31, 2018, outstanding notional amounts of such agreements totaled $15.6 billion. The fair value of those interest rate floor agreements was $1.4 million at March 31, 2019, $6.5 million at March 31, 2018 and $1.9 million at December 31, 2018 and was included in trading account assets in the consolidated balance sheet. Changes in the fair value of those agreements are recorded as “trading account and foreign exchange gains” in the consolidated statement of income.</w:t>
      </w:r>
    </w:p>
    <w:p>
      <w:pPr>
        <w:spacing w:after="0" w:line="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The most significant source of funding for the Company is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M&amp;T’s bank subsidiaries have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March 31, 2019 and December 31, 2018, long-term borrowings aggregated $8.5 billion and $8.4 billion, respectively.</w:t>
      </w:r>
    </w:p>
    <w:p>
      <w:pPr>
        <w:spacing w:after="0" w:line="50"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The Company has informal and sometimes reciprocal sources of funding available through various arrangements for unsecured short-term borrowings from other banks and financial institutions. Short-term federal funds borrowings were $3.4 billion, $177 million and $137 million at March 31, 2019, March 31, 2018 and December 31, 2018, respectively. In general, those borrowings were unsecured and matured on the next business day. The increase at the recent quarter-end as compared with March 31, 2018 and December 31, 2018 represented borrowings associated with the Company’s management of its liquidity position, including compliance with LCR requirements. Cayman Islands office deposits are generally used to satisfy customer demand via a deposit sweep product, and may also be used as an alternative to short-term borrowings. Cayman Islands office deposits totaled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21"/>
          <w:szCs w:val="21"/>
          <w:color w:val="auto"/>
        </w:rPr>
        <w:t>$1.1 billion at March 31, 2019, $278 million at March 31, 2018 and $812 million at December 31, 2018. The Company has also benefited from the placement of brokered deposits. The Company had brokered savings and interest-bearing checking deposit accounts which aggregated approximately $2.8 billion at March 31, 2019, $1.3 billion at March 31, 2018 and $3.0 billion at December 31, 2018. Brokered time deposits were not a significant source of funding as of those dates.</w:t>
      </w:r>
    </w:p>
    <w:p>
      <w:pPr>
        <w:spacing w:after="0" w:line="81"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5"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March 31, 2019 or December 31, 2018. The total amounts of VRDBs outstanding backed by M&amp;T Bank letters of credit were $756 million at March 31, 2019, compared with $1.0 billion at March 31, 2018 and $793 million at December 31, 2018. M&amp;T Bank also serves as remarketing agent for most of those bonds.</w:t>
      </w:r>
    </w:p>
    <w:p>
      <w:pPr>
        <w:spacing w:after="0" w:line="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7"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2019 approximately $567 million was available for payment of dividends to M&amp;T from bank subsidiaries. M&amp;T also may obtain funding through long-term borrowings. Outstanding senior notes of M&amp;T at March 31, 2019 and December 31, 2018 were $761 million and $756 million, respectively. Junior subordinated debentures of M&amp;T associated with trust preferred securities outstanding at March 31, 2019 and December 31, 2018 totaled $523 million and $522 million, respectively.</w:t>
      </w:r>
    </w:p>
    <w:p>
      <w:pPr>
        <w:spacing w:after="0" w:line="55"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4" w:name="page55"/>
    <w:bookmarkEnd w:id="54"/>
    <w:p>
      <w:pPr>
        <w:jc w:val="both"/>
        <w:ind w:firstLine="518"/>
        <w:spacing w:after="0" w:line="286"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March 31, 2019, the aggregate notional amount of interest rate swap agreements entered into for risk management purposes that were currently in effect was $17.8 billion. In addition, the Company has entered into $16.4 billion of forward-starting interest rate swap agreements that will become effective as other swap agreements mature.</w:t>
      </w:r>
    </w:p>
    <w:p>
      <w:pPr>
        <w:spacing w:after="0" w:line="5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3" w:lineRule="exact"/>
        <w:rPr>
          <w:sz w:val="20"/>
          <w:szCs w:val="20"/>
          <w:color w:val="auto"/>
        </w:rPr>
      </w:pPr>
    </w:p>
    <w:p>
      <w:pPr>
        <w:jc w:val="both"/>
        <w:ind w:firstLine="518"/>
        <w:spacing w:after="0" w:line="344" w:lineRule="auto"/>
        <w:rPr>
          <w:sz w:val="20"/>
          <w:szCs w:val="20"/>
          <w:color w:val="auto"/>
        </w:rPr>
      </w:pPr>
      <w:r>
        <w:rPr>
          <w:rFonts w:ascii="Arial" w:cs="Arial" w:eastAsia="Arial" w:hAnsi="Arial"/>
          <w:sz w:val="18"/>
          <w:szCs w:val="18"/>
          <w:color w:val="auto"/>
        </w:rPr>
        <w:t>The accompanying table as of March 31, 2019 and December 31, 2018 displays the estimated impact on net interest income in the base scenario described above resulting from parallel changes in interest rates across repricing categories during the first modeling year.</w:t>
      </w:r>
    </w:p>
    <w:p>
      <w:pPr>
        <w:spacing w:after="0"/>
        <w:rPr>
          <w:sz w:val="20"/>
          <w:szCs w:val="20"/>
          <w:color w:val="auto"/>
        </w:rPr>
      </w:pPr>
      <w:r>
        <w:rPr>
          <w:rFonts w:ascii="Arial" w:cs="Arial" w:eastAsia="Arial" w:hAnsi="Arial"/>
          <w:sz w:val="21"/>
          <w:szCs w:val="21"/>
          <w:color w:val="auto"/>
        </w:rPr>
        <w:t>SENSITIVITY OF NET INTEREST INCOME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tbl>
      <w:tblPr>
        <w:tblLayout w:type="fixed"/>
        <w:tblInd w:w="0" w:type="dxa"/>
        <w:tblCellMar>
          <w:top w:w="0" w:type="dxa"/>
          <w:left w:w="0" w:type="dxa"/>
          <w:bottom w:w="0" w:type="dxa"/>
          <w:right w:w="0" w:type="dxa"/>
        </w:tblCellMar>
      </w:tblPr>
      <w:tr>
        <w:trPr>
          <w:trHeight w:val="136"/>
        </w:trPr>
        <w:tc>
          <w:tcPr>
            <w:tcW w:w="1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40" w:type="dxa"/>
            <w:vAlign w:val="bottom"/>
            <w:gridSpan w:val="3"/>
          </w:tcPr>
          <w:p>
            <w:pPr>
              <w:jc w:val="center"/>
              <w:ind w:right="240"/>
              <w:spacing w:after="0" w:line="136" w:lineRule="exact"/>
              <w:rPr>
                <w:sz w:val="20"/>
                <w:szCs w:val="20"/>
                <w:color w:val="auto"/>
              </w:rPr>
            </w:pPr>
            <w:r>
              <w:rPr>
                <w:rFonts w:ascii="Arial" w:cs="Arial" w:eastAsia="Arial" w:hAnsi="Arial"/>
                <w:sz w:val="14"/>
                <w:szCs w:val="14"/>
                <w:b w:val="1"/>
                <w:bCs w:val="1"/>
                <w:color w:val="auto"/>
                <w:w w:val="91"/>
              </w:rPr>
              <w:t>Calculated Increase (Decrease)</w:t>
            </w:r>
          </w:p>
        </w:tc>
      </w:tr>
      <w:tr>
        <w:trPr>
          <w:trHeight w:val="171"/>
        </w:trPr>
        <w:tc>
          <w:tcPr>
            <w:tcW w:w="1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jc w:val="center"/>
              <w:ind w:right="5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auto"/>
                <w:w w:val="98"/>
              </w:rPr>
              <w:t>March 31, 2019</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 2018</w:t>
            </w:r>
          </w:p>
        </w:tc>
      </w:tr>
      <w:tr>
        <w:trPr>
          <w:trHeight w:val="186"/>
        </w:trPr>
        <w:tc>
          <w:tcPr>
            <w:tcW w:w="1520" w:type="dxa"/>
            <w:vAlign w:val="bottom"/>
            <w:tcBorders>
              <w:top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2"/>
          </w:tcPr>
          <w:p>
            <w:pPr>
              <w:jc w:val="center"/>
              <w:ind w:right="7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9"/>
        </w:trPr>
        <w:tc>
          <w:tcPr>
            <w:tcW w:w="15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+200 basis points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0"/>
              <w:spacing w:after="0"/>
              <w:rPr>
                <w:sz w:val="20"/>
                <w:szCs w:val="20"/>
                <w:color w:val="auto"/>
              </w:rPr>
            </w:pPr>
            <w:r>
              <w:rPr>
                <w:rFonts w:ascii="Arial" w:cs="Arial" w:eastAsia="Arial" w:hAnsi="Arial"/>
                <w:sz w:val="18"/>
                <w:szCs w:val="18"/>
                <w:color w:val="auto"/>
              </w:rPr>
              <w:t>(17,911)</w:t>
            </w:r>
          </w:p>
        </w:tc>
        <w:tc>
          <w:tcPr>
            <w:tcW w:w="1420" w:type="dxa"/>
            <w:vAlign w:val="bottom"/>
          </w:tcPr>
          <w:p>
            <w:pPr>
              <w:jc w:val="right"/>
              <w:spacing w:after="0"/>
              <w:rPr>
                <w:sz w:val="20"/>
                <w:szCs w:val="20"/>
                <w:color w:val="auto"/>
              </w:rPr>
            </w:pPr>
            <w:r>
              <w:rPr>
                <w:rFonts w:ascii="Arial" w:cs="Arial" w:eastAsia="Arial" w:hAnsi="Arial"/>
                <w:sz w:val="18"/>
                <w:szCs w:val="18"/>
                <w:color w:val="auto"/>
              </w:rPr>
              <w:t>37,513</w:t>
            </w:r>
          </w:p>
        </w:tc>
        <w:tc>
          <w:tcPr>
            <w:tcW w:w="80" w:type="dxa"/>
            <w:vAlign w:val="bottom"/>
          </w:tcPr>
          <w:p>
            <w:pPr>
              <w:spacing w:after="0"/>
              <w:rPr>
                <w:sz w:val="19"/>
                <w:szCs w:val="19"/>
                <w:color w:val="auto"/>
              </w:rPr>
            </w:pPr>
          </w:p>
        </w:tc>
      </w:tr>
      <w:tr>
        <w:trPr>
          <w:trHeight w:val="229"/>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5,430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36,727</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8"/>
                <w:szCs w:val="18"/>
                <w:color w:val="auto"/>
              </w:rPr>
              <w:t>(74,346)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(114,307)</w:t>
            </w:r>
          </w:p>
        </w:tc>
      </w:tr>
    </w:tbl>
    <w:p>
      <w:pPr>
        <w:spacing w:after="0" w:line="94"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8"/>
          <w:szCs w:val="18"/>
          <w:color w:val="auto"/>
        </w:rPr>
        <w:t>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sensitivity of net interest income to changes in interest rates has lessened as of March 31, 2019 as compared with the December 31, 2018 as the Company has entered into interest rate swap agreements to mitigate exposure to declining interest rates.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5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12 of Notes to Financial Statements.</w:t>
      </w:r>
    </w:p>
    <w:p>
      <w:pPr>
        <w:spacing w:after="0" w:line="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6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$43.3 billion at March 31, 2019, $39.5 billion at March 31, 2018 and $42.9 billion at December 31, 2018. The notional amounts of foreign currency and other option and futures contracts entered into for trading account purposes were $832 million at March 31, 2019, compared with $538 million at March 31, 2018 and $763 million at December 31, 2018.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$276 million and $99 million, respectively, at March 31, 2019 and $186 million and $178 million, respectively, at December 31, 2018. The fair value asset and liability amounts at March 31, 2019 have been reduced by contractual settlements of $88 million and $123 million, respectively, and at December 31, 2018 have been reduced by contractual settlements of $171 million and $50 million, respectively. Included in trading account assets were assets related to deferred compensation plans aggregating $21 million at each of March 31, 2019, March 31, 2018 and December 31, 2018. Changes in the fair values of such assets are recorded as “trading account and foreign exchange gains” in the consolidated statement of income. Included in “other liabilities” in the consolidated balance sheet at March 31, 2019 were $24 million of liabilities related to deferred compensation plans, compared with $26 million at March 31, 2018 and $25 million at December 31, 2018.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6" w:name="page57"/>
    <w:bookmarkEnd w:id="56"/>
    <w:p>
      <w:pPr>
        <w:jc w:val="both"/>
        <w:ind w:right="20"/>
        <w:spacing w:after="0" w:line="263" w:lineRule="auto"/>
        <w:rPr>
          <w:sz w:val="20"/>
          <w:szCs w:val="20"/>
          <w:color w:val="auto"/>
        </w:rPr>
      </w:pPr>
      <w:r>
        <w:rPr>
          <w:rFonts w:ascii="Arial" w:cs="Arial" w:eastAsia="Arial" w:hAnsi="Arial"/>
          <w:sz w:val="21"/>
          <w:szCs w:val="21"/>
          <w:color w:val="auto"/>
        </w:rPr>
        <w:t>plans that were assumed by the Company in various acquisitions. Those assets totaled $26 million at March 31, 2019 and $25 million at each of March 31, 2018 and December 31, 2018.</w:t>
      </w:r>
    </w:p>
    <w:p>
      <w:pPr>
        <w:spacing w:after="0" w:line="64"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2019 was $22 million, compared with $43 million in the year-earlier quarter and $38 million in the fourth quarter of 2018. Net charge-offs of loans were $22 million in the recent quarter, compared with $41 million and $38 million in the first and fourth quarters of 2018, respectively. Net charge-offs as an annualized percentage of average loans and leases were .10% in the initial 2019 quarter, .19% in the similar quarter of 2018 and .17% in the final quarter of 2018. A summary of net charge-offs by loan type is presented in the table that follows.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tbl>
      <w:tblPr>
        <w:tblLayout w:type="fixed"/>
        <w:tblInd w:w="0" w:type="dxa"/>
        <w:tblCellMar>
          <w:top w:w="0" w:type="dxa"/>
          <w:left w:w="0" w:type="dxa"/>
          <w:bottom w:w="0" w:type="dxa"/>
          <w:right w:w="0" w:type="dxa"/>
        </w:tblCellMar>
      </w:tblPr>
      <w:tr>
        <w:trPr>
          <w:trHeight w:val="136"/>
        </w:trPr>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1"/>
                <w:szCs w:val="11"/>
                <w:color w:val="auto"/>
              </w:rPr>
            </w:pPr>
          </w:p>
        </w:tc>
        <w:tc>
          <w:tcPr>
            <w:tcW w:w="110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98"/>
              </w:rPr>
              <w:t>First</w:t>
            </w:r>
          </w:p>
        </w:tc>
        <w:tc>
          <w:tcPr>
            <w:tcW w:w="88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94"/>
              </w:rPr>
              <w:t>Fourth</w:t>
            </w:r>
          </w:p>
        </w:tc>
      </w:tr>
      <w:tr>
        <w:trPr>
          <w:trHeight w:val="162"/>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r>
      <w:tr>
        <w:trPr>
          <w:trHeight w:val="171"/>
        </w:trPr>
        <w:tc>
          <w:tcPr>
            <w:tcW w:w="6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238"/>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6"/>
        </w:trPr>
        <w:tc>
          <w:tcPr>
            <w:tcW w:w="60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9,758</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9,593</w:t>
            </w:r>
          </w:p>
        </w:tc>
        <w:tc>
          <w:tcPr>
            <w:tcW w:w="80" w:type="dxa"/>
            <w:vAlign w:val="bottom"/>
          </w:tcPr>
          <w:p>
            <w:pPr>
              <w:spacing w:after="0"/>
              <w:rPr>
                <w:sz w:val="24"/>
                <w:szCs w:val="24"/>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80" w:type="dxa"/>
            <w:vAlign w:val="bottom"/>
            <w:shd w:val="clear" w:color="auto" w:fill="CFF0FC"/>
          </w:tcPr>
          <w:p>
            <w:pPr>
              <w:spacing w:after="0"/>
              <w:rPr>
                <w:sz w:val="19"/>
                <w:szCs w:val="19"/>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20,402</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26,782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26,832</w:t>
            </w:r>
          </w:p>
        </w:tc>
        <w:tc>
          <w:tcPr>
            <w:tcW w:w="80" w:type="dxa"/>
            <w:vAlign w:val="bottom"/>
          </w:tcPr>
          <w:p>
            <w:pPr>
              <w:spacing w:after="0"/>
              <w:rPr>
                <w:sz w:val="19"/>
                <w:szCs w:val="19"/>
                <w:color w:val="auto"/>
              </w:rPr>
            </w:pPr>
          </w:p>
        </w:tc>
      </w:tr>
      <w:tr>
        <w:trPr>
          <w:trHeight w:val="223"/>
        </w:trPr>
        <w:tc>
          <w:tcPr>
            <w:tcW w:w="6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706"/>
        <w:spacing w:after="0" w:line="246" w:lineRule="auto"/>
        <w:rPr>
          <w:sz w:val="20"/>
          <w:szCs w:val="20"/>
          <w:color w:val="auto"/>
        </w:rPr>
      </w:pPr>
      <w:r>
        <w:rPr>
          <w:rFonts w:ascii="Arial" w:cs="Arial" w:eastAsia="Arial" w:hAnsi="Arial"/>
          <w:sz w:val="21"/>
          <w:szCs w:val="21"/>
          <w:color w:val="auto"/>
        </w:rPr>
        <w:t>Included in net charge-offs of consumer loans were net charge-offs of: automobile loans of $7 million in the initial quarter of 2019, $10 million in the first quarter of 2018 and $9 million in the fourth quarter of 2018; recreational finance loans of $7 million in the first quarter of 2019, $5 million in the year-earlier quarter and $6 million in the fourth quarter of 2018; and home equity loans and lines of credit secured by one-to-four family residential properties of $1 million in each of the recent quarter and final 2018 quarter and $2 million in the first quarter of 2018.</w:t>
      </w:r>
    </w:p>
    <w:p>
      <w:pPr>
        <w:spacing w:after="0" w:line="84"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7" w:name="page58"/>
    <w:bookmarkEnd w:id="57"/>
    <w:p>
      <w:pPr>
        <w:jc w:val="both"/>
        <w:spacing w:after="0" w:line="252" w:lineRule="auto"/>
        <w:rPr>
          <w:sz w:val="20"/>
          <w:szCs w:val="20"/>
          <w:color w:val="auto"/>
        </w:rPr>
      </w:pPr>
      <w:r>
        <w:rPr>
          <w:rFonts w:ascii="Arial" w:cs="Arial" w:eastAsia="Arial" w:hAnsi="Arial"/>
          <w:sz w:val="21"/>
          <w:szCs w:val="21"/>
          <w:color w:val="auto"/>
        </w:rPr>
        <w:t>flows was $686 million, $939 million and $727 million at March 31, 2019, March 31, 2018 and December 31, 2018, respectively. The nonaccretable balance related to remaining principal losses associated with loans acquired at a discount as of March 31, 2019 and December 31, 2018 is presented in the accompanying table.</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NONACCRETABLE BALANCE - PRINCIPAL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Remaining balance</w:t>
            </w:r>
          </w:p>
        </w:tc>
      </w:tr>
      <w:tr>
        <w:trPr>
          <w:trHeight w:val="133"/>
        </w:trPr>
        <w:tc>
          <w:tcPr>
            <w:tcW w:w="46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March 31,</w:t>
            </w: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1"/>
                <w:szCs w:val="11"/>
                <w:color w:val="auto"/>
              </w:rPr>
            </w:pPr>
          </w:p>
        </w:tc>
      </w:tr>
      <w:tr>
        <w:trPr>
          <w:trHeight w:val="171"/>
        </w:trPr>
        <w:tc>
          <w:tcPr>
            <w:tcW w:w="4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38"/>
        </w:trPr>
        <w:tc>
          <w:tcPr>
            <w:tcW w:w="4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r>
      <w:tr>
        <w:trPr>
          <w:trHeight w:val="147"/>
        </w:trPr>
        <w:tc>
          <w:tcPr>
            <w:tcW w:w="4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7,545</w:t>
            </w:r>
          </w:p>
        </w:tc>
        <w:tc>
          <w:tcPr>
            <w:tcW w:w="8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24,979</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25,817</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8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38,005</w:t>
            </w:r>
          </w:p>
        </w:tc>
        <w:tc>
          <w:tcPr>
            <w:tcW w:w="4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loans acquired in 2015 at a premium was $8.9 billion and $9.3 billion at March 31, 2019 and December 31, 2018,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62"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Nonaccrual loans aggregated $882 million or .99% of total loans and leases outstanding at March 31, 2019, compared with $865 million or .99% a year earlier and $894 million or 1.01% at December 31, 2018.</w:t>
      </w:r>
    </w:p>
    <w:p>
      <w:pPr>
        <w:spacing w:after="0" w:line="64"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Accruing loans past due 90 days or more (excluding loans acquired at a discount) were $244 million, or .28% of total loans and leases at March 31, 2019, compared with $235 million or .27% at March 31, 2018 and $223 million or .25% at December 31, 2018. Those amounts included loans guaranteed by government-related entities of $195 million, $224 million and $192 million at March 31, 2019, March 31, 2018, and December 31, 2018,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$169 million at March 31, 2019, $194 million at March 31, 2018 and $165 million at December 31, 2018. The remaining accruing loans past due 90 days or more not guaranteed by government-related entities were loans considered to be with creditworthy borrowers that were in the process of collection or renewal.</w:t>
      </w:r>
    </w:p>
    <w:p>
      <w:pPr>
        <w:spacing w:after="0" w:line="6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$279 million at March 31, 2019 or .3% of total loans, compared with $378 million at March 31, 2018 and $303 million at December 31, 2018.</w:t>
      </w:r>
    </w:p>
    <w:p>
      <w:pPr>
        <w:spacing w:after="0" w:line="57"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8" w:name="page59"/>
    <w:bookmarkEnd w:id="58"/>
    <w:p>
      <w:pPr>
        <w:jc w:val="both"/>
        <w:spacing w:after="0" w:line="248" w:lineRule="auto"/>
        <w:rPr>
          <w:sz w:val="20"/>
          <w:szCs w:val="20"/>
          <w:color w:val="auto"/>
        </w:rPr>
      </w:pPr>
      <w:r>
        <w:rPr>
          <w:rFonts w:ascii="Arial" w:cs="Arial" w:eastAsia="Arial" w:hAnsi="Arial"/>
          <w:sz w:val="21"/>
          <w:szCs w:val="21"/>
          <w:color w:val="auto"/>
        </w:rPr>
        <w:t>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81"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$188 million, $191 million, and $179 million at March 31, 2019, March 31, 2018 and December 31, 2018, respectively.</w:t>
      </w:r>
    </w:p>
    <w:p>
      <w:pPr>
        <w:spacing w:after="0" w:line="63"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Commercial loans and leases classified as nonaccrual totaled $246 million, $263 million and $234 million at March 31, 2019, March 31, 2018 and December 31, 2018, respectively. Commercial real estate loans in nonaccrual status aggregated $232 million, $167 million and $231 million at March 31, 2019, March 31, 2018 and December 31, 2018, respectively. The increase in such loans at the two most recent quarter-ends compared with March 31, 2018 was due, in part, to the addition during the third quarter of 2018 of an office development project in Maryland. Nonaccrual commercial real estate loans included construction-related loans of $24 million at March 31, 2019, $14 million at March 31, 2018 and $27 million at December 31, 2018.</w:t>
      </w:r>
    </w:p>
    <w:p>
      <w:pPr>
        <w:spacing w:after="0" w:line="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Nonaccrual residential real estate loans totaled $295 million at March 31, 2019, compared with $333 million at March 31, 2018 and $318 million at December 31, 2018. Included in residential real estate loans classified as nonaccrual were limited documentation first mortgage loans of $85 million at each of March 31, 2019 and December 31, 2018 and $99 million at March 31, 2018.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aggregated $200 million at March 31, 2019, compared with $222 million at March 31, 2018 and $190 million at December 31, 2018. A substantial portion of such amounts related to guaranteed loans repurchased from government-related entities. Information about the location of nonaccrual and charged-off residential real estate loans as of and for the quarter ended March 31, 2019 is presented in the accompanying table.</w:t>
      </w:r>
    </w:p>
    <w:p>
      <w:pPr>
        <w:spacing w:after="0" w:line="73"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Nonaccrual consumer loans were $109 million at March 31, 2019, compared with $102 million at March 31, 2018 and $110 million at December 31, 2018. Included in nonaccrual consumer loans at March 31, 2019, March 31, 2018 and December 31, 2018 were: automobile loans of $21 million, $21 million and $23 million, respectively; recreational finance loans of $11 million, $5 million and $11 million, respectively; and outstanding balances of home equity loans and lines of credit of $69 million, $73 million and $71 million, respectively. Information about the location of nonaccrual and charged-off home equity loans and lines of credit as of and for the quarter ended March 31, 2019 is presented in the accompanying table.</w:t>
      </w:r>
    </w:p>
    <w:p>
      <w:pPr>
        <w:spacing w:after="0" w:line="7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Information about past due and nonaccrual loans as of March 31, 2019 and December 31, 2018 is also included in note 3 of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March 31, 2019</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7"/>
              </w:rPr>
              <w:t>March 31,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b w:val="1"/>
                <w:bCs w:val="1"/>
                <w:color w:val="auto"/>
                <w:w w:val="93"/>
              </w:rPr>
              <w:t>Nonaccrual</w:t>
            </w: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2"/>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Percent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3"/>
                <w:szCs w:val="13"/>
                <w:b w:val="1"/>
                <w:bCs w:val="1"/>
                <w:color w:val="auto"/>
                <w:w w:val="99"/>
              </w:rPr>
              <w:t>Outstanding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Arial" w:cs="Arial" w:eastAsia="Arial" w:hAnsi="Arial"/>
                <w:sz w:val="13"/>
                <w:szCs w:val="13"/>
                <w:b w:val="1"/>
                <w:bCs w:val="1"/>
                <w:color w:val="auto"/>
              </w:rPr>
              <w:t>Balances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Balances</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Balances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Balances</w:t>
            </w: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4,894,449</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67,185</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353</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1,210,022</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15,691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(38)</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1,064,619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11,349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3,519,576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55,734</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946,702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8,263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(1,338)</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2,658,256</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51,726</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1,833</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14,293,624</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209,948</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1,763</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18,156</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6,228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12,665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54,302</w:t>
            </w:r>
          </w:p>
        </w:tc>
        <w:tc>
          <w:tcPr>
            <w:tcW w:w="320" w:type="dxa"/>
            <w:vAlign w:val="bottom"/>
            <w:vMerge w:val="continue"/>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318</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.59%</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w:t>
            </w:r>
          </w:p>
        </w:tc>
        <w:tc>
          <w:tcPr>
            <w:tcW w:w="10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1,063,437</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33,831</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3.18%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(98)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51,493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29,061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2,436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913,130</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23,570</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341,456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17,907</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(100)</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2,422,007</w:t>
            </w:r>
          </w:p>
        </w:tc>
        <w:tc>
          <w:tcPr>
            <w:tcW w:w="320" w:type="dxa"/>
            <w:vAlign w:val="bottom"/>
            <w:vMerge w:val="continue"/>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84,863</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3.50%</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(219)</w:t>
            </w:r>
          </w:p>
        </w:tc>
        <w:tc>
          <w:tcPr>
            <w:tcW w:w="300" w:type="dxa"/>
            <w:vAlign w:val="bottom"/>
            <w:vMerge w:val="continue"/>
          </w:tcPr>
          <w:p>
            <w:pPr>
              <w:spacing w:after="0"/>
              <w:rPr>
                <w:sz w:val="16"/>
                <w:szCs w:val="16"/>
                <w:color w:val="auto"/>
              </w:rPr>
            </w:pPr>
          </w:p>
        </w:tc>
        <w:tc>
          <w:tcPr>
            <w:tcW w:w="10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1,164,393</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15,144</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443</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709,865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7,268</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580,373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7,117</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62,889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199,398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5,252</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26,995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1,033</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2,743,913</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36,773</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645</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736,331</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15,934</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274,605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2,893</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583,932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7,851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100,257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253,350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41,123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(157)</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1,989,598</w:t>
            </w:r>
          </w:p>
        </w:tc>
        <w:tc>
          <w:tcPr>
            <w:tcW w:w="320" w:type="dxa"/>
            <w:vAlign w:val="bottom"/>
            <w:vMerge w:val="continue"/>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31,959</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1.61%</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232</w:t>
            </w:r>
          </w:p>
        </w:tc>
        <w:tc>
          <w:tcPr>
            <w:tcW w:w="300" w:type="dxa"/>
            <w:vAlign w:val="bottom"/>
          </w:tcPr>
          <w:p>
            <w:pPr>
              <w:spacing w:after="0"/>
              <w:rPr>
                <w:sz w:val="16"/>
                <w:szCs w:val="16"/>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588</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vMerge w:val="continue"/>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6,384</w:t>
            </w:r>
          </w:p>
        </w:tc>
        <w:tc>
          <w:tcPr>
            <w:tcW w:w="320" w:type="dxa"/>
            <w:vAlign w:val="bottom"/>
            <w:vMerge w:val="continue"/>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513</w:t>
            </w:r>
          </w:p>
        </w:tc>
        <w:tc>
          <w:tcPr>
            <w:tcW w:w="30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8.04%</w:t>
            </w:r>
          </w:p>
        </w:tc>
        <w:tc>
          <w:tcPr>
            <w:tcW w:w="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w:t>
            </w:r>
          </w:p>
        </w:tc>
        <w:tc>
          <w:tcPr>
            <w:tcW w:w="10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378"/>
        <w:spacing w:after="0"/>
        <w:tabs>
          <w:tab w:leader="none" w:pos="4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Virginia, West Virginia and the District of Columbia.</w:t>
      </w:r>
    </w:p>
    <w:p>
      <w:pPr>
        <w:spacing w:after="0" w:line="200" w:lineRule="exact"/>
        <w:rPr>
          <w:rFonts w:ascii="Arial" w:cs="Arial" w:eastAsia="Arial" w:hAnsi="Arial"/>
          <w:sz w:val="18"/>
          <w:szCs w:val="18"/>
          <w:i w:val="1"/>
          <w:iCs w:val="1"/>
          <w:color w:val="auto"/>
        </w:rPr>
      </w:pPr>
    </w:p>
    <w:p>
      <w:pPr>
        <w:spacing w:after="0" w:line="26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0" w:name="page61"/>
    <w:bookmarkEnd w:id="60"/>
    <w:p>
      <w:pPr>
        <w:jc w:val="both"/>
        <w:ind w:firstLine="518"/>
        <w:spacing w:after="0" w:line="265" w:lineRule="auto"/>
        <w:rPr>
          <w:sz w:val="20"/>
          <w:szCs w:val="20"/>
          <w:color w:val="auto"/>
        </w:rPr>
      </w:pPr>
      <w:r>
        <w:rPr>
          <w:rFonts w:ascii="Arial" w:cs="Arial" w:eastAsia="Arial" w:hAnsi="Arial"/>
          <w:sz w:val="20"/>
          <w:szCs w:val="20"/>
          <w:color w:val="auto"/>
        </w:rPr>
        <w:t>Real estate and other foreclosed assets totaled $81 million at March 31, 2019, compared with $102 million at March 31, 2018 and $78 million at December 31, 2018. Net gains or losses associated with real estate and other foreclosed assets were not material during the three-months ended March 31, 2019, March 31, 2018 or December 31, 2018. At March 31, 2019, the Company’s holdings of residential real estate-related properties comprised approximately 99% of foreclosed assets.</w:t>
      </w:r>
    </w:p>
    <w:p>
      <w:pPr>
        <w:spacing w:after="0" w:line="63"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RENOGIATED AND IMPAIRED LOAN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2018 Quarters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First</w:t>
            </w: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Fourth</w:t>
            </w:r>
          </w:p>
        </w:tc>
        <w:tc>
          <w:tcPr>
            <w:tcW w:w="4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Third</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Second</w:t>
            </w: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Quarter</w:t>
            </w:r>
          </w:p>
        </w:tc>
        <w:tc>
          <w:tcPr>
            <w:tcW w:w="7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4940" w:type="dxa"/>
            <w:vAlign w:val="bottom"/>
          </w:tcPr>
          <w:p>
            <w:pPr>
              <w:spacing w:after="0"/>
              <w:rPr>
                <w:sz w:val="20"/>
                <w:szCs w:val="20"/>
                <w:color w:val="auto"/>
              </w:rPr>
            </w:pPr>
            <w:r>
              <w:rPr>
                <w:rFonts w:ascii="Arial" w:cs="Arial" w:eastAsia="Arial" w:hAnsi="Arial"/>
                <w:sz w:val="18"/>
                <w:szCs w:val="18"/>
                <w:color w:val="auto"/>
              </w:rPr>
              <w:t>Nonaccrual loans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881,611</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893,608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870,832</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819,984</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864,671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81,335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87,333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98,062</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9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962,946</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971,983</w:t>
            </w:r>
          </w:p>
        </w:tc>
        <w:tc>
          <w:tcPr>
            <w:tcW w:w="40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958,165</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918,046</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966,185</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244,257</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222,527</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254,360</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223,026</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235,325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35,481</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33,570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9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194,510</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192,443</w:t>
            </w:r>
          </w:p>
        </w:tc>
        <w:tc>
          <w:tcPr>
            <w:tcW w:w="40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195,450</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202,394</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223,611</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267,952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245,367</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242,892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242,528</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226,829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Acquired accruing loans past due 90 days or more(b)</w:t>
            </w: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43,995</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39,750</w:t>
            </w:r>
          </w:p>
        </w:tc>
        <w:tc>
          <w:tcPr>
            <w:tcW w:w="40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44,223</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47,405</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49,349</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 loans(c):</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Outstanding customer balance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495,163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529,520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572,979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606,683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643,124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Carrying amount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278,783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325,980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352,465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.99%</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23" w:lineRule="exact"/>
        <w:rPr>
          <w:rFonts w:ascii="Arial" w:cs="Arial" w:eastAsia="Arial" w:hAnsi="Arial"/>
          <w:sz w:val="18"/>
          <w:szCs w:val="18"/>
          <w:i w:val="1"/>
          <w:iCs w:val="1"/>
          <w:color w:val="auto"/>
        </w:rPr>
      </w:pPr>
    </w:p>
    <w:p>
      <w:pPr>
        <w:ind w:left="580" w:hanging="572"/>
        <w:spacing w:after="0" w:line="250"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10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and (v) the size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1" w:name="page62"/>
    <w:bookmarkEnd w:id="61"/>
    <w:p>
      <w:pPr>
        <w:jc w:val="both"/>
        <w:spacing w:after="0" w:line="316" w:lineRule="auto"/>
        <w:rPr>
          <w:sz w:val="20"/>
          <w:szCs w:val="20"/>
          <w:color w:val="auto"/>
        </w:rPr>
      </w:pPr>
      <w:r>
        <w:rPr>
          <w:rFonts w:ascii="Arial" w:cs="Arial" w:eastAsia="Arial" w:hAnsi="Arial"/>
          <w:sz w:val="19"/>
          <w:szCs w:val="19"/>
          <w:color w:val="auto"/>
        </w:rPr>
        <w:t>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cautiously and conservatively evaluated the allowance for credit losses as of March 31, 2019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spacing w:after="0" w:line="2" w:lineRule="exact"/>
        <w:rPr>
          <w:sz w:val="20"/>
          <w:szCs w:val="20"/>
          <w:color w:val="auto"/>
        </w:rPr>
      </w:pPr>
    </w:p>
    <w:p>
      <w:pPr>
        <w:jc w:val="both"/>
        <w:ind w:firstLine="8"/>
        <w:spacing w:after="0" w:line="257" w:lineRule="auto"/>
        <w:tabs>
          <w:tab w:leader="none" w:pos="33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53% of the Company’s loans and leases are to customers in New York State and Pennsylvania).</w:t>
      </w:r>
    </w:p>
    <w:p>
      <w:pPr>
        <w:spacing w:after="0" w:line="7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$3.0 billion at March 31, 2019, compared with $2.3 billion at March 31, 2018 and $2.7 billion at December 31, 2018. The higher level of such loans at March 31, 2019 as compared with December 31, 2018 reflects, in part, the addition of outstanding loan balances to a wholesale distributor and a commercial real estate construction development company. The increase in criticized loans from March 31, 2018 to December 31, 2018 reflects loans to three customers each operating in different industries and geographic regions, that were added to this classification in the fourth quarter of 2018. Given payment performance, amount of supporting collateral, and, in certain instances, the existence of loan guarantees, the Company still expects to collect the full outstanding principal balance on most criticized loans.</w:t>
      </w:r>
    </w:p>
    <w:p>
      <w:pPr>
        <w:spacing w:after="0" w:line="6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21"/>
          <w:szCs w:val="21"/>
          <w:color w:val="auto"/>
        </w:rPr>
        <w:t>depending on the nature of the collateral, is verified through field exams or other procedures. In assessing collateral, real estate and non-real estate values are reduced by an estimate of selling costs.</w:t>
      </w:r>
    </w:p>
    <w:p>
      <w:pPr>
        <w:spacing w:after="0" w:line="6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2019, approximately 58% of the Company’s home equity portfolio consisted of first lien loans and lines of credit. Of the remaining junior lien loans in the portfolio, approximately 61% (or approximately 25%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March 31, 2019, the balance of junior lien loans and lines that were in nonaccrual status solely as a result of first lien loan performance was $8 million, compared with $13 million at March 31, 2018 and $10 million at December 31, 2018.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2019, approximately 82% of all outstanding balances of home equity lines of credit related to lines that were still in the draw period, the weighted-average remaining draw periods were approximately five years, and approximately 25% were making contractually allowed payments that do not include any repayment of principal.</w:t>
      </w:r>
    </w:p>
    <w:p>
      <w:pPr>
        <w:spacing w:after="0" w:line="64"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3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42%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9"/>
          <w:szCs w:val="19"/>
          <w:color w:val="auto"/>
        </w:rPr>
        <w:t>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3 of Notes to Financial Statements.</w:t>
      </w:r>
    </w:p>
    <w:p>
      <w:pPr>
        <w:spacing w:after="0" w:line="6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believes that the allowance for credit losses at March 31, 2019 appropriately reflected credit losses inherent in the portfolio as of that date. The allowance for credit losses totaled $1.02 billion at each of March 31, 2019, March 31, 2018 and December 31, 2018. As a percentage of loans and leases outstanding, the allowance was 1.15% at each of March 31, 2019 and December 31, 2018 and 1.16% at March 31, 2018.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116% at March 31, 2019, 118% at March, 31, 2018 and 114% at December 31, 2018.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Other income totaled $501 million in the first quarter of 2019, compared with $459 million in the year-earlier quarter and $481 million in the final 2018 quarter. The recent quarter’s improvement as compared with the first three months of 2018 reflects higher mortgage banking revenues, valuation gains on equity securities and an increase in income received from BLG. As compared with the fourth quarter of 2018, the recent quarter’s income distribution from BLG and higher valuation gains on equity securities were partially offset by declines in letter of credit and other credit-related fees and trading account and foreign exchange gains.</w:t>
      </w:r>
    </w:p>
    <w:p>
      <w:pPr>
        <w:spacing w:after="0" w:line="52"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Mortgage banking revenues were $95 million in the recent quarter, compared with $87 million in the initial quarter of 2018 and $92 million in the fourth quarter of 2018.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84"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$66 million in the first quarter of 2019, compared with $62 million in the year-earlier quarter and $57 million in 2018’s fourth quarter. The higher residential mortgage banking revenues in the recent quarter predominantly resulted from increased servicing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4" w:name="page65"/>
    <w:bookmarkEnd w:id="64"/>
    <w:p>
      <w:pPr>
        <w:jc w:val="both"/>
        <w:ind w:firstLine="518"/>
        <w:spacing w:after="0" w:line="279" w:lineRule="auto"/>
        <w:rPr>
          <w:sz w:val="20"/>
          <w:szCs w:val="20"/>
          <w:color w:val="auto"/>
        </w:rPr>
      </w:pPr>
      <w:r>
        <w:rPr>
          <w:rFonts w:ascii="Arial" w:cs="Arial" w:eastAsia="Arial" w:hAnsi="Arial"/>
          <w:sz w:val="19"/>
          <w:szCs w:val="19"/>
          <w:color w:val="auto"/>
        </w:rPr>
        <w:t>New commitments to originate residential real estate loans to be sold were approximately $422 million in the initial quarter of 2019, compared with $625 million in the year-earlier quarter and $412 million in the final 2018 quarter.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$10 million in the first three months of 2019, $12 million in the corresponding period of 2018 and $8 million in 2018’s fourth quarter.</w:t>
      </w:r>
    </w:p>
    <w:p>
      <w:pPr>
        <w:spacing w:after="0" w:line="52"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Loans held for sale that were secured by residential real estate aggregated $178 million at March 31, 2019, $288 million at March 31, 2018 and $205 million at December 31, 2018. Commitments to sell residential real estate loans and commitments to originate residential real estate loans for sale at pre-determined rates totaled $380 million and $314 million, respectively, at March 31, 2019, compared with $522 million and $343 million, respectively, at March 31, 2018 and $364 million and $245 million, respectively, at December 31, 2018. Net recognized unrealized gains on residential real estate loans held for sale, commitments to sell loans, and commitments to originate loans for sale were $8 million at each of March 31, 2019 and March 31, 2018, compared with $7 million December 31, 2018. Changes in such net unrealized gains or losses are recorded in mortgage banking revenues and resulted in a net increase in revenues of $1 million in the first quarter of 2019, compared with net decreases in revenues of $2 million in each of the first and fourth quarters of 2018.</w:t>
      </w:r>
    </w:p>
    <w:p>
      <w:pPr>
        <w:spacing w:after="0" w:line="84"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Revenues from servicing residential real estate loans for others were $56 million in the quarter ended March 31, 2019, compared with $50 million and $49 million during the quarters ended March 31, 2018 and December 31, 2018, respectively. Residential real estate loans serviced for others totaled $90.1 billion at March 31, 2019, $78.3 billion at March 31, 2018 and $79.1 billion at December 31, 2018. On January 31, 2019, the Company purchased servicing rights for residential real estate loans that had outstanding principal balances of $13.1 billion. The purchase price of such servicing rights was approximately $145 million. Servicing revenues associated with that purchase realized in the first quarter of 2019 totaled $8 million. Capitalized residential mortgage servicing assets aggregated $260 million at March 31, 2019, $116 million at March 31, 2018 and $121 million at December 31, 2018. Reflected in residential real estate loans serviced for others were loans sub-serviced for others of $54.9 billion, $55.8 billion and $56.8 billion at March 31, 2019, March 31, 2018 and December 31, 2018, respectively. Revenues earned for sub-servicing loans totaled $28 million for each of the two most recent quarters and $30 million for the quarter ended March 31, 2018. The Company added approximately $7.9 billion to its residential mortgage loan sub-servicing portfolio on April 2, 2019. The contractual servicing rights associated with loans sub-serviced by the Company were predominantly held by affiliates of BLG. Information about the Company’s relationship with BLG and its affiliates is included in note 15 of Notes to Financial Statements.</w:t>
      </w:r>
    </w:p>
    <w:p>
      <w:pPr>
        <w:spacing w:after="0" w:line="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Commercial mortgage banking revenues totaled $29 million in the recent quarter, compared with $25 million and $35 million in the first and fourth quarters of 2018, respectively. Included in such amounts were revenues from loan origination and sales activities of $15 million in the first quarter of 2019, $12 million in the year-earlier quarter and $19 million in the final quarter of 2018. Commercial real estate loans originated for sale to other investors were approximately $777 million in the recent quarter, compared with $518 million in the first quarter of 2018 and $916 million in the fourth quarter of 2018. Loan servicing revenues totaled $14 million in the most recent quarter, compared with $13 million in the initial 2018 quarter and $16 million in the final quarter of 2018. Capitalized commercial mortgage servicing assets were $117 million and $112 million at March 31, 2019 and 2018, respectively, and $115 million at December 31, 2018. Commercial real estate loans serviced for other investors totaled $19.2 billion at March 31, 2019, $16.3 billion a year earlier and $18.2 billion at December 31, 2018 and included $3.5 billion, $3.3 billion and $3.4 billion, respectively, of loan balances for which investors had recourse to the Company if such balances are ultimately uncollectible. Commitments to sell commercial real estate loans and commitments to originate commercial real estate loans for sale were $366 million and $200 million, respectively, at March 31, 2019, $455 million and $289 million, respectively, at March 31, 2018 and $577 million and $229 million, respectively, at December 31, 2018. Commercial real estate loans held for sale at March 31, 2019, March 31, 2018 and December 31, 2018 were $166 million, $167 million and $347 million, respectively. The higher balance at December 31, 2018 reflects loans originated later in the fourth quarter that had not been delivered to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5" w:name="page66"/>
    <w:bookmarkEnd w:id="65"/>
    <w:p>
      <w:pPr>
        <w:jc w:val="both"/>
        <w:ind w:firstLine="518"/>
        <w:spacing w:after="0" w:line="248" w:lineRule="auto"/>
        <w:rPr>
          <w:sz w:val="20"/>
          <w:szCs w:val="20"/>
          <w:color w:val="auto"/>
        </w:rPr>
      </w:pPr>
      <w:r>
        <w:rPr>
          <w:rFonts w:ascii="Arial" w:cs="Arial" w:eastAsia="Arial" w:hAnsi="Arial"/>
          <w:sz w:val="21"/>
          <w:szCs w:val="21"/>
          <w:color w:val="auto"/>
        </w:rPr>
        <w:t>Service charges on deposit accounts were $103 million and $105 million in the first quarters of 2019 and 2018, respectively, and $109 million in the fourth quarter of 2018. The decline in such service charges in the recent quarter as compared with the immediately preceding quarter resulted from lower consumer service charges that were in part reflective of higher seasonal transaction volumes in 2018’s fourth quarter.</w:t>
      </w:r>
    </w:p>
    <w:p>
      <w:pPr>
        <w:spacing w:after="0" w:line="8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$133 million in the first quarter of 2019, compared with $131 million in the year-earlier quarter and $135 million in the fourth quarter of 2018. Revenues associated with the ICS business were approximately $71 million, $67 million and $72 million during the quarters ended March 31, 2019, March 31, 2018 and December 31, 2018, respectively. The higher revenues in the most recent quarter as compared with the year-earlier quarter reflect stronger sales activities. Revenues attributable to WAS totaled approximately $55 million, $61 million and $56 million for the three-month periods ended March 31, 2019, March 31, 2018 and December 31, 2018, respectively. The lower revenues in the recent quarter as compared with the initial 2018 quarter reflected, in part, lower recurring fees due to product mix and competitive factors. Trust assets under management were $92.9 billion, $82.9 billion and $84.9 billion at March 31, 2019, March 31, 2018 and December 31, 2018, respectively. Trust assets under management include the Company’s proprietary mutual funds’ assets of $11.3 billion, $10.6 billion and $10.8 billion at March 31, 2019, March 31, 2018 and December 31, 2018, respectively. Additional trust income from investment management activities was $7 million in the most recent quarter, compared with $4 million in the first quarter of 2018 and $8 million in the fourth quarter of 2018 and includes fees earned from retail customer investment accounts and from an affiliated investment manager. Assets managed by the affiliated manager totaled $4.5 billion at March 31, 2019, $6.7 billion at March 31, 2018 and $4.2 billion at December 31, 2018. The Company’s trust income from that affiliate was not material during any of the quarters then-ended.</w:t>
      </w:r>
    </w:p>
    <w:p>
      <w:pPr>
        <w:spacing w:after="0" w:line="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Brokerage services income, which includes revenues from the sale of mutual funds and annuities and securities brokerage fees, totaled $12 million in the recent quarter, compared with $13 million in each of the first and fourth quarters of 2018. Trading account and foreign exchange activity resulted in gains of $11 million and $5 million during the quarters ended March 31, 2019 and 2018, respectively, compared with gains of $17 million in the fourth quarter of 2018. The increase from the year-earlier quarter was due, in part, to improved valuations on interest rate floor agreements that are not accounted for as hedging instruments but, nevertheless, provide the Company with protection against the possibility of future declines in interest rates on earnings assets. The decline from the fourth quarter of 2018 was predominantly due to decreased activity related to interest rate swap agreements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73"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Company recognized net gains on investment securities of $12 million in the recent quarter and $4 million in the fourth quarter of 2018, compared with net losses of $9 million in the first quarter of 2018. The gains and losses represented unrealized gains and losses on investments in equity securities, largely Fannie Mae and Freddie Mac preferred stock.</w:t>
      </w:r>
    </w:p>
    <w:p>
      <w:pPr>
        <w:spacing w:after="0" w:line="76"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Other revenues from operations were $134 million in the first three months of 2019, compared with $126 million in the similar 2018 period and $111 million in the fourth quarter of 2018. The most significant contributor to the higher revenues in the initial 2019 quarter as compared with the 2018 periods was the $37 million of income received from BLG in the recent quarter, compared with $23 million in the year-earlier period and no similar income in the fourth quarter of 2018. Lower letter of credit and other credit-related fees partially offset the favorable impact of the income from BLG. Included in other revenues from operations were the following significant components. Letter of credit and other credit-related fees aggregated $24 million in the recent quarter, compared with $29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6" w:name="page67"/>
    <w:bookmarkEnd w:id="66"/>
    <w:p>
      <w:pPr>
        <w:jc w:val="both"/>
        <w:spacing w:after="0" w:line="245" w:lineRule="auto"/>
        <w:rPr>
          <w:sz w:val="20"/>
          <w:szCs w:val="20"/>
          <w:color w:val="auto"/>
        </w:rPr>
      </w:pPr>
      <w:r>
        <w:rPr>
          <w:rFonts w:ascii="Arial" w:cs="Arial" w:eastAsia="Arial" w:hAnsi="Arial"/>
          <w:sz w:val="21"/>
          <w:szCs w:val="21"/>
          <w:color w:val="auto"/>
        </w:rPr>
        <w:t>in the year-earlier quarter and $35 million in the fourth quarter of 2018. Revenues from merchant discount and credit card fees were $27 million in the recent quarter, compared with $28 million in the year-earlier quarter and $30 million in the fourth quarter of 2018. Tax-exempt income from bank owned life insurance, which includes increases in the cash surrender value of life insurance policies and benefits received, totaled $12 million in the initial 2019 quarter and $11 million in each of the first and fourth quarters of 2018. Insurance-related sales commissions and other revenues totaled $14 million in the quarter ended March 31, 2019, compared with $13 million and $12 million in 2018’s first and fourth quarters,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Other expense totaled $894 million in the first quarter of 2019, compared with $933 million in the year-earlier quarter and $802 million in the final 2018 quarter. Included in those amounts are expenses considered to be “nonoperating” in nature consisting of amortization of core deposit and other intangible assets of $5 million in each of the first quarter of 2019 and the fourth quarter of 2018, compared with $7 million in the first quarter of 2018. Exclusive of those nonoperating expenses, noninterest operating expenses were $889 million in the most recent quarter, compared with $927 million in the corresponding period of 2018 and $797 million in the final quarter of 2018. The most significant factor associated with the decreased level of operating expenses in the recent quarter as compared with the year-earlier quarter was an $85 million decline in additions to the reserve for legal matters. The recent quarter’s rise in noninterest operating expenses as compared with the fourth quarter of 2018 reflected seasonally higher stock-based compensation and employee benefits expenses and the $50 million increase to the reserve for legal matters offset, in part, by lower charitable contributions. Table 2 provides a reconciliation of other expense to noninterest operating expense.</w:t>
      </w:r>
    </w:p>
    <w:p>
      <w:pPr>
        <w:spacing w:after="0" w:line="6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Salaries and employee benefits expense aggregated $499 million in 2019’s initial quarter, compared with $463 million in the year-earlier quarter and $439 million in the fourth quarter of 2018. The higher salaries and employee benefits expenses in the recent quarter as compared with the similar period in 2018 reflect the impact of merit and other increases for employees, higher incentive-based compensation and increased medical benefit expenses. The increase in salaries and employee benefits expense in the recent quarter as compared with 2018’s fourth quarter reflects seasonally higher stock-based compensation, medical plan costs, payroll-related taxes, unemployment insurance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2019 and 2018 included $27 million and $23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$40 million and $35 million in the three-month periods ended March 31, 2019 and March 31, 2018, respectively, and $10 million in the three-month period ended December 31, 2018. The number of full-time equivalent employees was 17,080 at March 31, 2019, compared with 16,531 and 16,938 at March 31, 2018 and December 31, 2018, respectively.</w:t>
      </w:r>
    </w:p>
    <w:p>
      <w:pPr>
        <w:spacing w:after="0" w:line="66"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Excluding the nonoperating expense items described earlier from each quarter, nonpersonnel operating expenses were $390 million and $463 million in the quarters ended March 31, 2019 and March 31, 2018, respectively, and $358 million in the final quarter of 2018. The decline in nonpersonnel expenses in the recent quarter as compared with the first quarter of 2018 reflected lower additions to the reserve for legal matters of $85 million. The higher level of nonpersonnel operating expenses in the recent quarter as compared with the final 2018 quarter was predominantly attributable to the recent quarter’s $50 million addition to the reserve for legal matters, partially offset by lower charitable contributions.</w:t>
      </w:r>
    </w:p>
    <w:p>
      <w:pPr>
        <w:spacing w:after="0" w:line="86" w:lineRule="exact"/>
        <w:rPr>
          <w:sz w:val="20"/>
          <w:szCs w:val="20"/>
          <w:color w:val="auto"/>
        </w:rPr>
      </w:pPr>
    </w:p>
    <w:p>
      <w:pPr>
        <w:jc w:val="both"/>
        <w:ind w:right="20" w:firstLine="518"/>
        <w:spacing w:after="0" w:line="252"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57.6% during the recent quarter, compared with 64.0% and 51.7% in the first and fourth quarters of 2018, respectively. The calculation of the efficiency ratio is presented in Table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7" w:name="page68"/>
    <w:bookmarkEnd w:id="67"/>
    <w:p>
      <w:pPr>
        <w:spacing w:after="0"/>
        <w:rPr>
          <w:sz w:val="20"/>
          <w:szCs w:val="20"/>
          <w:color w:val="auto"/>
        </w:rPr>
      </w:pPr>
      <w:r>
        <w:rPr>
          <w:rFonts w:ascii="Arial" w:cs="Arial" w:eastAsia="Arial" w:hAnsi="Arial"/>
          <w:sz w:val="21"/>
          <w:szCs w:val="21"/>
          <w:b w:val="1"/>
          <w:bCs w:val="1"/>
          <w:color w:val="auto"/>
        </w:rPr>
        <w:t>Income Taxes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provision for income taxes was $152 million in the initial quarter of 2019, compared with $105 million in the year-earlier quarter and $153 million in the final quarter of 2018. The effective tax rates were 23.9%, 23.0% and 21.9% for the quarters ended March 31, 2019, March 31, 2018 and December 31, 2018, respectively. In December 2018, M&amp;T received approval from the Internal Revenue Service to change its tax return treatment for certain loan fees retroactive to 2017, resulting in a $15 million reduction of income tax expense in the final quarter of 2018. In addition, GAAP requires that excess tax benefits and tax deficiencies associated with share-based compensation be recognized as a discrete component of income tax expense in the income statement. As a result, the Company recognized a reduction of income tax expense of $9 million in the initial quarter of 2018. The impact of that requirement was insignificant in the first quarter of 2019 and the fourth quarter of 2018.</w:t>
      </w:r>
    </w:p>
    <w:p>
      <w:pPr>
        <w:spacing w:after="0" w:line="7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Shareholders’ equity was $15.6 billion at March 31, 2019, representing 12.99% of total assets, compared with $15.7 billion or 13.24% a year earlier and $15.5 billion or 12.87% at December 31, 2018.</w:t>
      </w:r>
    </w:p>
    <w:p>
      <w:pPr>
        <w:spacing w:after="0" w:line="6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Included in shareholders’ equity was preferred stock with financial statement carrying values of $1.2 billion at each of March 31, 2019, March 31, 2018 and December 31, 2018.</w:t>
      </w:r>
    </w:p>
    <w:p>
      <w:pPr>
        <w:spacing w:after="0" w:line="6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Reflecting the impact of repurchases of M&amp;T’s common stock, common shareholders’ equity was $14.4 billion, or $105.04 per share, at March 31, 2019, compared with $14.5 billion, or $98.60 per share, a year earlier and $14.2 billion, or $102.69 per share, at December 31, 2018. Tangible equity per common share, which excludes goodwill and core deposit and other intangible assets and applicable deferred tax balances, was $71.19 at the end of the recent quarter, compared with $66.99 at March 31, 2018 and $69.28 at December 31, 2018. The Company’s ratio of tangible common equity to tangible assets was 8.43% at March 31, 2019, compared with 8.63% a year earlier and 8.31% at December 31, 2018. Reconciliations of total common shareholders’ equity and tangible common equity and total assets and tangible assets as of each of those respective dates are presented in table 2.</w:t>
      </w:r>
    </w:p>
    <w:p>
      <w:pPr>
        <w:spacing w:after="0" w:line="5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$63 million, or $.46 per common share, at March 31, 2019, compared with net unrealized losses of $162 million, or $1.10 per common share, at March 31, 2018 and $148 million, or $1.06 per common share, at December 31, 2018. Changes in unrealized gains and losses on investment securities are predominantly reflective of the impact of changes in interest rates on the values of such securities. Information about unrealized gains and losses as of March 31, 2019 and December 31, 2018 is included in note 2 of Notes to Financial Statements.</w:t>
      </w:r>
    </w:p>
    <w:p>
      <w:pPr>
        <w:spacing w:after="0" w:line="73"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Reflected in the carrying amount of available-for-sale investment securities at March 31, 2019 were pre-tax effect unrealized gains of $31 million on securities with an amortized cost of $2.0 billion and pre-tax effect unrealized losses of $104 million on securities with an amortized cost of $6.4 billion. Information concerning the Company’s fair valuations of investment securities is provided in notes 2 and 12 of Notes to Financial Statements.</w:t>
      </w:r>
    </w:p>
    <w:p>
      <w:pPr>
        <w:spacing w:after="0" w:line="81"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21"/>
          <w:szCs w:val="21"/>
          <w:color w:val="auto"/>
        </w:rPr>
        <w:t>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8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As of March 31, 2019, based on a review of each of the securities in the investment securities portfolio, the Company concluded that the declines in the values of any securities containing an unrealized loss were temporary and that any other-than-temporary impairment charges were not appropriate. As of March 31, 2019,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w:t>
      </w:r>
    </w:p>
    <w:p>
      <w:pPr>
        <w:spacing w:after="0" w:line="6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2019 and December 31, 2018, the Company had in its held-to-maturity portfolio privately issued mortgage-backed securities with an amortized cost basis of $108 million and $113 million, respectively, and a fair value of $100 million and $103 million, respectively. At March 31, 2019, 82% of the mortgage-backed securities were in the most senior tranche of the securitization structure with 15% being independently rated as investment grade. The mortgage-backed securities are generally collateralized by residential and small-balance commercial real estate loans originated between 2004 and 2008 and had a weighted-average credit enhancement of 19% at March 31, 2019,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35% and 67%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March 31, 2019,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7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Adjustments to reflect the funded status of defined benefit pension and other postretirement plans, net of applicable tax effect, reduced accumulated other comprehensive income by $259 million or $1.90 per common share, at March 31, 2019, $297 million or $2.03 per common share, at March 31, 2018 and $261 million, or $1.89 per common share, at December 31, 2018.</w:t>
      </w:r>
    </w:p>
    <w:p>
      <w:pPr>
        <w:spacing w:after="0" w:line="57"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In accordance with M&amp;T’s revised 2018 Capital Plan filed with the Federal Reserve, M&amp;T repurchased 2,150,000 shares of its common stock for $366 million in the first quarter of 2019. During the initial 2018 quarter, M&amp;T repurchased 3,783,282 common shares at a total cost of $721 million. Repurchases of common stock in the final 2018 quarter totaled 3,060,000 shares at a cost of $500 million. As of March 31, 2019, M&amp;T has remaining authorization to repurchase up to $436 million of its common shares during the second quarter of 2019.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9" w:name="page70"/>
    <w:bookmarkEnd w:id="69"/>
    <w:p>
      <w:pPr>
        <w:jc w:val="both"/>
        <w:ind w:firstLine="476"/>
        <w:spacing w:after="0" w:line="279" w:lineRule="auto"/>
        <w:rPr>
          <w:sz w:val="20"/>
          <w:szCs w:val="20"/>
          <w:color w:val="auto"/>
        </w:rPr>
      </w:pPr>
      <w:r>
        <w:rPr>
          <w:rFonts w:ascii="Arial" w:cs="Arial" w:eastAsia="Arial" w:hAnsi="Arial"/>
          <w:sz w:val="19"/>
          <w:szCs w:val="19"/>
          <w:color w:val="auto"/>
        </w:rPr>
        <w:t>Cash dividends declared on M&amp;T’s common stock totaled $139 million in the initial quarter of 2019, compared with $112 million and $140 million in the three-month periods ended March 31, 2018 and December 31, 2018, respectively. During 2018, M&amp;T’s Board of Directors authorized increases in the quarterly common stock dividend to $.80 per common share in the second quarter from the previous rate of $.75 per common share and to $1.00 per common share in the third quarter. Cash dividends declared on preferred stock aggregated $18 million in each of the first quarters of 2019 and 2018 and in the fourth quarter of 2018.</w:t>
      </w:r>
    </w:p>
    <w:p>
      <w:pPr>
        <w:spacing w:after="0" w:line="52"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37" w:lineRule="exact"/>
        <w:rPr>
          <w:sz w:val="20"/>
          <w:szCs w:val="20"/>
          <w:color w:val="auto"/>
        </w:rPr>
      </w:pPr>
    </w:p>
    <w:p>
      <w:pPr>
        <w:ind w:left="760" w:hanging="374"/>
        <w:spacing w:after="0"/>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68" w:lineRule="exact"/>
        <w:rPr>
          <w:rFonts w:ascii="Arial" w:cs="Arial" w:eastAsia="Arial" w:hAnsi="Arial"/>
          <w:sz w:val="21"/>
          <w:szCs w:val="21"/>
          <w:color w:val="auto"/>
        </w:rPr>
      </w:pPr>
    </w:p>
    <w:p>
      <w:pPr>
        <w:ind w:left="760" w:hanging="374"/>
        <w:spacing w:after="0" w:line="263"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4" w:lineRule="exact"/>
        <w:rPr>
          <w:rFonts w:ascii="Arial" w:cs="Arial" w:eastAsia="Arial" w:hAnsi="Arial"/>
          <w:sz w:val="21"/>
          <w:szCs w:val="21"/>
          <w:color w:val="auto"/>
        </w:rPr>
      </w:pPr>
    </w:p>
    <w:p>
      <w:pPr>
        <w:ind w:left="760" w:right="20" w:hanging="374"/>
        <w:spacing w:after="0" w:line="263"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4" w:lineRule="exact"/>
        <w:rPr>
          <w:rFonts w:ascii="Arial" w:cs="Arial" w:eastAsia="Arial" w:hAnsi="Arial"/>
          <w:sz w:val="21"/>
          <w:szCs w:val="21"/>
          <w:color w:val="auto"/>
        </w:rPr>
      </w:pPr>
    </w:p>
    <w:p>
      <w:pPr>
        <w:ind w:left="760" w:hanging="374"/>
        <w:spacing w:after="0" w:line="263"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these minimum risk-weighted asset ratios.</w:t>
      </w:r>
    </w:p>
    <w:p>
      <w:pPr>
        <w:spacing w:after="0" w:line="64"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March 31, 2019 are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March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r>
      <w:tr>
        <w:trPr>
          <w:trHeight w:val="171"/>
        </w:trPr>
        <w:tc>
          <w:tcPr>
            <w:tcW w:w="53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Trust, N.A.</w:t>
            </w:r>
          </w:p>
        </w:tc>
      </w:tr>
      <w:tr>
        <w:trPr>
          <w:trHeight w:val="452"/>
        </w:trPr>
        <w:tc>
          <w:tcPr>
            <w:tcW w:w="53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10.03%</w:t>
            </w:r>
          </w:p>
        </w:tc>
        <w:tc>
          <w:tcPr>
            <w:tcW w:w="2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10.72%</w:t>
            </w:r>
          </w:p>
        </w:tc>
        <w:tc>
          <w:tcPr>
            <w:tcW w:w="260" w:type="dxa"/>
            <w:vAlign w:val="bottom"/>
          </w:tcPr>
          <w:p>
            <w:pPr>
              <w:spacing w:after="0"/>
              <w:rPr>
                <w:sz w:val="24"/>
                <w:szCs w:val="24"/>
                <w:color w:val="auto"/>
              </w:rPr>
            </w:pPr>
          </w:p>
        </w:tc>
        <w:tc>
          <w:tcPr>
            <w:tcW w:w="10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69.02%</w:t>
            </w:r>
          </w:p>
        </w:tc>
        <w:tc>
          <w:tcPr>
            <w:tcW w:w="80" w:type="dxa"/>
            <w:vAlign w:val="bottom"/>
          </w:tcPr>
          <w:p>
            <w:pPr>
              <w:spacing w:after="0"/>
              <w:rPr>
                <w:sz w:val="24"/>
                <w:szCs w:val="24"/>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11.28%</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10.72%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13.56%</w:t>
            </w:r>
          </w:p>
        </w:tc>
        <w:tc>
          <w:tcPr>
            <w:tcW w:w="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12.58%</w:t>
            </w:r>
          </w:p>
        </w:tc>
        <w:tc>
          <w:tcPr>
            <w:tcW w:w="26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69.24%</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0"/>
              </w:rPr>
              <w:t>9.97%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w:t>
      </w:r>
    </w:p>
    <w:p>
      <w:pPr>
        <w:spacing w:after="0" w:line="81" w:lineRule="exact"/>
        <w:rPr>
          <w:sz w:val="20"/>
          <w:szCs w:val="20"/>
          <w:color w:val="auto"/>
        </w:rPr>
      </w:pPr>
    </w:p>
    <w:p>
      <w:pPr>
        <w:jc w:val="both"/>
        <w:ind w:right="20" w:firstLine="471"/>
        <w:spacing w:after="0" w:line="263" w:lineRule="auto"/>
        <w:rPr>
          <w:sz w:val="20"/>
          <w:szCs w:val="20"/>
          <w:color w:val="auto"/>
        </w:rPr>
      </w:pPr>
      <w:r>
        <w:rPr>
          <w:rFonts w:ascii="Arial" w:cs="Arial" w:eastAsia="Arial" w:hAnsi="Arial"/>
          <w:sz w:val="21"/>
          <w:szCs w:val="21"/>
          <w:color w:val="auto"/>
        </w:rPr>
        <w:t>The Business Banking segment contributed net income of $43 million during the three-month period ended March 31, 2019, compared with $38 million in the first quarter of 2018 and $44 million in the fourth quarter of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70" w:name="page71"/>
    <w:bookmarkEnd w:id="70"/>
    <w:p>
      <w:pPr>
        <w:jc w:val="both"/>
        <w:spacing w:after="0" w:line="276" w:lineRule="auto"/>
        <w:rPr>
          <w:sz w:val="20"/>
          <w:szCs w:val="20"/>
          <w:color w:val="auto"/>
        </w:rPr>
      </w:pPr>
      <w:r>
        <w:rPr>
          <w:rFonts w:ascii="Arial" w:cs="Arial" w:eastAsia="Arial" w:hAnsi="Arial"/>
          <w:sz w:val="19"/>
          <w:szCs w:val="19"/>
          <w:color w:val="auto"/>
        </w:rPr>
        <w:t>As compared with the year-earlier quarter, an $11 million increase in net interest income was partially offset by a $4 million combined increase in operating expenses and centrally-allocated costs, largely associated with data processing, risk management and other support services provided to the Business Banking segment. The higher net interest income reflected a widening of the net interest margin on deposits of 49 basis points offset, in part, by a 21 basis point narrowing of the net interest margin on loans. The modest decline in net income in the initial 2019 quarter as compared with the immediately preceding quarter reflected a $3 million decrease in net interest income primarily due to two less days in the recent quarter, partially offset by lower advertising costs.</w:t>
      </w:r>
    </w:p>
    <w:p>
      <w:pPr>
        <w:spacing w:after="0" w:line="57"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20"/>
          <w:szCs w:val="20"/>
          <w:color w:val="auto"/>
        </w:rPr>
        <w:t>Net income of the Commercial Banking segment was $132 million in the recent quarter, compared with $125 million in the initial 2018 quarter and $138 million in the final 2018 quarter. The recent quarter’s improvement as compared with the first quarter of 2018 reflected a decline in the provision for credit losses of $11 million, due to lower net charge-offs, and higher net interest income of $8 million, largely resulting from a 63 basis point widening of the net interest margin on deposits. Those favorable factors were offset, in part, by lower letter of credit and other credit-related fees of $5 million, predominantly due to loan syndication fees, and a $4 million increase in centrally-allocated costs, largely associated with data processing, risk management and other support services provided to the Commercial Banking segment. The decline in net income in the initial 2019 quarter as compared with the final quarter of 2018 was primarily due to lower letter of credit and other credit-related fees of $10 million, mainly attributable to fees for providing loan syndication services. Additionally, net interest income declined $7 million, reflecting two less days in the recent quarter and a narrowing of the net interest margin on loans of 13 basis points. Those unfavorable factors were partially offset by a $12 million decrease in the provision for credit losses, primarily due to lower net charge-offs.</w:t>
      </w:r>
    </w:p>
    <w:p>
      <w:pPr>
        <w:spacing w:after="0" w:line="80" w:lineRule="exact"/>
        <w:rPr>
          <w:sz w:val="20"/>
          <w:szCs w:val="20"/>
          <w:color w:val="auto"/>
        </w:rPr>
      </w:pPr>
    </w:p>
    <w:p>
      <w:pPr>
        <w:jc w:val="both"/>
        <w:ind w:firstLine="471"/>
        <w:spacing w:after="0" w:line="271" w:lineRule="auto"/>
        <w:rPr>
          <w:sz w:val="20"/>
          <w:szCs w:val="20"/>
          <w:color w:val="auto"/>
        </w:rPr>
      </w:pPr>
      <w:r>
        <w:rPr>
          <w:rFonts w:ascii="Arial" w:cs="Arial" w:eastAsia="Arial" w:hAnsi="Arial"/>
          <w:sz w:val="19"/>
          <w:szCs w:val="19"/>
          <w:color w:val="auto"/>
        </w:rPr>
        <w:t>The Commercial Real Estate segment recorded net income of $117 million in the first quarter of 2019, compared with $108 million in the year-earlier period and $116 million in the fourth quarter of 2018. The 8% rise in net income in the recent quarter as compared with the first quarter of 2018 reflected an $11 million increase in net interest income, lower FDIC assessments of $3 million and higher trading account and foreign exchange gains of $3 million, due largely to increased activity related to interest rate swap transactions executed on behalf of commercial customers. The higher net interest income reflected a widening of the net interest margin on deposits of 44 basis points and an increase in average outstanding loan balances of $682 million. Partially offsetting those favorable factors was a $6 million increase in centrally-allocated costs, largely associated with data processing, risk management and other support services provided to the Commercial Real Estate segment. The recent quarter’s modest improvement in net income as compared with the immediately preceding quarter reflected a $3 million increase in net interest income, reflecting higher average loan balances of $709 million offset, in part, by two less days in the recent quarter, and lower FDIC assessments of $3 million. Those favorable factors were largely offset by decreased mortgage banking revenues of $6 million, reflecting lower origination and servicing income.</w:t>
      </w:r>
    </w:p>
    <w:p>
      <w:pPr>
        <w:spacing w:after="0" w:line="65" w:lineRule="exact"/>
        <w:rPr>
          <w:sz w:val="20"/>
          <w:szCs w:val="20"/>
          <w:color w:val="auto"/>
        </w:rPr>
      </w:pPr>
    </w:p>
    <w:p>
      <w:pPr>
        <w:jc w:val="both"/>
        <w:ind w:firstLine="471"/>
        <w:spacing w:after="0" w:line="257" w:lineRule="auto"/>
        <w:rPr>
          <w:sz w:val="20"/>
          <w:szCs w:val="20"/>
          <w:color w:val="auto"/>
        </w:rPr>
      </w:pPr>
      <w:r>
        <w:rPr>
          <w:rFonts w:ascii="Arial" w:cs="Arial" w:eastAsia="Arial" w:hAnsi="Arial"/>
          <w:sz w:val="20"/>
          <w:szCs w:val="20"/>
          <w:color w:val="auto"/>
        </w:rPr>
        <w:t>Net income earned by the Discretionary Portfolio segment totaled $39 million during the three-month period ended March 31, 2019, compared with $20 million in the year-earlier period and $28 million in the fourth quarter of 2018. The significant improvement in the recent quarter’s net income as compared with the initial 2018 quarter was predominantly due to valuation gains on marketable equity securities of $21 million and an $8 million decrease in the provision for credit losses, primarily due to the favorable impact from the Company’s allocation methodologies for the provision for credit losses associated with acquired loans. Those favorable factors were partially offset by a $12 million decline in net interest income that reflected lower average loan balances of $2.1 billion and a 10 basis point narrowing of the net interest margin on loans. The 42% rise in net income in the recent quarter as compared with immediately preceding quarter reflected a $7 million increase in valuation gains on marketable equity securities and a $3 million increase in trading account and foreign exchange gains.</w:t>
      </w:r>
    </w:p>
    <w:p>
      <w:pPr>
        <w:spacing w:after="0" w:line="77" w:lineRule="exact"/>
        <w:rPr>
          <w:sz w:val="20"/>
          <w:szCs w:val="20"/>
          <w:color w:val="auto"/>
        </w:rPr>
      </w:pPr>
    </w:p>
    <w:p>
      <w:pPr>
        <w:jc w:val="both"/>
        <w:ind w:firstLine="471"/>
        <w:spacing w:after="0" w:line="245" w:lineRule="auto"/>
        <w:rPr>
          <w:sz w:val="20"/>
          <w:szCs w:val="20"/>
          <w:color w:val="auto"/>
        </w:rPr>
      </w:pPr>
      <w:r>
        <w:rPr>
          <w:rFonts w:ascii="Arial" w:cs="Arial" w:eastAsia="Arial" w:hAnsi="Arial"/>
          <w:sz w:val="21"/>
          <w:szCs w:val="21"/>
          <w:color w:val="auto"/>
        </w:rPr>
        <w:t>Net income from the Residential Mortgage Banking segment was $13 million in the initial three months of 2019, compared with $15 million in the first quarter of 2018 and $2 million in 2018’s fourth quarter. The decline in net income in the recent quarter as compared with the year-earlier period reflected lower net interest income. Higher revenues from servicing residential real estate loans were largely offset by higher servicing-related costs (including intersegment costs). As compared with the final quarter of 2018, the improved performance in the recent quarter reflected higher revenues from mortgage servicing activities and a decline in centrally-allocated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associated with data processing, risk management and other support services provided to the Residential Mortgage Banking segment.</w:t>
      </w:r>
    </w:p>
    <w:p>
      <w:pPr>
        <w:spacing w:after="0" w:line="132" w:lineRule="exact"/>
        <w:rPr>
          <w:sz w:val="20"/>
          <w:szCs w:val="20"/>
          <w:color w:val="auto"/>
        </w:rPr>
      </w:pPr>
    </w:p>
    <w:p>
      <w:pPr>
        <w:jc w:val="both"/>
        <w:ind w:firstLine="471"/>
        <w:spacing w:after="0" w:line="257" w:lineRule="auto"/>
        <w:rPr>
          <w:sz w:val="20"/>
          <w:szCs w:val="20"/>
          <w:color w:val="auto"/>
        </w:rPr>
      </w:pPr>
      <w:r>
        <w:rPr>
          <w:rFonts w:ascii="Arial" w:cs="Arial" w:eastAsia="Arial" w:hAnsi="Arial"/>
          <w:sz w:val="20"/>
          <w:szCs w:val="20"/>
          <w:color w:val="auto"/>
        </w:rPr>
        <w:t>Net income earned by the Retail Banking segment totaled $145 million in the first quarter of 2019, compared with $123 million in the year-earlier quarter and $133 million in the final 2018 quarter. The 18% improvement in net income in the recent quarter as compared with the first quarter of 2018 resulted predominately from a $39 million rise in net interest income, due largely to a 47 basis point widening of the net interest margin on deposits. That positive factor was partially offset by increased operating expenses, including higher personnel-related costs of $4 million. The recent quarter’s improved performance as compared with the fourth quarter of 2018 reflects an $11 million decrease in advertising and marketing expenses, reduced centrally-allocated operating expenses associated with data processing, risk management and other support services provided to the Retail Banking segment of $7 million, and a $4 million decrease in the provision for credit losses. Those favorable factors were offset, in part, by a $5 million decrease in service charges on deposit accounts.</w:t>
      </w:r>
    </w:p>
    <w:p>
      <w:pPr>
        <w:spacing w:after="0" w:line="77" w:lineRule="exact"/>
        <w:rPr>
          <w:sz w:val="20"/>
          <w:szCs w:val="20"/>
          <w:color w:val="auto"/>
        </w:rPr>
      </w:pPr>
    </w:p>
    <w:p>
      <w:pPr>
        <w:jc w:val="both"/>
        <w:ind w:firstLine="471"/>
        <w:spacing w:after="0" w:line="269"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results and distributions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$7 million in the first quarter of 2019 and $77 million in the year-earlier quarter, compared with net income of $85 million in the fourth quarter of 2018. The lower loss in the recent quarter as compared with the initial 2018 quarter largely reflected: an $85 million decline in the reserve for legal matters (a $50 million addition to the reserve in 2019, compared with a $135 million addition in 2018); $14 million of higher income from BLG in 2019 (a $37 million distribution in 2019, compared with $23 million of income distributed in 2018); and the favorable impact from the Company’s allocation methodologies for internal transfers for funding charges and credits associated with earning assets and interest-bearing liabilities of the Company’s reportable segments. Those favorable factors were partially offset by higher personnel-related expenses of $29 million, including stock-based and other incentive compensation and employee benefits expenses. As compared with the immediately preceding quarter, the factors contributing to the unfavorable performance in the recent quarter included: a $64 million rise in personnel-related costs, reflecting seasonally higher stock-based compensation and employee benefits expenses; a $50 million addition to the reserve for legal matters in 2019; a $9 million increase in each of FDIC assessments and advertising and marketing expenses; and the unfavorable impact from the Company’s allocation methodologies. Partially offsetting those unfavorable factors were the $37 million distribution from BLG and lower charitable contributions of $20 million in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72" w:name="page73"/>
    <w:bookmarkEnd w:id="72"/>
    <w:p>
      <w:pPr>
        <w:jc w:val="both"/>
        <w:ind w:firstLine="51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7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rPr>
          <w:sz w:val="20"/>
          <w:szCs w:val="20"/>
          <w:color w:val="auto"/>
        </w:rPr>
      </w:pPr>
      <w:r>
        <w:rPr>
          <w:rFonts w:ascii="Arial" w:cs="Arial" w:eastAsia="Arial" w:hAnsi="Arial"/>
          <w:sz w:val="20"/>
          <w:szCs w:val="20"/>
          <w:color w:val="auto"/>
        </w:rPr>
        <w:t>QUARTERLY TRENDS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2018 Quarters</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First Quarter</w:t>
            </w:r>
          </w:p>
        </w:tc>
        <w:tc>
          <w:tcPr>
            <w:tcW w:w="3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Fourth</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Third</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Second</w:t>
            </w:r>
          </w:p>
        </w:tc>
        <w:tc>
          <w:tcPr>
            <w:tcW w:w="3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First</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i w:val="1"/>
                <w:iCs w:val="1"/>
                <w:color w:val="auto"/>
              </w:rPr>
              <w:t>Amounts in thousands, except per share</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Interest income (taxable-equivalent basis)</w:t>
            </w:r>
          </w:p>
        </w:tc>
        <w:tc>
          <w:tcPr>
            <w:tcW w:w="1600" w:type="dxa"/>
            <w:vAlign w:val="bottom"/>
            <w:gridSpan w:val="2"/>
            <w:shd w:val="clear" w:color="auto" w:fill="CFF0FC"/>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1,232,276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1,226,239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1,173,108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1,134,302</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1,086,959</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Interest expense</w:t>
            </w:r>
          </w:p>
        </w:tc>
        <w:tc>
          <w:tcPr>
            <w:tcW w:w="14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176,249</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161,321</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138,337</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120,118</w:t>
            </w:r>
          </w:p>
        </w:tc>
        <w:tc>
          <w:tcPr>
            <w:tcW w:w="3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106,633</w:t>
            </w:r>
          </w:p>
        </w:tc>
        <w:tc>
          <w:tcPr>
            <w:tcW w:w="3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1,056,027</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1,064,918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1,034,771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1,014,184</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980,326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Less: provision for credit losses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22,000</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38,000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16,000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35,000</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43,000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500,765</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480,596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459,294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457,414</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458,696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Less: other expense</w:t>
            </w:r>
          </w:p>
        </w:tc>
        <w:tc>
          <w:tcPr>
            <w:tcW w:w="14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894,348</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802,162</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775,979</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776,577</w:t>
            </w:r>
          </w:p>
        </w:tc>
        <w:tc>
          <w:tcPr>
            <w:tcW w:w="3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933,344</w:t>
            </w:r>
          </w:p>
        </w:tc>
        <w:tc>
          <w:tcPr>
            <w:tcW w:w="3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640,444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705,352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702,086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660,021</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462,678</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Applicable income taxes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151,735</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153,175</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170,262</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161,464</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105,259</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Taxable-equivalent adjustment</w:t>
            </w:r>
          </w:p>
        </w:tc>
        <w:tc>
          <w:tcPr>
            <w:tcW w:w="14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5,967</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5,958</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5,733</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5,397</w:t>
            </w:r>
          </w:p>
        </w:tc>
        <w:tc>
          <w:tcPr>
            <w:tcW w:w="3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4,809</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4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482,742</w:t>
            </w:r>
          </w:p>
        </w:tc>
        <w:tc>
          <w:tcPr>
            <w:tcW w:w="3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546,219</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526,091</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493,160</w:t>
            </w: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352,610</w:t>
            </w:r>
          </w:p>
        </w:tc>
        <w:tc>
          <w:tcPr>
            <w:tcW w:w="3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4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462,086</w:t>
            </w: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525,328</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505,365</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472,600</w:t>
            </w: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332,749</w:t>
            </w: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Per common share data</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 earnings</w:t>
            </w:r>
          </w:p>
        </w:tc>
        <w:tc>
          <w:tcPr>
            <w:tcW w:w="1600" w:type="dxa"/>
            <w:vAlign w:val="bottom"/>
            <w:gridSpan w:val="2"/>
            <w:shd w:val="clear" w:color="auto" w:fill="CFF0FC"/>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3.35</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3.76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3.26</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Diluted earnings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3.35</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3.76</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3.53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3.26</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2.23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Cash dividends</w:t>
            </w:r>
          </w:p>
        </w:tc>
        <w:tc>
          <w:tcPr>
            <w:tcW w:w="1600" w:type="dxa"/>
            <w:vAlign w:val="bottom"/>
            <w:gridSpan w:val="2"/>
            <w:shd w:val="clear" w:color="auto" w:fill="CFF0FC"/>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Average common shares outstanding</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137,889</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139,744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142,822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144,825</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148,688</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Borders>
              <w:bottom w:val="single" w:sz="8" w:color="CFF0FC"/>
            </w:tcBorders>
          </w:tcPr>
          <w:p>
            <w:pPr>
              <w:ind w:left="260"/>
              <w:spacing w:after="0" w:line="149" w:lineRule="exact"/>
              <w:rPr>
                <w:sz w:val="20"/>
                <w:szCs w:val="20"/>
                <w:color w:val="auto"/>
              </w:rPr>
            </w:pPr>
            <w:r>
              <w:rPr>
                <w:rFonts w:ascii="Arial" w:cs="Arial" w:eastAsia="Arial" w:hAnsi="Arial"/>
                <w:sz w:val="13"/>
                <w:szCs w:val="13"/>
                <w:color w:val="auto"/>
              </w:rPr>
              <w:t>Diluted</w:t>
            </w:r>
          </w:p>
        </w:tc>
        <w:tc>
          <w:tcPr>
            <w:tcW w:w="14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137,920</w:t>
            </w:r>
          </w:p>
        </w:tc>
        <w:tc>
          <w:tcPr>
            <w:tcW w:w="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139,838</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142,976</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144,998</w:t>
            </w:r>
          </w:p>
        </w:tc>
        <w:tc>
          <w:tcPr>
            <w:tcW w:w="3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148,905</w:t>
            </w:r>
          </w:p>
        </w:tc>
        <w:tc>
          <w:tcPr>
            <w:tcW w:w="3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Return on</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assets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1.68</w:t>
            </w:r>
          </w:p>
        </w:tc>
        <w:tc>
          <w:tcPr>
            <w:tcW w:w="340" w:type="dxa"/>
            <w:vAlign w:val="bottom"/>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1.84</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1.80</w:t>
            </w:r>
          </w:p>
        </w:tc>
        <w:tc>
          <w:tcPr>
            <w:tcW w:w="34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1.70</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w:t>
            </w:r>
          </w:p>
        </w:tc>
        <w:tc>
          <w:tcPr>
            <w:tcW w:w="360" w:type="dxa"/>
            <w:vAlign w:val="bottom"/>
            <w:shd w:val="clear" w:color="auto" w:fill="CFF0FC"/>
          </w:tcPr>
          <w:p>
            <w:pPr>
              <w:jc w:val="right"/>
              <w:ind w:right="9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Average common shareholders’ equity</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13.14</w:t>
            </w:r>
          </w:p>
        </w:tc>
        <w:tc>
          <w:tcPr>
            <w:tcW w:w="340" w:type="dxa"/>
            <w:vAlign w:val="bottom"/>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14.80</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14.08</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13.32</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9.15</w:t>
            </w:r>
          </w:p>
        </w:tc>
        <w:tc>
          <w:tcPr>
            <w:tcW w:w="360" w:type="dxa"/>
            <w:vAlign w:val="bottom"/>
          </w:tcPr>
          <w:p>
            <w:pPr>
              <w:jc w:val="right"/>
              <w:ind w:right="9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w:t>
            </w:r>
          </w:p>
        </w:tc>
        <w:tc>
          <w:tcPr>
            <w:tcW w:w="1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equivalent basis)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3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w:t>
            </w:r>
          </w:p>
        </w:tc>
        <w:tc>
          <w:tcPr>
            <w:tcW w:w="3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18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4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340" w:type="dxa"/>
            <w:vAlign w:val="bottom"/>
            <w:tcBorders>
              <w:bottom w:val="single" w:sz="8" w:color="CFF0FC"/>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34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360" w:type="dxa"/>
            <w:vAlign w:val="bottom"/>
            <w:tcBorders>
              <w:bottom w:val="single" w:sz="8" w:color="CFF0FC"/>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1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Net operating income (in thousands)</w:t>
            </w:r>
          </w:p>
        </w:tc>
        <w:tc>
          <w:tcPr>
            <w:tcW w:w="1600" w:type="dxa"/>
            <w:vAlign w:val="bottom"/>
            <w:gridSpan w:val="2"/>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486,440</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550,169</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530,619</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497,869</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357,498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net operating income per common share</w:t>
            </w:r>
          </w:p>
        </w:tc>
        <w:tc>
          <w:tcPr>
            <w:tcW w:w="1600" w:type="dxa"/>
            <w:vAlign w:val="bottom"/>
            <w:gridSpan w:val="2"/>
            <w:shd w:val="clear" w:color="auto" w:fill="CFF0FC"/>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3.38</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3.79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3.29</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Annualized return on</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tangible assets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1.76</w:t>
            </w:r>
          </w:p>
        </w:tc>
        <w:tc>
          <w:tcPr>
            <w:tcW w:w="340" w:type="dxa"/>
            <w:vAlign w:val="bottom"/>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1.93</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1.89</w:t>
            </w:r>
          </w:p>
        </w:tc>
        <w:tc>
          <w:tcPr>
            <w:tcW w:w="34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1.79</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1.28</w:t>
            </w:r>
          </w:p>
        </w:tc>
        <w:tc>
          <w:tcPr>
            <w:tcW w:w="360" w:type="dxa"/>
            <w:vAlign w:val="bottom"/>
            <w:shd w:val="clear" w:color="auto" w:fill="CFF0FC"/>
          </w:tcPr>
          <w:p>
            <w:pPr>
              <w:jc w:val="right"/>
              <w:ind w:right="9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Average tangible common shareholders’ equity</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19.56</w:t>
            </w:r>
          </w:p>
        </w:tc>
        <w:tc>
          <w:tcPr>
            <w:tcW w:w="340" w:type="dxa"/>
            <w:vAlign w:val="bottom"/>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22.16</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21.00</w:t>
            </w:r>
          </w:p>
        </w:tc>
        <w:tc>
          <w:tcPr>
            <w:tcW w:w="34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19.91</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13.51</w:t>
            </w:r>
          </w:p>
        </w:tc>
        <w:tc>
          <w:tcPr>
            <w:tcW w:w="360" w:type="dxa"/>
            <w:vAlign w:val="bottom"/>
          </w:tcPr>
          <w:p>
            <w:pPr>
              <w:jc w:val="right"/>
              <w:ind w:right="9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80" w:type="dxa"/>
            <w:vAlign w:val="bottom"/>
            <w:tcBorders>
              <w:bottom w:val="single" w:sz="8" w:color="CFF0FC"/>
            </w:tcBorders>
            <w:shd w:val="clear" w:color="auto" w:fill="CFF0FC"/>
          </w:tcPr>
          <w:p>
            <w:pPr>
              <w:spacing w:after="0" w:line="149" w:lineRule="exact"/>
              <w:rPr>
                <w:sz w:val="20"/>
                <w:szCs w:val="20"/>
                <w:color w:val="auto"/>
              </w:rPr>
            </w:pPr>
            <w:r>
              <w:rPr>
                <w:rFonts w:ascii="Arial" w:cs="Arial" w:eastAsia="Arial" w:hAnsi="Arial"/>
                <w:sz w:val="13"/>
                <w:szCs w:val="13"/>
                <w:color w:val="auto"/>
              </w:rPr>
              <w:t>Efficiency ratio (b)</w:t>
            </w:r>
          </w:p>
        </w:tc>
        <w:tc>
          <w:tcPr>
            <w:tcW w:w="14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57.56</w:t>
            </w:r>
          </w:p>
        </w:tc>
        <w:tc>
          <w:tcPr>
            <w:tcW w:w="340" w:type="dxa"/>
            <w:vAlign w:val="bottom"/>
            <w:tcBorders>
              <w:bottom w:val="single" w:sz="8" w:color="CFF0FC"/>
            </w:tcBorders>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51.70</w:t>
            </w:r>
          </w:p>
        </w:tc>
        <w:tc>
          <w:tcPr>
            <w:tcW w:w="340" w:type="dxa"/>
            <w:vAlign w:val="bottom"/>
            <w:tcBorders>
              <w:bottom w:val="single" w:sz="8" w:color="CFF0FC"/>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51.41</w:t>
            </w:r>
          </w:p>
        </w:tc>
        <w:tc>
          <w:tcPr>
            <w:tcW w:w="340" w:type="dxa"/>
            <w:vAlign w:val="bottom"/>
            <w:tcBorders>
              <w:bottom w:val="single" w:sz="8" w:color="CFF0FC"/>
            </w:tcBorders>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52.42</w:t>
            </w:r>
          </w:p>
        </w:tc>
        <w:tc>
          <w:tcPr>
            <w:tcW w:w="340" w:type="dxa"/>
            <w:vAlign w:val="bottom"/>
            <w:tcBorders>
              <w:bottom w:val="single" w:sz="8" w:color="CFF0FC"/>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63.98</w:t>
            </w:r>
          </w:p>
        </w:tc>
        <w:tc>
          <w:tcPr>
            <w:tcW w:w="360" w:type="dxa"/>
            <w:vAlign w:val="bottom"/>
            <w:tcBorders>
              <w:bottom w:val="single" w:sz="8" w:color="CFF0FC"/>
            </w:tcBorders>
            <w:shd w:val="clear" w:color="auto" w:fill="CFF0FC"/>
          </w:tcPr>
          <w:p>
            <w:pPr>
              <w:jc w:val="right"/>
              <w:ind w:right="9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i w:val="1"/>
                <w:iCs w:val="1"/>
                <w:color w:val="auto"/>
              </w:rPr>
              <w:t>In millions, except per share</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3"/>
                <w:szCs w:val="13"/>
                <w:color w:val="auto"/>
              </w:rPr>
              <w:t>Average balances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600" w:type="dxa"/>
            <w:vAlign w:val="bottom"/>
            <w:gridSpan w:val="2"/>
            <w:shd w:val="clear" w:color="auto" w:fill="CFF0FC"/>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116,839</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117,799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115,997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116,413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117,684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112,213</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113,169</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111,363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111,775</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113,041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106,096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107,785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105,835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106,210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107,231</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12,949</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13,034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13,431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13,856</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14,467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88,477</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87,301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87,132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87,406</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87,766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Deposits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89,733</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91,104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89,252</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90,195</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91,119</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Common shareholders’ equity (c)</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14,337</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14,157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14,317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14,301</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14,827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9,711</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9,527</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9,683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9,663</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10,184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At end of quarter</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600" w:type="dxa"/>
            <w:vAlign w:val="bottom"/>
            <w:gridSpan w:val="2"/>
          </w:tcPr>
          <w:p>
            <w:pPr>
              <w:jc w:val="right"/>
              <w:ind w:right="64"/>
              <w:spacing w:after="0" w:line="14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120,025</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120,097</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116,828</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118,426</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118,623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115,400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115,470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112,197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113,790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113,982</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108,849</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109,321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106,331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107,819</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107,976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12,537</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12,693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13,074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13,283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14,067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88,640</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88,466</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86,680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87,797</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87,711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Deposits</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90,470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90,157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89,140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89,273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90,947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8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420"/>
              <w:spacing w:after="0"/>
              <w:rPr>
                <w:sz w:val="20"/>
                <w:szCs w:val="20"/>
                <w:color w:val="auto"/>
              </w:rPr>
            </w:pPr>
            <w:r>
              <w:rPr>
                <w:rFonts w:ascii="Arial" w:cs="Arial" w:eastAsia="Arial" w:hAnsi="Arial"/>
                <w:sz w:val="13"/>
                <w:szCs w:val="13"/>
                <w:color w:val="auto"/>
              </w:rPr>
              <w:t>cumulative preferred dividends (c)</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14,353</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14,225</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14,201</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14,343</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14,475</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9,728</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9,598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9,570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9,707</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9,834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60"/>
              <w:spacing w:after="0" w:line="149" w:lineRule="exact"/>
              <w:rPr>
                <w:sz w:val="20"/>
                <w:szCs w:val="20"/>
                <w:color w:val="auto"/>
              </w:rPr>
            </w:pPr>
            <w:r>
              <w:rPr>
                <w:rFonts w:ascii="Arial" w:cs="Arial" w:eastAsia="Arial" w:hAnsi="Arial"/>
                <w:sz w:val="13"/>
                <w:szCs w:val="13"/>
                <w:color w:val="auto"/>
              </w:rPr>
              <w:t>Equity per common share</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105.04</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102.69</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100.38</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99.43</w:t>
            </w: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98.60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equity per common share</w:t>
            </w:r>
          </w:p>
        </w:tc>
        <w:tc>
          <w:tcPr>
            <w:tcW w:w="1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71.19</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69.28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67.64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67.29</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66.99</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20" w:right="20" w:hanging="512"/>
        <w:spacing w:after="0" w:line="235"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20" w:hanging="512"/>
        <w:spacing w:after="0" w:line="228"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Table 2</w:t>
            </w:r>
          </w:p>
        </w:tc>
        <w:tc>
          <w:tcPr>
            <w:tcW w:w="0" w:type="dxa"/>
            <w:vAlign w:val="bottom"/>
          </w:tcPr>
          <w:p>
            <w:pPr>
              <w:spacing w:after="0"/>
              <w:rPr>
                <w:sz w:val="1"/>
                <w:szCs w:val="1"/>
                <w:color w:val="auto"/>
              </w:rPr>
            </w:pPr>
          </w:p>
        </w:tc>
      </w:tr>
      <w:tr>
        <w:trPr>
          <w:trHeight w:val="337"/>
        </w:trPr>
        <w:tc>
          <w:tcPr>
            <w:tcW w:w="6280" w:type="dxa"/>
            <w:vAlign w:val="bottom"/>
            <w:gridSpan w:val="6"/>
          </w:tcPr>
          <w:p>
            <w:pPr>
              <w:spacing w:after="0"/>
              <w:rPr>
                <w:sz w:val="20"/>
                <w:szCs w:val="20"/>
                <w:color w:val="auto"/>
              </w:rPr>
            </w:pPr>
            <w:r>
              <w:rPr>
                <w:rFonts w:ascii="Arial" w:cs="Arial" w:eastAsia="Arial" w:hAnsi="Arial"/>
                <w:sz w:val="20"/>
                <w:szCs w:val="20"/>
                <w:color w:val="auto"/>
                <w:w w:val="95"/>
              </w:rPr>
              <w:t>RECONCILIATION OF QUARTERLY GAAP TO NON-GAAP MEASURES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w w:val="92"/>
              </w:rPr>
              <w:t>2018 Quarters</w:t>
            </w: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7"/>
              <w:spacing w:after="0" w:line="142" w:lineRule="exact"/>
              <w:rPr>
                <w:sz w:val="20"/>
                <w:szCs w:val="20"/>
                <w:color w:val="auto"/>
              </w:rPr>
            </w:pPr>
            <w:r>
              <w:rPr>
                <w:rFonts w:ascii="Arial" w:cs="Arial" w:eastAsia="Arial" w:hAnsi="Arial"/>
                <w:sz w:val="13"/>
                <w:szCs w:val="13"/>
                <w:b w:val="1"/>
                <w:bCs w:val="1"/>
                <w:color w:val="auto"/>
                <w:w w:val="96"/>
              </w:rPr>
              <w:t>First Quarter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w w:val="97"/>
              </w:rPr>
              <w:t>Fourth</w:t>
            </w:r>
          </w:p>
        </w:tc>
        <w:tc>
          <w:tcPr>
            <w:tcW w:w="1680" w:type="dxa"/>
            <w:vAlign w:val="bottom"/>
            <w:gridSpan w:val="3"/>
          </w:tcPr>
          <w:p>
            <w:pPr>
              <w:ind w:left="380"/>
              <w:spacing w:after="0" w:line="142" w:lineRule="exact"/>
              <w:rPr>
                <w:sz w:val="20"/>
                <w:szCs w:val="20"/>
                <w:color w:val="auto"/>
              </w:rPr>
            </w:pPr>
            <w:r>
              <w:rPr>
                <w:rFonts w:ascii="Arial" w:cs="Arial" w:eastAsia="Arial" w:hAnsi="Arial"/>
                <w:sz w:val="13"/>
                <w:szCs w:val="13"/>
                <w:b w:val="1"/>
                <w:bCs w:val="1"/>
                <w:color w:val="auto"/>
              </w:rPr>
              <w:t>Third</w:t>
            </w:r>
          </w:p>
        </w:tc>
        <w:tc>
          <w:tcPr>
            <w:tcW w:w="112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w w:val="89"/>
              </w:rPr>
              <w:t>Second</w:t>
            </w:r>
          </w:p>
        </w:tc>
        <w:tc>
          <w:tcPr>
            <w:tcW w:w="1100" w:type="dxa"/>
            <w:vAlign w:val="bottom"/>
          </w:tcPr>
          <w:p>
            <w:pPr>
              <w:jc w:val="right"/>
              <w:ind w:right="356"/>
              <w:spacing w:after="0" w:line="142"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8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b w:val="1"/>
                <w:bCs w:val="1"/>
                <w:color w:val="auto"/>
              </w:rPr>
              <w:t>Net income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482,742</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546,219</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526,091</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493,160</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352,610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intangible assets (a)</w:t>
            </w:r>
          </w:p>
        </w:tc>
        <w:tc>
          <w:tcPr>
            <w:tcW w:w="8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3,698</w:t>
            </w:r>
          </w:p>
        </w:tc>
        <w:tc>
          <w:tcPr>
            <w:tcW w:w="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3,950</w:t>
            </w:r>
          </w:p>
        </w:tc>
        <w:tc>
          <w:tcPr>
            <w:tcW w:w="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4,528</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w:t>
            </w:r>
          </w:p>
        </w:tc>
        <w:tc>
          <w:tcPr>
            <w:tcW w:w="32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486,440</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550,169</w:t>
            </w:r>
          </w:p>
        </w:tc>
        <w:tc>
          <w:tcPr>
            <w:tcW w:w="3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530,619</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497,869</w:t>
            </w:r>
          </w:p>
        </w:tc>
        <w:tc>
          <w:tcPr>
            <w:tcW w:w="3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357,498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common share</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earnings per common share</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3.35</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3.76</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3.53</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3.26</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Amortization of core deposit and other intangible assets (a)</w:t>
            </w:r>
          </w:p>
        </w:tc>
        <w:tc>
          <w:tcPr>
            <w:tcW w:w="8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2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Diluted net operating earnings per common share</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3.38</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3.79</w:t>
            </w:r>
          </w:p>
        </w:tc>
        <w:tc>
          <w:tcPr>
            <w:tcW w:w="3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3.56</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3.29</w:t>
            </w:r>
          </w:p>
        </w:tc>
        <w:tc>
          <w:tcPr>
            <w:tcW w:w="3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2.26</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expense</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894,348</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802,162</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775,979</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776,577</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933,344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Amortization of core deposit and other intangible assets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(5,020)</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(5,359)</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(6,143)</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(6,388)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(6,632)</w:t>
            </w: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889,328</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796,803</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769,836</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770,189</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926,712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Efficiency ratio</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Noninterest operating expense (numerator)</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889,328</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796,803</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769,836</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770,189</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926,712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Taxable-equivalent net interest income</w:t>
            </w: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1,056,027</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1,064,918</w:t>
            </w:r>
          </w:p>
        </w:tc>
        <w:tc>
          <w:tcPr>
            <w:tcW w:w="32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3"/>
                <w:szCs w:val="13"/>
                <w:color w:val="auto"/>
              </w:rPr>
              <w:t>1,034,771</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1,014,184</w:t>
            </w:r>
          </w:p>
        </w:tc>
        <w:tc>
          <w:tcPr>
            <w:tcW w:w="32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3"/>
                <w:szCs w:val="13"/>
                <w:color w:val="auto"/>
              </w:rPr>
              <w:t>980,326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500,765</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480,596</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459,294</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457,414</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458,696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Less: Gain (loss) on bank investment securities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3"/>
                <w:szCs w:val="13"/>
                <w:color w:val="auto"/>
              </w:rPr>
              <w:t>11,841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3"/>
                <w:szCs w:val="13"/>
                <w:color w:val="auto"/>
              </w:rPr>
              <w:t>4,219</w:t>
            </w:r>
          </w:p>
        </w:tc>
        <w:tc>
          <w:tcPr>
            <w:tcW w:w="320" w:type="dxa"/>
            <w:vAlign w:val="bottom"/>
          </w:tcPr>
          <w:p>
            <w:pPr>
              <w:spacing w:after="0"/>
              <w:rPr>
                <w:sz w:val="12"/>
                <w:szCs w:val="12"/>
                <w:color w:val="auto"/>
              </w:rPr>
            </w:pP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(3,415)</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2,326</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(9,431)</w:t>
            </w: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Denominator</w:t>
            </w: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1,544,951</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1,541,295</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1,497,480</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1,469,272</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1,448,453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color w:val="auto"/>
              </w:rPr>
              <w:t>Efficiency ratio</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57.56%</w:t>
            </w:r>
          </w:p>
        </w:tc>
        <w:tc>
          <w:tcPr>
            <w:tcW w:w="300" w:type="dxa"/>
            <w:vAlign w:val="bottom"/>
          </w:tcPr>
          <w:p>
            <w:pPr>
              <w:spacing w:after="0"/>
              <w:rPr>
                <w:sz w:val="14"/>
                <w:szCs w:val="14"/>
                <w:color w:val="auto"/>
              </w:rPr>
            </w:pPr>
          </w:p>
        </w:tc>
        <w:tc>
          <w:tcPr>
            <w:tcW w:w="11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51.70%</w:t>
            </w:r>
          </w:p>
        </w:tc>
        <w:tc>
          <w:tcPr>
            <w:tcW w:w="140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51.41%</w:t>
            </w:r>
          </w:p>
        </w:tc>
        <w:tc>
          <w:tcPr>
            <w:tcW w:w="280" w:type="dxa"/>
            <w:vAlign w:val="bottom"/>
          </w:tcPr>
          <w:p>
            <w:pPr>
              <w:spacing w:after="0"/>
              <w:rPr>
                <w:sz w:val="14"/>
                <w:szCs w:val="14"/>
                <w:color w:val="auto"/>
              </w:rPr>
            </w:pPr>
          </w:p>
        </w:tc>
        <w:tc>
          <w:tcPr>
            <w:tcW w:w="11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52.42%</w:t>
            </w:r>
          </w:p>
        </w:tc>
        <w:tc>
          <w:tcPr>
            <w:tcW w:w="12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63.98%</w:t>
            </w:r>
          </w:p>
        </w:tc>
        <w:tc>
          <w:tcPr>
            <w:tcW w:w="0" w:type="dxa"/>
            <w:vAlign w:val="bottom"/>
          </w:tcPr>
          <w:p>
            <w:pPr>
              <w:spacing w:after="0"/>
              <w:rPr>
                <w:sz w:val="1"/>
                <w:szCs w:val="1"/>
                <w:color w:val="auto"/>
              </w:rPr>
            </w:pPr>
          </w:p>
        </w:tc>
      </w:tr>
      <w:tr>
        <w:trPr>
          <w:trHeight w:val="129"/>
        </w:trPr>
        <w:tc>
          <w:tcPr>
            <w:tcW w:w="37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8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b w:val="1"/>
                <w:bCs w:val="1"/>
                <w:color w:val="auto"/>
              </w:rPr>
              <w:t>Average assets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assets</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116,839</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117,799</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115,997</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116,413</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117,684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(45)</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(50)</w:t>
            </w:r>
          </w:p>
        </w:tc>
        <w:tc>
          <w:tcPr>
            <w:tcW w:w="14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(55)</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(62)</w:t>
            </w: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8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w:t>
            </w:r>
          </w:p>
        </w:tc>
        <w:tc>
          <w:tcPr>
            <w:tcW w:w="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32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112,213</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113,169</w:t>
            </w:r>
          </w:p>
        </w:tc>
        <w:tc>
          <w:tcPr>
            <w:tcW w:w="3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111,363</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111,775</w:t>
            </w:r>
          </w:p>
        </w:tc>
        <w:tc>
          <w:tcPr>
            <w:tcW w:w="3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113,041</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Average common equity</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total equity</w:t>
            </w:r>
          </w:p>
        </w:tc>
        <w:tc>
          <w:tcPr>
            <w:tcW w:w="92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15,569</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15,389</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15,549</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15,533</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16,059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Preferred 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(1,232)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8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14,337</w:t>
            </w:r>
          </w:p>
        </w:tc>
        <w:tc>
          <w:tcPr>
            <w:tcW w:w="3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14,157</w:t>
            </w:r>
          </w:p>
        </w:tc>
        <w:tc>
          <w:tcPr>
            <w:tcW w:w="3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14,317</w:t>
            </w:r>
          </w:p>
        </w:tc>
        <w:tc>
          <w:tcPr>
            <w:tcW w:w="3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14,301</w:t>
            </w:r>
          </w:p>
        </w:tc>
        <w:tc>
          <w:tcPr>
            <w:tcW w:w="3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14,827</w:t>
            </w: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(45)</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(50)</w:t>
            </w:r>
          </w:p>
        </w:tc>
        <w:tc>
          <w:tcPr>
            <w:tcW w:w="14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(55)</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(62)</w:t>
            </w: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8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w:t>
            </w:r>
          </w:p>
        </w:tc>
        <w:tc>
          <w:tcPr>
            <w:tcW w:w="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32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9,711</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9,527</w:t>
            </w:r>
          </w:p>
        </w:tc>
        <w:tc>
          <w:tcPr>
            <w:tcW w:w="3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9,683</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9,663</w:t>
            </w:r>
          </w:p>
        </w:tc>
        <w:tc>
          <w:tcPr>
            <w:tcW w:w="3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10,184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At end of quarter</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b w:val="1"/>
                <w:bCs w:val="1"/>
                <w:color w:val="auto"/>
              </w:rPr>
              <w:t>Total assets</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Total assets</w:t>
            </w:r>
          </w:p>
        </w:tc>
        <w:tc>
          <w:tcPr>
            <w:tcW w:w="920" w:type="dxa"/>
            <w:vAlign w:val="bottom"/>
            <w:gridSpan w:val="2"/>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3"/>
                <w:szCs w:val="13"/>
                <w:color w:val="auto"/>
              </w:rPr>
              <w:t>120,025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3"/>
                <w:szCs w:val="13"/>
                <w:color w:val="auto"/>
              </w:rPr>
              <w:t>120,097</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116,828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118,426</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3"/>
                <w:szCs w:val="13"/>
                <w:color w:val="auto"/>
              </w:rPr>
              <w:t>118,623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Goodwill</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14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(44)</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(47)</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(52)</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(59)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Deferred taxes</w:t>
            </w:r>
          </w:p>
        </w:tc>
        <w:tc>
          <w:tcPr>
            <w:tcW w:w="8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12</w:t>
            </w:r>
          </w:p>
        </w:tc>
        <w:tc>
          <w:tcPr>
            <w:tcW w:w="3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13</w:t>
            </w:r>
          </w:p>
        </w:tc>
        <w:tc>
          <w:tcPr>
            <w:tcW w:w="32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14</w:t>
            </w:r>
          </w:p>
        </w:tc>
        <w:tc>
          <w:tcPr>
            <w:tcW w:w="3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16</w:t>
            </w:r>
          </w:p>
        </w:tc>
        <w:tc>
          <w:tcPr>
            <w:tcW w:w="320" w:type="dxa"/>
            <w:vAlign w:val="bottom"/>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8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115,400</w:t>
            </w:r>
          </w:p>
        </w:tc>
        <w:tc>
          <w:tcPr>
            <w:tcW w:w="3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115,470</w:t>
            </w:r>
          </w:p>
        </w:tc>
        <w:tc>
          <w:tcPr>
            <w:tcW w:w="3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112,197</w:t>
            </w:r>
          </w:p>
        </w:tc>
        <w:tc>
          <w:tcPr>
            <w:tcW w:w="3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113,790</w:t>
            </w:r>
          </w:p>
        </w:tc>
        <w:tc>
          <w:tcPr>
            <w:tcW w:w="3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113,982</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Total equity</w:t>
            </w:r>
          </w:p>
        </w:tc>
        <w:tc>
          <w:tcPr>
            <w:tcW w:w="920" w:type="dxa"/>
            <w:vAlign w:val="bottom"/>
            <w:gridSpan w:val="2"/>
          </w:tcPr>
          <w:p>
            <w:pPr>
              <w:jc w:val="right"/>
              <w:ind w:right="8"/>
              <w:spacing w:after="0" w:line="149"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3"/>
                <w:szCs w:val="13"/>
                <w:color w:val="auto"/>
              </w:rPr>
              <w:t>15,588</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3"/>
                <w:szCs w:val="13"/>
                <w:color w:val="auto"/>
              </w:rPr>
              <w:t>15,460</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15,436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15,578</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3"/>
                <w:szCs w:val="13"/>
                <w:color w:val="auto"/>
              </w:rPr>
              <w:t>15,710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Preferred stock</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14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(1,232)</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(1,232)</w:t>
            </w: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Undeclared dividends - cumulative preferred 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(3)</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(3)</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378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Common equity, net of undeclared</w:t>
            </w:r>
          </w:p>
        </w:tc>
        <w:tc>
          <w:tcPr>
            <w:tcW w:w="8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cumulative preferred dividends</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14,353</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14,225</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14,201</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14,343</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14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(4,593)</w:t>
            </w:r>
          </w:p>
        </w:tc>
        <w:tc>
          <w:tcPr>
            <w:tcW w:w="2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(44)</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(47)</w:t>
            </w:r>
          </w:p>
        </w:tc>
        <w:tc>
          <w:tcPr>
            <w:tcW w:w="14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3"/>
                <w:szCs w:val="13"/>
                <w:color w:val="auto"/>
              </w:rPr>
              <w:t>(52)</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(59)</w:t>
            </w: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8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w:t>
            </w:r>
          </w:p>
        </w:tc>
        <w:tc>
          <w:tcPr>
            <w:tcW w:w="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16</w:t>
            </w:r>
          </w:p>
        </w:tc>
        <w:tc>
          <w:tcPr>
            <w:tcW w:w="32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9,728</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9,598</w:t>
            </w:r>
          </w:p>
        </w:tc>
        <w:tc>
          <w:tcPr>
            <w:tcW w:w="3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9,570</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9,707</w:t>
            </w:r>
          </w:p>
        </w:tc>
        <w:tc>
          <w:tcPr>
            <w:tcW w:w="3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9,834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7"/>
        </w:trPr>
        <w:tc>
          <w:tcPr>
            <w:tcW w:w="7780" w:type="dxa"/>
            <w:vAlign w:val="bottom"/>
            <w:gridSpan w:val="15"/>
          </w:tcPr>
          <w:p>
            <w:pPr>
              <w:spacing w:after="0"/>
              <w:rPr>
                <w:sz w:val="20"/>
                <w:szCs w:val="20"/>
                <w:color w:val="auto"/>
              </w:rPr>
            </w:pPr>
            <w:r>
              <w:rPr>
                <w:rFonts w:ascii="Arial" w:cs="Arial" w:eastAsia="Arial" w:hAnsi="Arial"/>
                <w:sz w:val="20"/>
                <w:szCs w:val="20"/>
                <w:color w:val="auto"/>
              </w:rPr>
              <w:t>AVERAGE BALANCE SHEETS AND ANNUALIZED TAXABLE-EQUIVALENT RATES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2019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jc w:val="center"/>
              <w:ind w:left="500"/>
              <w:spacing w:after="0"/>
              <w:rPr>
                <w:sz w:val="20"/>
                <w:szCs w:val="20"/>
                <w:color w:val="auto"/>
              </w:rPr>
            </w:pPr>
            <w:r>
              <w:rPr>
                <w:rFonts w:ascii="Arial" w:cs="Arial" w:eastAsia="Arial" w:hAnsi="Arial"/>
                <w:sz w:val="14"/>
                <w:szCs w:val="14"/>
                <w:b w:val="1"/>
                <w:bCs w:val="1"/>
                <w:color w:val="auto"/>
                <w:w w:val="95"/>
              </w:rPr>
              <w:t>2018 Fourth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7"/>
              </w:rPr>
              <w:t>2018 Third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Average</w:t>
            </w: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3"/>
            <w:vMerge w:val="continue"/>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vMerge w:val="continue"/>
          </w:tcPr>
          <w:p>
            <w:pPr>
              <w:spacing w:after="0"/>
              <w:rPr>
                <w:sz w:val="14"/>
                <w:szCs w:val="14"/>
                <w:color w:val="auto"/>
              </w:rPr>
            </w:pPr>
          </w:p>
        </w:tc>
        <w:tc>
          <w:tcPr>
            <w:tcW w:w="620" w:type="dxa"/>
            <w:vAlign w:val="bottom"/>
          </w:tcPr>
          <w:p>
            <w:pPr>
              <w:jc w:val="right"/>
              <w:ind w:right="79"/>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w w:val="89"/>
              </w:rPr>
              <w:t>Average balance in millions; interest in thousands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16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23,010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287,676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277,350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255,735</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461,050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33,586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452,448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33,800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440,381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184,868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187,670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189,634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190,193</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187,723</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180,764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88,477</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1,123,787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87,301</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1,105,191</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87,132</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1,066,514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27,407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7,394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41,635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5,207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26,001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12,151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72,967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12,270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72,548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6,654</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12,949</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80,522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13,034</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79,041</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13,431</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80,304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106,096</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1,232,276</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107,785</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1,226,239</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105,835</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1,173,108</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(1,021)</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(1,020)</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9,715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116,839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117,799</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115,997</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380"/>
              <w:spacing w:after="0"/>
              <w:rPr>
                <w:sz w:val="20"/>
                <w:szCs w:val="20"/>
                <w:color w:val="auto"/>
              </w:rPr>
            </w:pPr>
            <w:r>
              <w:rPr>
                <w:rFonts w:ascii="Arial" w:cs="Arial" w:eastAsia="Arial" w:hAnsi="Arial"/>
                <w:sz w:val="16"/>
                <w:szCs w:val="16"/>
                <w:color w:val="auto"/>
              </w:rPr>
              <w:t>deposits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52,095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76,139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51,820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69,990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51,552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4,737</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3,154</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59,418</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101,957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58,473</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89,293</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57,785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70,688</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67,579</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9,239</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70,508</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9,047</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66,049</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69,003</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176,249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68,027</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161,321</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67,206</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138,337</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32,631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101,270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102,410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100,448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116,839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117,799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115,997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3.67</w:t>
            </w: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3.57</w:t>
            </w: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3.58</w:t>
            </w: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20" w:type="dxa"/>
            <w:vAlign w:val="bottom"/>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16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1,056,027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1,064,918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1,034,771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4"/>
          </w:tcPr>
          <w:p>
            <w:pPr>
              <w:jc w:val="right"/>
              <w:spacing w:after="0"/>
              <w:rPr>
                <w:sz w:val="20"/>
                <w:szCs w:val="20"/>
                <w:color w:val="auto"/>
              </w:rPr>
            </w:pPr>
            <w:r>
              <w:rPr>
                <w:rFonts w:ascii="Arial" w:cs="Arial" w:eastAsia="Arial" w:hAnsi="Arial"/>
                <w:sz w:val="20"/>
                <w:szCs w:val="20"/>
                <w:color w:val="auto"/>
              </w:rPr>
              <w:t>Table 3 (continued)</w:t>
            </w:r>
          </w:p>
        </w:tc>
        <w:tc>
          <w:tcPr>
            <w:tcW w:w="0" w:type="dxa"/>
            <w:vAlign w:val="bottom"/>
          </w:tcPr>
          <w:p>
            <w:pPr>
              <w:spacing w:after="0"/>
              <w:rPr>
                <w:sz w:val="1"/>
                <w:szCs w:val="1"/>
                <w:color w:val="auto"/>
              </w:rPr>
            </w:pPr>
          </w:p>
        </w:tc>
      </w:tr>
      <w:tr>
        <w:trPr>
          <w:trHeight w:val="337"/>
        </w:trPr>
        <w:tc>
          <w:tcPr>
            <w:tcW w:w="9020" w:type="dxa"/>
            <w:vAlign w:val="bottom"/>
            <w:gridSpan w:val="12"/>
          </w:tcPr>
          <w:p>
            <w:pPr>
              <w:spacing w:after="0"/>
              <w:rPr>
                <w:sz w:val="20"/>
                <w:szCs w:val="20"/>
                <w:color w:val="auto"/>
              </w:rPr>
            </w:pPr>
            <w:r>
              <w:rPr>
                <w:rFonts w:ascii="Arial" w:cs="Arial" w:eastAsia="Arial" w:hAnsi="Arial"/>
                <w:sz w:val="20"/>
                <w:szCs w:val="20"/>
                <w:color w:val="auto"/>
              </w:rPr>
              <w:t>AVERAGE BALANCE SHEETS AND ANNUALIZED TAXABLE-EQUIVALENT RATES (continued)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2018 Second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24"/>
                <w:szCs w:val="2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Average</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2018 First Quarter</w:t>
            </w:r>
          </w:p>
        </w:tc>
        <w:tc>
          <w:tcPr>
            <w:tcW w:w="7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7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Balance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16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21,709</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243,081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21,547</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227,296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421,705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33,652</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397,713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193,547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195,701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13,366</w:t>
            </w: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171,441</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163,991</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87,406</w:t>
            </w:r>
          </w:p>
        </w:tc>
        <w:tc>
          <w:tcPr>
            <w:tcW w:w="3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1,029,774</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87,766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984,701</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4,890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21,869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4,941</w:t>
            </w: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18,677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76,704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13,689</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78,017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13,856</w:t>
            </w:r>
          </w:p>
        </w:tc>
        <w:tc>
          <w:tcPr>
            <w:tcW w:w="3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82,239</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83,160</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106,210</w:t>
            </w: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1,134,302</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107,231</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1,086,959</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2"/>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(1,020)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116,413</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117,684</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Savings and interest-checking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52,547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48,738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52,504</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40,527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58,769</w:t>
            </w:r>
          </w:p>
        </w:tc>
        <w:tc>
          <w:tcPr>
            <w:tcW w:w="3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60,642</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59,072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51,844</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8,480</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58,093</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53,906</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67,602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120,118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67,958</w:t>
            </w: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106,633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31,426</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32,047</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100,880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15,533</w:t>
            </w: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16,059</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116,413</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117,684</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3.57</w:t>
            </w: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3.47</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1,014,184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980,326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7" w:name="page78"/>
    <w:bookmarkEnd w:id="77"/>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09"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09" w:lineRule="exact"/>
        <w:rPr>
          <w:sz w:val="20"/>
          <w:szCs w:val="20"/>
          <w:color w:val="auto"/>
        </w:rPr>
      </w:pPr>
    </w:p>
    <w:p>
      <w:pPr>
        <w:jc w:val="both"/>
        <w:ind w:firstLine="526"/>
        <w:spacing w:after="0" w:line="248" w:lineRule="auto"/>
        <w:tabs>
          <w:tab w:leader="none" w:pos="799" w:val="left"/>
        </w:tabs>
        <w:numPr>
          <w:ilvl w:val="0"/>
          <w:numId w:val="26"/>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March 31, 2019.</w:t>
      </w:r>
    </w:p>
    <w:p>
      <w:pPr>
        <w:spacing w:after="0" w:line="81" w:lineRule="exact"/>
        <w:rPr>
          <w:rFonts w:ascii="Arial" w:cs="Arial" w:eastAsia="Arial" w:hAnsi="Arial"/>
          <w:sz w:val="21"/>
          <w:szCs w:val="21"/>
          <w:color w:val="auto"/>
        </w:rPr>
      </w:pPr>
    </w:p>
    <w:p>
      <w:pPr>
        <w:jc w:val="both"/>
        <w:ind w:firstLine="526"/>
        <w:spacing w:after="0" w:line="246" w:lineRule="auto"/>
        <w:tabs>
          <w:tab w:leader="none" w:pos="818" w:val="left"/>
        </w:tabs>
        <w:numPr>
          <w:ilvl w:val="0"/>
          <w:numId w:val="26"/>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2019 that have materially affected, or are reasonably likely to materially affect, M&amp;T’s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0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$100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ESOP Matters</w:t>
      </w:r>
      <w:r>
        <w:rPr>
          <w:rFonts w:ascii="Arial" w:cs="Arial" w:eastAsia="Arial" w:hAnsi="Arial"/>
          <w:sz w:val="20"/>
          <w:szCs w:val="20"/>
          <w:color w:val="auto"/>
        </w:rPr>
        <w:t>: Wilmington Trust, N.A. provides retirement services, including serving in certain trustee roles relating to Employee</w:t>
      </w:r>
      <w:r>
        <w:rPr>
          <w:rFonts w:ascii="Arial" w:cs="Arial" w:eastAsia="Arial" w:hAnsi="Arial"/>
          <w:sz w:val="20"/>
          <w:szCs w:val="20"/>
          <w:i w:val="1"/>
          <w:iCs w:val="1"/>
          <w:color w:val="auto"/>
        </w:rPr>
        <w:t xml:space="preserve"> </w:t>
      </w:r>
      <w:r>
        <w:rPr>
          <w:rFonts w:ascii="Arial" w:cs="Arial" w:eastAsia="Arial" w:hAnsi="Arial"/>
          <w:sz w:val="20"/>
          <w:szCs w:val="20"/>
          <w:color w:val="auto"/>
        </w:rPr>
        <w:t>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Wilmington Trust, N.A. has also been named as a defendant in four private party lawsuits relating to its role as trustee for four ESOP transactions. Under applicable transaction documents, Wilmington Trust, N.A. may be entitled to indemnification by the ESOP Plan Sponsors.</w:t>
      </w:r>
    </w:p>
    <w:p>
      <w:pPr>
        <w:spacing w:after="0" w:line="18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The DOL investigations of Wilmington Trust, N.A. and the private party lawsuits could result in civil proceedings, damages, resolutions or settlements, including, among other things, enforcement actions, which could seek or result in damages and/or fines, penalties, restitution, injunctions, enforcement efforts, reputational damage or additional costs and expenses.</w:t>
      </w:r>
    </w:p>
    <w:p>
      <w:pPr>
        <w:spacing w:after="0" w:line="16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Due to their complex nature, it is difficult to estimate when litigation or investigatory matters such as these may be resolved. As set forth in the introductory paragraph to this Item 1 — Legal Proceedings, losses from current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8" w:name="page79"/>
    <w:bookmarkEnd w:id="78"/>
    <w:p>
      <w:pPr>
        <w:jc w:val="both"/>
        <w:spacing w:after="0" w:line="252" w:lineRule="auto"/>
        <w:rPr>
          <w:sz w:val="20"/>
          <w:szCs w:val="20"/>
          <w:color w:val="auto"/>
        </w:rPr>
      </w:pPr>
      <w:r>
        <w:rPr>
          <w:rFonts w:ascii="Arial" w:cs="Arial" w:eastAsia="Arial" w:hAnsi="Arial"/>
          <w:sz w:val="21"/>
          <w:szCs w:val="21"/>
          <w:color w:val="auto"/>
        </w:rPr>
        <w:t>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herein.</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0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2018.</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09" w:lineRule="exact"/>
        <w:rPr>
          <w:sz w:val="20"/>
          <w:szCs w:val="20"/>
          <w:color w:val="auto"/>
        </w:rPr>
      </w:pPr>
    </w:p>
    <w:p>
      <w:pPr>
        <w:ind w:left="800" w:hanging="274"/>
        <w:spacing w:after="0"/>
        <w:tabs>
          <w:tab w:leader="none" w:pos="8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28"/>
        </w:numPr>
        <w:rPr>
          <w:rFonts w:ascii="Arial" w:cs="Arial" w:eastAsia="Arial" w:hAnsi="Arial"/>
          <w:sz w:val="21"/>
          <w:szCs w:val="21"/>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1"/>
              </w:rPr>
              <w:t>Issuer Purchases of Equity Securities</w:t>
            </w: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(c)Total</w:t>
            </w:r>
          </w:p>
        </w:tc>
        <w:tc>
          <w:tcPr>
            <w:tcW w:w="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(or Units)</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w:t>
            </w: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(b)Average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as Part of</w:t>
            </w: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400" w:type="dxa"/>
            <w:vAlign w:val="bottom"/>
            <w:gridSpan w:val="3"/>
            <w:vMerge w:val="continue"/>
          </w:tcPr>
          <w:p>
            <w:pPr>
              <w:spacing w:after="0"/>
              <w:rPr>
                <w:sz w:val="14"/>
                <w:szCs w:val="14"/>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9"/>
              </w:rPr>
              <w:t>(or Unit)</w:t>
            </w: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4"/>
              </w:rPr>
              <w:t>Programs</w:t>
            </w:r>
          </w:p>
        </w:tc>
        <w:tc>
          <w:tcPr>
            <w:tcW w:w="60" w:type="dxa"/>
            <w:vAlign w:val="bottom"/>
          </w:tcPr>
          <w:p>
            <w:pPr>
              <w:spacing w:after="0"/>
              <w:rPr>
                <w:sz w:val="14"/>
                <w:szCs w:val="14"/>
                <w:color w:val="auto"/>
              </w:rPr>
            </w:pPr>
          </w:p>
        </w:tc>
        <w:tc>
          <w:tcPr>
            <w:tcW w:w="11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January 1 - January 31, 2019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190,331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$ 777,061,918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spacing w:after="0"/>
              <w:rPr>
                <w:sz w:val="20"/>
                <w:szCs w:val="20"/>
                <w:color w:val="auto"/>
              </w:rPr>
            </w:pPr>
            <w:r>
              <w:rPr>
                <w:rFonts w:ascii="Arial" w:cs="Arial" w:eastAsia="Arial" w:hAnsi="Arial"/>
                <w:sz w:val="18"/>
                <w:szCs w:val="18"/>
                <w:color w:val="auto"/>
              </w:rPr>
              <w:t>February 1 - February 28, 2019</w:t>
            </w:r>
          </w:p>
        </w:tc>
        <w:tc>
          <w:tcPr>
            <w:tcW w:w="1080" w:type="dxa"/>
            <w:vAlign w:val="bottom"/>
          </w:tcPr>
          <w:p>
            <w:pPr>
              <w:jc w:val="right"/>
              <w:spacing w:after="0"/>
              <w:rPr>
                <w:sz w:val="20"/>
                <w:szCs w:val="20"/>
                <w:color w:val="auto"/>
              </w:rPr>
            </w:pPr>
            <w:r>
              <w:rPr>
                <w:rFonts w:ascii="Arial" w:cs="Arial" w:eastAsia="Arial" w:hAnsi="Arial"/>
                <w:sz w:val="18"/>
                <w:szCs w:val="18"/>
                <w:color w:val="auto"/>
              </w:rPr>
              <w:t>450,000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169.07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700,979,593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 March 31, 2019</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1,550,000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1,550,000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436,008,393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2,190,331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2,150,000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20" w:hanging="512"/>
        <w:spacing w:after="0" w:line="254" w:lineRule="auto"/>
        <w:tabs>
          <w:tab w:leader="none" w:pos="5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On July 17, 2018, M&amp;T announced a program to purchase up to $1.8 billion of its common stock through June 30, 2019.</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64"/>
        </w:trPr>
        <w:tc>
          <w:tcPr>
            <w:tcW w:w="960" w:type="dxa"/>
            <w:vAlign w:val="bottom"/>
            <w:gridSpan w:val="3"/>
          </w:tcPr>
          <w:p>
            <w:pPr>
              <w:spacing w:after="0"/>
              <w:rPr>
                <w:sz w:val="20"/>
                <w:szCs w:val="20"/>
                <w:color w:val="auto"/>
              </w:rPr>
            </w:pPr>
            <w:r>
              <w:rPr>
                <w:rFonts w:ascii="Arial" w:cs="Arial" w:eastAsia="Arial" w:hAnsi="Arial"/>
                <w:sz w:val="21"/>
                <w:szCs w:val="21"/>
                <w:color w:val="auto"/>
              </w:rPr>
              <w:t>Item 6.</w:t>
            </w:r>
          </w:p>
        </w:tc>
        <w:tc>
          <w:tcPr>
            <w:tcW w:w="10460" w:type="dxa"/>
            <w:vAlign w:val="bottom"/>
          </w:tcPr>
          <w:p>
            <w:pPr>
              <w:ind w:left="80"/>
              <w:spacing w:after="0"/>
              <w:rPr>
                <w:sz w:val="20"/>
                <w:szCs w:val="20"/>
                <w:color w:val="auto"/>
              </w:rPr>
            </w:pPr>
            <w:r>
              <w:rPr>
                <w:rFonts w:ascii="Arial" w:cs="Arial" w:eastAsia="Arial" w:hAnsi="Arial"/>
                <w:sz w:val="21"/>
                <w:szCs w:val="21"/>
                <w:color w:val="auto"/>
              </w:rPr>
              <w:t>Exhibits.</w:t>
            </w:r>
          </w:p>
        </w:tc>
      </w:tr>
      <w:tr>
        <w:trPr>
          <w:trHeight w:val="35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40" w:type="dxa"/>
            <w:vAlign w:val="bottom"/>
            <w:gridSpan w:val="2"/>
          </w:tcPr>
          <w:p>
            <w:pPr>
              <w:ind w:left="4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7"/>
        </w:trPr>
        <w:tc>
          <w:tcPr>
            <w:tcW w:w="1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21"/>
                <w:szCs w:val="21"/>
                <w:color w:val="auto"/>
                <w:w w:val="98"/>
              </w:rPr>
              <w:t>Exhibit</w:t>
            </w:r>
          </w:p>
        </w:tc>
        <w:tc>
          <w:tcPr>
            <w:tcW w:w="10460" w:type="dxa"/>
            <w:vAlign w:val="bottom"/>
          </w:tcPr>
          <w:p>
            <w:pPr>
              <w:spacing w:after="0"/>
              <w:rPr>
                <w:sz w:val="24"/>
                <w:szCs w:val="24"/>
                <w:color w:val="auto"/>
              </w:rPr>
            </w:pPr>
          </w:p>
        </w:tc>
      </w:tr>
      <w:tr>
        <w:trPr>
          <w:trHeight w:val="256"/>
        </w:trPr>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21"/>
                <w:szCs w:val="21"/>
                <w:color w:val="auto"/>
                <w:w w:val="91"/>
              </w:rPr>
              <w:t>No.</w:t>
            </w:r>
          </w:p>
        </w:tc>
        <w:tc>
          <w:tcPr>
            <w:tcW w:w="10460" w:type="dxa"/>
            <w:vAlign w:val="bottom"/>
          </w:tcPr>
          <w:p>
            <w:pPr>
              <w:spacing w:after="0"/>
              <w:rPr>
                <w:sz w:val="22"/>
                <w:szCs w:val="22"/>
                <w:color w:val="auto"/>
              </w:rPr>
            </w:pPr>
          </w:p>
        </w:tc>
      </w:tr>
      <w:tr>
        <w:trPr>
          <w:trHeight w:val="681"/>
        </w:trPr>
        <w:tc>
          <w:tcPr>
            <w:tcW w:w="480" w:type="dxa"/>
            <w:vAlign w:val="bottom"/>
            <w:gridSpan w:val="2"/>
          </w:tcPr>
          <w:p>
            <w:pPr>
              <w:ind w:left="120"/>
              <w:spacing w:after="0"/>
              <w:rPr>
                <w:rFonts w:ascii="Arial" w:cs="Arial" w:eastAsia="Arial" w:hAnsi="Arial"/>
                <w:sz w:val="21"/>
                <w:szCs w:val="21"/>
                <w:color w:val="0000EE"/>
                <w:w w:val="83"/>
              </w:rPr>
            </w:pPr>
            <w:hyperlink w:anchor="page81">
              <w:r>
                <w:rPr>
                  <w:rFonts w:ascii="Arial" w:cs="Arial" w:eastAsia="Arial" w:hAnsi="Arial"/>
                  <w:sz w:val="21"/>
                  <w:szCs w:val="21"/>
                  <w:color w:val="0000EE"/>
                  <w:w w:val="83"/>
                </w:rPr>
                <w:t>10.</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M&amp;T Bank Corporation Form of Performance Share Unit Award Agreement.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92">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93">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94">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w w:val="90"/>
              </w:rPr>
              <w:t>Certification of Chief Executive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Filed herewith.</w:t>
            </w:r>
          </w:p>
        </w:tc>
      </w:tr>
      <w:tr>
        <w:trPr>
          <w:trHeight w:val="437"/>
        </w:trPr>
        <w:tc>
          <w:tcPr>
            <w:tcW w:w="480" w:type="dxa"/>
            <w:vAlign w:val="bottom"/>
            <w:gridSpan w:val="2"/>
          </w:tcPr>
          <w:p>
            <w:pPr>
              <w:ind w:left="120"/>
              <w:spacing w:after="0"/>
              <w:rPr>
                <w:rFonts w:ascii="Arial" w:cs="Arial" w:eastAsia="Arial" w:hAnsi="Arial"/>
                <w:sz w:val="21"/>
                <w:szCs w:val="21"/>
                <w:color w:val="0000EE"/>
                <w:w w:val="83"/>
              </w:rPr>
            </w:pPr>
            <w:hyperlink w:anchor="page95">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w w:val="90"/>
              </w:rPr>
              <w:t>Certification of Chief Financial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101.INS</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101.SCH</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101.CAL</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101.LAB</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101.PRE</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101.DEF</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Definition Linkbase. Filed herewith.</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672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700" w:val="left"/>
          <w:tab w:leader="none" w:pos="7160" w:val="left"/>
        </w:tabs>
        <w:rPr>
          <w:sz w:val="20"/>
          <w:szCs w:val="20"/>
          <w:color w:val="auto"/>
        </w:rPr>
      </w:pPr>
      <w:r>
        <w:rPr>
          <w:rFonts w:ascii="Arial" w:cs="Arial" w:eastAsia="Arial" w:hAnsi="Arial"/>
          <w:sz w:val="20"/>
          <w:szCs w:val="20"/>
          <w:color w:val="auto"/>
        </w:rPr>
        <w:t>Date: May 2,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10160</wp:posOffset>
            </wp:positionV>
            <wp:extent cx="2698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20"/>
          <w:szCs w:val="20"/>
          <w:color w:val="auto"/>
        </w:rPr>
        <w:t>Darren J. King</w:t>
      </w:r>
    </w:p>
    <w:p>
      <w:pPr>
        <w:spacing w:after="0" w:line="7"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Executive Vice President</w:t>
      </w:r>
    </w:p>
    <w:p>
      <w:pPr>
        <w:ind w:left="718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34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10.1</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M&amp;T BANK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2009 EQUITY INCENTIVE COMPENSATION PLAN</w:t>
      </w:r>
    </w:p>
    <w:p>
      <w:pPr>
        <w:spacing w:after="0" w:line="215" w:lineRule="exact"/>
        <w:rPr>
          <w:sz w:val="20"/>
          <w:szCs w:val="20"/>
          <w:color w:val="auto"/>
        </w:rPr>
      </w:pPr>
    </w:p>
    <w:p>
      <w:pPr>
        <w:ind w:left="4600"/>
        <w:spacing w:after="0"/>
        <w:tabs>
          <w:tab w:leader="none" w:pos="5320" w:val="left"/>
          <w:tab w:leader="none" w:pos="67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PERFORMANCE SHARE UNIT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GRANTEE: &lt;Participant Name&gt;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OF GRANT: &lt;Grant Date&gt;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PERFORMANCE SHARE UNITS (“</w:t>
      </w:r>
      <w:r>
        <w:rPr>
          <w:rFonts w:ascii="Arial" w:cs="Arial" w:eastAsia="Arial" w:hAnsi="Arial"/>
          <w:sz w:val="22"/>
          <w:szCs w:val="22"/>
          <w:u w:val="single" w:color="auto"/>
          <w:color w:val="auto"/>
        </w:rPr>
        <w:t>Target Award</w:t>
      </w:r>
      <w:r>
        <w:rPr>
          <w:rFonts w:ascii="Arial" w:cs="Arial" w:eastAsia="Arial" w:hAnsi="Arial"/>
          <w:sz w:val="22"/>
          <w:szCs w:val="22"/>
          <w:color w:val="auto"/>
        </w:rPr>
        <w:t>”): &lt;Share Units Granted&gt;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&lt;Performance Period Start Date&gt; through &lt;Performance Period End Date&gt;</w:t>
      </w:r>
    </w:p>
    <w:p>
      <w:pPr>
        <w:spacing w:after="0" w:line="233" w:lineRule="exact"/>
        <w:rPr>
          <w:sz w:val="20"/>
          <w:szCs w:val="20"/>
          <w:color w:val="auto"/>
        </w:rPr>
      </w:pPr>
    </w:p>
    <w:p>
      <w:pPr>
        <w:ind w:right="240"/>
        <w:spacing w:after="0" w:line="244" w:lineRule="auto"/>
        <w:rPr>
          <w:sz w:val="20"/>
          <w:szCs w:val="20"/>
          <w:color w:val="auto"/>
        </w:rPr>
      </w:pPr>
      <w:r>
        <w:rPr>
          <w:rFonts w:ascii="Arial" w:cs="Arial" w:eastAsia="Arial" w:hAnsi="Arial"/>
          <w:sz w:val="21"/>
          <w:szCs w:val="21"/>
          <w:color w:val="auto"/>
        </w:rPr>
        <w:t>M&amp;T Bank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hereby grants to the Grantee this Performance Share Unit Award. This grant is made pursuant to the M&amp;T Bank Corporation 2009 Equity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and is subject to the terms and conditions of the Plan and this Agreement. As used herein, the term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shall mean, collectively, this cover page with the Performance Goals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the related Terms and Conditions of Performance Share Unit Award delivered to the Grantee with this cover page (the “</w:t>
      </w:r>
      <w:r>
        <w:rPr>
          <w:rFonts w:ascii="Arial" w:cs="Arial" w:eastAsia="Arial" w:hAnsi="Arial"/>
          <w:sz w:val="21"/>
          <w:szCs w:val="21"/>
          <w:u w:val="single" w:color="auto"/>
          <w:color w:val="auto"/>
        </w:rPr>
        <w:t>Terms and Conditions</w:t>
      </w:r>
      <w:r>
        <w:rPr>
          <w:rFonts w:ascii="Arial" w:cs="Arial" w:eastAsia="Arial" w:hAnsi="Arial"/>
          <w:sz w:val="21"/>
          <w:szCs w:val="21"/>
          <w:color w:val="auto"/>
        </w:rPr>
        <w:t>”), and, as applicable, the Policy for Alignment of Incentive Compensation with Risk (the “</w:t>
      </w:r>
      <w:r>
        <w:rPr>
          <w:rFonts w:ascii="Arial" w:cs="Arial" w:eastAsia="Arial" w:hAnsi="Arial"/>
          <w:sz w:val="21"/>
          <w:szCs w:val="21"/>
          <w:u w:val="single" w:color="auto"/>
          <w:color w:val="auto"/>
        </w:rPr>
        <w:t>Forfeiture Policy</w:t>
      </w:r>
      <w:r>
        <w:rPr>
          <w:rFonts w:ascii="Arial" w:cs="Arial" w:eastAsia="Arial" w:hAnsi="Arial"/>
          <w:sz w:val="21"/>
          <w:szCs w:val="21"/>
          <w:color w:val="auto"/>
        </w:rPr>
        <w:t>”). As used herein, the term “vest” shall mean the satisfaction of the Performance Goals and other conditions described herein and in the Plan with respect to one or more Performance Share Units but shall not mean the actual settlement of the Award. Capitalized terms used in this Agreement without definition shall have the meanings assigned to them in the Plan. A copy of the Plan and the Forfeiture Policy can be viewed and downloaded from the Company’s Intranet under the Human Resources page.</w:t>
      </w:r>
    </w:p>
    <w:p>
      <w:pPr>
        <w:spacing w:after="0" w:line="216"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 xml:space="preserve">Subject to the terms of the Plan, the Forfeiture Policy (as applicable), and this Agreement, including without limitation, the Grantee’s fulfillment of the employment requirements in Section 4 of the Terms and Conditions, the Performance Share Units awarded hereunder will vest by achieving the Performance Goals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subject to the applicable provisions of the Plan and this Agreement. Based on the achievement of the Performance Goals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the Grantee is eligible to vest in up to 150% of the Target Award, subject to fulfillment of the employment requirements in Section 4 of the Terms and Conditions.</w:t>
      </w:r>
    </w:p>
    <w:p>
      <w:pPr>
        <w:spacing w:after="0" w:line="21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To the extent the Performance Goals are achieved and the Grantee fulfills the employment requirements in Section 4 of the Terms and Conditions, a number of shares of Common Stock equal to the vested Performance Share Units will be distributed to the Grantee.</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To the extent the Performance Share Units do not vest, the unvested portion of the Grantee’s Performance Share Units is subject to forfeiture under Section 4 of the Terms and Conditions and, as applicable, the Forfeiture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10400"/>
        <w:spacing w:after="0"/>
        <w:rPr>
          <w:sz w:val="20"/>
          <w:szCs w:val="20"/>
          <w:color w:val="auto"/>
        </w:rPr>
      </w:pPr>
      <w:r>
        <w:rPr>
          <w:rFonts w:ascii="Arial" w:cs="Arial" w:eastAsia="Arial" w:hAnsi="Arial"/>
          <w:sz w:val="18"/>
          <w:szCs w:val="18"/>
          <w:b w:val="1"/>
          <w:bCs w:val="1"/>
          <w:color w:val="auto"/>
        </w:rPr>
        <w:t>Exhibit 10.1</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WITNESS WHEREOF, the Company has caused this Agreement to be signed on its behalf effective as of the Date of</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15"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M&amp;T BANK CORPORATION</w:t>
      </w:r>
    </w:p>
    <w:p>
      <w:pPr>
        <w:spacing w:after="0" w:line="200" w:lineRule="exact"/>
        <w:rPr>
          <w:sz w:val="20"/>
          <w:szCs w:val="20"/>
          <w:color w:val="auto"/>
        </w:rPr>
      </w:pPr>
    </w:p>
    <w:p>
      <w:pPr>
        <w:spacing w:after="0" w:line="275"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By: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-17780</wp:posOffset>
            </wp:positionV>
            <wp:extent cx="822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2" w:name="page83"/>
    <w:bookmarkEnd w:id="82"/>
    <w:p>
      <w:pPr>
        <w:jc w:val="center"/>
        <w:ind w:right="-99"/>
        <w:spacing w:after="0"/>
        <w:rPr>
          <w:sz w:val="20"/>
          <w:szCs w:val="20"/>
          <w:color w:val="auto"/>
        </w:rPr>
      </w:pPr>
      <w:r>
        <w:rPr>
          <w:rFonts w:ascii="Arial" w:cs="Arial" w:eastAsia="Arial" w:hAnsi="Arial"/>
          <w:sz w:val="22"/>
          <w:szCs w:val="22"/>
          <w:u w:val="single" w:color="auto"/>
          <w:color w:val="auto"/>
        </w:rPr>
        <w:t>Exhibit A</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ROTCE Performance Goals</w:t>
      </w:r>
    </w:p>
    <w:p>
      <w:pPr>
        <w:spacing w:after="0" w:line="200" w:lineRule="exact"/>
        <w:rPr>
          <w:sz w:val="20"/>
          <w:szCs w:val="20"/>
          <w:color w:val="auto"/>
        </w:rPr>
      </w:pPr>
    </w:p>
    <w:p>
      <w:pPr>
        <w:spacing w:after="0" w:line="248" w:lineRule="exact"/>
        <w:rPr>
          <w:sz w:val="20"/>
          <w:szCs w:val="20"/>
          <w:color w:val="auto"/>
        </w:rPr>
      </w:pPr>
    </w:p>
    <w:p>
      <w:pPr>
        <w:ind w:left="2340" w:hanging="1460"/>
        <w:spacing w:after="0"/>
        <w:tabs>
          <w:tab w:leader="none" w:pos="23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Calculation of ROTCE</w:t>
      </w:r>
      <w:r>
        <w:rPr>
          <w:rFonts w:ascii="Arial" w:cs="Arial" w:eastAsia="Arial" w:hAnsi="Arial"/>
          <w:sz w:val="22"/>
          <w:szCs w:val="22"/>
          <w:color w:val="auto"/>
        </w:rPr>
        <w:t>.</w:t>
      </w:r>
    </w:p>
    <w:p>
      <w:pPr>
        <w:spacing w:after="0" w:line="97" w:lineRule="exact"/>
        <w:rPr>
          <w:rFonts w:ascii="Arial" w:cs="Arial" w:eastAsia="Arial" w:hAnsi="Arial"/>
          <w:sz w:val="22"/>
          <w:szCs w:val="22"/>
          <w:color w:val="auto"/>
        </w:rPr>
      </w:pPr>
    </w:p>
    <w:p>
      <w:pPr>
        <w:ind w:right="60" w:firstLine="1752"/>
        <w:spacing w:after="0" w:line="287" w:lineRule="auto"/>
        <w:tabs>
          <w:tab w:leader="none" w:pos="2952" w:val="left"/>
        </w:tabs>
        <w:numPr>
          <w:ilvl w:val="1"/>
          <w:numId w:val="30"/>
        </w:numPr>
        <w:rPr>
          <w:rFonts w:ascii="Arial" w:cs="Arial" w:eastAsia="Arial" w:hAnsi="Arial"/>
          <w:sz w:val="19"/>
          <w:szCs w:val="19"/>
          <w:color w:val="auto"/>
        </w:rPr>
      </w:pPr>
      <w:r>
        <w:rPr>
          <w:rFonts w:ascii="Arial" w:cs="Arial" w:eastAsia="Arial" w:hAnsi="Arial"/>
          <w:sz w:val="19"/>
          <w:szCs w:val="19"/>
          <w:color w:val="auto"/>
        </w:rPr>
        <w:t>Except as otherwise set forth in Sections 4(c), (d) and (e) of the Terms and Conditions, vesting of Performance Share Units will be based on the following performance results: (a) the average relative return on tangible common equity (“</w:t>
      </w:r>
      <w:r>
        <w:rPr>
          <w:rFonts w:ascii="Arial" w:cs="Arial" w:eastAsia="Arial" w:hAnsi="Arial"/>
          <w:sz w:val="19"/>
          <w:szCs w:val="19"/>
          <w:u w:val="single" w:color="auto"/>
          <w:color w:val="auto"/>
        </w:rPr>
        <w:t>ROTCE</w:t>
      </w:r>
      <w:r>
        <w:rPr>
          <w:rFonts w:ascii="Arial" w:cs="Arial" w:eastAsia="Arial" w:hAnsi="Arial"/>
          <w:sz w:val="19"/>
          <w:szCs w:val="19"/>
          <w:color w:val="auto"/>
        </w:rPr>
        <w:t>”) for the Performance Period, which means the Company’s ROTCE relative to the median ROTCE of the Peer Group (defined below) and (b) the Company’s ROTCE for the Performance Period (“</w:t>
      </w:r>
      <w:r>
        <w:rPr>
          <w:rFonts w:ascii="Arial" w:cs="Arial" w:eastAsia="Arial" w:hAnsi="Arial"/>
          <w:sz w:val="19"/>
          <w:szCs w:val="19"/>
          <w:u w:val="single" w:color="auto"/>
          <w:color w:val="auto"/>
        </w:rPr>
        <w:t>Absolute ROTCE</w:t>
      </w:r>
      <w:r>
        <w:rPr>
          <w:rFonts w:ascii="Arial" w:cs="Arial" w:eastAsia="Arial" w:hAnsi="Arial"/>
          <w:sz w:val="19"/>
          <w:szCs w:val="19"/>
          <w:color w:val="auto"/>
        </w:rPr>
        <w:t>”).</w:t>
      </w:r>
    </w:p>
    <w:p>
      <w:pPr>
        <w:spacing w:after="0" w:line="34" w:lineRule="exact"/>
        <w:rPr>
          <w:rFonts w:ascii="Arial" w:cs="Arial" w:eastAsia="Arial" w:hAnsi="Arial"/>
          <w:sz w:val="19"/>
          <w:szCs w:val="19"/>
          <w:color w:val="auto"/>
        </w:rPr>
      </w:pPr>
    </w:p>
    <w:p>
      <w:pPr>
        <w:ind w:right="280" w:firstLine="1752"/>
        <w:spacing w:after="0" w:line="250" w:lineRule="auto"/>
        <w:tabs>
          <w:tab w:leader="none" w:pos="2964" w:val="left"/>
        </w:tabs>
        <w:numPr>
          <w:ilvl w:val="1"/>
          <w:numId w:val="30"/>
        </w:numPr>
        <w:rPr>
          <w:rFonts w:ascii="Arial" w:cs="Arial" w:eastAsia="Arial" w:hAnsi="Arial"/>
          <w:sz w:val="22"/>
          <w:szCs w:val="22"/>
          <w:color w:val="auto"/>
        </w:rPr>
      </w:pPr>
      <w:r>
        <w:rPr>
          <w:rFonts w:ascii="Arial" w:cs="Arial" w:eastAsia="Arial" w:hAnsi="Arial"/>
          <w:sz w:val="22"/>
          <w:szCs w:val="22"/>
          <w:color w:val="auto"/>
        </w:rPr>
        <w:t>At the end of the Performance Period, the ROTCE for the Company, and for each Company in the Peer Group, shall be calculated as a three-year average as follows:</w:t>
      </w:r>
    </w:p>
    <w:p>
      <w:pPr>
        <w:spacing w:after="0" w:line="228" w:lineRule="exact"/>
        <w:rPr>
          <w:rFonts w:ascii="Arial" w:cs="Arial" w:eastAsia="Arial" w:hAnsi="Arial"/>
          <w:sz w:val="22"/>
          <w:szCs w:val="22"/>
          <w:color w:val="auto"/>
        </w:rPr>
      </w:pPr>
    </w:p>
    <w:p>
      <w:pPr>
        <w:ind w:firstLine="2625"/>
        <w:spacing w:after="0" w:line="250" w:lineRule="auto"/>
        <w:tabs>
          <w:tab w:leader="none" w:pos="3789" w:val="left"/>
        </w:tabs>
        <w:numPr>
          <w:ilvl w:val="2"/>
          <w:numId w:val="30"/>
        </w:numPr>
        <w:rPr>
          <w:rFonts w:ascii="Arial" w:cs="Arial" w:eastAsia="Arial" w:hAnsi="Arial"/>
          <w:sz w:val="22"/>
          <w:szCs w:val="22"/>
          <w:color w:val="auto"/>
        </w:rPr>
      </w:pPr>
      <w:r>
        <w:rPr>
          <w:rFonts w:ascii="Arial" w:cs="Arial" w:eastAsia="Arial" w:hAnsi="Arial"/>
          <w:sz w:val="22"/>
          <w:szCs w:val="22"/>
          <w:color w:val="auto"/>
        </w:rPr>
        <w:t>by taking net operating income available to common equity and dividing by the average tangible common equity for each fiscal year in the Performance Period, and.</w:t>
      </w:r>
    </w:p>
    <w:p>
      <w:pPr>
        <w:spacing w:after="0" w:line="228" w:lineRule="exact"/>
        <w:rPr>
          <w:rFonts w:ascii="Arial" w:cs="Arial" w:eastAsia="Arial" w:hAnsi="Arial"/>
          <w:sz w:val="22"/>
          <w:szCs w:val="22"/>
          <w:color w:val="auto"/>
        </w:rPr>
      </w:pPr>
    </w:p>
    <w:p>
      <w:pPr>
        <w:ind w:left="3860" w:hanging="1235"/>
        <w:spacing w:after="0"/>
        <w:tabs>
          <w:tab w:leader="none" w:pos="3860" w:val="left"/>
        </w:tabs>
        <w:numPr>
          <w:ilvl w:val="2"/>
          <w:numId w:val="30"/>
        </w:numPr>
        <w:rPr>
          <w:rFonts w:ascii="Arial" w:cs="Arial" w:eastAsia="Arial" w:hAnsi="Arial"/>
          <w:sz w:val="19"/>
          <w:szCs w:val="19"/>
          <w:color w:val="auto"/>
        </w:rPr>
      </w:pPr>
      <w:r>
        <w:rPr>
          <w:rFonts w:ascii="Arial" w:cs="Arial" w:eastAsia="Arial" w:hAnsi="Arial"/>
          <w:sz w:val="19"/>
          <w:szCs w:val="19"/>
          <w:color w:val="auto"/>
        </w:rPr>
        <w:t>by calculating a three-year average for the Performance Period based on the annual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amounts in Section 1(b)(i) above.</w:t>
      </w:r>
    </w:p>
    <w:p>
      <w:pPr>
        <w:spacing w:after="0" w:line="242" w:lineRule="exact"/>
        <w:rPr>
          <w:sz w:val="20"/>
          <w:szCs w:val="20"/>
          <w:color w:val="auto"/>
        </w:rPr>
      </w:pPr>
    </w:p>
    <w:p>
      <w:pPr>
        <w:ind w:firstLine="2634"/>
        <w:spacing w:after="0" w:line="246" w:lineRule="auto"/>
        <w:rPr>
          <w:sz w:val="20"/>
          <w:szCs w:val="20"/>
          <w:color w:val="auto"/>
        </w:rPr>
      </w:pPr>
      <w:r>
        <w:rPr>
          <w:rFonts w:ascii="Arial" w:cs="Arial" w:eastAsia="Arial" w:hAnsi="Arial"/>
          <w:sz w:val="21"/>
          <w:szCs w:val="21"/>
          <w:color w:val="auto"/>
        </w:rPr>
        <w:t>(iii) Net operating income available to common equity shall be computed by taking net income available to common equity and adding back the after-tax effect of the amortization of core deposit and other intangible assets, adding back the after-tax effects of merger- related expenses, and subtracting the after-tax effects of merger-related gains. Average tangible common equity shall be computed by taking average common equity for the applicable period and subtracting average goodwill and average core deposit and other intangible assets (net of any related average deferred tax amounts). The Committee shall have discretion to make such adjustments as it deems necessary or appropriate to provide comparable ROTCE calculations among the Company and the companies in the Peer Group.</w:t>
      </w:r>
    </w:p>
    <w:p>
      <w:pPr>
        <w:spacing w:after="0" w:line="183" w:lineRule="exact"/>
        <w:rPr>
          <w:sz w:val="20"/>
          <w:szCs w:val="20"/>
          <w:color w:val="auto"/>
        </w:rPr>
      </w:pPr>
    </w:p>
    <w:p>
      <w:pPr>
        <w:ind w:left="2340" w:hanging="1460"/>
        <w:spacing w:after="0"/>
        <w:tabs>
          <w:tab w:leader="none" w:pos="23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Relative ROTCE Vesting Percentage</w:t>
      </w:r>
      <w:r>
        <w:rPr>
          <w:rFonts w:ascii="Arial" w:cs="Arial" w:eastAsia="Arial" w:hAnsi="Arial"/>
          <w:sz w:val="22"/>
          <w:szCs w:val="22"/>
          <w:color w:val="auto"/>
        </w:rPr>
        <w:t>.</w:t>
      </w:r>
    </w:p>
    <w:p>
      <w:pPr>
        <w:spacing w:after="0" w:line="97" w:lineRule="exact"/>
        <w:rPr>
          <w:rFonts w:ascii="Arial" w:cs="Arial" w:eastAsia="Arial" w:hAnsi="Arial"/>
          <w:sz w:val="22"/>
          <w:szCs w:val="22"/>
          <w:color w:val="auto"/>
        </w:rPr>
      </w:pPr>
    </w:p>
    <w:p>
      <w:pPr>
        <w:ind w:right="680" w:firstLine="1752"/>
        <w:spacing w:after="0"/>
        <w:tabs>
          <w:tab w:leader="none" w:pos="2955" w:val="left"/>
        </w:tabs>
        <w:numPr>
          <w:ilvl w:val="1"/>
          <w:numId w:val="31"/>
        </w:numPr>
        <w:rPr>
          <w:rFonts w:ascii="Arial" w:cs="Arial" w:eastAsia="Arial" w:hAnsi="Arial"/>
          <w:sz w:val="22"/>
          <w:szCs w:val="22"/>
          <w:color w:val="auto"/>
        </w:rPr>
      </w:pPr>
      <w:r>
        <w:rPr>
          <w:rFonts w:ascii="Arial" w:cs="Arial" w:eastAsia="Arial" w:hAnsi="Arial"/>
          <w:sz w:val="22"/>
          <w:szCs w:val="22"/>
          <w:color w:val="auto"/>
        </w:rPr>
        <w:t>Subject to Section 3 below, the number of Performance Share Units that may vest for the Performance Period shall be determined by multiplying the Target Award by the Relative ROTCE Vesting Percentage, as determined under this Section 2.</w:t>
      </w:r>
    </w:p>
    <w:p>
      <w:pPr>
        <w:spacing w:after="0" w:line="239" w:lineRule="exact"/>
        <w:rPr>
          <w:rFonts w:ascii="Arial" w:cs="Arial" w:eastAsia="Arial" w:hAnsi="Arial"/>
          <w:sz w:val="22"/>
          <w:szCs w:val="22"/>
          <w:color w:val="auto"/>
        </w:rPr>
      </w:pPr>
    </w:p>
    <w:p>
      <w:pPr>
        <w:ind w:right="160" w:firstLine="1755"/>
        <w:spacing w:after="0" w:line="328" w:lineRule="auto"/>
        <w:tabs>
          <w:tab w:leader="none" w:pos="297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Relative ROTCE Vesting Percentage will be determined based on the Company’s ROTCE percentile ranking compared to the ROTCE of the companies in the Peer Group for the Performance Period, as follows: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[Insert Relative ROTC Vesting Percentage Schedule approved by the Committee]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sectPr>
      </w:pPr>
    </w:p>
    <w:bookmarkStart w:id="83" w:name="page84"/>
    <w:bookmarkEnd w:id="83"/>
    <w:p>
      <w:pPr>
        <w:ind w:right="220" w:firstLine="1752"/>
        <w:spacing w:after="0" w:line="257" w:lineRule="auto"/>
        <w:tabs>
          <w:tab w:leader="none" w:pos="2955"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companies in the Peer Group will be determined on the first day of the Performance Period for purposes of the ROTCE calculation and will be changed only in accordance with Section 2(d) below. No company shall be added to the Peer Group during the Performance Period for purposes of the ROTCE calculation.</w:t>
      </w:r>
    </w:p>
    <w:p>
      <w:pPr>
        <w:spacing w:after="0" w:line="222" w:lineRule="exact"/>
        <w:rPr>
          <w:rFonts w:ascii="Arial" w:cs="Arial" w:eastAsia="Arial" w:hAnsi="Arial"/>
          <w:sz w:val="21"/>
          <w:szCs w:val="21"/>
          <w:color w:val="auto"/>
        </w:rPr>
      </w:pPr>
    </w:p>
    <w:p>
      <w:pPr>
        <w:ind w:left="2980" w:hanging="1228"/>
        <w:spacing w:after="0"/>
        <w:tabs>
          <w:tab w:leader="none" w:pos="29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Peer Group</w:t>
      </w:r>
      <w:r>
        <w:rPr>
          <w:rFonts w:ascii="Arial" w:cs="Arial" w:eastAsia="Arial" w:hAnsi="Arial"/>
          <w:sz w:val="19"/>
          <w:szCs w:val="19"/>
          <w:color w:val="auto"/>
        </w:rPr>
        <w:t xml:space="preserve">” means the companies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will be subject to change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42" w:lineRule="exact"/>
        <w:rPr>
          <w:sz w:val="20"/>
          <w:szCs w:val="20"/>
          <w:color w:val="auto"/>
        </w:rPr>
      </w:pPr>
    </w:p>
    <w:p>
      <w:pPr>
        <w:ind w:firstLine="2634"/>
        <w:spacing w:after="0" w:line="237" w:lineRule="auto"/>
        <w:rPr>
          <w:sz w:val="20"/>
          <w:szCs w:val="20"/>
          <w:color w:val="auto"/>
        </w:rPr>
      </w:pPr>
      <w:r>
        <w:rPr>
          <w:rFonts w:ascii="Arial" w:cs="Arial" w:eastAsia="Arial" w:hAnsi="Arial"/>
          <w:sz w:val="22"/>
          <w:szCs w:val="22"/>
          <w:color w:val="auto"/>
        </w:rPr>
        <w:t>(i) In the event of a merger, acquisition or business combination transaction of a company in the Peer Group in which the company in the Peer Group is the surviving entity and remains publicly traded, the surviving entity shall remain a company in the Peer Group. Any entity involved in the transaction that is not the surviving company shall no longer be a company in the Peer Group.</w:t>
      </w:r>
    </w:p>
    <w:p>
      <w:pPr>
        <w:spacing w:after="0" w:line="188" w:lineRule="exact"/>
        <w:rPr>
          <w:sz w:val="20"/>
          <w:szCs w:val="20"/>
          <w:color w:val="auto"/>
        </w:rPr>
      </w:pPr>
    </w:p>
    <w:p>
      <w:pPr>
        <w:ind w:firstLine="2634"/>
        <w:spacing w:after="0" w:line="237" w:lineRule="auto"/>
        <w:rPr>
          <w:sz w:val="20"/>
          <w:szCs w:val="20"/>
          <w:color w:val="auto"/>
        </w:rPr>
      </w:pPr>
      <w:r>
        <w:rPr>
          <w:rFonts w:ascii="Arial" w:cs="Arial" w:eastAsia="Arial" w:hAnsi="Arial"/>
          <w:sz w:val="22"/>
          <w:szCs w:val="22"/>
          <w:color w:val="auto"/>
        </w:rPr>
        <w:t>(ii) In the event of a merger, acquisition or business combination transaction of a company in the Peer Group, a “going private” transaction or other event involving a company in the Peer Group, or the liquidation of a company in the Peer Group, in each case where the company in the Peer Group is not the surviving entity or is no longer publicly traded, the company shall no longer be a company in the Peer Group.</w:t>
      </w:r>
    </w:p>
    <w:p>
      <w:pPr>
        <w:spacing w:after="0" w:line="188" w:lineRule="exact"/>
        <w:rPr>
          <w:sz w:val="20"/>
          <w:szCs w:val="20"/>
          <w:color w:val="auto"/>
        </w:rPr>
      </w:pPr>
    </w:p>
    <w:p>
      <w:pPr>
        <w:ind w:right="100" w:firstLine="2634"/>
        <w:spacing w:after="0" w:line="257" w:lineRule="auto"/>
        <w:rPr>
          <w:sz w:val="20"/>
          <w:szCs w:val="20"/>
          <w:color w:val="auto"/>
        </w:rPr>
      </w:pPr>
      <w:r>
        <w:rPr>
          <w:rFonts w:ascii="Arial" w:cs="Arial" w:eastAsia="Arial" w:hAnsi="Arial"/>
          <w:sz w:val="21"/>
          <w:szCs w:val="21"/>
          <w:color w:val="auto"/>
        </w:rPr>
        <w:t>(iii) Notwithstanding the foregoing, in the event of a bankruptcy of a company in the Peer Group where the company in the Peer Group is not publicly traded at the end of the Performance Period, such company shall remain a company in the Peer Group but shall be deemed to have an ROTCE of negative 100% (-100%).</w:t>
      </w:r>
    </w:p>
    <w:p>
      <w:pPr>
        <w:spacing w:after="0" w:line="169" w:lineRule="exact"/>
        <w:rPr>
          <w:sz w:val="20"/>
          <w:szCs w:val="20"/>
          <w:color w:val="auto"/>
        </w:rPr>
      </w:pPr>
    </w:p>
    <w:p>
      <w:pPr>
        <w:ind w:right="360" w:firstLine="880"/>
        <w:spacing w:after="0" w:line="250" w:lineRule="auto"/>
        <w:tabs>
          <w:tab w:leader="none" w:pos="232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Adjustment Based on Absolute ROTCE</w:t>
      </w:r>
      <w:r>
        <w:rPr>
          <w:rFonts w:ascii="Arial" w:cs="Arial" w:eastAsia="Arial" w:hAnsi="Arial"/>
          <w:sz w:val="22"/>
          <w:szCs w:val="22"/>
          <w:color w:val="auto"/>
        </w:rPr>
        <w:t>. Notwithstanding Section 2 above, and except as provided in Sections 4(c), (d) and (e) of the Terms and Conditions,</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[Insert adjustments to Relative ROTC Vesting Percentage Schedule approved by the Committee]</w:t>
      </w:r>
    </w:p>
    <w:p>
      <w:pPr>
        <w:spacing w:after="0" w:line="200" w:lineRule="exact"/>
        <w:rPr>
          <w:sz w:val="20"/>
          <w:szCs w:val="20"/>
          <w:color w:val="auto"/>
        </w:rPr>
      </w:pPr>
    </w:p>
    <w:p>
      <w:pPr>
        <w:spacing w:after="0" w:line="254" w:lineRule="exact"/>
        <w:rPr>
          <w:sz w:val="20"/>
          <w:szCs w:val="20"/>
          <w:color w:val="auto"/>
        </w:rPr>
      </w:pPr>
    </w:p>
    <w:p>
      <w:pPr>
        <w:ind w:right="80" w:firstLine="880"/>
        <w:spacing w:after="0" w:line="270" w:lineRule="auto"/>
        <w:tabs>
          <w:tab w:leader="none" w:pos="232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General Vesting Terms</w:t>
      </w:r>
      <w:r>
        <w:rPr>
          <w:rFonts w:ascii="Arial" w:cs="Arial" w:eastAsia="Arial" w:hAnsi="Arial"/>
          <w:sz w:val="19"/>
          <w:szCs w:val="19"/>
          <w:color w:val="auto"/>
        </w:rPr>
        <w:t xml:space="preserve">. The Committee shall have sole discretion to calculate the achievement of the Performance Goals and to make such adjustments as the Committee deems necessary or appropriate, including any adjustments deemed necessary or appropriate to determine vesting upon a Change in Control consistent with Section 4(e) of the Terms and Conditions. The Committee’s determinations shall be final and binding. Any fractional Performance Share Unit resulting from the vesting of the Performance Share Units in accordance with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be rounded down to the nearest whole</w:t>
      </w:r>
    </w:p>
    <w:p>
      <w:pPr>
        <w:spacing w:after="0" w:line="3" w:lineRule="exact"/>
        <w:rPr>
          <w:rFonts w:ascii="Arial" w:cs="Arial" w:eastAsia="Arial" w:hAnsi="Arial"/>
          <w:sz w:val="19"/>
          <w:szCs w:val="19"/>
          <w:color w:val="auto"/>
        </w:rPr>
      </w:pPr>
    </w:p>
    <w:p>
      <w:pPr>
        <w:ind w:right="240"/>
        <w:spacing w:after="0" w:line="236" w:lineRule="auto"/>
        <w:rPr>
          <w:rFonts w:ascii="Arial" w:cs="Arial" w:eastAsia="Arial" w:hAnsi="Arial"/>
          <w:sz w:val="19"/>
          <w:szCs w:val="19"/>
          <w:color w:val="auto"/>
        </w:rPr>
      </w:pPr>
      <w:r>
        <w:rPr>
          <w:rFonts w:ascii="Arial" w:cs="Arial" w:eastAsia="Arial" w:hAnsi="Arial"/>
          <w:sz w:val="22"/>
          <w:szCs w:val="22"/>
          <w:color w:val="auto"/>
        </w:rPr>
        <w:t>number. Any portion of the Performance Share Units that does not vest as of the end of the Performance Period shall be forfeited as of the end of the Performance Period.</w:t>
      </w:r>
    </w:p>
    <w:p>
      <w:pPr>
        <w:spacing w:after="0" w:line="185" w:lineRule="exact"/>
        <w:rPr>
          <w:rFonts w:ascii="Arial" w:cs="Arial" w:eastAsia="Arial" w:hAnsi="Arial"/>
          <w:sz w:val="19"/>
          <w:szCs w:val="19"/>
          <w:color w:val="auto"/>
        </w:rPr>
      </w:pPr>
    </w:p>
    <w:p>
      <w:pPr>
        <w:ind w:left="160" w:hanging="128"/>
        <w:spacing w:after="0"/>
        <w:tabs>
          <w:tab w:leader="none" w:pos="1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84" w:name="page85"/>
    <w:bookmarkEnd w:id="84"/>
    <w:p>
      <w:pPr>
        <w:jc w:val="center"/>
        <w:ind w:right="-1180"/>
        <w:spacing w:after="0"/>
        <w:rPr>
          <w:sz w:val="20"/>
          <w:szCs w:val="20"/>
          <w:color w:val="auto"/>
        </w:rPr>
      </w:pPr>
      <w:r>
        <w:rPr>
          <w:rFonts w:ascii="Arial" w:cs="Arial" w:eastAsia="Arial" w:hAnsi="Arial"/>
          <w:sz w:val="22"/>
          <w:szCs w:val="22"/>
          <w:u w:val="single" w:color="auto"/>
          <w:color w:val="auto"/>
        </w:rPr>
        <w:t>Schedule A</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Peer Group</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[Insert Peer Group Members]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422910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79"/>
          </w:cols>
          <w:pgMar w:left="280" w:top="347" w:right="1440" w:bottom="1440" w:gutter="0" w:footer="0" w:header="0"/>
        </w:sectPr>
      </w:pPr>
    </w:p>
    <w:bookmarkStart w:id="85" w:name="page86"/>
    <w:bookmarkEnd w:id="85"/>
    <w:p>
      <w:pPr>
        <w:jc w:val="center"/>
        <w:ind w:right="-319"/>
        <w:spacing w:after="0"/>
        <w:rPr>
          <w:sz w:val="20"/>
          <w:szCs w:val="20"/>
          <w:color w:val="auto"/>
        </w:rPr>
      </w:pPr>
      <w:r>
        <w:rPr>
          <w:rFonts w:ascii="Arial" w:cs="Arial" w:eastAsia="Arial" w:hAnsi="Arial"/>
          <w:sz w:val="22"/>
          <w:szCs w:val="22"/>
          <w:color w:val="auto"/>
        </w:rPr>
        <w:t>M&amp;T BANK CORPORATION</w:t>
      </w:r>
    </w:p>
    <w:p>
      <w:pPr>
        <w:jc w:val="center"/>
        <w:ind w:right="-339"/>
        <w:spacing w:after="0" w:line="237" w:lineRule="auto"/>
        <w:rPr>
          <w:sz w:val="20"/>
          <w:szCs w:val="20"/>
          <w:color w:val="auto"/>
        </w:rPr>
      </w:pPr>
      <w:r>
        <w:rPr>
          <w:rFonts w:ascii="Arial" w:cs="Arial" w:eastAsia="Arial" w:hAnsi="Arial"/>
          <w:sz w:val="22"/>
          <w:szCs w:val="22"/>
          <w:color w:val="auto"/>
        </w:rPr>
        <w:t>2009 EQUITY INCENTIVE COMPENSATION PLAN</w:t>
      </w:r>
    </w:p>
    <w:p>
      <w:pPr>
        <w:jc w:val="center"/>
        <w:ind w:right="-319"/>
        <w:spacing w:after="0" w:line="231" w:lineRule="auto"/>
        <w:rPr>
          <w:sz w:val="20"/>
          <w:szCs w:val="20"/>
          <w:color w:val="auto"/>
        </w:rPr>
      </w:pPr>
      <w:r>
        <w:rPr>
          <w:rFonts w:ascii="Arial" w:cs="Arial" w:eastAsia="Arial" w:hAnsi="Arial"/>
          <w:sz w:val="22"/>
          <w:szCs w:val="22"/>
          <w:color w:val="auto"/>
        </w:rPr>
        <w:t>TERMS AND CONDITIONS</w:t>
      </w:r>
    </w:p>
    <w:p>
      <w:pPr>
        <w:jc w:val="center"/>
        <w:ind w:right="-339"/>
        <w:spacing w:after="0" w:line="230" w:lineRule="auto"/>
        <w:rPr>
          <w:sz w:val="20"/>
          <w:szCs w:val="20"/>
          <w:color w:val="auto"/>
        </w:rPr>
      </w:pPr>
      <w:r>
        <w:rPr>
          <w:rFonts w:ascii="Arial" w:cs="Arial" w:eastAsia="Arial" w:hAnsi="Arial"/>
          <w:sz w:val="22"/>
          <w:szCs w:val="22"/>
          <w:color w:val="auto"/>
        </w:rPr>
        <w:t>OF</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PERFORMANCE SHARE UNIT AWARD</w:t>
      </w:r>
    </w:p>
    <w:p>
      <w:pPr>
        <w:spacing w:after="0" w:line="215"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1.Definitions. Capitalized terms used herein without definition shall have the meanings assigned to them in the Plan or on the cover page.</w:t>
      </w:r>
    </w:p>
    <w:p>
      <w:pPr>
        <w:spacing w:after="0" w:line="201" w:lineRule="exact"/>
        <w:rPr>
          <w:sz w:val="20"/>
          <w:szCs w:val="20"/>
          <w:color w:val="auto"/>
        </w:rPr>
      </w:pPr>
    </w:p>
    <w:p>
      <w:pPr>
        <w:jc w:val="both"/>
        <w:ind w:right="340"/>
        <w:spacing w:after="0" w:line="287" w:lineRule="auto"/>
        <w:rPr>
          <w:sz w:val="20"/>
          <w:szCs w:val="20"/>
          <w:color w:val="auto"/>
        </w:rPr>
      </w:pPr>
      <w:r>
        <w:rPr>
          <w:rFonts w:ascii="Arial" w:cs="Arial" w:eastAsia="Arial" w:hAnsi="Arial"/>
          <w:sz w:val="19"/>
          <w:szCs w:val="19"/>
          <w:color w:val="auto"/>
        </w:rPr>
        <w:t xml:space="preserve">2.Grant of Performance Share Unit Award. The Performance Share Unit Award granted hereby is granted in accordance with the cover page of this Agreement. Vesting of the Performance Share Units will be based on achievement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cover page of this Agreement and, except as otherwise provided herein, the Grantee’s continued employment from the Date of Grant to the Vesting Date (as defined in Section 4(a) below).</w:t>
      </w:r>
    </w:p>
    <w:p>
      <w:pPr>
        <w:spacing w:after="0" w:line="169"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3.Nature of Performance Stock Unit Award. Performance Share Units are not actual shares of Common Stock. The Grantee’s interest in Performance Share Units shall make the Grantee only a general, unsecured creditor of the Company until the Performance Share Units become vested and settled.</w:t>
      </w:r>
    </w:p>
    <w:p>
      <w:pPr>
        <w:spacing w:after="0" w:line="212"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Vesting on Certain Terminations of Employment; Change in Control.</w:t>
      </w:r>
    </w:p>
    <w:p>
      <w:pPr>
        <w:spacing w:after="0" w:line="233" w:lineRule="exact"/>
        <w:rPr>
          <w:sz w:val="20"/>
          <w:szCs w:val="20"/>
          <w:color w:val="auto"/>
        </w:rPr>
      </w:pPr>
    </w:p>
    <w:p>
      <w:pPr>
        <w:ind w:firstLine="1714"/>
        <w:spacing w:after="0" w:line="273" w:lineRule="auto"/>
        <w:rPr>
          <w:sz w:val="20"/>
          <w:szCs w:val="20"/>
          <w:color w:val="auto"/>
        </w:rPr>
      </w:pPr>
      <w:r>
        <w:rPr>
          <w:rFonts w:ascii="Arial" w:cs="Arial" w:eastAsia="Arial" w:hAnsi="Arial"/>
          <w:sz w:val="19"/>
          <w:szCs w:val="19"/>
          <w:color w:val="auto"/>
        </w:rPr>
        <w:t>(a) Employment Requirement; Forfeiture. Except as provided herein, the Grantee must remain continuously employed by the Company or one of its Affiliates from the Date of Grant and until the last day of the Performance Period (the “</w:t>
      </w:r>
      <w:r>
        <w:rPr>
          <w:rFonts w:ascii="Arial" w:cs="Arial" w:eastAsia="Arial" w:hAnsi="Arial"/>
          <w:sz w:val="19"/>
          <w:szCs w:val="19"/>
          <w:u w:val="single" w:color="auto"/>
          <w:color w:val="auto"/>
        </w:rPr>
        <w:t>Vesting Date</w:t>
      </w:r>
      <w:r>
        <w:rPr>
          <w:rFonts w:ascii="Arial" w:cs="Arial" w:eastAsia="Arial" w:hAnsi="Arial"/>
          <w:sz w:val="19"/>
          <w:szCs w:val="19"/>
          <w:color w:val="auto"/>
        </w:rPr>
        <w:t>”) in order to be entitled to receive shares of Common Stock in settlement of the Performance Share Unit Award. Except as provided in Sections 4(b), (c) or (d) below, upon the Grantee’s termination of employment with the Company and its Affiliates that constitutes a “separation from service,” as defined under Section 409A of the Code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any reason, including for Cause or as a result of the Grantee’s resignation, before the Grantee’s Performance Share Units have fully vested, the Grantee will forfeit that portion of the Performance Share Units that have not vested as of the date of the Grantee’s Termination of Employment. Except as provided in Sections 4(c), (d) and (e) below, if the Performance Goals are not attained at the end of the Performance Period, as determined by the Committee in its sole discretion, the Performance Share Units will be immediately forfeited.</w:t>
      </w:r>
    </w:p>
    <w:p>
      <w:pPr>
        <w:spacing w:after="0" w:line="186" w:lineRule="exact"/>
        <w:rPr>
          <w:sz w:val="20"/>
          <w:szCs w:val="20"/>
          <w:color w:val="auto"/>
        </w:rPr>
      </w:pPr>
    </w:p>
    <w:p>
      <w:pPr>
        <w:ind w:right="100" w:firstLine="1714"/>
        <w:spacing w:after="0" w:line="249"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Retirement</w:t>
      </w:r>
      <w:r>
        <w:rPr>
          <w:rFonts w:ascii="Arial" w:cs="Arial" w:eastAsia="Arial" w:hAnsi="Arial"/>
          <w:sz w:val="21"/>
          <w:szCs w:val="21"/>
          <w:color w:val="auto"/>
        </w:rPr>
        <w:t>. If the Grantee incurs a Termination of Employment prior to the Vesting Date on account of Retirement, the Grantee will not forfeit the Performance Share Units upon Retirement, and the Performance Share Units will continue to vest based on the attainment of the Performance Goals, except as provided in Section 4(c) (death) and 4(e) (Change in Control) below, and subject to Section 4(f) below. Notwithstanding Sections 4(c) and 4(d), if the Grantee incurs a Termination of Employment on account of Disability or</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47" w:right="559" w:bottom="1440" w:gutter="0" w:footer="0" w:header="0"/>
        </w:sectPr>
      </w:pPr>
    </w:p>
    <w:bookmarkStart w:id="86" w:name="page87"/>
    <w:bookmarkEnd w:id="86"/>
    <w:p>
      <w:pPr>
        <w:ind w:right="260"/>
        <w:spacing w:after="0" w:line="250" w:lineRule="auto"/>
        <w:rPr>
          <w:sz w:val="20"/>
          <w:szCs w:val="20"/>
          <w:color w:val="auto"/>
        </w:rPr>
      </w:pPr>
      <w:r>
        <w:rPr>
          <w:rFonts w:ascii="Arial" w:cs="Arial" w:eastAsia="Arial" w:hAnsi="Arial"/>
          <w:sz w:val="22"/>
          <w:szCs w:val="22"/>
          <w:color w:val="auto"/>
        </w:rPr>
        <w:t>Termination without Cause at a time when the Grantee has met the age and service requirements for Retirement, this Section 4(b) shall apply to the Performance Share Units, instead of Section 4(c) or 4(d).</w:t>
      </w:r>
    </w:p>
    <w:p>
      <w:pPr>
        <w:spacing w:after="0" w:line="201" w:lineRule="exact"/>
        <w:rPr>
          <w:sz w:val="20"/>
          <w:szCs w:val="20"/>
          <w:color w:val="auto"/>
        </w:rPr>
      </w:pPr>
    </w:p>
    <w:p>
      <w:pPr>
        <w:jc w:val="both"/>
        <w:ind w:right="20" w:firstLine="1714"/>
        <w:spacing w:after="0" w:line="237" w:lineRule="auto"/>
        <w:rPr>
          <w:sz w:val="20"/>
          <w:szCs w:val="20"/>
          <w:color w:val="auto"/>
        </w:rPr>
      </w:pPr>
      <w:r>
        <w:rPr>
          <w:rFonts w:ascii="Arial" w:cs="Arial" w:eastAsia="Arial" w:hAnsi="Arial"/>
          <w:sz w:val="22"/>
          <w:szCs w:val="22"/>
          <w:color w:val="auto"/>
        </w:rPr>
        <w:t>(c) Death; Disability. The Performance Share Unit Award shall vest with respect to 100% of the Target Award upon (i) the Grantee’s death during employment by the Company or an Affiliate or after Retirement as described in Section 4(b) prior to the Vesting Date, or (ii) the Grantee’s Termination of Employment on account of Disability prior to the Vesting Date, subject to Section 4(f) below.</w:t>
      </w:r>
    </w:p>
    <w:p>
      <w:pPr>
        <w:spacing w:after="0" w:line="215" w:lineRule="exact"/>
        <w:rPr>
          <w:sz w:val="20"/>
          <w:szCs w:val="20"/>
          <w:color w:val="auto"/>
        </w:rPr>
      </w:pPr>
    </w:p>
    <w:p>
      <w:pPr>
        <w:ind w:firstLine="1714"/>
        <w:spacing w:after="0" w:line="245" w:lineRule="auto"/>
        <w:rPr>
          <w:sz w:val="20"/>
          <w:szCs w:val="20"/>
          <w:color w:val="auto"/>
        </w:rPr>
      </w:pPr>
      <w:r>
        <w:rPr>
          <w:rFonts w:ascii="Arial" w:cs="Arial" w:eastAsia="Arial" w:hAnsi="Arial"/>
          <w:sz w:val="21"/>
          <w:szCs w:val="21"/>
          <w:color w:val="auto"/>
        </w:rPr>
        <w:t xml:space="preserve">(d) Termination without Cause. If prior to the Vesting Date, the Grantee incurs a Termination of Employment by the Company or an Affiliate other than for Cause, the Performance Share Unit Award shall vest with respect to a pro-rated portion of the Target Award, subject to Section 4(f) below. The pro-rated portion shall be determined by multiplying the Target Award by a fraction, the number of which is the number of months that elapsed during the period beginning on </w:t>
      </w:r>
      <w:r>
        <w:rPr>
          <w:rFonts w:ascii="Arial" w:cs="Arial" w:eastAsia="Arial" w:hAnsi="Arial"/>
          <w:sz w:val="21"/>
          <w:szCs w:val="21"/>
          <w:b w:val="1"/>
          <w:bCs w:val="1"/>
          <w:color w:val="auto"/>
        </w:rPr>
        <w:t>[Insert Performance Period Start Date]</w:t>
      </w:r>
      <w:r>
        <w:rPr>
          <w:rFonts w:ascii="Arial" w:cs="Arial" w:eastAsia="Arial" w:hAnsi="Arial"/>
          <w:sz w:val="21"/>
          <w:szCs w:val="21"/>
          <w:color w:val="auto"/>
        </w:rPr>
        <w:t xml:space="preserve"> through the date of the Grantee’s Termination of Employment, and the denominator of which is </w:t>
      </w:r>
      <w:r>
        <w:rPr>
          <w:rFonts w:ascii="Arial" w:cs="Arial" w:eastAsia="Arial" w:hAnsi="Arial"/>
          <w:sz w:val="21"/>
          <w:szCs w:val="21"/>
          <w:b w:val="1"/>
          <w:bCs w:val="1"/>
          <w:color w:val="auto"/>
        </w:rPr>
        <w:t>[Insert Number of Months in Performance Period]</w:t>
      </w:r>
      <w:r>
        <w:rPr>
          <w:rFonts w:ascii="Arial" w:cs="Arial" w:eastAsia="Arial" w:hAnsi="Arial"/>
          <w:sz w:val="21"/>
          <w:szCs w:val="21"/>
          <w:color w:val="auto"/>
        </w:rPr>
        <w:t>. A partial month shall be counted as a full month for purposes of this calculation. Any Performance Share Units that do not become vested upon a Termination of Employment in accordance with this Section 4(d) shall be forfeited.</w:t>
      </w:r>
    </w:p>
    <w:p>
      <w:pPr>
        <w:spacing w:after="0" w:line="213" w:lineRule="exact"/>
        <w:rPr>
          <w:sz w:val="20"/>
          <w:szCs w:val="20"/>
          <w:color w:val="auto"/>
        </w:rPr>
      </w:pPr>
    </w:p>
    <w:p>
      <w:pPr>
        <w:ind w:firstLine="1714"/>
        <w:spacing w:after="0" w:line="275"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the foregoing, in the event that a Change in Control occurs before the Vesting Date while the Grantee is employed by the Company or one of its Affiliates or while the Performance Shares Units are outstanding pursuant to Section 4(b), the outstanding Performance Share Units will become vested upon the consummation of the Change in Control in an amount equal to the greater of (i) the Target Award or (ii) the number of Performance Share Units that vest based on achievement of the Performance Goals, measured as if the end of the quarter immediately preceding the date of the Change in Control were the end of the Performance Period, as determined by the Committee as in effect before the Change in Control in its sole discretion. Any Performance Share Units that do not become vested upon a Change in Control in accordance with this Section 4(e) shall be forfeited.</w:t>
      </w:r>
    </w:p>
    <w:p>
      <w:pPr>
        <w:spacing w:after="0" w:line="183" w:lineRule="exact"/>
        <w:rPr>
          <w:sz w:val="20"/>
          <w:szCs w:val="20"/>
          <w:color w:val="auto"/>
        </w:rPr>
      </w:pPr>
    </w:p>
    <w:p>
      <w:pPr>
        <w:ind w:right="160" w:firstLine="1714"/>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Release of Claims</w:t>
      </w:r>
      <w:r>
        <w:rPr>
          <w:rFonts w:ascii="Arial" w:cs="Arial" w:eastAsia="Arial" w:hAnsi="Arial"/>
          <w:sz w:val="22"/>
          <w:szCs w:val="22"/>
          <w:color w:val="auto"/>
        </w:rPr>
        <w:t>. Any vesting under this Section 4 as a result of Retirement or other Termination of Employment shall be conditioned on the Grantee signing and not revoking a general release of claims provided by the Company.</w:t>
      </w:r>
    </w:p>
    <w:p>
      <w:pPr>
        <w:spacing w:after="0" w:line="212" w:lineRule="exact"/>
        <w:rPr>
          <w:sz w:val="20"/>
          <w:szCs w:val="20"/>
          <w:color w:val="auto"/>
        </w:rPr>
      </w:pPr>
    </w:p>
    <w:p>
      <w:pPr>
        <w:ind w:left="820" w:hanging="812"/>
        <w:spacing w:after="0"/>
        <w:tabs>
          <w:tab w:leader="none" w:pos="8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Settlement.</w:t>
      </w:r>
    </w:p>
    <w:p>
      <w:pPr>
        <w:spacing w:after="0" w:line="233" w:lineRule="exact"/>
        <w:rPr>
          <w:sz w:val="20"/>
          <w:szCs w:val="20"/>
          <w:color w:val="auto"/>
        </w:rPr>
      </w:pPr>
    </w:p>
    <w:p>
      <w:pPr>
        <w:jc w:val="both"/>
        <w:ind w:right="40" w:firstLine="1714"/>
        <w:spacing w:after="0" w:line="237" w:lineRule="auto"/>
        <w:rPr>
          <w:sz w:val="20"/>
          <w:szCs w:val="20"/>
          <w:color w:val="auto"/>
        </w:rPr>
      </w:pPr>
      <w:r>
        <w:rPr>
          <w:rFonts w:ascii="Arial" w:cs="Arial" w:eastAsia="Arial" w:hAnsi="Arial"/>
          <w:sz w:val="22"/>
          <w:szCs w:val="22"/>
          <w:color w:val="auto"/>
        </w:rPr>
        <w:t>(a) Subject to the satisfaction of all tax obligations as provided in Section 9 below and except as otherwise provided in this Section 5, the vested Performance Share Units shall be settled within 90 days following the Vesting Date (the “</w:t>
      </w:r>
      <w:r>
        <w:rPr>
          <w:rFonts w:ascii="Arial" w:cs="Arial" w:eastAsia="Arial" w:hAnsi="Arial"/>
          <w:sz w:val="22"/>
          <w:szCs w:val="22"/>
          <w:u w:val="single" w:color="auto"/>
          <w:color w:val="auto"/>
        </w:rPr>
        <w:t>Settlement Date</w:t>
      </w:r>
      <w:r>
        <w:rPr>
          <w:rFonts w:ascii="Arial" w:cs="Arial" w:eastAsia="Arial" w:hAnsi="Arial"/>
          <w:sz w:val="22"/>
          <w:szCs w:val="22"/>
          <w:color w:val="auto"/>
        </w:rPr>
        <w:t>”). Upon settlement, the Company shall deliver to the Grantee one share of Common Stock for each vested Performance Share Unit.</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240" w:top="347" w:right="619" w:bottom="1440" w:gutter="0" w:footer="0" w:header="0"/>
        </w:sectPr>
      </w:pPr>
    </w:p>
    <w:bookmarkStart w:id="87" w:name="page88"/>
    <w:bookmarkEnd w:id="87"/>
    <w:p>
      <w:pPr>
        <w:ind w:left="1720"/>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Date in the following circumstances: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vested Performance Share Units shall be settled earlier than the Settlement</w:t>
      </w:r>
    </w:p>
    <w:p>
      <w:pPr>
        <w:spacing w:after="0" w:line="460" w:lineRule="exact"/>
        <w:rPr>
          <w:sz w:val="20"/>
          <w:szCs w:val="20"/>
          <w:color w:val="auto"/>
        </w:rPr>
      </w:pPr>
    </w:p>
    <w:p>
      <w:pPr>
        <w:sectPr>
          <w:pgSz w:w="11900" w:h="16838" w:orient="portrait"/>
          <w:cols w:equalWidth="0" w:num="2">
            <w:col w:w="3200" w:space="720"/>
            <w:col w:w="7220"/>
          </w:cols>
          <w:pgMar w:left="240" w:top="347" w:right="519" w:bottom="1440" w:gutter="0" w:footer="0" w:header="0"/>
        </w:sectPr>
      </w:pPr>
    </w:p>
    <w:p>
      <w:pPr>
        <w:spacing w:after="0" w:line="49" w:lineRule="exact"/>
        <w:rPr>
          <w:sz w:val="20"/>
          <w:szCs w:val="20"/>
          <w:color w:val="auto"/>
        </w:rPr>
      </w:pPr>
    </w:p>
    <w:p>
      <w:pPr>
        <w:ind w:left="2580"/>
        <w:spacing w:after="0"/>
        <w:tabs>
          <w:tab w:leader="none" w:pos="470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If the Performance Share Units vest upon death in accordance with</w:t>
      </w:r>
    </w:p>
    <w:p>
      <w:pPr>
        <w:sectPr>
          <w:pgSz w:w="11900" w:h="16838" w:orient="portrait"/>
          <w:cols w:equalWidth="0" w:num="1">
            <w:col w:w="11140"/>
          </w:cols>
          <w:pgMar w:left="240" w:top="347" w:right="51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Section 4(c), the vested Performance Share Units will be settled within 30 days following the date of the Grantee’s death.</w:t>
      </w:r>
    </w:p>
    <w:p>
      <w:pPr>
        <w:spacing w:after="0" w:line="236" w:lineRule="exact"/>
        <w:rPr>
          <w:sz w:val="20"/>
          <w:szCs w:val="20"/>
          <w:color w:val="auto"/>
        </w:rPr>
      </w:pPr>
    </w:p>
    <w:p>
      <w:pPr>
        <w:ind w:right="220" w:firstLine="2572"/>
        <w:spacing w:after="0" w:line="237" w:lineRule="auto"/>
        <w:rPr>
          <w:sz w:val="20"/>
          <w:szCs w:val="20"/>
          <w:color w:val="auto"/>
        </w:rPr>
      </w:pPr>
      <w:r>
        <w:rPr>
          <w:rFonts w:ascii="Arial" w:cs="Arial" w:eastAsia="Arial" w:hAnsi="Arial"/>
          <w:sz w:val="22"/>
          <w:szCs w:val="22"/>
          <w:color w:val="auto"/>
        </w:rPr>
        <w:t>(ii) If the Performance Share Units vest upon Termination of Employment on account of Disability in accordance with Section 4(c) or upon Termination of Employment by the Company or an Affiliate other than for Cause in accordance with Section 4(d), the vested Performance Share Units will be settled within 30 days following the date of the Grantee’s Termination of Employment.</w:t>
      </w:r>
    </w:p>
    <w:p>
      <w:pPr>
        <w:spacing w:after="0" w:line="215" w:lineRule="exact"/>
        <w:rPr>
          <w:sz w:val="20"/>
          <w:szCs w:val="20"/>
          <w:color w:val="auto"/>
        </w:rPr>
      </w:pPr>
    </w:p>
    <w:p>
      <w:pPr>
        <w:ind w:right="40" w:firstLine="2572"/>
        <w:spacing w:after="0" w:line="235" w:lineRule="auto"/>
        <w:rPr>
          <w:sz w:val="20"/>
          <w:szCs w:val="20"/>
          <w:color w:val="auto"/>
        </w:rPr>
      </w:pPr>
      <w:r>
        <w:rPr>
          <w:rFonts w:ascii="Arial" w:cs="Arial" w:eastAsia="Arial" w:hAnsi="Arial"/>
          <w:sz w:val="22"/>
          <w:szCs w:val="22"/>
          <w:color w:val="auto"/>
        </w:rPr>
        <w:t>(iii) If the Performance Share Units vest in accordance with Section 4(e), the vested Performance Share Units shall be settled upon or within 60 days following the date of the Change in Control, provided that the Change in Control constitutes a “change in control event” within the meaning of Section 409A of the Code (a “</w:t>
      </w:r>
      <w:r>
        <w:rPr>
          <w:rFonts w:ascii="Arial" w:cs="Arial" w:eastAsia="Arial" w:hAnsi="Arial"/>
          <w:sz w:val="22"/>
          <w:szCs w:val="22"/>
          <w:u w:val="single" w:color="auto"/>
          <w:color w:val="auto"/>
        </w:rPr>
        <w:t>409A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CIC</w:t>
      </w:r>
      <w:r>
        <w:rPr>
          <w:rFonts w:ascii="Arial" w:cs="Arial" w:eastAsia="Arial" w:hAnsi="Arial"/>
          <w:sz w:val="22"/>
          <w:szCs w:val="22"/>
          <w:color w:val="auto"/>
        </w:rPr>
        <w:t>”). If the Change in Control does not constitute a 409A CIC, the vested Performance Share Units shall be settled upon the first to occur of (A) the Settlement Date, (B) within 30 days following the Grantee’s death, or (C) within 30 days following Termination of Employment.</w:t>
      </w:r>
    </w:p>
    <w:p>
      <w:pPr>
        <w:spacing w:after="0" w:line="214" w:lineRule="exact"/>
        <w:rPr>
          <w:sz w:val="20"/>
          <w:szCs w:val="20"/>
          <w:color w:val="auto"/>
        </w:rPr>
      </w:pPr>
    </w:p>
    <w:p>
      <w:pPr>
        <w:ind w:firstLine="8"/>
        <w:spacing w:after="0" w:line="244" w:lineRule="auto"/>
        <w:tabs>
          <w:tab w:leader="none" w:pos="809" w:val="left"/>
        </w:tabs>
        <w:numPr>
          <w:ilvl w:val="0"/>
          <w:numId w:val="37"/>
        </w:numPr>
        <w:rPr>
          <w:rFonts w:ascii="Arial" w:cs="Arial" w:eastAsia="Arial" w:hAnsi="Arial"/>
          <w:sz w:val="21"/>
          <w:szCs w:val="21"/>
          <w:color w:val="auto"/>
        </w:rPr>
      </w:pPr>
      <w:r>
        <w:rPr>
          <w:rFonts w:ascii="Arial" w:cs="Arial" w:eastAsia="Arial" w:hAnsi="Arial"/>
          <w:sz w:val="21"/>
          <w:szCs w:val="21"/>
          <w:color w:val="auto"/>
        </w:rPr>
        <w:t>Dividend Equivalents. In connection with the Performance Share Unit Award, any cash dividends paid on the shares of Common Stock underlying the Performance Share Units shall be converted to additional Performance Share Units on the dividend payment date, based on the Fair Market Value of a share of Common Stock on such date (“</w:t>
      </w:r>
      <w:r>
        <w:rPr>
          <w:rFonts w:ascii="Arial" w:cs="Arial" w:eastAsia="Arial" w:hAnsi="Arial"/>
          <w:sz w:val="21"/>
          <w:szCs w:val="21"/>
          <w:u w:val="single" w:color="auto"/>
          <w:color w:val="auto"/>
        </w:rPr>
        <w:t>Dividend</w:t>
      </w:r>
      <w:r>
        <w:rPr>
          <w:rFonts w:ascii="Arial" w:cs="Arial" w:eastAsia="Arial" w:hAnsi="Arial"/>
          <w:sz w:val="21"/>
          <w:szCs w:val="21"/>
          <w:color w:val="auto"/>
        </w:rPr>
        <w:t xml:space="preserve"> </w:t>
      </w:r>
      <w:r>
        <w:rPr>
          <w:rFonts w:ascii="Arial" w:cs="Arial" w:eastAsia="Arial" w:hAnsi="Arial"/>
          <w:sz w:val="21"/>
          <w:szCs w:val="21"/>
          <w:u w:val="single" w:color="auto"/>
          <w:color w:val="auto"/>
        </w:rPr>
        <w:t>Equivalents</w:t>
      </w:r>
      <w:r>
        <w:rPr>
          <w:rFonts w:ascii="Arial" w:cs="Arial" w:eastAsia="Arial" w:hAnsi="Arial"/>
          <w:sz w:val="21"/>
          <w:szCs w:val="21"/>
          <w:color w:val="auto"/>
        </w:rPr>
        <w:t>”). Dividend Equivalents shall accrue with respect to Performance Share Units and shall be payable subject to the same Performance Goals, vesting terms and other conditions as the Performance Share Units to which they relate. Dividend Equivalents shall be credited on the Performance Share Units when dividends are paid on shares of Common Stock from the Date of Grant until the settlement date for the vested Performance Share Units. If and to the extent that the underlying Performance Share Units are forfeited, all related Dividend Equivalents shall also be forfeited. Notwithstanding the foregoing, dividends and distributions other than regular cash dividends, if any, may result in an adjustment pursuant to Section 8, rather than under this Section 6.</w:t>
      </w:r>
    </w:p>
    <w:p>
      <w:pPr>
        <w:spacing w:after="0" w:line="215" w:lineRule="exact"/>
        <w:rPr>
          <w:rFonts w:ascii="Arial" w:cs="Arial" w:eastAsia="Arial" w:hAnsi="Arial"/>
          <w:sz w:val="21"/>
          <w:szCs w:val="21"/>
          <w:color w:val="auto"/>
        </w:rPr>
      </w:pPr>
    </w:p>
    <w:p>
      <w:pPr>
        <w:ind w:firstLine="8"/>
        <w:spacing w:after="0" w:line="276" w:lineRule="auto"/>
        <w:tabs>
          <w:tab w:leader="none" w:pos="8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Rights as a Stockholder. The Grantee acknowledges and agrees that, with respect to the Performance Share Units, he or she has no voting rights with respect to the Company unless and until such Performance Share Units are settled in Common Stock pursuant to Section 5 above. Upon and following the settlement of a Performance Share Unit, the Grantee shall be the record owner of the Common Stock issued to him or her unless and until such shares are sold or otherwise disposed of, and as record owner shall be entitled to all rights of a stockholder of the Company holding such Common Stock, including, without limitation, voting rights, if any, with respect to such Common Stock. Prior to the Settlement Date, the Grantee shall not be deemed for any purpose to be the owner of any Common Stock denominated by the Performance Share Unit Award.</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347" w:right="519" w:bottom="1440" w:gutter="0" w:footer="0" w:header="0"/>
          <w:type w:val="continuous"/>
        </w:sectPr>
      </w:pPr>
    </w:p>
    <w:bookmarkStart w:id="88" w:name="page89"/>
    <w:bookmarkEnd w:id="88"/>
    <w:p>
      <w:pPr>
        <w:ind w:right="100" w:firstLine="8"/>
        <w:spacing w:after="0" w:line="273" w:lineRule="auto"/>
        <w:tabs>
          <w:tab w:leader="none" w:pos="809" w:val="left"/>
        </w:tabs>
        <w:numPr>
          <w:ilvl w:val="0"/>
          <w:numId w:val="38"/>
        </w:numPr>
        <w:rPr>
          <w:rFonts w:ascii="Arial" w:cs="Arial" w:eastAsia="Arial" w:hAnsi="Arial"/>
          <w:sz w:val="21"/>
          <w:szCs w:val="21"/>
          <w:color w:val="auto"/>
        </w:rPr>
      </w:pPr>
      <w:r>
        <w:rPr>
          <w:rFonts w:ascii="Arial" w:cs="Arial" w:eastAsia="Arial" w:hAnsi="Arial"/>
          <w:sz w:val="21"/>
          <w:szCs w:val="21"/>
          <w:color w:val="auto"/>
        </w:rPr>
        <w:t>Capital Adjustments. The number of Performance Share Units is subject to adjustment, in accordance with Section 4.2 of the Plan, on an equitable and proportionate basis in the manner deemed appropriate by the Committee.</w:t>
      </w:r>
    </w:p>
    <w:p>
      <w:pPr>
        <w:spacing w:after="0" w:line="179" w:lineRule="exact"/>
        <w:rPr>
          <w:rFonts w:ascii="Arial" w:cs="Arial" w:eastAsia="Arial" w:hAnsi="Arial"/>
          <w:sz w:val="21"/>
          <w:szCs w:val="21"/>
          <w:color w:val="auto"/>
        </w:rPr>
      </w:pPr>
    </w:p>
    <w:p>
      <w:pPr>
        <w:ind w:firstLine="8"/>
        <w:spacing w:after="0" w:line="272" w:lineRule="auto"/>
        <w:tabs>
          <w:tab w:leader="none" w:pos="809" w:val="left"/>
        </w:tabs>
        <w:numPr>
          <w:ilvl w:val="0"/>
          <w:numId w:val="38"/>
        </w:numPr>
        <w:rPr>
          <w:rFonts w:ascii="Arial" w:cs="Arial" w:eastAsia="Arial" w:hAnsi="Arial"/>
          <w:sz w:val="19"/>
          <w:szCs w:val="19"/>
          <w:color w:val="auto"/>
        </w:rPr>
      </w:pPr>
      <w:r>
        <w:rPr>
          <w:rFonts w:ascii="Arial" w:cs="Arial" w:eastAsia="Arial" w:hAnsi="Arial"/>
          <w:sz w:val="19"/>
          <w:szCs w:val="19"/>
          <w:color w:val="auto"/>
        </w:rPr>
        <w:t>Taxes. The Grantee expressly acknowledges that: (a) the Grantee’s Performance Share Units will constitute wages under the Federal Insurance Contributions Act (FICA) and Federal Unemployment Tax Act (FUTA) that are subject to tax withholding by the Company or its Affiliate upon becoming vested and (b) the Common Stock delivered to a Grantee upon the settlement of his or her Performance Share Units will constitute wages for purposes of federal and all other employment taxes, subject to tax withholding by the Company or its Affiliate. The Company’s obligation to issue or deliver shares of Common Stock with respect to the settlement of Performance Share Units shall be subject to the satisfaction of any applicable federal, state, local or foreign tax withholding requirements (including the Grantee’s FICA and FUTA obligation). To the extent permitted by law, the Company and its Affiliates shall have the right to deduct any such taxes from any payment otherwise due to the Grantee (or his or her beneficiary). The Committee may establish such procedures as it deems appropriate, including making irrevocable elections, for the settlement of withholding obligations with Common Stock having a Fair Market Value on the date of withholding equal to the minimum amount (and not any greater amount) required to be withheld for tax purposes.</w:t>
      </w:r>
    </w:p>
    <w:p>
      <w:pPr>
        <w:spacing w:after="0" w:line="189" w:lineRule="exact"/>
        <w:rPr>
          <w:rFonts w:ascii="Arial" w:cs="Arial" w:eastAsia="Arial" w:hAnsi="Arial"/>
          <w:sz w:val="19"/>
          <w:szCs w:val="19"/>
          <w:color w:val="auto"/>
        </w:rPr>
      </w:pPr>
    </w:p>
    <w:p>
      <w:pPr>
        <w:ind w:right="80" w:firstLine="8"/>
        <w:spacing w:after="0" w:line="276" w:lineRule="auto"/>
        <w:tabs>
          <w:tab w:leader="none" w:pos="917" w:val="left"/>
        </w:tabs>
        <w:numPr>
          <w:ilvl w:val="0"/>
          <w:numId w:val="38"/>
        </w:numPr>
        <w:rPr>
          <w:rFonts w:ascii="Arial" w:cs="Arial" w:eastAsia="Arial" w:hAnsi="Arial"/>
          <w:sz w:val="19"/>
          <w:szCs w:val="19"/>
          <w:color w:val="auto"/>
        </w:rPr>
      </w:pPr>
      <w:r>
        <w:rPr>
          <w:rFonts w:ascii="Arial" w:cs="Arial" w:eastAsia="Arial" w:hAnsi="Arial"/>
          <w:sz w:val="19"/>
          <w:szCs w:val="19"/>
          <w:color w:val="auto"/>
        </w:rPr>
        <w:t>Restriction on Issuance of Common Stock. Notwithstanding any other provision of this Agreement, the Grantee agrees, for himself or herself and his or her successors, that Common Stock will not be issued at any time that the Company does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Common Stock,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 (b) 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192" w:lineRule="exact"/>
        <w:rPr>
          <w:sz w:val="20"/>
          <w:szCs w:val="20"/>
          <w:color w:val="auto"/>
        </w:rPr>
      </w:pPr>
    </w:p>
    <w:p>
      <w:pPr>
        <w:ind w:right="60" w:firstLine="8"/>
        <w:spacing w:after="0" w:line="235" w:lineRule="auto"/>
        <w:tabs>
          <w:tab w:leader="none" w:pos="906"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Non-Solicitation. In consideration for the Grantee’s employment with the Company or with any of its affiliates and/or subsidiaries, the award of these Performance Share Units to the Grantee, and other good and valuable consideration (the sufficiency of which is acknowledged), the Grantee agrees that for a period of six months immediately following termination of the Grantee’s employment for any reason, the Grantee will not directly or indirectly (a) solicit an employee to leave the employee of the Company or any of its affiliates and/or subsidiaries; or (b) directly or indirectly solicit business from any clients, customers or prospective customers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347" w:right="519" w:bottom="1440" w:gutter="0" w:footer="0" w:header="0"/>
        </w:sectPr>
      </w:pPr>
    </w:p>
    <w:bookmarkStart w:id="89" w:name="page90"/>
    <w:bookmarkEnd w:id="89"/>
    <w:p>
      <w:pPr>
        <w:ind w:right="20"/>
        <w:spacing w:after="0" w:line="249" w:lineRule="auto"/>
        <w:rPr>
          <w:sz w:val="20"/>
          <w:szCs w:val="20"/>
          <w:color w:val="auto"/>
        </w:rPr>
      </w:pPr>
      <w:r>
        <w:rPr>
          <w:rFonts w:ascii="Arial" w:cs="Arial" w:eastAsia="Arial" w:hAnsi="Arial"/>
          <w:sz w:val="21"/>
          <w:szCs w:val="21"/>
          <w:color w:val="auto"/>
        </w:rPr>
        <w:t>of the Company or any of its affiliates and/or subsidiaries whose identity became known to the Grantee during his or her employment with the Company or any of its affiliates and/or subsidiaries. This six-month limitation is not intended to impair the rights of the Company and/or any of its affiliates or subsidiaries to prevent misappropriation of its confidential information beyond the six-month period. The Committee shall have discretion to determine that all Performance Share Units, whether or not vested, shall be forfeited in the event of the Grantee’s breach of this Section 11.</w:t>
      </w:r>
    </w:p>
    <w:p>
      <w:pPr>
        <w:spacing w:after="0" w:line="204" w:lineRule="exact"/>
        <w:rPr>
          <w:sz w:val="20"/>
          <w:szCs w:val="20"/>
          <w:color w:val="auto"/>
        </w:rPr>
      </w:pPr>
    </w:p>
    <w:p>
      <w:pPr>
        <w:ind w:right="80" w:firstLine="8"/>
        <w:spacing w:after="0" w:line="237" w:lineRule="auto"/>
        <w:tabs>
          <w:tab w:leader="none" w:pos="917" w:val="left"/>
        </w:tabs>
        <w:numPr>
          <w:ilvl w:val="0"/>
          <w:numId w:val="40"/>
        </w:numPr>
        <w:rPr>
          <w:rFonts w:ascii="Arial" w:cs="Arial" w:eastAsia="Arial" w:hAnsi="Arial"/>
          <w:sz w:val="22"/>
          <w:szCs w:val="22"/>
          <w:color w:val="auto"/>
        </w:rPr>
      </w:pPr>
      <w:r>
        <w:rPr>
          <w:rFonts w:ascii="Arial" w:cs="Arial" w:eastAsia="Arial" w:hAnsi="Arial"/>
          <w:sz w:val="22"/>
          <w:szCs w:val="22"/>
          <w:color w:val="auto"/>
        </w:rPr>
        <w:t>Employment. Neither the Performance Share Unit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214" w:lineRule="exact"/>
        <w:rPr>
          <w:rFonts w:ascii="Arial" w:cs="Arial" w:eastAsia="Arial" w:hAnsi="Arial"/>
          <w:sz w:val="22"/>
          <w:szCs w:val="22"/>
          <w:color w:val="auto"/>
        </w:rPr>
      </w:pPr>
    </w:p>
    <w:p>
      <w:pPr>
        <w:ind w:right="20" w:firstLine="8"/>
        <w:spacing w:after="0" w:line="237" w:lineRule="auto"/>
        <w:tabs>
          <w:tab w:leader="none" w:pos="917" w:val="left"/>
        </w:tabs>
        <w:numPr>
          <w:ilvl w:val="0"/>
          <w:numId w:val="40"/>
        </w:numPr>
        <w:rPr>
          <w:rFonts w:ascii="Arial" w:cs="Arial" w:eastAsia="Arial" w:hAnsi="Arial"/>
          <w:sz w:val="22"/>
          <w:szCs w:val="22"/>
          <w:color w:val="auto"/>
        </w:rPr>
      </w:pPr>
      <w:r>
        <w:rPr>
          <w:rFonts w:ascii="Arial" w:cs="Arial" w:eastAsia="Arial" w:hAnsi="Arial"/>
          <w:sz w:val="22"/>
          <w:szCs w:val="22"/>
          <w:color w:val="auto"/>
        </w:rPr>
        <w:t>Beneficiary. The Committee may permit the Grantee to file with the Company a written designation of a beneficiary on such form as may be prescribed by the Committee and may, from time to time, amend or revoke such designation. In the absence of any such designation or if all designated beneficiaries predecease the Grantee, the Grantee’s estate shall be deemed to be the Grantee’s beneficiary.</w:t>
      </w:r>
    </w:p>
    <w:p>
      <w:pPr>
        <w:spacing w:after="0" w:line="214" w:lineRule="exact"/>
        <w:rPr>
          <w:rFonts w:ascii="Arial" w:cs="Arial" w:eastAsia="Arial" w:hAnsi="Arial"/>
          <w:sz w:val="22"/>
          <w:szCs w:val="22"/>
          <w:color w:val="auto"/>
        </w:rPr>
      </w:pPr>
    </w:p>
    <w:p>
      <w:pPr>
        <w:ind w:firstLine="8"/>
        <w:spacing w:after="0" w:line="234" w:lineRule="auto"/>
        <w:tabs>
          <w:tab w:leader="none" w:pos="917"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Subject to the Plan. The Performance Share Unit Award evidenced by this Agreement is subject to the terms and conditions of the Plan, which are incorporated herein by reference and made a part hereof, but the terms of the Plan shall not be considered an enlargement of any benefits under this Agreement. In addition, the Performance Share Unit Award is subject to any rules and regulations promulgated by the Committee. The Grantee’s receipt of the Performance Share Unit Award constitutes the Grantee’s acknowledgment that all decisions and determinations of the Committee with respect to the Plan and this Agreement shall be final and binding on the Grantee and any other person claiming an interest in the Performance Share Unit Award.</w:t>
      </w:r>
    </w:p>
    <w:p>
      <w:pPr>
        <w:spacing w:after="0" w:line="216" w:lineRule="exact"/>
        <w:rPr>
          <w:rFonts w:ascii="Arial" w:cs="Arial" w:eastAsia="Arial" w:hAnsi="Arial"/>
          <w:sz w:val="22"/>
          <w:szCs w:val="22"/>
          <w:color w:val="auto"/>
        </w:rPr>
      </w:pPr>
    </w:p>
    <w:p>
      <w:pPr>
        <w:ind w:right="40" w:firstLine="8"/>
        <w:spacing w:after="0" w:line="272" w:lineRule="auto"/>
        <w:tabs>
          <w:tab w:leader="none" w:pos="917" w:val="left"/>
        </w:tabs>
        <w:numPr>
          <w:ilvl w:val="0"/>
          <w:numId w:val="40"/>
        </w:numPr>
        <w:rPr>
          <w:rFonts w:ascii="Arial" w:cs="Arial" w:eastAsia="Arial" w:hAnsi="Arial"/>
          <w:sz w:val="19"/>
          <w:szCs w:val="19"/>
          <w:color w:val="auto"/>
        </w:rPr>
      </w:pPr>
      <w:r>
        <w:rPr>
          <w:rFonts w:ascii="Arial" w:cs="Arial" w:eastAsia="Arial" w:hAnsi="Arial"/>
          <w:sz w:val="19"/>
          <w:szCs w:val="19"/>
          <w:color w:val="auto"/>
        </w:rPr>
        <w:t>Section 409A. The Performance Share Unit Award is intended to comply with the applicable requirements of Section 409A of the Code and shall be administered in accordance with Section 409A of the Code. Notwithstanding anything in this Agreement to the contrary, if the Performance Share Units or the Dividend Equivalents constitute “deferred compensation” under Section 409A of the Code and the Performance Share Units become vested and settled upon the Grantee’s Termination of Employment, payment with respect to the Performance Share Units shall be delayed for a period of six months after the Grantee’s Termination of Employment if the Grantee is a “specified employee” as defined under Section 409A of the Code (as determined by the Committee) and if required pursuant to Section 409A of the Code. If payment is delayed, the shares of Common Stock and Dividend Equivalents shall be distributed within 30 days following the date that is the six-month anniversary of the Grantee’s Termination of Employment (or death, if earlier). Notwithstanding any provision to the contrary herein, payments made with respect to this Performance Share Unit Award may only be made in a manner and upon an event permitted by Section 409A of the Code. To the extent that any provision of this Agreement would cause a conflict with the requirements of Section 409A of the Code, or would cause the administration of this Performance Share Unit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347" w:right="539" w:bottom="1440" w:gutter="0" w:footer="0" w:header="0"/>
        </w:sectPr>
      </w:pPr>
    </w:p>
    <w:bookmarkStart w:id="90" w:name="page91"/>
    <w:bookmarkEnd w:id="90"/>
    <w:p>
      <w:pPr>
        <w:spacing w:after="0" w:line="237" w:lineRule="auto"/>
        <w:rPr>
          <w:sz w:val="20"/>
          <w:szCs w:val="20"/>
          <w:color w:val="auto"/>
        </w:rPr>
      </w:pPr>
      <w:r>
        <w:rPr>
          <w:rFonts w:ascii="Arial" w:cs="Arial" w:eastAsia="Arial" w:hAnsi="Arial"/>
          <w:sz w:val="22"/>
          <w:szCs w:val="22"/>
          <w:color w:val="auto"/>
        </w:rPr>
        <w:t>Award to fail to satisfy the requirements of Section 409A of the Code, such provision shall be deemed null and void to the extent permitted by applicable law. In no event shall a Grantee, directly or indirectly, designate the calendar year of payment. Any payment that is to be made within a specified time period under this Agreement may be made at such other date as may be permitted by Section 409A with respect to such payment.</w:t>
      </w:r>
    </w:p>
    <w:p>
      <w:pPr>
        <w:spacing w:after="0" w:line="215" w:lineRule="exact"/>
        <w:rPr>
          <w:sz w:val="20"/>
          <w:szCs w:val="20"/>
          <w:color w:val="auto"/>
        </w:rPr>
      </w:pPr>
    </w:p>
    <w:p>
      <w:pPr>
        <w:ind w:right="300" w:firstLine="8"/>
        <w:spacing w:after="0"/>
        <w:tabs>
          <w:tab w:leader="none" w:pos="91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Company Policies</w:t>
      </w:r>
      <w:r>
        <w:rPr>
          <w:rFonts w:ascii="Arial" w:cs="Arial" w:eastAsia="Arial" w:hAnsi="Arial"/>
          <w:sz w:val="22"/>
          <w:szCs w:val="22"/>
          <w:color w:val="auto"/>
        </w:rPr>
        <w:t>. All amounts payable under this Agreement shall be subject to any applicable clawback or recoupment policies, share trading policies and other policies that may be implemented by the Company’s Board of Directors from time to time, including the Forfeiture Policy.</w:t>
      </w:r>
    </w:p>
    <w:p>
      <w:pPr>
        <w:spacing w:after="0" w:line="212" w:lineRule="exact"/>
        <w:rPr>
          <w:rFonts w:ascii="Arial" w:cs="Arial" w:eastAsia="Arial" w:hAnsi="Arial"/>
          <w:sz w:val="22"/>
          <w:szCs w:val="22"/>
          <w:color w:val="auto"/>
        </w:rPr>
      </w:pPr>
    </w:p>
    <w:p>
      <w:pPr>
        <w:ind w:right="80" w:firstLine="8"/>
        <w:spacing w:after="0" w:line="237" w:lineRule="auto"/>
        <w:tabs>
          <w:tab w:leader="none" w:pos="917" w:val="left"/>
        </w:tabs>
        <w:numPr>
          <w:ilvl w:val="0"/>
          <w:numId w:val="41"/>
        </w:numPr>
        <w:rPr>
          <w:rFonts w:ascii="Arial" w:cs="Arial" w:eastAsia="Arial" w:hAnsi="Arial"/>
          <w:sz w:val="22"/>
          <w:szCs w:val="22"/>
          <w:color w:val="auto"/>
        </w:rPr>
      </w:pPr>
      <w:r>
        <w:rPr>
          <w:rFonts w:ascii="Arial" w:cs="Arial" w:eastAsia="Arial" w:hAnsi="Arial"/>
          <w:sz w:val="22"/>
          <w:szCs w:val="22"/>
          <w:color w:val="auto"/>
        </w:rPr>
        <w:t>Stock Certificates. The Grantee hereby (a) acknowledges that the Common Stock issued with respect to a vested Performance Share Unit upon its settlement may be held in book entry form on the books of Registrar and Transfer Company (or another institution specified by the Company), and (b) agrees to sign such other powers and take such other actions as the Company may reasonably request to accomplish the transfer.</w:t>
      </w:r>
    </w:p>
    <w:p>
      <w:pPr>
        <w:spacing w:after="0" w:line="214" w:lineRule="exact"/>
        <w:rPr>
          <w:rFonts w:ascii="Arial" w:cs="Arial" w:eastAsia="Arial" w:hAnsi="Arial"/>
          <w:sz w:val="22"/>
          <w:szCs w:val="22"/>
          <w:color w:val="auto"/>
        </w:rPr>
      </w:pPr>
    </w:p>
    <w:p>
      <w:pPr>
        <w:ind w:firstLine="8"/>
        <w:spacing w:after="0"/>
        <w:tabs>
          <w:tab w:leader="none" w:pos="917"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Nontransferability. Performance Share Units may not be sold, transferred, pledged, assigned, or otherwise alienated or hypothecated by the Grantee other than by will or by the laws of descent and distribution. This Agreement shall bind and inure to the benefit of successors and assignees of the Company.</w:t>
      </w:r>
    </w:p>
    <w:p>
      <w:pPr>
        <w:spacing w:after="0" w:line="212" w:lineRule="exact"/>
        <w:rPr>
          <w:rFonts w:ascii="Arial" w:cs="Arial" w:eastAsia="Arial" w:hAnsi="Arial"/>
          <w:sz w:val="22"/>
          <w:szCs w:val="22"/>
          <w:color w:val="auto"/>
        </w:rPr>
      </w:pPr>
    </w:p>
    <w:p>
      <w:pPr>
        <w:ind w:right="280" w:firstLine="8"/>
        <w:spacing w:after="0" w:line="328" w:lineRule="auto"/>
        <w:tabs>
          <w:tab w:leader="none" w:pos="917" w:val="left"/>
        </w:tabs>
        <w:numPr>
          <w:ilvl w:val="0"/>
          <w:numId w:val="41"/>
        </w:numPr>
        <w:rPr>
          <w:rFonts w:ascii="Arial" w:cs="Arial" w:eastAsia="Arial" w:hAnsi="Arial"/>
          <w:sz w:val="19"/>
          <w:szCs w:val="19"/>
          <w:color w:val="auto"/>
        </w:rPr>
      </w:pPr>
      <w:r>
        <w:rPr>
          <w:rFonts w:ascii="Arial" w:cs="Arial" w:eastAsia="Arial" w:hAnsi="Arial"/>
          <w:sz w:val="19"/>
          <w:szCs w:val="19"/>
          <w:color w:val="auto"/>
        </w:rPr>
        <w:t>Governing Law. The validity, construction, interpretation and enforceability of this Agreement shall be determined and governed by the laws of the State of New York without giving effect to the principles of conflicts of laws.</w:t>
      </w:r>
    </w:p>
    <w:p>
      <w:pPr>
        <w:spacing w:after="0" w:line="131" w:lineRule="exact"/>
        <w:rPr>
          <w:rFonts w:ascii="Arial" w:cs="Arial" w:eastAsia="Arial" w:hAnsi="Arial"/>
          <w:sz w:val="19"/>
          <w:szCs w:val="19"/>
          <w:color w:val="auto"/>
        </w:rPr>
      </w:pPr>
    </w:p>
    <w:p>
      <w:pPr>
        <w:ind w:right="340" w:firstLine="8"/>
        <w:spacing w:after="0" w:line="250" w:lineRule="auto"/>
        <w:tabs>
          <w:tab w:leader="none" w:pos="917" w:val="left"/>
        </w:tabs>
        <w:numPr>
          <w:ilvl w:val="0"/>
          <w:numId w:val="41"/>
        </w:numPr>
        <w:rPr>
          <w:rFonts w:ascii="Arial" w:cs="Arial" w:eastAsia="Arial" w:hAnsi="Arial"/>
          <w:sz w:val="22"/>
          <w:szCs w:val="22"/>
          <w:color w:val="auto"/>
        </w:rPr>
      </w:pPr>
      <w:r>
        <w:rPr>
          <w:rFonts w:ascii="Arial" w:cs="Arial" w:eastAsia="Arial" w:hAnsi="Arial"/>
          <w:sz w:val="22"/>
          <w:szCs w:val="22"/>
          <w:color w:val="auto"/>
        </w:rPr>
        <w:t>Headings. The headings of the sections hereof are provided for convenience only and are not to serve as a basis for interpretation or construction, and shall not constitute a part, of this Agreement.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140"/>
          </w:cols>
          <w:pgMar w:left="240" w:top="347" w:right="5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2"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40" w:hanging="432"/>
        <w:spacing w:after="0" w:line="204" w:lineRule="auto"/>
        <w:tabs>
          <w:tab w:leader="none" w:pos="4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40" w:hanging="432"/>
        <w:spacing w:after="0" w:line="194" w:lineRule="auto"/>
        <w:tabs>
          <w:tab w:leader="none" w:pos="4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440" w:hanging="432"/>
        <w:spacing w:after="0" w:line="234" w:lineRule="auto"/>
        <w:tabs>
          <w:tab w:leader="none" w:pos="4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2, 2019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9525</wp:posOffset>
            </wp:positionV>
            <wp:extent cx="2560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1"/>
          <w:szCs w:val="21"/>
          <w:color w:val="auto"/>
        </w:rPr>
        <w:t>EXHIBIT 31.2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2"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40" w:hanging="432"/>
        <w:spacing w:after="0" w:line="204" w:lineRule="auto"/>
        <w:tabs>
          <w:tab w:leader="none" w:pos="4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40" w:hanging="432"/>
        <w:spacing w:after="0" w:line="194" w:lineRule="auto"/>
        <w:tabs>
          <w:tab w:leader="none" w:pos="44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440" w:hanging="432"/>
        <w:spacing w:after="0" w:line="234" w:lineRule="auto"/>
        <w:tabs>
          <w:tab w:leader="none" w:pos="4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2, 2019</w:t>
      </w:r>
    </w:p>
    <w:p>
      <w:pPr>
        <w:spacing w:after="0" w:line="200" w:lineRule="exact"/>
        <w:rPr>
          <w:sz w:val="20"/>
          <w:szCs w:val="20"/>
          <w:color w:val="auto"/>
        </w:rPr>
      </w:pPr>
    </w:p>
    <w:p>
      <w:pPr>
        <w:spacing w:after="0" w:line="273"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95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420"/>
          </w:cols>
          <w:pgMar w:left="240" w:top="85" w:right="239" w:bottom="1440" w:gutter="0" w:footer="0" w:header="0"/>
        </w:sectPr>
      </w:pPr>
    </w:p>
    <w:bookmarkStart w:id="93" w:name="page94"/>
    <w:bookmarkEnd w:id="93"/>
    <w:p>
      <w:pPr>
        <w:ind w:left="1018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2" w:lineRule="exact"/>
        <w:rPr>
          <w:sz w:val="20"/>
          <w:szCs w:val="20"/>
          <w:color w:val="auto"/>
        </w:rPr>
      </w:pPr>
    </w:p>
    <w:p>
      <w:pPr>
        <w:jc w:val="both"/>
        <w:ind w:left="1900" w:right="1900" w:hanging="948"/>
        <w:spacing w:after="0" w:line="243" w:lineRule="auto"/>
        <w:tabs>
          <w:tab w:leader="none" w:pos="19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March 31, 2019 (the "Report") fully complies with the requirements of Section 13(a) or 15(d) of the Securities Exchange Act of 1934 (15 U.S.C. 78m or 78o(d)); and</w:t>
      </w:r>
    </w:p>
    <w:p>
      <w:pPr>
        <w:spacing w:after="0" w:line="164" w:lineRule="exact"/>
        <w:rPr>
          <w:rFonts w:ascii="Arial" w:cs="Arial" w:eastAsia="Arial" w:hAnsi="Arial"/>
          <w:sz w:val="20"/>
          <w:szCs w:val="20"/>
          <w:color w:val="auto"/>
        </w:rPr>
      </w:pPr>
    </w:p>
    <w:p>
      <w:pPr>
        <w:ind w:left="1900" w:right="1920" w:hanging="948"/>
        <w:spacing w:after="0" w:line="238" w:lineRule="auto"/>
        <w:tabs>
          <w:tab w:leader="none" w:pos="19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503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May 2,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94" w:name="page95"/>
    <w:bookmarkEnd w:id="94"/>
    <w:p>
      <w:pPr>
        <w:ind w:left="1018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 Darren J. King, Executive Vice President and Chief Financial Officer of M&amp;T Bank Corporation, certify, pursuant to Section 906 of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2" w:lineRule="exact"/>
        <w:rPr>
          <w:sz w:val="20"/>
          <w:szCs w:val="20"/>
          <w:color w:val="auto"/>
        </w:rPr>
      </w:pPr>
    </w:p>
    <w:p>
      <w:pPr>
        <w:jc w:val="both"/>
        <w:ind w:left="1900" w:right="1900" w:hanging="948"/>
        <w:spacing w:after="0" w:line="243" w:lineRule="auto"/>
        <w:tabs>
          <w:tab w:leader="none" w:pos="19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March 31, 2019 (the "Report") fully complies with the requirements of Section 13(a) or 15(d) of the Securities Exchange Act of 1934 (15 U.S.C. 78m or 78o(d)); and</w:t>
      </w:r>
    </w:p>
    <w:p>
      <w:pPr>
        <w:spacing w:after="0" w:line="164" w:lineRule="exact"/>
        <w:rPr>
          <w:rFonts w:ascii="Arial" w:cs="Arial" w:eastAsia="Arial" w:hAnsi="Arial"/>
          <w:sz w:val="20"/>
          <w:szCs w:val="20"/>
          <w:color w:val="auto"/>
        </w:rPr>
      </w:pPr>
    </w:p>
    <w:p>
      <w:pPr>
        <w:ind w:left="1900" w:right="1920" w:hanging="948"/>
        <w:spacing w:after="0" w:line="238" w:lineRule="auto"/>
        <w:tabs>
          <w:tab w:leader="none" w:pos="19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503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May 2,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1"/>
    </w:lvl>
    <w:lvl w:ilvl="1">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Letter"/>
      <w:start w:val="1"/>
    </w:lvl>
    <w:lvl w:ilvl="1">
      <w:lvlJc w:val="left"/>
      <w:lvlText w:val="-"/>
      <w:numFmt w:val="bullet"/>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decimal"/>
      <w:start w:val="12"/>
    </w:lvl>
  </w:abstractNum>
  <w:abstractNum w:abstractNumId="16">
    <w:nsid w:val="614FD4A1"/>
    <w:multiLevelType w:val="hybridMultilevel"/>
    <w:lvl w:ilvl="0">
      <w:lvlJc w:val="left"/>
      <w:lvlText w:val="(%1)"/>
      <w:numFmt w:val="lowerLetter"/>
      <w:start w:val="1"/>
    </w:lvl>
    <w:lvl w:ilvl="1">
      <w:lvlJc w:val="left"/>
      <w:lvlText w:val="-"/>
      <w:numFmt w:val="bullet"/>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lvl w:ilvl="1">
      <w:lvlJc w:val="left"/>
      <w:lvlText w:val="-"/>
      <w:numFmt w:val="bullet"/>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Roman"/>
      <w:start w:val="5"/>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1"/>
    </w:lvl>
    <w:lvl w:ilvl="1">
      <w:lvlJc w:val="left"/>
      <w:lvlText w:val="-"/>
      <w:numFmt w:val="bullet"/>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3"/>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153EA438"/>
    <w:multiLevelType w:val="hybridMultilevel"/>
    <w:lvl w:ilvl="0">
      <w:lvlJc w:val="left"/>
      <w:lvlText w:val="%1."/>
      <w:numFmt w:val="decimal"/>
      <w:start w:val="2"/>
    </w:lvl>
    <w:lvl w:ilvl="1">
      <w:lvlJc w:val="left"/>
      <w:lvlText w:val="(%2)"/>
      <w:numFmt w:val="lowerLetter"/>
      <w:start w:val="1"/>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decimal"/>
      <w:start w:val="3"/>
    </w:lvl>
  </w:abstractNum>
  <w:abstractNum w:abstractNumId="33">
    <w:nsid w:val="6A2342EC"/>
    <w:multiLevelType w:val="hybridMultilevel"/>
    <w:lvl w:ilvl="0">
      <w:lvlJc w:val="left"/>
      <w:lvlText w:val="-"/>
      <w:numFmt w:val="bullet"/>
      <w:start w:val="1"/>
    </w:lvl>
    <w:lvl w:ilvl="1">
      <w:lvlJc w:val="left"/>
      <w:lvlText w:val="%2."/>
      <w:numFmt w:val="decimal"/>
      <w:start w:val="4"/>
    </w:lvl>
  </w:abstractNum>
  <w:abstractNum w:abstractNumId="34">
    <w:nsid w:val="2A487CB0"/>
    <w:multiLevelType w:val="hybridMultilevel"/>
    <w:lvl w:ilvl="0">
      <w:lvlJc w:val="left"/>
      <w:lvlText w:val="%1."/>
      <w:numFmt w:val="decimal"/>
      <w:start w:val="4"/>
    </w:lvl>
  </w:abstractNum>
  <w:abstractNum w:abstractNumId="35">
    <w:nsid w:val="1D4ED43B"/>
    <w:multiLevelType w:val="hybridMultilevel"/>
    <w:lvl w:ilvl="0">
      <w:lvlJc w:val="left"/>
      <w:lvlText w:val="%1."/>
      <w:numFmt w:val="decimal"/>
      <w:start w:val="5"/>
    </w:lvl>
  </w:abstractNum>
  <w:abstractNum w:abstractNumId="36">
    <w:nsid w:val="725A06FB"/>
    <w:multiLevelType w:val="hybridMultilevel"/>
    <w:lvl w:ilvl="0">
      <w:lvlJc w:val="left"/>
      <w:lvlText w:val="%1."/>
      <w:numFmt w:val="decimal"/>
      <w:start w:val="6"/>
    </w:lvl>
  </w:abstractNum>
  <w:abstractNum w:abstractNumId="37">
    <w:nsid w:val="2CD89A32"/>
    <w:multiLevelType w:val="hybridMultilevel"/>
    <w:lvl w:ilvl="0">
      <w:lvlJc w:val="left"/>
      <w:lvlText w:val="%1."/>
      <w:numFmt w:val="decimal"/>
      <w:start w:val="8"/>
    </w:lvl>
  </w:abstractNum>
  <w:abstractNum w:abstractNumId="38">
    <w:nsid w:val="57E4CCAF"/>
    <w:multiLevelType w:val="hybridMultilevel"/>
    <w:lvl w:ilvl="0">
      <w:lvlJc w:val="left"/>
      <w:lvlText w:val="%1."/>
      <w:numFmt w:val="decimal"/>
      <w:start w:val="11"/>
    </w:lvl>
  </w:abstractNum>
  <w:abstractNum w:abstractNumId="39">
    <w:nsid w:val="7A6D8D3C"/>
    <w:multiLevelType w:val="hybridMultilevel"/>
    <w:lvl w:ilvl="0">
      <w:lvlJc w:val="left"/>
      <w:lvlText w:val="%1."/>
      <w:numFmt w:val="decimal"/>
      <w:start w:val="12"/>
    </w:lvl>
  </w:abstractNum>
  <w:abstractNum w:abstractNumId="40">
    <w:nsid w:val="4B588F54"/>
    <w:multiLevelType w:val="hybridMultilevel"/>
    <w:lvl w:ilvl="0">
      <w:lvlJc w:val="left"/>
      <w:lvlText w:val="%1."/>
      <w:numFmt w:val="decimal"/>
      <w:start w:val="16"/>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2019-12-28T13:22:40Z</dcterms:created>
  <dcterms:modified xsi:type="dcterms:W3CDTF">2019-12-28T13:22:40Z</dcterms:modified>
</cp:coreProperties>
</file>