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spacing w:after="0"/>
              <w:rPr>
                <w:sz w:val="18"/>
                <w:szCs w:val="18"/>
                <w:color w:val="auto"/>
              </w:rPr>
            </w:pP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1" w:lineRule="exact"/>
        <w:rPr>
          <w:sz w:val="20"/>
          <w:szCs w:val="20"/>
          <w:color w:val="auto"/>
        </w:rPr>
      </w:pPr>
    </w:p>
    <w:p>
      <w:pPr>
        <w:ind w:left="2840" w:hanging="5012"/>
        <w:spacing w:after="0" w:line="223" w:lineRule="exact"/>
        <w:tabs>
          <w:tab w:leader="none" w:pos="2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$0.50 par value, outstanding as of the close of business on July 23, 2010: 119,119,328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June 30,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00" w:type="dxa"/>
            <w:vAlign w:val="bottom"/>
            <w:tcBorders>
              <w:bottom w:val="single" w:sz="8" w:color="auto"/>
            </w:tcBorders>
            <w:gridSpan w:val="23"/>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Page</w:t>
            </w:r>
          </w:p>
        </w:tc>
      </w:tr>
      <w:tr>
        <w:trPr>
          <w:trHeight w:val="385"/>
        </w:trPr>
        <w:tc>
          <w:tcPr>
            <w:tcW w:w="990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4"/>
          </w:tcPr>
          <w:p>
            <w:pPr>
              <w:spacing w:after="0"/>
              <w:rPr>
                <w:sz w:val="24"/>
                <w:szCs w:val="24"/>
                <w:color w:val="auto"/>
              </w:rPr>
            </w:pPr>
          </w:p>
        </w:tc>
        <w:tc>
          <w:tcPr>
            <w:tcW w:w="71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June 30, 2010 and December 31, 2009</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and six months ended June 30, 2010 and 2009</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Six months ended June 30, 2010 and 2009</w:t>
              </w:r>
            </w:hyperlink>
          </w:p>
        </w:tc>
        <w:tc>
          <w:tcPr>
            <w:tcW w:w="300" w:type="dxa"/>
            <w:vAlign w:val="bottom"/>
            <w:tcBorders>
              <w:top w:val="single" w:sz="8" w:color="0000EE"/>
            </w:tcBorders>
          </w:tcPr>
          <w:p>
            <w:pPr>
              <w:spacing w:after="0"/>
              <w:rPr>
                <w:sz w:val="24"/>
                <w:szCs w:val="24"/>
                <w:color w:val="auto"/>
              </w:rPr>
            </w:pPr>
          </w:p>
        </w:tc>
        <w:tc>
          <w:tcPr>
            <w:tcW w:w="2080" w:type="dxa"/>
            <w:vAlign w:val="bottom"/>
            <w:gridSpan w:val="2"/>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5</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CONSOLIDATED STATEMENT OF CHANGES IN STOCKHOLDERS’ EQUITY - Six months ended June 30, 2010 and 2009</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6</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220" w:type="dxa"/>
            <w:vAlign w:val="bottom"/>
            <w:tcBorders>
              <w:top w:val="single" w:sz="8" w:color="0000EE"/>
            </w:tcBorders>
            <w:gridSpan w:val="7"/>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7</w:t>
            </w:r>
          </w:p>
        </w:tc>
      </w:tr>
      <w:tr>
        <w:trPr>
          <w:trHeight w:val="412"/>
        </w:trPr>
        <w:tc>
          <w:tcPr>
            <w:tcW w:w="2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 Management’s Discussion and Analysis of Financial Condition and Results of Operations.</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48</w:t>
            </w:r>
          </w:p>
        </w:tc>
      </w:tr>
      <w:tr>
        <w:trPr>
          <w:trHeight w:val="412"/>
        </w:trPr>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40" w:type="dxa"/>
            <w:vAlign w:val="bottom"/>
            <w:gridSpan w:val="4"/>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97</w:t>
            </w:r>
          </w:p>
        </w:tc>
      </w:tr>
      <w:tr>
        <w:trPr>
          <w:trHeight w:val="412"/>
        </w:trPr>
        <w:tc>
          <w:tcPr>
            <w:tcW w:w="2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4. Controls and Procedures.</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97</w:t>
            </w: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Part II. OTHER INFORMATION</w:t>
              </w:r>
            </w:hyperlink>
          </w:p>
        </w:tc>
        <w:tc>
          <w:tcPr>
            <w:tcW w:w="746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 Legal Proceedings.</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97</w:t>
            </w:r>
          </w:p>
        </w:tc>
      </w:tr>
      <w:tr>
        <w:trPr>
          <w:trHeight w:val="412"/>
        </w:trPr>
        <w:tc>
          <w:tcPr>
            <w:tcW w:w="22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1A. Risk Factors.</w:t>
              </w:r>
            </w:hyperlink>
          </w:p>
        </w:tc>
        <w:tc>
          <w:tcPr>
            <w:tcW w:w="7760" w:type="dxa"/>
            <w:vAlign w:val="bottom"/>
            <w:gridSpan w:val="15"/>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97</w:t>
            </w: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9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Item 2. Unregistered Sales of Equity Securities and Use of Proceeds.</w:t>
              </w:r>
            </w:hyperlink>
          </w:p>
        </w:tc>
        <w:tc>
          <w:tcPr>
            <w:tcW w:w="4740" w:type="dxa"/>
            <w:vAlign w:val="bottom"/>
            <w:gridSpan w:val="7"/>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98</w:t>
            </w:r>
          </w:p>
        </w:tc>
      </w:tr>
      <w:tr>
        <w:trPr>
          <w:trHeight w:val="412"/>
        </w:trPr>
        <w:tc>
          <w:tcPr>
            <w:tcW w:w="220" w:type="dxa"/>
            <w:vAlign w:val="bottom"/>
          </w:tcPr>
          <w:p>
            <w:pPr>
              <w:spacing w:after="0"/>
              <w:rPr>
                <w:sz w:val="24"/>
                <w:szCs w:val="24"/>
                <w:color w:val="auto"/>
              </w:rPr>
            </w:pPr>
          </w:p>
        </w:tc>
        <w:tc>
          <w:tcPr>
            <w:tcW w:w="29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Item 3. Defaults Upon Senior Securities.</w:t>
              </w:r>
            </w:hyperlink>
          </w:p>
        </w:tc>
        <w:tc>
          <w:tcPr>
            <w:tcW w:w="6760" w:type="dxa"/>
            <w:vAlign w:val="bottom"/>
            <w:gridSpan w:val="9"/>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98</w:t>
            </w:r>
          </w:p>
        </w:tc>
      </w:tr>
      <w:tr>
        <w:trPr>
          <w:trHeight w:val="412"/>
        </w:trPr>
        <w:tc>
          <w:tcPr>
            <w:tcW w:w="220" w:type="dxa"/>
            <w:vAlign w:val="bottom"/>
          </w:tcPr>
          <w:p>
            <w:pPr>
              <w:spacing w:after="0"/>
              <w:rPr>
                <w:sz w:val="24"/>
                <w:szCs w:val="24"/>
                <w:color w:val="auto"/>
              </w:rPr>
            </w:pPr>
          </w:p>
        </w:tc>
        <w:tc>
          <w:tcPr>
            <w:tcW w:w="24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Item 4. (Removed and Reserved).</w:t>
              </w:r>
            </w:hyperlink>
          </w:p>
        </w:tc>
        <w:tc>
          <w:tcPr>
            <w:tcW w:w="7260" w:type="dxa"/>
            <w:vAlign w:val="bottom"/>
            <w:gridSpan w:val="11"/>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98</w:t>
            </w:r>
          </w:p>
        </w:tc>
      </w:tr>
      <w:tr>
        <w:trPr>
          <w:trHeight w:val="412"/>
        </w:trPr>
        <w:tc>
          <w:tcPr>
            <w:tcW w:w="220" w:type="dxa"/>
            <w:vAlign w:val="bottom"/>
          </w:tcPr>
          <w:p>
            <w:pPr>
              <w:spacing w:after="0"/>
              <w:rPr>
                <w:sz w:val="24"/>
                <w:szCs w:val="24"/>
                <w:color w:val="auto"/>
              </w:rPr>
            </w:pPr>
          </w:p>
        </w:tc>
        <w:tc>
          <w:tcPr>
            <w:tcW w:w="968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5. Other Information.</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98</w:t>
            </w:r>
          </w:p>
        </w:tc>
      </w:tr>
      <w:tr>
        <w:trPr>
          <w:trHeight w:val="412"/>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7780" w:type="dxa"/>
            <w:vAlign w:val="bottom"/>
            <w:gridSpan w:val="16"/>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99</w:t>
            </w:r>
          </w:p>
        </w:tc>
      </w:tr>
      <w:tr>
        <w:trPr>
          <w:trHeight w:val="412"/>
        </w:trPr>
        <w:tc>
          <w:tcPr>
            <w:tcW w:w="99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SIGNATURES</w:t>
              </w:r>
            </w:hyperlink>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99</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560" w:type="dxa"/>
            <w:vAlign w:val="bottom"/>
            <w:gridSpan w:val="19"/>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EXHIBIT INDEX</w:t>
              </w:r>
            </w:hyperlink>
          </w:p>
        </w:tc>
        <w:tc>
          <w:tcPr>
            <w:tcW w:w="8560" w:type="dxa"/>
            <w:vAlign w:val="bottom"/>
            <w:gridSpan w:val="19"/>
          </w:tcPr>
          <w:p>
            <w:pPr>
              <w:spacing w:after="0"/>
              <w:rPr>
                <w:sz w:val="24"/>
                <w:szCs w:val="24"/>
                <w:color w:val="auto"/>
              </w:rPr>
            </w:pP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100</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651"/>
              <w:spacing w:after="0"/>
              <w:rPr>
                <w:sz w:val="20"/>
                <w:szCs w:val="20"/>
                <w:color w:val="auto"/>
              </w:rPr>
            </w:pPr>
            <w:r>
              <w:rPr>
                <w:rFonts w:ascii="Arial" w:cs="Arial" w:eastAsia="Arial" w:hAnsi="Arial"/>
                <w:sz w:val="14"/>
                <w:szCs w:val="14"/>
                <w:color w:val="auto"/>
              </w:rPr>
              <w:t>June 30,</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r>
      <w:tr>
        <w:trPr>
          <w:trHeight w:val="174"/>
        </w:trPr>
        <w:tc>
          <w:tcPr>
            <w:tcW w:w="796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460" w:type="dxa"/>
            <w:vAlign w:val="bottom"/>
          </w:tcPr>
          <w:p>
            <w:pPr>
              <w:spacing w:after="0"/>
              <w:rPr>
                <w:sz w:val="15"/>
                <w:szCs w:val="15"/>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color w:val="auto"/>
              </w:rPr>
              <w:t>2010</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7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1,045,886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1,226,223</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117,826</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133,335</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Federal funds sold</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10,000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20,119</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487,692</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386,984</w:t>
            </w: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rPr>
              <w:t>Investment securities (includes pledged securities that can be sold or repledged of</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$1,800,035 at June 30, 2010; $1,797,701 at December 31, 2009)</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Available for sale (cost: $6,222,772 at June 30, 2010; $6,997,009 at</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2009)</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6,150,088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6,704,378</w:t>
            </w: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80" w:type="dxa"/>
            <w:vAlign w:val="bottom"/>
          </w:tcPr>
          <w:p>
            <w:pPr>
              <w:ind w:left="200"/>
              <w:spacing w:after="0" w:line="201" w:lineRule="exact"/>
              <w:rPr>
                <w:sz w:val="20"/>
                <w:szCs w:val="20"/>
                <w:color w:val="auto"/>
              </w:rPr>
            </w:pPr>
            <w:r>
              <w:rPr>
                <w:rFonts w:ascii="Arial" w:cs="Arial" w:eastAsia="Arial" w:hAnsi="Arial"/>
                <w:sz w:val="18"/>
                <w:szCs w:val="18"/>
                <w:color w:val="auto"/>
              </w:rPr>
              <w:t>Held to maturity (fair value: $1,373,075 at June 30, 2010; $416,483 at</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80" w:type="dxa"/>
            <w:vAlign w:val="bottom"/>
          </w:tcPr>
          <w:p>
            <w:pPr>
              <w:ind w:left="400"/>
              <w:spacing w:after="0"/>
              <w:rPr>
                <w:sz w:val="20"/>
                <w:szCs w:val="20"/>
                <w:color w:val="auto"/>
              </w:rPr>
            </w:pPr>
            <w:r>
              <w:rPr>
                <w:rFonts w:ascii="Arial" w:cs="Arial" w:eastAsia="Arial" w:hAnsi="Arial"/>
                <w:sz w:val="18"/>
                <w:szCs w:val="18"/>
                <w:color w:val="auto"/>
              </w:rPr>
              <w:t>December 31, 2009)</w:t>
            </w:r>
          </w:p>
        </w:tc>
        <w:tc>
          <w:tcPr>
            <w:tcW w:w="460" w:type="dxa"/>
            <w:vAlign w:val="bottom"/>
          </w:tcPr>
          <w:p>
            <w:pPr>
              <w:spacing w:after="0"/>
              <w:rPr>
                <w:sz w:val="20"/>
                <w:szCs w:val="20"/>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1,481,541</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567,607</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(fair value: $465,943 at June 30, 2010; $508,624 at December 31, 2009)</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465,943</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508,624</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8,097,572</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7,780,609</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8"/>
              </w:rPr>
              <w:t>51,408,153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52,306,457</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460" w:type="dxa"/>
            <w:vAlign w:val="bottom"/>
          </w:tcPr>
          <w:p>
            <w:pPr>
              <w:spacing w:after="0"/>
              <w:rPr>
                <w:sz w:val="18"/>
                <w:szCs w:val="18"/>
                <w:color w:val="auto"/>
              </w:rPr>
            </w:pP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(346,867)</w:t>
            </w:r>
          </w:p>
        </w:tc>
        <w:tc>
          <w:tcPr>
            <w:tcW w:w="1620" w:type="dxa"/>
            <w:vAlign w:val="bottom"/>
          </w:tcPr>
          <w:p>
            <w:pPr>
              <w:jc w:val="right"/>
              <w:ind w:right="151"/>
              <w:spacing w:after="0"/>
              <w:rPr>
                <w:sz w:val="20"/>
                <w:szCs w:val="20"/>
                <w:color w:val="auto"/>
              </w:rPr>
            </w:pPr>
            <w:r>
              <w:rPr>
                <w:rFonts w:ascii="Arial" w:cs="Arial" w:eastAsia="Arial" w:hAnsi="Arial"/>
                <w:sz w:val="18"/>
                <w:szCs w:val="18"/>
                <w:color w:val="auto"/>
              </w:rPr>
              <w:t>(369,771)</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(894,667)</w:t>
            </w:r>
          </w:p>
        </w:tc>
        <w:tc>
          <w:tcPr>
            <w:tcW w:w="16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(878,022)</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Loans and leases, net</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50,166,619</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51,058,664</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422,557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435,845</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3,524,625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3,524,625</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152,712</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182,418</w:t>
            </w: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interest and other assets</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4,128,127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4,131,577</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68,153,616</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68,880,399</w:t>
            </w:r>
          </w:p>
        </w:tc>
      </w:tr>
      <w:tr>
        <w:trPr>
          <w:trHeight w:val="20"/>
        </w:trPr>
        <w:tc>
          <w:tcPr>
            <w:tcW w:w="7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Liabilities</w:t>
            </w:r>
          </w:p>
        </w:tc>
        <w:tc>
          <w:tcPr>
            <w:tcW w:w="4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8"/>
              </w:rPr>
              <w:t>13,960,723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13,794,636</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NOW accounts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1,345,672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1,396,471</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8"/>
              </w:rPr>
              <w:t>25,131,281</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23,676,798</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Time deposits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6,533,567</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7,531,495</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551,428</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1,050,438</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deposits</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47,522,671</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47,449,838</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2,059,653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2,211,692</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 short-term borrowings</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99,304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230,890</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liabilities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1,114,615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995,056</w:t>
            </w: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9,255,529</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10,240,016</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60,051,772</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61,127,492</w:t>
            </w:r>
          </w:p>
        </w:tc>
      </w:tr>
      <w:tr>
        <w:trPr>
          <w:trHeight w:val="223"/>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$1.00 par, 1,000,000 shares authorized, 778,000 shares issued and</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oustanding (liquidation preference $1,000 per share)</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735,350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730,235</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w w:val="97"/>
              </w:rPr>
              <w:t>Common stock, $.50 par, 250,000,000 shares authorized, 120,396,611 shares issued</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60,198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60,198</w:t>
            </w: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issuable, 70,080 shares at June 30, 2010; 75,170 shares at</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4,077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4,342</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2,409,607</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2,442,947</w:t>
            </w: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5,223,834</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5,076,884</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Accumulated other comprehensive income (loss), net</w:t>
            </w:r>
          </w:p>
        </w:tc>
        <w:tc>
          <w:tcPr>
            <w:tcW w:w="460" w:type="dxa"/>
            <w:vAlign w:val="bottom"/>
          </w:tcPr>
          <w:p>
            <w:pPr>
              <w:spacing w:after="0"/>
              <w:rPr>
                <w:sz w:val="18"/>
                <w:szCs w:val="18"/>
                <w:color w:val="auto"/>
              </w:rPr>
            </w:pP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(197,197)</w:t>
            </w:r>
          </w:p>
        </w:tc>
        <w:tc>
          <w:tcPr>
            <w:tcW w:w="1620" w:type="dxa"/>
            <w:vAlign w:val="bottom"/>
          </w:tcPr>
          <w:p>
            <w:pPr>
              <w:jc w:val="right"/>
              <w:ind w:right="151"/>
              <w:spacing w:after="0"/>
              <w:rPr>
                <w:sz w:val="20"/>
                <w:szCs w:val="20"/>
                <w:color w:val="auto"/>
              </w:rPr>
            </w:pPr>
            <w:r>
              <w:rPr>
                <w:rFonts w:ascii="Arial" w:cs="Arial" w:eastAsia="Arial" w:hAnsi="Arial"/>
                <w:sz w:val="18"/>
                <w:szCs w:val="18"/>
                <w:color w:val="auto"/>
              </w:rPr>
              <w:t>(335,997)</w:t>
            </w: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Treasury stock – common, at cost - 1,305,280 shares at June 30, 2010; 2,173,916 shares</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at December 31, 2009</w:t>
            </w:r>
          </w:p>
        </w:tc>
        <w:tc>
          <w:tcPr>
            <w:tcW w:w="4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(134,025)</w:t>
            </w:r>
          </w:p>
        </w:tc>
        <w:tc>
          <w:tcPr>
            <w:tcW w:w="16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(225,702)</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8,101,844</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7,752,907</w:t>
            </w:r>
          </w:p>
        </w:tc>
      </w:tr>
      <w:tr>
        <w:trPr>
          <w:trHeight w:val="216"/>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68,153,616</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68,880,399</w:t>
            </w: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99"/>
        </w:trPr>
        <w:tc>
          <w:tcPr>
            <w:tcW w:w="7960" w:type="dxa"/>
            <w:vAlign w:val="bottom"/>
            <w:gridSpan w:val="3"/>
          </w:tcPr>
          <w:p>
            <w:pPr>
              <w:jc w:val="right"/>
              <w:ind w:right="2010"/>
              <w:spacing w:after="0"/>
              <w:rPr>
                <w:sz w:val="20"/>
                <w:szCs w:val="20"/>
                <w:color w:val="auto"/>
              </w:rPr>
            </w:pPr>
            <w:r>
              <w:rPr>
                <w:rFonts w:ascii="Arial" w:cs="Arial" w:eastAsia="Arial" w:hAnsi="Arial"/>
                <w:sz w:val="18"/>
                <w:szCs w:val="18"/>
                <w:color w:val="auto"/>
              </w:rPr>
              <w:t>- 3 -</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0" w:type="dxa"/>
            <w:vAlign w:val="bottom"/>
            <w:gridSpan w:val="3"/>
          </w:tcPr>
          <w:p>
            <w:pPr>
              <w:jc w:val="right"/>
              <w:ind w:right="350"/>
              <w:spacing w:after="0"/>
              <w:rPr>
                <w:sz w:val="20"/>
                <w:szCs w:val="20"/>
                <w:color w:val="auto"/>
              </w:rPr>
            </w:pPr>
            <w:r>
              <w:rPr>
                <w:rFonts w:ascii="Arial" w:cs="Arial" w:eastAsia="Arial" w:hAnsi="Arial"/>
                <w:sz w:val="14"/>
                <w:szCs w:val="14"/>
                <w:color w:val="auto"/>
              </w:rPr>
              <w:t>Three months ended June 30</w:t>
            </w:r>
          </w:p>
        </w:tc>
        <w:tc>
          <w:tcPr>
            <w:tcW w:w="360" w:type="dxa"/>
            <w:vAlign w:val="bottom"/>
          </w:tcPr>
          <w:p>
            <w:pPr>
              <w:spacing w:after="0"/>
              <w:rPr>
                <w:sz w:val="14"/>
                <w:szCs w:val="14"/>
                <w:color w:val="auto"/>
              </w:rPr>
            </w:pPr>
          </w:p>
        </w:tc>
        <w:tc>
          <w:tcPr>
            <w:tcW w:w="2100" w:type="dxa"/>
            <w:vAlign w:val="bottom"/>
            <w:gridSpan w:val="2"/>
          </w:tcPr>
          <w:p>
            <w:pPr>
              <w:jc w:val="right"/>
              <w:ind w:right="270"/>
              <w:spacing w:after="0"/>
              <w:rPr>
                <w:sz w:val="20"/>
                <w:szCs w:val="20"/>
                <w:color w:val="auto"/>
              </w:rPr>
            </w:pPr>
            <w:r>
              <w:rPr>
                <w:rFonts w:ascii="Arial" w:cs="Arial" w:eastAsia="Arial" w:hAnsi="Arial"/>
                <w:sz w:val="14"/>
                <w:szCs w:val="14"/>
                <w:color w:val="auto"/>
              </w:rPr>
              <w:t>Six months ended June 30</w:t>
            </w:r>
          </w:p>
        </w:tc>
      </w:tr>
      <w:tr>
        <w:trPr>
          <w:trHeight w:val="174"/>
        </w:trPr>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w:t>
            </w:r>
          </w:p>
        </w:tc>
        <w:tc>
          <w:tcPr>
            <w:tcW w:w="660" w:type="dxa"/>
            <w:vAlign w:val="bottom"/>
          </w:tcPr>
          <w:p>
            <w:pPr>
              <w:spacing w:after="0"/>
              <w:rPr>
                <w:sz w:val="15"/>
                <w:szCs w:val="15"/>
                <w:color w:val="auto"/>
              </w:rPr>
            </w:pPr>
          </w:p>
        </w:tc>
        <w:tc>
          <w:tcPr>
            <w:tcW w:w="840" w:type="dxa"/>
            <w:vAlign w:val="bottom"/>
          </w:tcPr>
          <w:p>
            <w:pPr>
              <w:jc w:val="right"/>
              <w:ind w:right="470"/>
              <w:spacing w:after="0"/>
              <w:rPr>
                <w:sz w:val="20"/>
                <w:szCs w:val="20"/>
                <w:color w:val="auto"/>
              </w:rPr>
            </w:pPr>
            <w:r>
              <w:rPr>
                <w:rFonts w:ascii="Arial" w:cs="Arial" w:eastAsia="Arial" w:hAnsi="Arial"/>
                <w:sz w:val="14"/>
                <w:szCs w:val="14"/>
                <w:color w:val="auto"/>
                <w:w w:val="83"/>
              </w:rPr>
              <w:t>2010</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5"/>
                <w:szCs w:val="15"/>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color w:val="auto"/>
              </w:rPr>
              <w:t>2010</w:t>
            </w:r>
          </w:p>
        </w:tc>
        <w:tc>
          <w:tcPr>
            <w:tcW w:w="1080" w:type="dxa"/>
            <w:vAlign w:val="bottom"/>
          </w:tcPr>
          <w:p>
            <w:pPr>
              <w:jc w:val="right"/>
              <w:ind w:right="230"/>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and leases, including fees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596,919</w:t>
            </w:r>
          </w:p>
        </w:tc>
        <w:tc>
          <w:tcPr>
            <w:tcW w:w="11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574,234</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1,185,046</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1,128,563</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Deposits at banks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Agreements to resell securities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securities</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taxable</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85,232</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101,133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170,879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199,600</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Exempt from federal taxes</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2,507</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1,814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5,017</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3,343</w:t>
            </w:r>
          </w:p>
        </w:tc>
      </w:tr>
      <w:tr>
        <w:trPr>
          <w:trHeight w:val="216"/>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 income</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684,784</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677,423</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1,361,170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1,331,935</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Interest expense</w:t>
            </w:r>
          </w:p>
        </w:tc>
        <w:tc>
          <w:tcPr>
            <w:tcW w:w="4720" w:type="dxa"/>
            <w:vAlign w:val="bottom"/>
          </w:tcPr>
          <w:p>
            <w:pPr>
              <w:spacing w:after="0"/>
              <w:rPr>
                <w:sz w:val="20"/>
                <w:szCs w:val="20"/>
                <w:color w:val="auto"/>
              </w:rPr>
            </w:pPr>
            <w:r>
              <w:rPr>
                <w:rFonts w:ascii="Arial" w:cs="Arial" w:eastAsia="Arial" w:hAnsi="Arial"/>
                <w:sz w:val="18"/>
                <w:szCs w:val="18"/>
                <w:color w:val="auto"/>
              </w:rPr>
              <w:t>NOW accounts</w:t>
            </w:r>
          </w:p>
        </w:tc>
        <w:tc>
          <w:tcPr>
            <w:tcW w:w="6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419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21,464</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26,362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41,913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68,284</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Time deposits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26,254</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55,697</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55,700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116,026</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Deposits at foreign office</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376</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701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Short-term borrowings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726</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1,613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4,363</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68,518</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90,960</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137,263</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191,758</w:t>
            </w: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7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interest expense</w:t>
            </w: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117,557</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175,856</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237,609</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382,561</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interest income</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567,227</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501,567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7"/>
              </w:rPr>
              <w:t>1,123,561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949,374</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credit losses</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85,000</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147,000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190,000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305,000</w:t>
            </w:r>
          </w:p>
        </w:tc>
      </w:tr>
      <w:tr>
        <w:trPr>
          <w:trHeight w:val="216"/>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482,227</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354,567</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933,561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644,374</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Other income</w:t>
            </w:r>
          </w:p>
        </w:tc>
        <w:tc>
          <w:tcPr>
            <w:tcW w:w="4720" w:type="dxa"/>
            <w:vAlign w:val="bottom"/>
          </w:tcPr>
          <w:p>
            <w:pPr>
              <w:spacing w:after="0"/>
              <w:rPr>
                <w:sz w:val="20"/>
                <w:szCs w:val="20"/>
                <w:color w:val="auto"/>
              </w:rPr>
            </w:pPr>
            <w:r>
              <w:rPr>
                <w:rFonts w:ascii="Arial" w:cs="Arial" w:eastAsia="Arial" w:hAnsi="Arial"/>
                <w:sz w:val="18"/>
                <w:szCs w:val="18"/>
                <w:color w:val="auto"/>
              </w:rPr>
              <w:t>Mortgage banking revenues</w:t>
            </w:r>
          </w:p>
        </w:tc>
        <w:tc>
          <w:tcPr>
            <w:tcW w:w="6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47,084</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52,983</w:t>
            </w:r>
          </w:p>
        </w:tc>
        <w:tc>
          <w:tcPr>
            <w:tcW w:w="3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88,560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109,216</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128,976</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112,479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249,271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213,508</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Trust income</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30,169</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32,442</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61,097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67,322</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Brokerage services income</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12,788</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13,493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25,894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28,886</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Trading account and foreign exchange gains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3,797</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7,543</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8,496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8,978</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 on bank investment securities</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469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other-than-temporary impairment (“OTTI”) losses</w:t>
            </w:r>
          </w:p>
        </w:tc>
        <w:tc>
          <w:tcPr>
            <w:tcW w:w="6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5"/>
              </w:rPr>
              <w:t>(21,079)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(75,697)</w:t>
            </w:r>
          </w:p>
        </w:tc>
        <w:tc>
          <w:tcPr>
            <w:tcW w:w="36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(50,566)</w:t>
            </w:r>
          </w:p>
        </w:tc>
        <w:tc>
          <w:tcPr>
            <w:tcW w:w="1080" w:type="dxa"/>
            <w:vAlign w:val="bottom"/>
          </w:tcPr>
          <w:p>
            <w:pPr>
              <w:jc w:val="right"/>
              <w:spacing w:after="0"/>
              <w:rPr>
                <w:sz w:val="20"/>
                <w:szCs w:val="20"/>
                <w:color w:val="auto"/>
              </w:rPr>
            </w:pPr>
            <w:r>
              <w:rPr>
                <w:rFonts w:ascii="Arial" w:cs="Arial" w:eastAsia="Arial" w:hAnsi="Arial"/>
                <w:sz w:val="18"/>
                <w:szCs w:val="18"/>
                <w:color w:val="auto"/>
              </w:rPr>
              <w:t>(138,505)</w:t>
            </w:r>
          </w:p>
        </w:tc>
      </w:tr>
      <w:tr>
        <w:trPr>
          <w:trHeight w:val="202"/>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Portion of OTTI losses recognized in other comprehensive</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6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(1,301)</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50,928</w:t>
            </w: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1,384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81,537</w:t>
            </w: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OTTI losses recognized in earnings</w:t>
            </w: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(22,380)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(24,769)</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(49,182)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(56,968)</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Bayview Lending Group LLC</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(6,179)</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(11,893)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revenues from operations</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79,292</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77,393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158,551</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136,532</w:t>
            </w:r>
          </w:p>
        </w:tc>
      </w:tr>
      <w:tr>
        <w:trPr>
          <w:trHeight w:val="216"/>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other income</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273,557</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271,649</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531,263</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503,990</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Other expense</w:t>
            </w:r>
          </w:p>
        </w:tc>
        <w:tc>
          <w:tcPr>
            <w:tcW w:w="47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6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245,861</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249,952</w:t>
            </w:r>
          </w:p>
        </w:tc>
        <w:tc>
          <w:tcPr>
            <w:tcW w:w="3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509,907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499,344</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55,431</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51,321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110,832</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99,493</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8,549</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11,554</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17,592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20,649</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14,833</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15,231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31,308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30,601</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FDIC assessments</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21,608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49,637</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42,956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55,493</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129,786</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186,015</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252,835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296,476</w:t>
            </w: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7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other expense</w:t>
            </w: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476,068</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563,710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965,430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1,002,056</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279,716</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62,506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499,394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146,308</w:t>
            </w: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90,967</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11,318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159,690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30,899</w:t>
            </w:r>
          </w:p>
        </w:tc>
      </w:tr>
      <w:tr>
        <w:trPr>
          <w:trHeight w:val="216"/>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9"/>
              </w:rPr>
              <w:t>188,749</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51,188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339,704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115,409</w:t>
            </w: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176,088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40,964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314,429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96,286</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1.47</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2.63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43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.70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1.40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118,054</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113,218</w:t>
            </w:r>
          </w:p>
        </w:tc>
        <w:tc>
          <w:tcPr>
            <w:tcW w:w="3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117,910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111,836</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118,878</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113,521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118,569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111,988</w:t>
            </w:r>
          </w:p>
        </w:tc>
      </w:tr>
      <w:tr>
        <w:trPr>
          <w:trHeight w:val="40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20" w:type="dxa"/>
            <w:vAlign w:val="bottom"/>
          </w:tcPr>
          <w:p>
            <w:pPr>
              <w:ind w:left="3920"/>
              <w:spacing w:after="0"/>
              <w:rPr>
                <w:sz w:val="20"/>
                <w:szCs w:val="20"/>
                <w:color w:val="auto"/>
              </w:rPr>
            </w:pPr>
            <w:r>
              <w:rPr>
                <w:rFonts w:ascii="Arial" w:cs="Arial" w:eastAsia="Arial" w:hAnsi="Arial"/>
                <w:sz w:val="18"/>
                <w:szCs w:val="18"/>
                <w:color w:val="auto"/>
              </w:rPr>
              <w:t>- 4 -</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gridSpan w:val="2"/>
          </w:tcPr>
          <w:p>
            <w:pPr>
              <w:jc w:val="right"/>
              <w:ind w:right="790"/>
              <w:spacing w:after="0"/>
              <w:rPr>
                <w:sz w:val="20"/>
                <w:szCs w:val="20"/>
                <w:color w:val="auto"/>
              </w:rPr>
            </w:pPr>
            <w:r>
              <w:rPr>
                <w:rFonts w:ascii="Arial" w:cs="Arial" w:eastAsia="Arial" w:hAnsi="Arial"/>
                <w:sz w:val="14"/>
                <w:szCs w:val="14"/>
                <w:color w:val="auto"/>
              </w:rPr>
              <w:t>Six months ended June 30</w:t>
            </w:r>
          </w:p>
        </w:tc>
      </w:tr>
      <w:tr>
        <w:trPr>
          <w:trHeight w:val="174"/>
        </w:trPr>
        <w:tc>
          <w:tcPr>
            <w:tcW w:w="2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ind w:right="751"/>
              <w:spacing w:after="0"/>
              <w:rPr>
                <w:sz w:val="20"/>
                <w:szCs w:val="20"/>
                <w:color w:val="auto"/>
              </w:rPr>
            </w:pPr>
            <w:r>
              <w:rPr>
                <w:rFonts w:ascii="Arial" w:cs="Arial" w:eastAsia="Arial" w:hAnsi="Arial"/>
                <w:sz w:val="14"/>
                <w:szCs w:val="14"/>
                <w:color w:val="auto"/>
              </w:rPr>
              <w:t>2010</w:t>
            </w:r>
          </w:p>
        </w:tc>
        <w:tc>
          <w:tcPr>
            <w:tcW w:w="1580" w:type="dxa"/>
            <w:vAlign w:val="bottom"/>
          </w:tcPr>
          <w:p>
            <w:pPr>
              <w:jc w:val="right"/>
              <w:ind w:right="450"/>
              <w:spacing w:after="0"/>
              <w:rPr>
                <w:sz w:val="20"/>
                <w:szCs w:val="20"/>
                <w:color w:val="auto"/>
              </w:rPr>
            </w:pPr>
            <w:r>
              <w:rPr>
                <w:rFonts w:ascii="Arial" w:cs="Arial" w:eastAsia="Arial" w:hAnsi="Arial"/>
                <w:sz w:val="14"/>
                <w:szCs w:val="14"/>
                <w:color w:val="auto"/>
              </w:rPr>
              <w:t>2009</w:t>
            </w:r>
          </w:p>
        </w:tc>
      </w:tr>
      <w:tr>
        <w:trPr>
          <w:trHeight w:val="202"/>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240" w:type="dxa"/>
            <w:vAlign w:val="bottom"/>
            <w:tcBorders>
              <w:top w:val="single" w:sz="8" w:color="auto"/>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339,704</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115,409</w:t>
            </w: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9"/>
              </w:rPr>
              <w:t>Adjustments to reconcile net income to net cash provided by operating</w:t>
            </w: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credit losses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190,000</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305,000</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Depreciation and amortization of premises and equipment</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34,045</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26,855</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capitalized servicing rights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28,908</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31,498</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Amortization of core deposit and other intangible assets</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31,308</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30,601</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deferred income taxes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(22,923)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62,472</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Asset write-downs</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51,510</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80,439</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(gain) loss on sales of assets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1,420</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Net change in accrued interest receivable, payable</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(2,248)</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10,408</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other accrued income and expense</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155,403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38,101</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Net change in loans originated for sale</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227,734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(241,186)</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change in trading account assets and liabilities</w:t>
            </w:r>
          </w:p>
        </w:tc>
        <w:tc>
          <w:tcPr>
            <w:tcW w:w="6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(6,091)</w:t>
            </w: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(44,953)</w:t>
            </w:r>
          </w:p>
        </w:tc>
      </w:tr>
      <w:tr>
        <w:trPr>
          <w:trHeight w:val="230"/>
        </w:trPr>
        <w:tc>
          <w:tcPr>
            <w:tcW w:w="2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4"/>
              </w:rPr>
              <w:t>1,028,770</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414,505</w:t>
            </w: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24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sales of investment securities</w:t>
            </w:r>
          </w:p>
        </w:tc>
        <w:tc>
          <w:tcPr>
            <w:tcW w:w="6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14,870</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7,020</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49,463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42,522</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Proceeds from maturities of investment securities</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729,562</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1,069,602</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Held to maturity</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77,524</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56,024</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Purchases of investment securities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(401,246)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(33,621)</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to maturity</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(987,993)</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(19,170)</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(6,781)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(2,886)</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decrease in agreements to resell securities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Net decrease in loans and leases</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757,032</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110,264</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investments, net</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(21,152)</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(14,179)</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Additions to capitalized servicing rights</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(95)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Capital expenditures, net</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(23,403)</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(17,655)</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Acquisitions, net of cash acquired</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Banks and bank holding companies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144,009</w:t>
            </w: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56,232</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16,668</w:t>
            </w:r>
          </w:p>
        </w:tc>
      </w:tr>
      <w:tr>
        <w:trPr>
          <w:trHeight w:val="216"/>
        </w:trPr>
        <w:tc>
          <w:tcPr>
            <w:tcW w:w="20" w:type="dxa"/>
            <w:vAlign w:val="bottom"/>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244,013</w:t>
            </w:r>
          </w:p>
        </w:tc>
        <w:tc>
          <w:tcPr>
            <w:tcW w:w="15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1,448,300</w:t>
            </w:r>
          </w:p>
        </w:tc>
      </w:tr>
      <w:tr>
        <w:trPr>
          <w:trHeight w:val="209"/>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Cash flows from</w:t>
            </w:r>
          </w:p>
        </w:tc>
        <w:tc>
          <w:tcPr>
            <w:tcW w:w="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Net increase (decrease) in deposits</w:t>
            </w:r>
          </w:p>
        </w:tc>
        <w:tc>
          <w:tcPr>
            <w:tcW w:w="62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82,464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(881,060)</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decrease in short-term borrowings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(283,616)</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(235,111)</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Payments on long-term borrowings</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w w:val="89"/>
              </w:rPr>
              <w:t>(1,106,386)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(1,001,334)</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Dividends paid — common</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(167,090)</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(160,023)</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Dividends paid — preferred</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(20,113)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(11,833)</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31,502</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9,133</w:t>
            </w: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Net cash used by financing activities</w:t>
            </w:r>
          </w:p>
        </w:tc>
        <w:tc>
          <w:tcPr>
            <w:tcW w:w="6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color w:val="auto"/>
                <w:w w:val="89"/>
              </w:rPr>
              <w:t>(1,463,239)</w:t>
            </w:r>
          </w:p>
        </w:tc>
        <w:tc>
          <w:tcPr>
            <w:tcW w:w="15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(2,280,228)</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(190,456)</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(417,423)</w:t>
            </w: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4"/>
              </w:rPr>
              <w:t>1,246,342</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1,568,151</w:t>
            </w:r>
          </w:p>
        </w:tc>
      </w:tr>
      <w:tr>
        <w:trPr>
          <w:trHeight w:val="216"/>
        </w:trPr>
        <w:tc>
          <w:tcPr>
            <w:tcW w:w="20" w:type="dxa"/>
            <w:vAlign w:val="bottom"/>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58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4"/>
              </w:rPr>
              <w:t>1,055,886</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1,150,728</w:t>
            </w:r>
          </w:p>
        </w:tc>
      </w:tr>
      <w:tr>
        <w:trPr>
          <w:trHeight w:val="20"/>
        </w:trPr>
        <w:tc>
          <w:tcPr>
            <w:tcW w:w="2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tcBorders>
          </w:tcPr>
          <w:p>
            <w:pPr>
              <w:spacing w:after="0"/>
              <w:rPr>
                <w:sz w:val="17"/>
                <w:szCs w:val="17"/>
                <w:color w:val="auto"/>
              </w:rPr>
            </w:pPr>
          </w:p>
        </w:tc>
        <w:tc>
          <w:tcPr>
            <w:tcW w:w="56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of cash flow</w:t>
            </w:r>
          </w:p>
        </w:tc>
        <w:tc>
          <w:tcPr>
            <w:tcW w:w="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Interest received during the period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1"/>
              <w:spacing w:after="0"/>
              <w:rPr>
                <w:sz w:val="20"/>
                <w:szCs w:val="20"/>
                <w:color w:val="auto"/>
              </w:rPr>
            </w:pPr>
            <w:r>
              <w:rPr>
                <w:rFonts w:ascii="Arial" w:cs="Arial" w:eastAsia="Arial" w:hAnsi="Arial"/>
                <w:sz w:val="18"/>
                <w:szCs w:val="18"/>
                <w:color w:val="auto"/>
                <w:w w:val="94"/>
              </w:rPr>
              <w:t>1,382,432</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1,330,441</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paid during the period</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248,214</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351,744</w:t>
            </w:r>
          </w:p>
        </w:tc>
      </w:tr>
      <w:tr>
        <w:trPr>
          <w:trHeight w:val="216"/>
        </w:trPr>
        <w:tc>
          <w:tcPr>
            <w:tcW w:w="2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58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Income taxes paid (refunded) during the period</w:t>
            </w: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145,202</w:t>
            </w: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(9,551)</w:t>
            </w: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Supplemental schedule</w:t>
            </w:r>
          </w:p>
        </w:tc>
        <w:tc>
          <w:tcPr>
            <w:tcW w:w="24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of noncash investing</w:t>
            </w: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and financing activities</w:t>
            </w: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Real estate acquired in settlement of loans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141,168</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51,143</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Increase (decrease) from consolidation of securitization trusts:</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423,865</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Investment securities — available for sale</w:t>
            </w:r>
          </w:p>
        </w:tc>
        <w:tc>
          <w:tcPr>
            <w:tcW w:w="6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(360,471)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65,419</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interest and other</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2,025</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Securitization of residential mortgage loans allocated to:</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Available for sale investment securities</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140,942</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servicing rights</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788</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w:t>
            </w:r>
          </w:p>
        </w:tc>
        <w:tc>
          <w:tcPr>
            <w:tcW w:w="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Assets aquired (noncash)</w:t>
            </w:r>
          </w:p>
        </w:tc>
        <w:tc>
          <w:tcPr>
            <w:tcW w:w="62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6,171,252</w:t>
            </w:r>
          </w:p>
        </w:tc>
      </w:tr>
      <w:tr>
        <w:trPr>
          <w:trHeight w:val="84"/>
        </w:trPr>
        <w:tc>
          <w:tcPr>
            <w:tcW w:w="20" w:type="dxa"/>
            <w:vAlign w:val="bottom"/>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419"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Liabilities assumed</w:t>
            </w:r>
          </w:p>
        </w:tc>
        <w:tc>
          <w:tcPr>
            <w:tcW w:w="4840" w:type="dxa"/>
            <w:vAlign w:val="bottom"/>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5,878,941</w:t>
            </w:r>
          </w:p>
        </w:tc>
      </w:tr>
      <w:tr>
        <w:trPr>
          <w:trHeight w:val="216"/>
        </w:trPr>
        <w:tc>
          <w:tcPr>
            <w:tcW w:w="5000" w:type="dxa"/>
            <w:vAlign w:val="bottom"/>
          </w:tcPr>
          <w:p>
            <w:pPr>
              <w:ind w:left="2660"/>
              <w:spacing w:after="0"/>
              <w:rPr>
                <w:sz w:val="20"/>
                <w:szCs w:val="20"/>
                <w:color w:val="auto"/>
              </w:rPr>
            </w:pPr>
            <w:r>
              <w:rPr>
                <w:rFonts w:ascii="Arial" w:cs="Arial" w:eastAsia="Arial" w:hAnsi="Arial"/>
                <w:sz w:val="18"/>
                <w:szCs w:val="18"/>
                <w:color w:val="auto"/>
              </w:rPr>
              <w:t>Preferred stock issued</w:t>
            </w:r>
          </w:p>
        </w:tc>
        <w:tc>
          <w:tcPr>
            <w:tcW w:w="4840" w:type="dxa"/>
            <w:vAlign w:val="bottom"/>
          </w:tcPr>
          <w:p>
            <w:pPr>
              <w:ind w:left="40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155,779</w:t>
            </w:r>
          </w:p>
        </w:tc>
      </w:tr>
      <w:tr>
        <w:trPr>
          <w:trHeight w:val="216"/>
        </w:trPr>
        <w:tc>
          <w:tcPr>
            <w:tcW w:w="50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Common stock issued</w:t>
            </w:r>
          </w:p>
        </w:tc>
        <w:tc>
          <w:tcPr>
            <w:tcW w:w="4840" w:type="dxa"/>
            <w:vAlign w:val="bottom"/>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272,824</w:t>
            </w:r>
          </w:p>
        </w:tc>
      </w:tr>
      <w:tr>
        <w:trPr>
          <w:trHeight w:val="216"/>
        </w:trPr>
        <w:tc>
          <w:tcPr>
            <w:tcW w:w="5000" w:type="dxa"/>
            <w:vAlign w:val="bottom"/>
          </w:tcPr>
          <w:p>
            <w:pPr>
              <w:ind w:left="2660"/>
              <w:spacing w:after="0"/>
              <w:rPr>
                <w:sz w:val="20"/>
                <w:szCs w:val="20"/>
                <w:color w:val="auto"/>
              </w:rPr>
            </w:pPr>
            <w:r>
              <w:rPr>
                <w:rFonts w:ascii="Arial" w:cs="Arial" w:eastAsia="Arial" w:hAnsi="Arial"/>
                <w:sz w:val="18"/>
                <w:szCs w:val="18"/>
                <w:color w:val="auto"/>
              </w:rPr>
              <w:t>Common stock options</w:t>
            </w:r>
          </w:p>
        </w:tc>
        <w:tc>
          <w:tcPr>
            <w:tcW w:w="4840" w:type="dxa"/>
            <w:vAlign w:val="bottom"/>
          </w:tcPr>
          <w:p>
            <w:pPr>
              <w:ind w:left="40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1,367</w:t>
            </w:r>
          </w:p>
        </w:tc>
      </w:tr>
      <w:tr>
        <w:trPr>
          <w:trHeight w:val="216"/>
        </w:trPr>
        <w:tc>
          <w:tcPr>
            <w:tcW w:w="50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Common stock warrants</w:t>
            </w:r>
          </w:p>
        </w:tc>
        <w:tc>
          <w:tcPr>
            <w:tcW w:w="4840" w:type="dxa"/>
            <w:vAlign w:val="bottom"/>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6,467</w:t>
            </w:r>
          </w:p>
        </w:tc>
      </w:tr>
      <w:tr>
        <w:trPr>
          <w:trHeight w:val="392"/>
        </w:trPr>
        <w:tc>
          <w:tcPr>
            <w:tcW w:w="5000" w:type="dxa"/>
            <w:vAlign w:val="bottom"/>
          </w:tcPr>
          <w:p>
            <w:pPr>
              <w:spacing w:after="0"/>
              <w:rPr>
                <w:sz w:val="24"/>
                <w:szCs w:val="24"/>
                <w:color w:val="auto"/>
              </w:rPr>
            </w:pPr>
          </w:p>
        </w:tc>
        <w:tc>
          <w:tcPr>
            <w:tcW w:w="4840" w:type="dxa"/>
            <w:vAlign w:val="bottom"/>
          </w:tcPr>
          <w:p>
            <w:pPr>
              <w:ind w:left="560"/>
              <w:spacing w:after="0"/>
              <w:rPr>
                <w:sz w:val="20"/>
                <w:szCs w:val="20"/>
                <w:color w:val="auto"/>
              </w:rPr>
            </w:pPr>
            <w:r>
              <w:rPr>
                <w:rFonts w:ascii="Arial" w:cs="Arial" w:eastAsia="Arial" w:hAnsi="Arial"/>
                <w:sz w:val="18"/>
                <w:szCs w:val="18"/>
                <w:color w:val="auto"/>
              </w:rPr>
              <w:t>- 5 -</w:t>
            </w:r>
          </w:p>
        </w:tc>
        <w:tc>
          <w:tcPr>
            <w:tcW w:w="1580" w:type="dxa"/>
            <w:vAlign w:val="bottom"/>
          </w:tcPr>
          <w:p>
            <w:pPr>
              <w:spacing w:after="0"/>
              <w:rPr>
                <w:sz w:val="24"/>
                <w:szCs w:val="24"/>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jc w:val="right"/>
              <w:ind w:right="238"/>
              <w:spacing w:after="0"/>
              <w:rPr>
                <w:sz w:val="20"/>
                <w:szCs w:val="20"/>
                <w:color w:val="auto"/>
              </w:rPr>
            </w:pPr>
            <w:r>
              <w:rPr>
                <w:rFonts w:ascii="Arial" w:cs="Arial" w:eastAsia="Arial" w:hAnsi="Arial"/>
                <w:sz w:val="11"/>
                <w:szCs w:val="11"/>
                <w:color w:val="auto"/>
              </w:rPr>
              <w:t>Accumulated</w:t>
            </w: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jc w:val="right"/>
              <w:ind w:right="238"/>
              <w:spacing w:after="0" w:line="122" w:lineRule="exact"/>
              <w:rPr>
                <w:sz w:val="20"/>
                <w:szCs w:val="20"/>
                <w:color w:val="auto"/>
              </w:rPr>
            </w:pPr>
            <w:r>
              <w:rPr>
                <w:rFonts w:ascii="Arial" w:cs="Arial" w:eastAsia="Arial" w:hAnsi="Arial"/>
                <w:sz w:val="11"/>
                <w:szCs w:val="11"/>
                <w:color w:val="auto"/>
              </w:rPr>
              <w:t>other</w:t>
            </w: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jc w:val="right"/>
              <w:ind w:right="278"/>
              <w:spacing w:after="0" w:line="122" w:lineRule="exact"/>
              <w:rPr>
                <w:sz w:val="20"/>
                <w:szCs w:val="20"/>
                <w:color w:val="auto"/>
              </w:rPr>
            </w:pPr>
            <w:r>
              <w:rPr>
                <w:rFonts w:ascii="Arial" w:cs="Arial" w:eastAsia="Arial" w:hAnsi="Arial"/>
                <w:sz w:val="11"/>
                <w:szCs w:val="11"/>
                <w:color w:val="auto"/>
              </w:rPr>
              <w:t>Common</w:t>
            </w:r>
          </w:p>
        </w:tc>
        <w:tc>
          <w:tcPr>
            <w:tcW w:w="1120" w:type="dxa"/>
            <w:vAlign w:val="bottom"/>
          </w:tcPr>
          <w:p>
            <w:pPr>
              <w:jc w:val="right"/>
              <w:ind w:right="278"/>
              <w:spacing w:after="0" w:line="122" w:lineRule="exact"/>
              <w:rPr>
                <w:sz w:val="20"/>
                <w:szCs w:val="20"/>
                <w:color w:val="auto"/>
              </w:rPr>
            </w:pPr>
            <w:r>
              <w:rPr>
                <w:rFonts w:ascii="Arial" w:cs="Arial" w:eastAsia="Arial" w:hAnsi="Arial"/>
                <w:sz w:val="11"/>
                <w:szCs w:val="11"/>
                <w:color w:val="auto"/>
              </w:rPr>
              <w:t>Additional</w:t>
            </w:r>
          </w:p>
        </w:tc>
        <w:tc>
          <w:tcPr>
            <w:tcW w:w="1040" w:type="dxa"/>
            <w:vAlign w:val="bottom"/>
          </w:tcPr>
          <w:p>
            <w:pPr>
              <w:spacing w:after="0"/>
              <w:rPr>
                <w:sz w:val="10"/>
                <w:szCs w:val="10"/>
                <w:color w:val="auto"/>
              </w:rPr>
            </w:pPr>
          </w:p>
        </w:tc>
        <w:tc>
          <w:tcPr>
            <w:tcW w:w="1180" w:type="dxa"/>
            <w:vAlign w:val="bottom"/>
          </w:tcPr>
          <w:p>
            <w:pPr>
              <w:jc w:val="right"/>
              <w:ind w:right="238"/>
              <w:spacing w:after="0" w:line="122" w:lineRule="exact"/>
              <w:rPr>
                <w:sz w:val="20"/>
                <w:szCs w:val="20"/>
                <w:color w:val="auto"/>
              </w:rPr>
            </w:pPr>
            <w:r>
              <w:rPr>
                <w:rFonts w:ascii="Arial" w:cs="Arial" w:eastAsia="Arial" w:hAnsi="Arial"/>
                <w:sz w:val="11"/>
                <w:szCs w:val="11"/>
                <w:color w:val="auto"/>
              </w:rPr>
              <w:t>comprehensive</w:t>
            </w: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jc w:val="right"/>
              <w:ind w:right="318"/>
              <w:spacing w:after="0" w:line="122" w:lineRule="exact"/>
              <w:rPr>
                <w:sz w:val="20"/>
                <w:szCs w:val="20"/>
                <w:color w:val="auto"/>
              </w:rPr>
            </w:pPr>
            <w:r>
              <w:rPr>
                <w:rFonts w:ascii="Arial" w:cs="Arial" w:eastAsia="Arial" w:hAnsi="Arial"/>
                <w:sz w:val="11"/>
                <w:szCs w:val="11"/>
                <w:color w:val="auto"/>
              </w:rPr>
              <w:t>Preferred</w:t>
            </w:r>
          </w:p>
        </w:tc>
        <w:tc>
          <w:tcPr>
            <w:tcW w:w="1180" w:type="dxa"/>
            <w:vAlign w:val="bottom"/>
          </w:tcPr>
          <w:p>
            <w:pPr>
              <w:jc w:val="right"/>
              <w:ind w:right="318"/>
              <w:spacing w:after="0" w:line="122" w:lineRule="exact"/>
              <w:rPr>
                <w:sz w:val="20"/>
                <w:szCs w:val="20"/>
                <w:color w:val="auto"/>
              </w:rPr>
            </w:pPr>
            <w:r>
              <w:rPr>
                <w:rFonts w:ascii="Arial" w:cs="Arial" w:eastAsia="Arial" w:hAnsi="Arial"/>
                <w:sz w:val="11"/>
                <w:szCs w:val="11"/>
                <w:color w:val="auto"/>
              </w:rPr>
              <w:t>Common</w:t>
            </w:r>
          </w:p>
        </w:tc>
        <w:tc>
          <w:tcPr>
            <w:tcW w:w="1120" w:type="dxa"/>
            <w:vAlign w:val="bottom"/>
          </w:tcPr>
          <w:p>
            <w:pPr>
              <w:jc w:val="right"/>
              <w:ind w:right="278"/>
              <w:spacing w:after="0" w:line="122" w:lineRule="exact"/>
              <w:rPr>
                <w:sz w:val="20"/>
                <w:szCs w:val="20"/>
                <w:color w:val="auto"/>
              </w:rPr>
            </w:pPr>
            <w:r>
              <w:rPr>
                <w:rFonts w:ascii="Arial" w:cs="Arial" w:eastAsia="Arial" w:hAnsi="Arial"/>
                <w:sz w:val="11"/>
                <w:szCs w:val="11"/>
                <w:color w:val="auto"/>
              </w:rPr>
              <w:t>stock</w:t>
            </w:r>
          </w:p>
        </w:tc>
        <w:tc>
          <w:tcPr>
            <w:tcW w:w="1120" w:type="dxa"/>
            <w:vAlign w:val="bottom"/>
          </w:tcPr>
          <w:p>
            <w:pPr>
              <w:jc w:val="right"/>
              <w:ind w:right="278"/>
              <w:spacing w:after="0" w:line="122" w:lineRule="exact"/>
              <w:rPr>
                <w:sz w:val="20"/>
                <w:szCs w:val="20"/>
                <w:color w:val="auto"/>
              </w:rPr>
            </w:pPr>
            <w:r>
              <w:rPr>
                <w:rFonts w:ascii="Arial" w:cs="Arial" w:eastAsia="Arial" w:hAnsi="Arial"/>
                <w:sz w:val="11"/>
                <w:szCs w:val="11"/>
                <w:color w:val="auto"/>
              </w:rPr>
              <w:t>paid-in</w:t>
            </w:r>
          </w:p>
        </w:tc>
        <w:tc>
          <w:tcPr>
            <w:tcW w:w="1040" w:type="dxa"/>
            <w:vAlign w:val="bottom"/>
          </w:tcPr>
          <w:p>
            <w:pPr>
              <w:jc w:val="right"/>
              <w:ind w:right="198"/>
              <w:spacing w:after="0" w:line="122" w:lineRule="exact"/>
              <w:rPr>
                <w:sz w:val="20"/>
                <w:szCs w:val="20"/>
                <w:color w:val="auto"/>
              </w:rPr>
            </w:pPr>
            <w:r>
              <w:rPr>
                <w:rFonts w:ascii="Arial" w:cs="Arial" w:eastAsia="Arial" w:hAnsi="Arial"/>
                <w:sz w:val="11"/>
                <w:szCs w:val="11"/>
                <w:color w:val="auto"/>
              </w:rPr>
              <w:t>Retained</w:t>
            </w:r>
          </w:p>
        </w:tc>
        <w:tc>
          <w:tcPr>
            <w:tcW w:w="1180" w:type="dxa"/>
            <w:vAlign w:val="bottom"/>
          </w:tcPr>
          <w:p>
            <w:pPr>
              <w:jc w:val="right"/>
              <w:ind w:right="238"/>
              <w:spacing w:after="0" w:line="122" w:lineRule="exact"/>
              <w:rPr>
                <w:sz w:val="20"/>
                <w:szCs w:val="20"/>
                <w:color w:val="auto"/>
              </w:rPr>
            </w:pPr>
            <w:r>
              <w:rPr>
                <w:rFonts w:ascii="Arial" w:cs="Arial" w:eastAsia="Arial" w:hAnsi="Arial"/>
                <w:sz w:val="11"/>
                <w:szCs w:val="11"/>
                <w:color w:val="auto"/>
              </w:rPr>
              <w:t>income</w:t>
            </w:r>
          </w:p>
        </w:tc>
        <w:tc>
          <w:tcPr>
            <w:tcW w:w="1260" w:type="dxa"/>
            <w:vAlign w:val="bottom"/>
          </w:tcPr>
          <w:p>
            <w:pPr>
              <w:jc w:val="right"/>
              <w:ind w:right="378"/>
              <w:spacing w:after="0" w:line="122" w:lineRule="exact"/>
              <w:rPr>
                <w:sz w:val="20"/>
                <w:szCs w:val="20"/>
                <w:color w:val="auto"/>
              </w:rPr>
            </w:pPr>
            <w:r>
              <w:rPr>
                <w:rFonts w:ascii="Arial" w:cs="Arial" w:eastAsia="Arial" w:hAnsi="Arial"/>
                <w:sz w:val="11"/>
                <w:szCs w:val="11"/>
                <w:color w:val="auto"/>
              </w:rPr>
              <w:t>Treasury</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60" w:type="dxa"/>
            <w:vAlign w:val="bottom"/>
            <w:gridSpan w:val="2"/>
          </w:tcPr>
          <w:p>
            <w:pPr>
              <w:spacing w:after="0"/>
              <w:rPr>
                <w:sz w:val="20"/>
                <w:szCs w:val="20"/>
                <w:color w:val="auto"/>
              </w:rPr>
            </w:pPr>
            <w:r>
              <w:rPr>
                <w:rFonts w:ascii="Arial" w:cs="Arial" w:eastAsia="Arial" w:hAnsi="Arial"/>
                <w:sz w:val="11"/>
                <w:szCs w:val="11"/>
                <w:i w:val="1"/>
                <w:iCs w:val="1"/>
                <w:color w:val="auto"/>
              </w:rPr>
              <w:t>In thousands, except per share</w:t>
            </w:r>
          </w:p>
        </w:tc>
        <w:tc>
          <w:tcPr>
            <w:tcW w:w="380" w:type="dxa"/>
            <w:vAlign w:val="bottom"/>
          </w:tcPr>
          <w:p>
            <w:pPr>
              <w:spacing w:after="0"/>
              <w:rPr>
                <w:sz w:val="12"/>
                <w:szCs w:val="12"/>
                <w:color w:val="auto"/>
              </w:rPr>
            </w:pPr>
          </w:p>
        </w:tc>
        <w:tc>
          <w:tcPr>
            <w:tcW w:w="900" w:type="dxa"/>
            <w:vAlign w:val="bottom"/>
          </w:tcPr>
          <w:p>
            <w:pPr>
              <w:jc w:val="right"/>
              <w:ind w:right="318"/>
              <w:spacing w:after="0"/>
              <w:rPr>
                <w:sz w:val="20"/>
                <w:szCs w:val="20"/>
                <w:color w:val="auto"/>
              </w:rPr>
            </w:pPr>
            <w:r>
              <w:rPr>
                <w:rFonts w:ascii="Arial" w:cs="Arial" w:eastAsia="Arial" w:hAnsi="Arial"/>
                <w:sz w:val="11"/>
                <w:szCs w:val="11"/>
                <w:color w:val="auto"/>
              </w:rPr>
              <w:t>stock</w:t>
            </w:r>
          </w:p>
        </w:tc>
        <w:tc>
          <w:tcPr>
            <w:tcW w:w="1180" w:type="dxa"/>
            <w:vAlign w:val="bottom"/>
          </w:tcPr>
          <w:p>
            <w:pPr>
              <w:jc w:val="right"/>
              <w:ind w:right="318"/>
              <w:spacing w:after="0"/>
              <w:rPr>
                <w:sz w:val="20"/>
                <w:szCs w:val="20"/>
                <w:color w:val="auto"/>
              </w:rPr>
            </w:pPr>
            <w:r>
              <w:rPr>
                <w:rFonts w:ascii="Arial" w:cs="Arial" w:eastAsia="Arial" w:hAnsi="Arial"/>
                <w:sz w:val="11"/>
                <w:szCs w:val="11"/>
                <w:color w:val="auto"/>
              </w:rPr>
              <w:t>stock</w:t>
            </w:r>
          </w:p>
        </w:tc>
        <w:tc>
          <w:tcPr>
            <w:tcW w:w="1120" w:type="dxa"/>
            <w:vAlign w:val="bottom"/>
          </w:tcPr>
          <w:p>
            <w:pPr>
              <w:jc w:val="right"/>
              <w:ind w:right="278"/>
              <w:spacing w:after="0"/>
              <w:rPr>
                <w:sz w:val="20"/>
                <w:szCs w:val="20"/>
                <w:color w:val="auto"/>
              </w:rPr>
            </w:pPr>
            <w:r>
              <w:rPr>
                <w:rFonts w:ascii="Arial" w:cs="Arial" w:eastAsia="Arial" w:hAnsi="Arial"/>
                <w:sz w:val="11"/>
                <w:szCs w:val="11"/>
                <w:color w:val="auto"/>
              </w:rPr>
              <w:t>issuable</w:t>
            </w:r>
          </w:p>
        </w:tc>
        <w:tc>
          <w:tcPr>
            <w:tcW w:w="1120" w:type="dxa"/>
            <w:vAlign w:val="bottom"/>
          </w:tcPr>
          <w:p>
            <w:pPr>
              <w:jc w:val="right"/>
              <w:ind w:right="278"/>
              <w:spacing w:after="0"/>
              <w:rPr>
                <w:sz w:val="20"/>
                <w:szCs w:val="20"/>
                <w:color w:val="auto"/>
              </w:rPr>
            </w:pPr>
            <w:r>
              <w:rPr>
                <w:rFonts w:ascii="Arial" w:cs="Arial" w:eastAsia="Arial" w:hAnsi="Arial"/>
                <w:sz w:val="11"/>
                <w:szCs w:val="11"/>
                <w:color w:val="auto"/>
              </w:rPr>
              <w:t>capital</w:t>
            </w:r>
          </w:p>
        </w:tc>
        <w:tc>
          <w:tcPr>
            <w:tcW w:w="1040" w:type="dxa"/>
            <w:vAlign w:val="bottom"/>
          </w:tcPr>
          <w:p>
            <w:pPr>
              <w:jc w:val="right"/>
              <w:ind w:right="198"/>
              <w:spacing w:after="0"/>
              <w:rPr>
                <w:sz w:val="20"/>
                <w:szCs w:val="20"/>
                <w:color w:val="auto"/>
              </w:rPr>
            </w:pPr>
            <w:r>
              <w:rPr>
                <w:rFonts w:ascii="Arial" w:cs="Arial" w:eastAsia="Arial" w:hAnsi="Arial"/>
                <w:sz w:val="11"/>
                <w:szCs w:val="11"/>
                <w:color w:val="auto"/>
              </w:rPr>
              <w:t>earnings</w:t>
            </w:r>
          </w:p>
        </w:tc>
        <w:tc>
          <w:tcPr>
            <w:tcW w:w="1180" w:type="dxa"/>
            <w:vAlign w:val="bottom"/>
          </w:tcPr>
          <w:p>
            <w:pPr>
              <w:jc w:val="right"/>
              <w:ind w:right="238"/>
              <w:spacing w:after="0"/>
              <w:rPr>
                <w:sz w:val="20"/>
                <w:szCs w:val="20"/>
                <w:color w:val="auto"/>
              </w:rPr>
            </w:pPr>
            <w:r>
              <w:rPr>
                <w:rFonts w:ascii="Arial" w:cs="Arial" w:eastAsia="Arial" w:hAnsi="Arial"/>
                <w:sz w:val="11"/>
                <w:szCs w:val="11"/>
                <w:color w:val="auto"/>
              </w:rPr>
              <w:t>(loss), net</w:t>
            </w:r>
          </w:p>
        </w:tc>
        <w:tc>
          <w:tcPr>
            <w:tcW w:w="1260" w:type="dxa"/>
            <w:vAlign w:val="bottom"/>
          </w:tcPr>
          <w:p>
            <w:pPr>
              <w:jc w:val="right"/>
              <w:ind w:right="378"/>
              <w:spacing w:after="0"/>
              <w:rPr>
                <w:sz w:val="20"/>
                <w:szCs w:val="20"/>
                <w:color w:val="auto"/>
              </w:rPr>
            </w:pPr>
            <w:r>
              <w:rPr>
                <w:rFonts w:ascii="Arial" w:cs="Arial" w:eastAsia="Arial" w:hAnsi="Arial"/>
                <w:sz w:val="11"/>
                <w:szCs w:val="11"/>
                <w:color w:val="auto"/>
              </w:rPr>
              <w:t>stock</w:t>
            </w:r>
          </w:p>
        </w:tc>
        <w:tc>
          <w:tcPr>
            <w:tcW w:w="780" w:type="dxa"/>
            <w:vAlign w:val="bottom"/>
          </w:tcPr>
          <w:p>
            <w:pPr>
              <w:jc w:val="right"/>
              <w:ind w:right="37"/>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Balance-January 1, 2009</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567,463</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60,198</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4,617</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2,897,907</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5,062,754</w:t>
            </w:r>
          </w:p>
        </w:tc>
        <w:tc>
          <w:tcPr>
            <w:tcW w:w="118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(736,881)</w:t>
            </w:r>
          </w:p>
        </w:tc>
        <w:tc>
          <w:tcPr>
            <w:tcW w:w="126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(1,071,327)</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6,784,731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Net income</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115,409</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115,409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Other comprehensive income, net of tax</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and reclassification adjustments:</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Unrealized gains on investment</w:t>
            </w: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securities</w:t>
            </w:r>
          </w:p>
        </w:tc>
        <w:tc>
          <w:tcPr>
            <w:tcW w:w="380" w:type="dxa"/>
            <w:vAlign w:val="bottom"/>
          </w:tcPr>
          <w:p>
            <w:pPr>
              <w:spacing w:after="0"/>
              <w:rPr>
                <w:sz w:val="12"/>
                <w:szCs w:val="12"/>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149,398</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149,398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Defined benefit plans liability</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adjustment</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735</w:t>
            </w:r>
          </w:p>
        </w:tc>
        <w:tc>
          <w:tcPr>
            <w:tcW w:w="126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w w:val="93"/>
              </w:rPr>
              <w:t>Unrealized losses on terminated cash</w:t>
            </w: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flow hedges</w:t>
            </w:r>
          </w:p>
        </w:tc>
        <w:tc>
          <w:tcPr>
            <w:tcW w:w="380" w:type="dxa"/>
            <w:vAlign w:val="bottom"/>
          </w:tcPr>
          <w:p>
            <w:pPr>
              <w:spacing w:after="0"/>
              <w:rPr>
                <w:sz w:val="13"/>
                <w:szCs w:val="13"/>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5,992</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271,534</w:t>
            </w:r>
          </w:p>
        </w:tc>
        <w:tc>
          <w:tcPr>
            <w:tcW w:w="0" w:type="dxa"/>
            <w:vAlign w:val="bottom"/>
          </w:tcPr>
          <w:p>
            <w:pPr>
              <w:spacing w:after="0"/>
              <w:rPr>
                <w:sz w:val="1"/>
                <w:szCs w:val="1"/>
                <w:color w:val="auto"/>
              </w:rPr>
            </w:pPr>
          </w:p>
        </w:tc>
      </w:tr>
      <w:tr>
        <w:trPr>
          <w:trHeight w:val="256"/>
        </w:trPr>
        <w:tc>
          <w:tcPr>
            <w:tcW w:w="2460" w:type="dxa"/>
            <w:vAlign w:val="bottom"/>
            <w:gridSpan w:val="2"/>
          </w:tcPr>
          <w:p>
            <w:pPr>
              <w:spacing w:after="0"/>
              <w:rPr>
                <w:sz w:val="20"/>
                <w:szCs w:val="20"/>
                <w:color w:val="auto"/>
              </w:rPr>
            </w:pPr>
            <w:r>
              <w:rPr>
                <w:rFonts w:ascii="Arial" w:cs="Arial" w:eastAsia="Arial" w:hAnsi="Arial"/>
                <w:sz w:val="13"/>
                <w:szCs w:val="13"/>
                <w:color w:val="auto"/>
              </w:rPr>
              <w:t>Acquisition of Provident Bankshares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Corporation:</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Preferred stock issued</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155,779</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155,779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Common stock issued</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(348,080)</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620,904</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272,824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stock options</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1,367</w:t>
            </w:r>
          </w:p>
        </w:tc>
        <w:tc>
          <w:tcPr>
            <w:tcW w:w="1040" w:type="dxa"/>
            <w:vAlign w:val="bottom"/>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Common stock warrants</w:t>
            </w:r>
          </w:p>
        </w:tc>
        <w:tc>
          <w:tcPr>
            <w:tcW w:w="380" w:type="dxa"/>
            <w:vAlign w:val="bottom"/>
          </w:tcPr>
          <w:p>
            <w:pPr>
              <w:spacing w:after="0"/>
              <w:rPr>
                <w:sz w:val="13"/>
                <w:szCs w:val="13"/>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6,467</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Issuance of common stock to defined benefit</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pension plan</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(51,417)</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95,706</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Preferred stock cash dividends</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8"/>
              <w:spacing w:after="0" w:line="135" w:lineRule="exact"/>
              <w:rPr>
                <w:sz w:val="20"/>
                <w:szCs w:val="20"/>
                <w:color w:val="auto"/>
              </w:rPr>
            </w:pPr>
            <w:r>
              <w:rPr>
                <w:rFonts w:ascii="Arial" w:cs="Arial" w:eastAsia="Arial" w:hAnsi="Arial"/>
                <w:sz w:val="13"/>
                <w:szCs w:val="13"/>
                <w:color w:val="auto"/>
              </w:rPr>
              <w:t>(11,833)</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(11,833)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Amortization of preferred stock discount</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2,230</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(2,230)</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Stock-based compensation plans:</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Compensation expense</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(42,014)</w:t>
            </w:r>
          </w:p>
        </w:tc>
        <w:tc>
          <w:tcPr>
            <w:tcW w:w="1040" w:type="dxa"/>
            <w:vAlign w:val="bottom"/>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74,605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32,591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Exercises of stock options</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(14,097)</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16,211</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Directors’ stock plan</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(785)</w:t>
            </w:r>
          </w:p>
        </w:tc>
        <w:tc>
          <w:tcPr>
            <w:tcW w:w="1040" w:type="dxa"/>
            <w:vAlign w:val="bottom"/>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1,480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200"/>
              <w:spacing w:after="0" w:line="121" w:lineRule="exact"/>
              <w:rPr>
                <w:sz w:val="20"/>
                <w:szCs w:val="20"/>
                <w:color w:val="auto"/>
              </w:rPr>
            </w:pPr>
            <w:r>
              <w:rPr>
                <w:rFonts w:ascii="Arial" w:cs="Arial" w:eastAsia="Arial" w:hAnsi="Arial"/>
                <w:sz w:val="13"/>
                <w:szCs w:val="13"/>
                <w:color w:val="auto"/>
              </w:rPr>
              <w:t>Deferred compensation plans, net,</w:t>
            </w: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400"/>
              <w:spacing w:after="0"/>
              <w:rPr>
                <w:sz w:val="20"/>
                <w:szCs w:val="20"/>
                <w:color w:val="auto"/>
              </w:rPr>
            </w:pPr>
            <w:r>
              <w:rPr>
                <w:rFonts w:ascii="Arial" w:cs="Arial" w:eastAsia="Arial" w:hAnsi="Arial"/>
                <w:sz w:val="13"/>
                <w:szCs w:val="13"/>
                <w:color w:val="auto"/>
              </w:rPr>
              <w:t>including dividend equivalents</w:t>
            </w:r>
          </w:p>
        </w:tc>
        <w:tc>
          <w:tcPr>
            <w:tcW w:w="380" w:type="dxa"/>
            <w:vAlign w:val="bottom"/>
          </w:tcPr>
          <w:p>
            <w:pPr>
              <w:spacing w:after="0"/>
              <w:rPr>
                <w:sz w:val="12"/>
                <w:szCs w:val="12"/>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38"/>
              <w:spacing w:after="0"/>
              <w:rPr>
                <w:sz w:val="20"/>
                <w:szCs w:val="20"/>
                <w:color w:val="auto"/>
              </w:rPr>
            </w:pPr>
            <w:r>
              <w:rPr>
                <w:rFonts w:ascii="Arial" w:cs="Arial" w:eastAsia="Arial" w:hAnsi="Arial"/>
                <w:sz w:val="13"/>
                <w:szCs w:val="13"/>
                <w:color w:val="auto"/>
              </w:rPr>
              <w:t>(373)</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(497)</w:t>
            </w:r>
          </w:p>
        </w:tc>
        <w:tc>
          <w:tcPr>
            <w:tcW w:w="1040" w:type="dxa"/>
            <w:vAlign w:val="bottom"/>
          </w:tcPr>
          <w:p>
            <w:pPr>
              <w:jc w:val="right"/>
              <w:ind w:right="138"/>
              <w:spacing w:after="0"/>
              <w:rPr>
                <w:sz w:val="20"/>
                <w:szCs w:val="20"/>
                <w:color w:val="auto"/>
              </w:rPr>
            </w:pPr>
            <w:r>
              <w:rPr>
                <w:rFonts w:ascii="Arial" w:cs="Arial" w:eastAsia="Arial" w:hAnsi="Arial"/>
                <w:sz w:val="13"/>
                <w:szCs w:val="13"/>
                <w:color w:val="auto"/>
              </w:rPr>
              <w:t>(101)</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1,025</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Common stock cash dividends — $1.40 per</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share</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(160,448)</w:t>
            </w:r>
          </w:p>
        </w:tc>
        <w:tc>
          <w:tcPr>
            <w:tcW w:w="11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(160,448)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Balance — June 30, 2009</w:t>
            </w:r>
          </w:p>
        </w:tc>
        <w:tc>
          <w:tcPr>
            <w:tcW w:w="3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18"/>
              <w:spacing w:after="0" w:line="143" w:lineRule="exact"/>
              <w:rPr>
                <w:sz w:val="20"/>
                <w:szCs w:val="20"/>
                <w:color w:val="auto"/>
              </w:rPr>
            </w:pPr>
            <w:r>
              <w:rPr>
                <w:rFonts w:ascii="Arial" w:cs="Arial" w:eastAsia="Arial" w:hAnsi="Arial"/>
                <w:sz w:val="13"/>
                <w:szCs w:val="13"/>
                <w:color w:val="auto"/>
              </w:rPr>
              <w:t>725,472</w:t>
            </w:r>
          </w:p>
        </w:tc>
        <w:tc>
          <w:tcPr>
            <w:tcW w:w="1180" w:type="dxa"/>
            <w:vAlign w:val="bottom"/>
            <w:tcBorders>
              <w:bottom w:val="single" w:sz="8" w:color="auto"/>
            </w:tcBorders>
          </w:tcPr>
          <w:p>
            <w:pPr>
              <w:jc w:val="right"/>
              <w:ind w:right="318"/>
              <w:spacing w:after="0" w:line="143" w:lineRule="exact"/>
              <w:rPr>
                <w:sz w:val="20"/>
                <w:szCs w:val="20"/>
                <w:color w:val="auto"/>
              </w:rPr>
            </w:pPr>
            <w:r>
              <w:rPr>
                <w:rFonts w:ascii="Arial" w:cs="Arial" w:eastAsia="Arial" w:hAnsi="Arial"/>
                <w:sz w:val="13"/>
                <w:szCs w:val="13"/>
                <w:color w:val="auto"/>
              </w:rPr>
              <w:t>60,198</w:t>
            </w:r>
          </w:p>
        </w:tc>
        <w:tc>
          <w:tcPr>
            <w:tcW w:w="1120" w:type="dxa"/>
            <w:vAlign w:val="bottom"/>
            <w:tcBorders>
              <w:bottom w:val="single" w:sz="8" w:color="auto"/>
            </w:tcBorders>
          </w:tcPr>
          <w:p>
            <w:pPr>
              <w:jc w:val="right"/>
              <w:ind w:right="278"/>
              <w:spacing w:after="0" w:line="143" w:lineRule="exact"/>
              <w:rPr>
                <w:sz w:val="20"/>
                <w:szCs w:val="20"/>
                <w:color w:val="auto"/>
              </w:rPr>
            </w:pPr>
            <w:r>
              <w:rPr>
                <w:rFonts w:ascii="Arial" w:cs="Arial" w:eastAsia="Arial" w:hAnsi="Arial"/>
                <w:sz w:val="13"/>
                <w:szCs w:val="13"/>
                <w:color w:val="auto"/>
              </w:rPr>
              <w:t>4,244</w:t>
            </w:r>
          </w:p>
        </w:tc>
        <w:tc>
          <w:tcPr>
            <w:tcW w:w="1120" w:type="dxa"/>
            <w:vAlign w:val="bottom"/>
            <w:tcBorders>
              <w:bottom w:val="single" w:sz="8" w:color="auto"/>
            </w:tcBorders>
          </w:tcPr>
          <w:p>
            <w:pPr>
              <w:jc w:val="right"/>
              <w:ind w:right="278"/>
              <w:spacing w:after="0" w:line="143" w:lineRule="exact"/>
              <w:rPr>
                <w:sz w:val="20"/>
                <w:szCs w:val="20"/>
                <w:color w:val="auto"/>
              </w:rPr>
            </w:pPr>
            <w:r>
              <w:rPr>
                <w:rFonts w:ascii="Arial" w:cs="Arial" w:eastAsia="Arial" w:hAnsi="Arial"/>
                <w:sz w:val="13"/>
                <w:szCs w:val="13"/>
                <w:color w:val="auto"/>
              </w:rPr>
              <w:t>2,448,851</w:t>
            </w:r>
          </w:p>
        </w:tc>
        <w:tc>
          <w:tcPr>
            <w:tcW w:w="1040" w:type="dxa"/>
            <w:vAlign w:val="bottom"/>
            <w:tcBorders>
              <w:bottom w:val="single" w:sz="8" w:color="auto"/>
            </w:tcBorders>
          </w:tcPr>
          <w:p>
            <w:pPr>
              <w:jc w:val="right"/>
              <w:ind w:right="198"/>
              <w:spacing w:after="0" w:line="143" w:lineRule="exact"/>
              <w:rPr>
                <w:sz w:val="20"/>
                <w:szCs w:val="20"/>
                <w:color w:val="auto"/>
              </w:rPr>
            </w:pPr>
            <w:r>
              <w:rPr>
                <w:rFonts w:ascii="Arial" w:cs="Arial" w:eastAsia="Arial" w:hAnsi="Arial"/>
                <w:sz w:val="13"/>
                <w:szCs w:val="13"/>
                <w:color w:val="auto"/>
              </w:rPr>
              <w:t>5,003,551</w:t>
            </w:r>
          </w:p>
        </w:tc>
        <w:tc>
          <w:tcPr>
            <w:tcW w:w="1180" w:type="dxa"/>
            <w:vAlign w:val="bottom"/>
            <w:tcBorders>
              <w:bottom w:val="single" w:sz="8" w:color="auto"/>
            </w:tcBorders>
          </w:tcPr>
          <w:p>
            <w:pPr>
              <w:jc w:val="right"/>
              <w:ind w:right="198"/>
              <w:spacing w:after="0" w:line="143" w:lineRule="exact"/>
              <w:rPr>
                <w:sz w:val="20"/>
                <w:szCs w:val="20"/>
                <w:color w:val="auto"/>
              </w:rPr>
            </w:pPr>
            <w:r>
              <w:rPr>
                <w:rFonts w:ascii="Arial" w:cs="Arial" w:eastAsia="Arial" w:hAnsi="Arial"/>
                <w:sz w:val="13"/>
                <w:szCs w:val="13"/>
                <w:color w:val="auto"/>
              </w:rPr>
              <w:t>(580,756)</w:t>
            </w:r>
          </w:p>
        </w:tc>
        <w:tc>
          <w:tcPr>
            <w:tcW w:w="1260" w:type="dxa"/>
            <w:vAlign w:val="bottom"/>
            <w:tcBorders>
              <w:bottom w:val="single" w:sz="8" w:color="auto"/>
            </w:tcBorders>
          </w:tcPr>
          <w:p>
            <w:pPr>
              <w:jc w:val="right"/>
              <w:ind w:right="338"/>
              <w:spacing w:after="0" w:line="143" w:lineRule="exact"/>
              <w:rPr>
                <w:sz w:val="20"/>
                <w:szCs w:val="20"/>
                <w:color w:val="auto"/>
              </w:rPr>
            </w:pPr>
            <w:r>
              <w:rPr>
                <w:rFonts w:ascii="Arial" w:cs="Arial" w:eastAsia="Arial" w:hAnsi="Arial"/>
                <w:sz w:val="13"/>
                <w:szCs w:val="13"/>
                <w:color w:val="auto"/>
              </w:rPr>
              <w:t>(261,396)</w:t>
            </w:r>
          </w:p>
        </w:tc>
        <w:tc>
          <w:tcPr>
            <w:tcW w:w="7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7,400,164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2010</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Balance-January 1, 2010</w:t>
            </w:r>
          </w:p>
        </w:tc>
        <w:tc>
          <w:tcPr>
            <w:tcW w:w="3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730,235</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60,198</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4,342</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2,442,947</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5,076,884</w:t>
            </w:r>
          </w:p>
        </w:tc>
        <w:tc>
          <w:tcPr>
            <w:tcW w:w="118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(335,997)</w:t>
            </w:r>
          </w:p>
        </w:tc>
        <w:tc>
          <w:tcPr>
            <w:tcW w:w="126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(225,702)</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7,752,907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Net income</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339,704</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339,704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Other comprehensive income, net of tax</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and reclassification adjustments:</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Unrealized gains on investment</w:t>
            </w: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securities</w:t>
            </w:r>
          </w:p>
        </w:tc>
        <w:tc>
          <w:tcPr>
            <w:tcW w:w="380" w:type="dxa"/>
            <w:vAlign w:val="bottom"/>
          </w:tcPr>
          <w:p>
            <w:pPr>
              <w:spacing w:after="0"/>
              <w:rPr>
                <w:sz w:val="12"/>
                <w:szCs w:val="12"/>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136,766</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136,766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Defined benefit plans liability</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adjustment</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2,175</w:t>
            </w:r>
          </w:p>
        </w:tc>
        <w:tc>
          <w:tcPr>
            <w:tcW w:w="126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w w:val="98"/>
              </w:rPr>
              <w:t>Unrealized gain on terminated cash</w:t>
            </w: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flow hedge</w:t>
            </w:r>
          </w:p>
        </w:tc>
        <w:tc>
          <w:tcPr>
            <w:tcW w:w="380" w:type="dxa"/>
            <w:vAlign w:val="bottom"/>
          </w:tcPr>
          <w:p>
            <w:pPr>
              <w:spacing w:after="0"/>
              <w:rPr>
                <w:sz w:val="13"/>
                <w:szCs w:val="13"/>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98"/>
              <w:spacing w:after="0"/>
              <w:rPr>
                <w:sz w:val="20"/>
                <w:szCs w:val="20"/>
                <w:color w:val="auto"/>
              </w:rPr>
            </w:pPr>
            <w:r>
              <w:rPr>
                <w:rFonts w:ascii="Arial" w:cs="Arial" w:eastAsia="Arial" w:hAnsi="Arial"/>
                <w:sz w:val="13"/>
                <w:szCs w:val="13"/>
                <w:color w:val="auto"/>
              </w:rPr>
              <w:t>(141)</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478,504</w:t>
            </w:r>
          </w:p>
        </w:tc>
        <w:tc>
          <w:tcPr>
            <w:tcW w:w="0" w:type="dxa"/>
            <w:vAlign w:val="bottom"/>
          </w:tcPr>
          <w:p>
            <w:pPr>
              <w:spacing w:after="0"/>
              <w:rPr>
                <w:sz w:val="1"/>
                <w:szCs w:val="1"/>
                <w:color w:val="auto"/>
              </w:rPr>
            </w:pPr>
          </w:p>
        </w:tc>
      </w:tr>
      <w:tr>
        <w:trPr>
          <w:trHeight w:val="270"/>
        </w:trPr>
        <w:tc>
          <w:tcPr>
            <w:tcW w:w="2460" w:type="dxa"/>
            <w:vAlign w:val="bottom"/>
            <w:gridSpan w:val="2"/>
          </w:tcPr>
          <w:p>
            <w:pPr>
              <w:spacing w:after="0"/>
              <w:rPr>
                <w:sz w:val="20"/>
                <w:szCs w:val="20"/>
                <w:color w:val="auto"/>
              </w:rPr>
            </w:pPr>
            <w:r>
              <w:rPr>
                <w:rFonts w:ascii="Arial" w:cs="Arial" w:eastAsia="Arial" w:hAnsi="Arial"/>
                <w:sz w:val="13"/>
                <w:szCs w:val="13"/>
                <w:color w:val="auto"/>
              </w:rPr>
              <w:t>Preferred stock cash dividends</w:t>
            </w:r>
          </w:p>
        </w:tc>
        <w:tc>
          <w:tcPr>
            <w:tcW w:w="380" w:type="dxa"/>
            <w:vAlign w:val="bottom"/>
          </w:tcPr>
          <w:p>
            <w:pPr>
              <w:spacing w:after="0"/>
              <w:rPr>
                <w:sz w:val="23"/>
                <w:szCs w:val="23"/>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8"/>
              <w:spacing w:after="0"/>
              <w:rPr>
                <w:sz w:val="20"/>
                <w:szCs w:val="20"/>
                <w:color w:val="auto"/>
              </w:rPr>
            </w:pPr>
            <w:r>
              <w:rPr>
                <w:rFonts w:ascii="Arial" w:cs="Arial" w:eastAsia="Arial" w:hAnsi="Arial"/>
                <w:sz w:val="13"/>
                <w:szCs w:val="13"/>
                <w:color w:val="auto"/>
              </w:rPr>
              <w:t>(20,113)</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Amortization of preferred stock discount</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5,115</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(5,115)</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tcPr>
          <w:p>
            <w:pPr>
              <w:spacing w:after="0" w:line="121" w:lineRule="exact"/>
              <w:rPr>
                <w:sz w:val="20"/>
                <w:szCs w:val="20"/>
                <w:color w:val="auto"/>
              </w:rPr>
            </w:pPr>
            <w:r>
              <w:rPr>
                <w:rFonts w:ascii="Arial" w:cs="Arial" w:eastAsia="Arial" w:hAnsi="Arial"/>
                <w:sz w:val="13"/>
                <w:szCs w:val="13"/>
                <w:color w:val="auto"/>
                <w:w w:val="94"/>
              </w:rPr>
              <w:t>Repayment of management stock ownership</w:t>
            </w: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program receivable</w:t>
            </w:r>
          </w:p>
        </w:tc>
        <w:tc>
          <w:tcPr>
            <w:tcW w:w="380" w:type="dxa"/>
            <w:vAlign w:val="bottom"/>
          </w:tcPr>
          <w:p>
            <w:pPr>
              <w:spacing w:after="0"/>
              <w:rPr>
                <w:sz w:val="12"/>
                <w:szCs w:val="12"/>
                <w:color w:val="auto"/>
              </w:rPr>
            </w:pPr>
          </w:p>
        </w:tc>
        <w:tc>
          <w:tcPr>
            <w:tcW w:w="9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rPr>
                <w:sz w:val="20"/>
                <w:szCs w:val="20"/>
                <w:color w:val="auto"/>
              </w:rPr>
            </w:pPr>
            <w:r>
              <w:rPr>
                <w:rFonts w:ascii="Arial" w:cs="Arial" w:eastAsia="Arial" w:hAnsi="Arial"/>
                <w:sz w:val="13"/>
                <w:szCs w:val="13"/>
                <w:color w:val="auto"/>
              </w:rPr>
              <w:t>1,838</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plans:</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Compensation expense</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(13,571)</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45,239</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31,668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Exercises of stock options</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color w:val="auto"/>
              </w:rPr>
              <w:t>(21,997)</w:t>
            </w:r>
          </w:p>
        </w:tc>
        <w:tc>
          <w:tcPr>
            <w:tcW w:w="1040" w:type="dxa"/>
            <w:vAlign w:val="bottom"/>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line="135" w:lineRule="exact"/>
              <w:rPr>
                <w:sz w:val="20"/>
                <w:szCs w:val="20"/>
                <w:color w:val="auto"/>
              </w:rPr>
            </w:pPr>
            <w:r>
              <w:rPr>
                <w:rFonts w:ascii="Arial" w:cs="Arial" w:eastAsia="Arial" w:hAnsi="Arial"/>
                <w:sz w:val="13"/>
                <w:szCs w:val="13"/>
                <w:color w:val="auto"/>
              </w:rPr>
              <w:t>49,400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27,403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Directors’ stock plan</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line="135" w:lineRule="exact"/>
              <w:rPr>
                <w:sz w:val="20"/>
                <w:szCs w:val="20"/>
                <w:color w:val="auto"/>
              </w:rPr>
            </w:pPr>
            <w:r>
              <w:rPr>
                <w:rFonts w:ascii="Arial" w:cs="Arial" w:eastAsia="Arial" w:hAnsi="Arial"/>
                <w:sz w:val="13"/>
                <w:szCs w:val="13"/>
                <w:color w:val="auto"/>
              </w:rPr>
              <w:t>(232)</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8"/>
              <w:spacing w:after="0" w:line="135" w:lineRule="exact"/>
              <w:rPr>
                <w:sz w:val="20"/>
                <w:szCs w:val="20"/>
                <w:color w:val="auto"/>
              </w:rPr>
            </w:pPr>
            <w:r>
              <w:rPr>
                <w:rFonts w:ascii="Arial" w:cs="Arial" w:eastAsia="Arial" w:hAnsi="Arial"/>
                <w:sz w:val="13"/>
                <w:szCs w:val="13"/>
                <w:color w:val="auto"/>
              </w:rPr>
              <w:t>787</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Deferred compensation plans, net,</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including dividend equivalents</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(265)</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(292)</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(96)</w:t>
            </w:r>
          </w:p>
        </w:tc>
        <w:tc>
          <w:tcPr>
            <w:tcW w:w="11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604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Other</w:t>
            </w:r>
          </w:p>
        </w:tc>
        <w:tc>
          <w:tcPr>
            <w:tcW w:w="380" w:type="dxa"/>
            <w:vAlign w:val="bottom"/>
          </w:tcPr>
          <w:p>
            <w:pPr>
              <w:spacing w:after="0"/>
              <w:rPr>
                <w:sz w:val="11"/>
                <w:szCs w:val="11"/>
                <w:color w:val="auto"/>
              </w:rPr>
            </w:pPr>
          </w:p>
        </w:tc>
        <w:tc>
          <w:tcPr>
            <w:tcW w:w="90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31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278"/>
              <w:spacing w:after="0" w:line="135" w:lineRule="exact"/>
              <w:rPr>
                <w:sz w:val="20"/>
                <w:szCs w:val="20"/>
                <w:color w:val="auto"/>
              </w:rPr>
            </w:pPr>
            <w:r>
              <w:rPr>
                <w:rFonts w:ascii="Arial" w:cs="Arial" w:eastAsia="Arial" w:hAnsi="Arial"/>
                <w:sz w:val="13"/>
                <w:szCs w:val="13"/>
                <w:color w:val="auto"/>
              </w:rPr>
              <w:t>914</w:t>
            </w:r>
          </w:p>
        </w:tc>
        <w:tc>
          <w:tcPr>
            <w:tcW w:w="104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(4,353)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(3,439)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Common stock cash dividends — $1.40 per</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share</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(167,430)</w:t>
            </w:r>
          </w:p>
        </w:tc>
        <w:tc>
          <w:tcPr>
            <w:tcW w:w="11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(167,430)</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Balance — June 30, 2010</w:t>
            </w:r>
          </w:p>
        </w:tc>
        <w:tc>
          <w:tcPr>
            <w:tcW w:w="3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18"/>
              <w:spacing w:after="0" w:line="143" w:lineRule="exact"/>
              <w:rPr>
                <w:sz w:val="20"/>
                <w:szCs w:val="20"/>
                <w:color w:val="auto"/>
              </w:rPr>
            </w:pPr>
            <w:r>
              <w:rPr>
                <w:rFonts w:ascii="Arial" w:cs="Arial" w:eastAsia="Arial" w:hAnsi="Arial"/>
                <w:sz w:val="13"/>
                <w:szCs w:val="13"/>
                <w:color w:val="auto"/>
              </w:rPr>
              <w:t>735,350</w:t>
            </w:r>
          </w:p>
        </w:tc>
        <w:tc>
          <w:tcPr>
            <w:tcW w:w="1180" w:type="dxa"/>
            <w:vAlign w:val="bottom"/>
            <w:tcBorders>
              <w:bottom w:val="single" w:sz="8" w:color="auto"/>
            </w:tcBorders>
          </w:tcPr>
          <w:p>
            <w:pPr>
              <w:jc w:val="right"/>
              <w:ind w:right="318"/>
              <w:spacing w:after="0" w:line="143" w:lineRule="exact"/>
              <w:rPr>
                <w:sz w:val="20"/>
                <w:szCs w:val="20"/>
                <w:color w:val="auto"/>
              </w:rPr>
            </w:pPr>
            <w:r>
              <w:rPr>
                <w:rFonts w:ascii="Arial" w:cs="Arial" w:eastAsia="Arial" w:hAnsi="Arial"/>
                <w:sz w:val="13"/>
                <w:szCs w:val="13"/>
                <w:color w:val="auto"/>
              </w:rPr>
              <w:t>60,198</w:t>
            </w:r>
          </w:p>
        </w:tc>
        <w:tc>
          <w:tcPr>
            <w:tcW w:w="1120" w:type="dxa"/>
            <w:vAlign w:val="bottom"/>
            <w:tcBorders>
              <w:bottom w:val="single" w:sz="8" w:color="auto"/>
            </w:tcBorders>
          </w:tcPr>
          <w:p>
            <w:pPr>
              <w:jc w:val="right"/>
              <w:ind w:right="278"/>
              <w:spacing w:after="0" w:line="143" w:lineRule="exact"/>
              <w:rPr>
                <w:sz w:val="20"/>
                <w:szCs w:val="20"/>
                <w:color w:val="auto"/>
              </w:rPr>
            </w:pPr>
            <w:r>
              <w:rPr>
                <w:rFonts w:ascii="Arial" w:cs="Arial" w:eastAsia="Arial" w:hAnsi="Arial"/>
                <w:sz w:val="13"/>
                <w:szCs w:val="13"/>
                <w:color w:val="auto"/>
              </w:rPr>
              <w:t>4,077</w:t>
            </w:r>
          </w:p>
        </w:tc>
        <w:tc>
          <w:tcPr>
            <w:tcW w:w="1120" w:type="dxa"/>
            <w:vAlign w:val="bottom"/>
            <w:tcBorders>
              <w:bottom w:val="single" w:sz="8" w:color="auto"/>
            </w:tcBorders>
          </w:tcPr>
          <w:p>
            <w:pPr>
              <w:jc w:val="right"/>
              <w:ind w:right="278"/>
              <w:spacing w:after="0" w:line="143" w:lineRule="exact"/>
              <w:rPr>
                <w:sz w:val="20"/>
                <w:szCs w:val="20"/>
                <w:color w:val="auto"/>
              </w:rPr>
            </w:pPr>
            <w:r>
              <w:rPr>
                <w:rFonts w:ascii="Arial" w:cs="Arial" w:eastAsia="Arial" w:hAnsi="Arial"/>
                <w:sz w:val="13"/>
                <w:szCs w:val="13"/>
                <w:color w:val="auto"/>
              </w:rPr>
              <w:t>2,409,607</w:t>
            </w:r>
          </w:p>
        </w:tc>
        <w:tc>
          <w:tcPr>
            <w:tcW w:w="1040" w:type="dxa"/>
            <w:vAlign w:val="bottom"/>
            <w:tcBorders>
              <w:bottom w:val="single" w:sz="8" w:color="auto"/>
            </w:tcBorders>
          </w:tcPr>
          <w:p>
            <w:pPr>
              <w:jc w:val="right"/>
              <w:ind w:right="198"/>
              <w:spacing w:after="0" w:line="143" w:lineRule="exact"/>
              <w:rPr>
                <w:sz w:val="20"/>
                <w:szCs w:val="20"/>
                <w:color w:val="auto"/>
              </w:rPr>
            </w:pPr>
            <w:r>
              <w:rPr>
                <w:rFonts w:ascii="Arial" w:cs="Arial" w:eastAsia="Arial" w:hAnsi="Arial"/>
                <w:sz w:val="13"/>
                <w:szCs w:val="13"/>
                <w:color w:val="auto"/>
              </w:rPr>
              <w:t>5,223,834</w:t>
            </w:r>
          </w:p>
        </w:tc>
        <w:tc>
          <w:tcPr>
            <w:tcW w:w="1180" w:type="dxa"/>
            <w:vAlign w:val="bottom"/>
            <w:tcBorders>
              <w:bottom w:val="single" w:sz="8" w:color="auto"/>
            </w:tcBorders>
          </w:tcPr>
          <w:p>
            <w:pPr>
              <w:jc w:val="right"/>
              <w:ind w:right="198"/>
              <w:spacing w:after="0" w:line="143" w:lineRule="exact"/>
              <w:rPr>
                <w:sz w:val="20"/>
                <w:szCs w:val="20"/>
                <w:color w:val="auto"/>
              </w:rPr>
            </w:pPr>
            <w:r>
              <w:rPr>
                <w:rFonts w:ascii="Arial" w:cs="Arial" w:eastAsia="Arial" w:hAnsi="Arial"/>
                <w:sz w:val="13"/>
                <w:szCs w:val="13"/>
                <w:color w:val="auto"/>
              </w:rPr>
              <w:t>(197,197)</w:t>
            </w:r>
          </w:p>
        </w:tc>
        <w:tc>
          <w:tcPr>
            <w:tcW w:w="1260" w:type="dxa"/>
            <w:vAlign w:val="bottom"/>
            <w:tcBorders>
              <w:bottom w:val="single" w:sz="8" w:color="auto"/>
            </w:tcBorders>
          </w:tcPr>
          <w:p>
            <w:pPr>
              <w:jc w:val="right"/>
              <w:ind w:right="338"/>
              <w:spacing w:after="0" w:line="143" w:lineRule="exact"/>
              <w:rPr>
                <w:sz w:val="20"/>
                <w:szCs w:val="20"/>
                <w:color w:val="auto"/>
              </w:rPr>
            </w:pPr>
            <w:r>
              <w:rPr>
                <w:rFonts w:ascii="Arial" w:cs="Arial" w:eastAsia="Arial" w:hAnsi="Arial"/>
                <w:sz w:val="13"/>
                <w:szCs w:val="13"/>
                <w:color w:val="auto"/>
              </w:rPr>
              <w:t>(134,025)</w:t>
            </w:r>
          </w:p>
        </w:tc>
        <w:tc>
          <w:tcPr>
            <w:tcW w:w="780" w:type="dxa"/>
            <w:vAlign w:val="bottom"/>
            <w:tcBorders>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8,101,844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2009 Annual Report, except as described below. In the opinion of management, all adjustments necessary for a fair presentation have been made and were all of a normal recurring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28, 2009, M&amp;T Bank, M&amp;T’s principal banking subsidiary, entered into a purchase and assumption agreement with the Federal Deposit Insurance Corporation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The transaction has been accounted for using the acquisition method of accounting and, accordingly, assets acquired and 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 $18 million ($29 million before taxes) during the third quarter of 2009. There was no goodwill or other intangible assets recorded in connection with this transaction. The Bradford acquisition transaction did not have a material impact on the Company’s consolidated statement of position or results of operations.</w:t>
      </w:r>
    </w:p>
    <w:p>
      <w:pPr>
        <w:spacing w:after="0" w:line="8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w:t>
      </w:r>
    </w:p>
    <w:p>
      <w:pPr>
        <w:spacing w:after="0" w:line="7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Provident transaction has been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expanded the Company’s presence in the Mid-Atlantic area, gave the Company the second largest deposit share in Maryland, and tripled the Company’s presence in Virginia.</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carry-over of Provident’s previously established allowance for credit losses. Subsequent decreases in the expected cash flows require the Company to evaluate the need for additions to the Company’s allowance for credit losses. Subsequent improvements in expected cash flows generally result in the recognition of additional interest income over the then remaining lives of the loans.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conjunction with the Provident acquisition, the acquired loan portfolio was accounted for at fair value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May 23, 2009</w:t>
            </w:r>
          </w:p>
        </w:tc>
      </w:tr>
      <w:tr>
        <w:trPr>
          <w:trHeight w:val="142"/>
        </w:trPr>
        <w:tc>
          <w:tcPr>
            <w:tcW w:w="2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$ 5,465,167</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(832,115)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(595,685)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$ 4,037,367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Interest income on acquired loans for the three and six months ended June 30, 2010 was approximately $39 million and $78 million, respectively, and for the period from the date of acquisition to June 30, 2009 was $19 million. The outstanding principal balance and the carrying amount of these loans that is included in the consolidated balance sheet at June 30, 2010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4920" w:type="dxa"/>
            <w:vAlign w:val="bottom"/>
          </w:tcPr>
          <w:p>
            <w:pPr>
              <w:jc w:val="right"/>
              <w:spacing w:after="0"/>
              <w:rPr>
                <w:sz w:val="20"/>
                <w:szCs w:val="20"/>
                <w:color w:val="auto"/>
              </w:rPr>
            </w:pPr>
            <w:r>
              <w:rPr>
                <w:rFonts w:ascii="Arial" w:cs="Arial" w:eastAsia="Arial" w:hAnsi="Arial"/>
                <w:sz w:val="18"/>
                <w:szCs w:val="18"/>
                <w:color w:val="auto"/>
              </w:rPr>
              <w:t>$3,529,278</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Carrying amount</w:t>
            </w:r>
          </w:p>
        </w:tc>
        <w:tc>
          <w:tcPr>
            <w:tcW w:w="4920" w:type="dxa"/>
            <w:vAlign w:val="bottom"/>
          </w:tcPr>
          <w:p>
            <w:pPr>
              <w:jc w:val="right"/>
              <w:spacing w:after="0"/>
              <w:rPr>
                <w:sz w:val="20"/>
                <w:szCs w:val="20"/>
                <w:color w:val="auto"/>
              </w:rPr>
            </w:pPr>
            <w:r>
              <w:rPr>
                <w:rFonts w:ascii="Arial" w:cs="Arial" w:eastAsia="Arial" w:hAnsi="Arial"/>
                <w:sz w:val="18"/>
                <w:szCs w:val="18"/>
                <w:color w:val="auto"/>
              </w:rPr>
              <w:t>3,322,344</w:t>
            </w:r>
          </w:p>
        </w:tc>
      </w:tr>
    </w:tbl>
    <w:p>
      <w:pPr>
        <w:spacing w:after="0" w:line="94"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Receivables (including loans and investment securities) obtained in the acquisition of Provident for which there was specific evidence of credit deterioration as of the acquisition date and for which it was probable that the Company would be unable to collect all contractually required principal and interest payments represent less than .25% of the Company’s assets and, accordingly, are not considered material.</w:t>
      </w:r>
    </w:p>
    <w:p>
      <w:pPr>
        <w:spacing w:after="0" w:line="73"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In connection with the Provident transaction, the Company incurred merger-related expenses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Provident’s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customers; severance and incentive compensation costs; travel costs; and printing, supplies and other costs of commencing operations in new markets and offices. A summary of merger-related expenses included in the consolidated statement of income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 months ended</w:t>
            </w:r>
          </w:p>
        </w:tc>
      </w:tr>
      <w:tr>
        <w:trPr>
          <w:trHeight w:val="167"/>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color w:val="auto"/>
              </w:rPr>
              <w:t>June 30, 2009</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June 30, 2009</w:t>
            </w:r>
          </w:p>
        </w:tc>
      </w:tr>
      <w:tr>
        <w:trPr>
          <w:trHeight w:val="142"/>
        </w:trPr>
        <w:tc>
          <w:tcPr>
            <w:tcW w:w="8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ind w:left="20"/>
              <w:spacing w:after="0" w:line="142" w:lineRule="exact"/>
              <w:rPr>
                <w:sz w:val="20"/>
                <w:szCs w:val="20"/>
                <w:color w:val="auto"/>
              </w:rPr>
            </w:pPr>
            <w:r>
              <w:rPr>
                <w:rFonts w:ascii="Arial" w:cs="Arial" w:eastAsia="Arial" w:hAnsi="Arial"/>
                <w:sz w:val="14"/>
                <w:szCs w:val="14"/>
                <w:color w:val="auto"/>
                <w:w w:val="83"/>
              </w:rPr>
              <w:t>thousands)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8,768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40" w:type="dxa"/>
            <w:vAlign w:val="bottom"/>
          </w:tcPr>
          <w:p>
            <w:pPr>
              <w:spacing w:after="0"/>
              <w:rPr>
                <w:sz w:val="18"/>
                <w:szCs w:val="18"/>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8"/>
                <w:szCs w:val="18"/>
                <w:color w:val="auto"/>
              </w:rPr>
              <w:t>581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2,514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54,594</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56,704</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66,457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68,883</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following table discloses the impact of Provident (excluding the impact of merger-related expenses) since the acquisition on May 23, 2009 through the end of the second quarter of 2009. The table also presents certain pro forma information for the six-month period ended June 30, 2009 as if Provident had been acquired on January 1, 2009. These results combine the historical results of Provident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January 1, 2009. In particular, no adjustments have been made to eliminate the amount of Provident’s provision for credit losses of $42 million or the impact of other-than-temporary impairment losses recognized by Provident of $87 million in 2009 that would not have been necessary had the acquired loans and investment securities been recorded at fair value as of the beginning of 2009. Furthermore, expenses related to systems conversions and other costs of integration are included in the 2009 periods in which such costs were incurred.</w:t>
      </w:r>
    </w:p>
    <w:p>
      <w:pPr>
        <w:spacing w:after="0" w:line="58"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Additionally, the Company expects to achieve further operating cost savings and other business synergies as a result of the acquisition which are not reflected in the pro forma amounts that follow.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Actual since</w:t>
            </w:r>
          </w:p>
        </w:tc>
        <w:tc>
          <w:tcPr>
            <w:tcW w:w="5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acquisition</w:t>
            </w:r>
          </w:p>
        </w:tc>
        <w:tc>
          <w:tcPr>
            <w:tcW w:w="5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Pro forma</w:t>
            </w:r>
          </w:p>
        </w:tc>
      </w:tr>
      <w:tr>
        <w:trPr>
          <w:trHeight w:val="149"/>
        </w:trPr>
        <w:tc>
          <w:tcPr>
            <w:tcW w:w="33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through</w:t>
            </w:r>
          </w:p>
        </w:tc>
        <w:tc>
          <w:tcPr>
            <w:tcW w:w="5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Six months ended</w:t>
            </w:r>
          </w:p>
        </w:tc>
      </w:tr>
      <w:tr>
        <w:trPr>
          <w:trHeight w:val="167"/>
        </w:trPr>
        <w:tc>
          <w:tcPr>
            <w:tcW w:w="3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June 30, 2009</w:t>
            </w:r>
          </w:p>
        </w:tc>
        <w:tc>
          <w:tcPr>
            <w:tcW w:w="5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June 30, 2009</w:t>
            </w:r>
          </w:p>
        </w:tc>
      </w:tr>
      <w:tr>
        <w:trPr>
          <w:trHeight w:val="128"/>
        </w:trPr>
        <w:tc>
          <w:tcPr>
            <w:tcW w:w="33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120" w:type="dxa"/>
            <w:vAlign w:val="bottom"/>
            <w:gridSpan w:val="2"/>
          </w:tcPr>
          <w:p>
            <w:pPr>
              <w:jc w:val="right"/>
              <w:ind w:right="1168"/>
              <w:spacing w:after="0" w:line="128" w:lineRule="exact"/>
              <w:rPr>
                <w:sz w:val="20"/>
                <w:szCs w:val="20"/>
                <w:color w:val="auto"/>
              </w:rPr>
            </w:pPr>
            <w:r>
              <w:rPr>
                <w:rFonts w:ascii="Arial" w:cs="Arial" w:eastAsia="Arial" w:hAnsi="Arial"/>
                <w:sz w:val="14"/>
                <w:szCs w:val="14"/>
                <w:color w:val="auto"/>
                <w:w w:val="96"/>
              </w:rPr>
              <w:t>(in thousands)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Total revenues</w:t>
            </w:r>
          </w:p>
        </w:tc>
        <w:tc>
          <w:tcPr>
            <w:tcW w:w="5980" w:type="dxa"/>
            <w:vAlign w:val="bottom"/>
            <w:gridSpan w:val="2"/>
          </w:tcPr>
          <w:p>
            <w:pPr>
              <w:jc w:val="right"/>
              <w:ind w:right="268"/>
              <w:spacing w:after="0"/>
              <w:rPr>
                <w:sz w:val="20"/>
                <w:szCs w:val="20"/>
                <w:color w:val="auto"/>
              </w:rPr>
            </w:pPr>
            <w:r>
              <w:rPr>
                <w:rFonts w:ascii="Arial" w:cs="Arial" w:eastAsia="Arial" w:hAnsi="Arial"/>
                <w:sz w:val="18"/>
                <w:szCs w:val="18"/>
                <w:color w:val="auto"/>
              </w:rPr>
              <w:t>$33,923</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1,884,980</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5980" w:type="dxa"/>
            <w:vAlign w:val="bottom"/>
            <w:gridSpan w:val="2"/>
          </w:tcPr>
          <w:p>
            <w:pPr>
              <w:jc w:val="right"/>
              <w:ind w:right="268"/>
              <w:spacing w:after="0"/>
              <w:rPr>
                <w:sz w:val="20"/>
                <w:szCs w:val="20"/>
                <w:color w:val="auto"/>
              </w:rPr>
            </w:pPr>
            <w:r>
              <w:rPr>
                <w:rFonts w:ascii="Arial" w:cs="Arial" w:eastAsia="Arial" w:hAnsi="Arial"/>
                <w:sz w:val="18"/>
                <w:szCs w:val="18"/>
                <w:color w:val="auto"/>
              </w:rPr>
              <w:t>3,562</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31,320</w:t>
            </w:r>
          </w:p>
        </w:tc>
      </w:tr>
      <w:tr>
        <w:trPr>
          <w:trHeight w:val="405"/>
        </w:trPr>
        <w:tc>
          <w:tcPr>
            <w:tcW w:w="3320" w:type="dxa"/>
            <w:vAlign w:val="bottom"/>
          </w:tcPr>
          <w:p>
            <w:pPr>
              <w:spacing w:after="0"/>
              <w:rPr>
                <w:sz w:val="24"/>
                <w:szCs w:val="24"/>
                <w:color w:val="auto"/>
              </w:rPr>
            </w:pPr>
          </w:p>
        </w:tc>
        <w:tc>
          <w:tcPr>
            <w:tcW w:w="4800" w:type="dxa"/>
            <w:vAlign w:val="bottom"/>
          </w:tcPr>
          <w:p>
            <w:pPr>
              <w:jc w:val="right"/>
              <w:ind w:right="2170"/>
              <w:spacing w:after="0"/>
              <w:rPr>
                <w:sz w:val="20"/>
                <w:szCs w:val="20"/>
                <w:color w:val="auto"/>
              </w:rPr>
            </w:pPr>
            <w:r>
              <w:rPr>
                <w:rFonts w:ascii="Arial" w:cs="Arial" w:eastAsia="Arial" w:hAnsi="Arial"/>
                <w:sz w:val="18"/>
                <w:szCs w:val="18"/>
                <w:color w:val="auto"/>
              </w:rPr>
              <w:t>- 9 -</w:t>
            </w: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Gross</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8"/>
              </w:rPr>
              <w:t>Amortized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tcPr>
          <w:p>
            <w:pPr>
              <w:ind w:lef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82,108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65,594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816</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3,654,155</w:t>
            </w:r>
          </w:p>
        </w:tc>
        <w:tc>
          <w:tcPr>
            <w:tcW w:w="700" w:type="dxa"/>
            <w:vAlign w:val="bottom"/>
          </w:tcPr>
          <w:p>
            <w:pPr>
              <w:jc w:val="right"/>
              <w:spacing w:after="0"/>
              <w:rPr>
                <w:sz w:val="20"/>
                <w:szCs w:val="20"/>
                <w:color w:val="auto"/>
              </w:rPr>
            </w:pPr>
            <w:r>
              <w:rPr>
                <w:rFonts w:ascii="Arial" w:cs="Arial" w:eastAsia="Arial" w:hAnsi="Arial"/>
                <w:sz w:val="18"/>
                <w:szCs w:val="18"/>
                <w:color w:val="auto"/>
              </w:rPr>
              <w:t>202,537</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3,856,630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1,862,608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276,105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1,598,033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29,447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99,403</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28,495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311,596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21,309</w:t>
            </w:r>
          </w:p>
        </w:tc>
        <w:tc>
          <w:tcPr>
            <w:tcW w:w="700" w:type="dxa"/>
            <w:vAlign w:val="bottom"/>
          </w:tcPr>
          <w:p>
            <w:pPr>
              <w:jc w:val="right"/>
              <w:spacing w:after="0"/>
              <w:rPr>
                <w:sz w:val="20"/>
                <w:szCs w:val="20"/>
                <w:color w:val="auto"/>
              </w:rPr>
            </w:pPr>
            <w:r>
              <w:rPr>
                <w:rFonts w:ascii="Arial" w:cs="Arial" w:eastAsia="Arial" w:hAnsi="Arial"/>
                <w:sz w:val="18"/>
                <w:szCs w:val="18"/>
                <w:color w:val="auto"/>
              </w:rPr>
              <w:t>48,611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117,861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6,222,772</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271,669</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344,353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6,150,088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207,154</w:t>
            </w:r>
          </w:p>
        </w:tc>
        <w:tc>
          <w:tcPr>
            <w:tcW w:w="700" w:type="dxa"/>
            <w:vAlign w:val="bottom"/>
          </w:tcPr>
          <w:p>
            <w:pPr>
              <w:jc w:val="right"/>
              <w:spacing w:after="0"/>
              <w:rPr>
                <w:sz w:val="20"/>
                <w:szCs w:val="20"/>
                <w:color w:val="auto"/>
              </w:rPr>
            </w:pPr>
            <w:r>
              <w:rPr>
                <w:rFonts w:ascii="Arial" w:cs="Arial" w:eastAsia="Arial" w:hAnsi="Arial"/>
                <w:sz w:val="18"/>
                <w:szCs w:val="18"/>
                <w:color w:val="auto"/>
              </w:rPr>
              <w:t>2,795</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929,429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24,444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332,686</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135,476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12,272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1,481,541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27,239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135,705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1,373,075</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465,943</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8,170,256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298,908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480,058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7,989,106</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102,755</w:t>
            </w:r>
          </w:p>
        </w:tc>
        <w:tc>
          <w:tcPr>
            <w:tcW w:w="700" w:type="dxa"/>
            <w:vAlign w:val="bottom"/>
          </w:tcPr>
          <w:p>
            <w:pPr>
              <w:jc w:val="right"/>
              <w:spacing w:after="0"/>
              <w:rPr>
                <w:sz w:val="20"/>
                <w:szCs w:val="20"/>
                <w:color w:val="auto"/>
              </w:rPr>
            </w:pPr>
            <w:r>
              <w:rPr>
                <w:rFonts w:ascii="Arial" w:cs="Arial" w:eastAsia="Arial" w:hAnsi="Arial"/>
                <w:sz w:val="18"/>
                <w:szCs w:val="18"/>
                <w:color w:val="auto"/>
              </w:rPr>
              <w:t>1,988</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3,777,642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3,902,282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2,438,353</w:t>
            </w:r>
          </w:p>
        </w:tc>
        <w:tc>
          <w:tcPr>
            <w:tcW w:w="700" w:type="dxa"/>
            <w:vAlign w:val="bottom"/>
          </w:tcPr>
          <w:p>
            <w:pPr>
              <w:jc w:val="right"/>
              <w:spacing w:after="0"/>
              <w:rPr>
                <w:sz w:val="20"/>
                <w:szCs w:val="20"/>
                <w:color w:val="auto"/>
              </w:rPr>
            </w:pPr>
            <w:r>
              <w:rPr>
                <w:rFonts w:ascii="Arial" w:cs="Arial" w:eastAsia="Arial" w:hAnsi="Arial"/>
                <w:sz w:val="18"/>
                <w:szCs w:val="18"/>
                <w:color w:val="auto"/>
              </w:rPr>
              <w:t>9,630</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383,079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33,133</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103,159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23,389</w:t>
            </w:r>
          </w:p>
        </w:tc>
        <w:tc>
          <w:tcPr>
            <w:tcW w:w="700" w:type="dxa"/>
            <w:vAlign w:val="bottom"/>
          </w:tcPr>
          <w:p>
            <w:pPr>
              <w:jc w:val="right"/>
              <w:spacing w:after="0"/>
              <w:rPr>
                <w:sz w:val="20"/>
                <w:szCs w:val="20"/>
                <w:color w:val="auto"/>
              </w:rPr>
            </w:pPr>
            <w:r>
              <w:rPr>
                <w:rFonts w:ascii="Arial" w:cs="Arial" w:eastAsia="Arial" w:hAnsi="Arial"/>
                <w:sz w:val="18"/>
                <w:szCs w:val="18"/>
                <w:color w:val="auto"/>
              </w:rPr>
              <w:t>11,202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309,514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16,851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170,985</w:t>
            </w: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6,997,009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483,069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6,704,378</w:t>
            </w:r>
          </w:p>
        </w:tc>
        <w:tc>
          <w:tcPr>
            <w:tcW w:w="0" w:type="dxa"/>
            <w:vAlign w:val="bottom"/>
          </w:tcPr>
          <w:p>
            <w:pPr>
              <w:spacing w:after="0"/>
              <w:rPr>
                <w:sz w:val="1"/>
                <w:szCs w:val="1"/>
                <w:color w:val="auto"/>
              </w:rPr>
            </w:pPr>
          </w:p>
        </w:tc>
      </w:tr>
      <w:tr>
        <w:trPr>
          <w:trHeight w:val="439"/>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203,825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352,195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150,993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11,587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567,607</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152,543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508,624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8,073,240</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191,857</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635,612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7,629,485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Gross realized gains and losses from sales of investment securities were not significant during the three- and six-month periods ended June 30, 2010 and 2009. The Company recognized $22 million and $49 million of pre-tax other-than-temporary impairment losses during the three and six months ended June 30, 2010, respectively. Approximately $12 million of the losses recognized in the second quarter of 2010 related to American Depositary Shares of Allied Irish Banks, p.l.c. (“AIB ADSs”) which were obtained in M&amp;T’s acquisition of Allfirst Financial Inc. in 2003. The remaining losses in 2010 related to certain privately issued residential mortgage-backed securities and collateralized debt obligations backed by pooled trust preferred securities. The impairment charges related to the AIB ADSs were recognized due to mounting credit and other losses incurred by AIB and significant dilution of AIB common shareholders based on the Irish government’s significant ownership position. Other-than-temporary impairment losses on investment securities of $25 million and $57 million (pre-tax) were recognized by the Company for the three and six months ended June 30, 2009 and related to privately issued residential mortgage-backed securities. The impairment charges related to the privately issued residential mortgage-backed securities in the 2010 and 2009 periods were recognized in light of deterioration of housing values in the residential real estate market and a rise in delinquencies and charge-offs of underlying mortgage loans collateralizing those securities. The other-than-temporary impairment losses represent management’s estimate of credit losses inherent in the securities considering projected cash flows using assumptions of delinquency rates, loss severities, and other estimates of future collateral performance. The following table displays changes in credit losses for debt securities recognized in earnings for the three and six months ended June 30, 2010 and 2009.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color w:val="auto"/>
                <w:w w:val="90"/>
              </w:rPr>
              <w:t>Three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3"/>
          </w:tcPr>
          <w:p>
            <w:pPr>
              <w:jc w:val="center"/>
              <w:ind w:left="528"/>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$ 308,017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5940" w:type="dxa"/>
            <w:vAlign w:val="bottom"/>
            <w:gridSpan w:val="3"/>
          </w:tcPr>
          <w:p>
            <w:pPr>
              <w:jc w:val="right"/>
              <w:ind w:right="660"/>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5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5940" w:type="dxa"/>
            <w:vAlign w:val="bottom"/>
            <w:gridSpan w:val="3"/>
          </w:tcPr>
          <w:p>
            <w:pPr>
              <w:jc w:val="right"/>
              <w:ind w:right="60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$ 314,263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205,918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color w:val="auto"/>
                <w:w w:val="90"/>
              </w:rPr>
              <w:t>Six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3"/>
          </w:tcPr>
          <w:p>
            <w:pPr>
              <w:jc w:val="center"/>
              <w:ind w:left="528"/>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$ 284,513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5940" w:type="dxa"/>
            <w:vAlign w:val="bottom"/>
            <w:gridSpan w:val="3"/>
          </w:tcPr>
          <w:p>
            <w:pPr>
              <w:jc w:val="right"/>
              <w:ind w:right="660"/>
              <w:spacing w:after="0"/>
              <w:rPr>
                <w:sz w:val="20"/>
                <w:szCs w:val="20"/>
                <w:color w:val="auto"/>
              </w:rPr>
            </w:pPr>
            <w:r>
              <w:rPr>
                <w:rFonts w:ascii="Arial" w:cs="Arial" w:eastAsia="Arial" w:hAnsi="Arial"/>
                <w:sz w:val="18"/>
                <w:szCs w:val="18"/>
                <w:color w:val="auto"/>
              </w:rPr>
              <w:t>37,189</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5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5940" w:type="dxa"/>
            <w:vAlign w:val="bottom"/>
            <w:gridSpan w:val="3"/>
          </w:tcPr>
          <w:p>
            <w:pPr>
              <w:jc w:val="right"/>
              <w:ind w:right="600"/>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$ 314,263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205,918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vMerge w:val="restart"/>
          </w:tcPr>
          <w:p>
            <w:pPr>
              <w:jc w:val="right"/>
              <w:ind w:right="3250"/>
              <w:spacing w:after="0"/>
              <w:rPr>
                <w:sz w:val="20"/>
                <w:szCs w:val="20"/>
                <w:color w:val="auto"/>
              </w:rPr>
            </w:pPr>
            <w:r>
              <w:rPr>
                <w:rFonts w:ascii="Arial" w:cs="Arial" w:eastAsia="Arial" w:hAnsi="Arial"/>
                <w:sz w:val="18"/>
                <w:szCs w:val="18"/>
                <w:color w:val="auto"/>
              </w:rPr>
              <w:t>- 11 -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June 30, 2010, the amortized cost and estimated fair value of debt securities by contractual maturity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660"/>
              <w:spacing w:after="0" w:line="142" w:lineRule="exact"/>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58,322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57,137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414,004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558,701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5,546,210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5,481,306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6,104,911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6,033,878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41,557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128,784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219,426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1,262,115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1,151,083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1,481,541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1,373,075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 summary of investment securities that as of June 30, 2010 and December 31, 2009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72"/>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5,476</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3,969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6,189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1,949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153,971</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1,199,596</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26,643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14,093</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(9,578)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2,925</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101,564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5,904</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(4,663)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192,527</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(15,381)</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1,336,683</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(328,972)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18,072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(137)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2,964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197,210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18,072</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200,174</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210,599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(15,518)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1,536,857</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vMerge w:val="restart"/>
          </w:tcPr>
          <w:p>
            <w:pPr>
              <w:jc w:val="right"/>
              <w:ind w:right="370"/>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72"/>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6,265</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9,540</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(83)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3,578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685,319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(6,460)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19,379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98,312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(2,871)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1,504,020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25,166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13,046</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(10,218)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3,598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5,786</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(174)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138,705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7,449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(1,728)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825,717</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(21,587)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1,718,177</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(461,482)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136,032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(1,492)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201,202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136,032</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201,828</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961,749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(23,079)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owned 369 individual investment securities with aggregate gross unrealized losses of $480 million at June 30, 2010.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$412 million of the unrealized losses pertained to privately issued residential mortgage-backed securities with a cost basis of $2.0 billion. The Company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$58 million of unrealized losses on trust preferred securities issued by financial institutions and securities backed by trust preferred securities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institutions and other entities having a cost basis of $171 million. Based on a review of each of the securities in the investment securities portfolio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2010, with the exception of the aforementioned securities for which other-than-temporary impairment losses were recognized,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concluded that it expected to recover the amortized cost basis of its investment. As of June 30, 2010, the Company does not intend to sell nor is it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it would be required to sell any of its impaired investment securities. At June 30, 2010, the Company has not identified events or changes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circumstances which may have a significant adverse effect on the fair value of the $466 million of cost method investment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credit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6"/>
          </w:tcPr>
          <w:p>
            <w:pPr>
              <w:jc w:val="center"/>
              <w:ind w:right="780"/>
              <w:spacing w:after="0"/>
              <w:rPr>
                <w:sz w:val="20"/>
                <w:szCs w:val="20"/>
                <w:color w:val="auto"/>
              </w:rPr>
            </w:pPr>
            <w:r>
              <w:rPr>
                <w:rFonts w:ascii="Arial" w:cs="Arial" w:eastAsia="Arial" w:hAnsi="Arial"/>
                <w:sz w:val="14"/>
                <w:szCs w:val="14"/>
                <w:color w:val="auto"/>
                <w:w w:val="91"/>
              </w:rPr>
              <w:t>Three months ended</w:t>
            </w:r>
          </w:p>
        </w:tc>
        <w:tc>
          <w:tcPr>
            <w:tcW w:w="2180" w:type="dxa"/>
            <w:vAlign w:val="bottom"/>
            <w:gridSpan w:val="5"/>
          </w:tcPr>
          <w:p>
            <w:pPr>
              <w:jc w:val="right"/>
              <w:ind w:right="680"/>
              <w:spacing w:after="0"/>
              <w:rPr>
                <w:sz w:val="20"/>
                <w:szCs w:val="20"/>
                <w:color w:val="auto"/>
              </w:rPr>
            </w:pPr>
            <w:r>
              <w:rPr>
                <w:rFonts w:ascii="Arial" w:cs="Arial" w:eastAsia="Arial" w:hAnsi="Arial"/>
                <w:sz w:val="14"/>
                <w:szCs w:val="14"/>
                <w:color w:val="auto"/>
              </w:rPr>
              <w:t>Six months ended</w:t>
            </w:r>
          </w:p>
        </w:tc>
      </w:tr>
      <w:tr>
        <w:trPr>
          <w:trHeight w:val="167"/>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center"/>
              <w:ind w:right="1600"/>
              <w:spacing w:after="0"/>
              <w:rPr>
                <w:sz w:val="20"/>
                <w:szCs w:val="20"/>
                <w:color w:val="auto"/>
              </w:rPr>
            </w:pPr>
            <w:r>
              <w:rPr>
                <w:rFonts w:ascii="Arial" w:cs="Arial" w:eastAsia="Arial" w:hAnsi="Arial"/>
                <w:sz w:val="14"/>
                <w:szCs w:val="14"/>
                <w:color w:val="auto"/>
                <w:w w:val="92"/>
              </w:rPr>
              <w:t>June 30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980"/>
              <w:spacing w:after="0"/>
              <w:rPr>
                <w:sz w:val="20"/>
                <w:szCs w:val="20"/>
                <w:color w:val="auto"/>
              </w:rPr>
            </w:pPr>
            <w:r>
              <w:rPr>
                <w:rFonts w:ascii="Arial" w:cs="Arial" w:eastAsia="Arial" w:hAnsi="Arial"/>
                <w:sz w:val="14"/>
                <w:szCs w:val="14"/>
                <w:color w:val="auto"/>
                <w:w w:val="88"/>
              </w:rPr>
              <w:t>June 30</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2010</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2010</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3"/>
          </w:tcPr>
          <w:p>
            <w:pPr>
              <w:ind w:left="680"/>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$ 891,265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845,971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878,022</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787,904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85,000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147,000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190,000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305,000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2,752</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charge-offs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Charge-offs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(105,346)</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(148,414)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(211,385)</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(259,019)</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(81,598)</w:t>
            </w:r>
          </w:p>
        </w:tc>
        <w:tc>
          <w:tcPr>
            <w:tcW w:w="2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(137,606)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(176,107)</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(237,539)</w:t>
            </w: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300" w:type="dxa"/>
            <w:vAlign w:val="bottom"/>
          </w:tcPr>
          <w:p>
            <w:pPr>
              <w:spacing w:after="0"/>
              <w:rPr>
                <w:sz w:val="20"/>
                <w:szCs w:val="20"/>
                <w:color w:val="auto"/>
              </w:rPr>
            </w:pPr>
            <w:r>
              <w:rPr>
                <w:rFonts w:ascii="Arial" w:cs="Arial" w:eastAsia="Arial" w:hAnsi="Arial"/>
                <w:sz w:val="18"/>
                <w:szCs w:val="18"/>
                <w:color w:val="auto"/>
              </w:rPr>
              <w:t>Ending balance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$ 894,667</w:t>
            </w:r>
          </w:p>
        </w:tc>
        <w:tc>
          <w:tcPr>
            <w:tcW w:w="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855,365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894,667</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855,365</w:t>
            </w: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or for purchased impaired loans when it is probable that the Company will be unable to collect all cash flows expected at acquisition plus additional cash flows expected to be collected arising from changes in estimates after acquisition. Regardless of loan type, the Company considers a loan to be impaired if it qualifies as a troubled debt restructuring. Impaired loans are classified as either nonaccrual or as loans renegotiated at below market rates, with the exception of acquired impaired loans which continue to accrete income in accordance with GAAP.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 dependent.</w:t>
      </w:r>
    </w:p>
    <w:p>
      <w:pPr>
        <w:spacing w:after="0" w:line="59"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The recorded investment in loans considered impaired for purposes of applying GAAP was $1.1 billion and $1.3 billion at June 30, 2010 and December 31, 2009, respectively. The recorded investment in loans considered impaired for which there was a related valuation allowance for impairment included in the allowance for credit losses and the amount of such impairment allowance were $856 million and $214 million, respectively, at June 30, 2010 and $1.1 billion and $244 million, respectively, at December 31, 2009. The recorded investment in loans considered impaired for which there was no related valuation allowance for impairment was $262 million and $234 million at June 30, 2010 and December 31, 2009,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had $1.2 billion of fixed and floating rate junior subordinated deferrable interest debentures (“Junior Subordinated Debentures”) outstanding at June 30, 2010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The Dodd-Frank Wall Street Reform and Consumer Protection Act of 2010 was signed into law on July 21, 2010. One of its provisions is for a three-year phase-in related to the exclusion of trust preferred capital securities from Tier 1 capital for large financial institutions, including M&amp;T. That phase-in period begins on January 1, 2013.</w:t>
      </w:r>
    </w:p>
    <w:p>
      <w:pPr>
        <w:spacing w:after="0" w:line="79"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1"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6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various trusts, the Junior Subordinated Debentures associated with Capital Securities had financial statement carrying values of $1.2 billion at each of June 30, 2010 and December 31, 2009.</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Carrying</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8"/>
              </w:rPr>
              <w:t>issued and</w:t>
            </w:r>
          </w:p>
        </w:tc>
        <w:tc>
          <w:tcPr>
            <w:tcW w:w="4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4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4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June 30, 2010</w:t>
            </w:r>
          </w:p>
        </w:tc>
        <w:tc>
          <w:tcPr>
            <w:tcW w:w="4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gridSpan w:val="3"/>
          </w:tcPr>
          <w:p>
            <w:pPr>
              <w:jc w:val="right"/>
              <w:ind w:right="968"/>
              <w:spacing w:after="0" w:line="142" w:lineRule="exact"/>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A, $1,000 liquidation</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preference per share, 600,000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600,000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$575,558</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572,580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Series B Mandatory Convertible Non-cumulative Preferred Stock, $1,000</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liquidation preference per share, 26,500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26,500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26,500</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C, $1,000 liquidation</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preference per share, 151,500 shares authorized</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151,500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133,292</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131,155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55"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40" w:lineRule="exact"/>
        <w:rPr>
          <w:rFonts w:ascii="Arial" w:cs="Arial" w:eastAsia="Arial" w:hAnsi="Arial"/>
          <w:sz w:val="18"/>
          <w:szCs w:val="18"/>
          <w:i w:val="1"/>
          <w:iCs w:val="1"/>
          <w:color w:val="auto"/>
        </w:rPr>
      </w:pPr>
    </w:p>
    <w:p>
      <w:pPr>
        <w:ind w:left="460" w:right="360" w:hanging="452"/>
        <w:spacing w:after="0" w:line="311"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Dividends, if declared, are payable quarterly in arrears at a rate of 10% per year.</w:t>
      </w: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the Provident acquisition and a new Series C Preferred Stock was designated.</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89"/>
              </w:rPr>
              <w:t>Three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4,738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628"/>
              <w:spacing w:after="0"/>
              <w:rPr>
                <w:sz w:val="20"/>
                <w:szCs w:val="20"/>
                <w:color w:val="auto"/>
              </w:rPr>
            </w:pPr>
            <w:r>
              <w:rPr>
                <w:rFonts w:ascii="Arial" w:cs="Arial" w:eastAsia="Arial" w:hAnsi="Arial"/>
                <w:sz w:val="18"/>
                <w:szCs w:val="18"/>
                <w:color w:val="auto"/>
              </w:rPr>
              <w:t>12,032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11,264</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(12,655)</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(11,576)</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(1,629)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1"/>
              </w:rPr>
              <w:t>Six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628"/>
              <w:spacing w:after="0"/>
              <w:rPr>
                <w:sz w:val="20"/>
                <w:szCs w:val="20"/>
                <w:color w:val="auto"/>
              </w:rPr>
            </w:pPr>
            <w:r>
              <w:rPr>
                <w:rFonts w:ascii="Arial" w:cs="Arial" w:eastAsia="Arial" w:hAnsi="Arial"/>
                <w:sz w:val="18"/>
                <w:szCs w:val="18"/>
                <w:color w:val="auto"/>
              </w:rPr>
              <w:t>24,061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22,279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(25,443)</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(23,051)</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(3,279)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6,776</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Expense incurred in connection with the Company’s defined contribution pension and retirement savings plans totaled $8,775,000 and $8,330,000 for the three months ended June 30, 2010 and 2009, respectively, and $20,465,000 and $19,105,000 for the six months ended June 30, 2010 and 2009,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120"/>
              <w:spacing w:after="0"/>
              <w:rPr>
                <w:sz w:val="20"/>
                <w:szCs w:val="20"/>
                <w:color w:val="auto"/>
              </w:rPr>
            </w:pPr>
            <w:r>
              <w:rPr>
                <w:rFonts w:ascii="Arial" w:cs="Arial" w:eastAsia="Arial" w:hAnsi="Arial"/>
                <w:sz w:val="14"/>
                <w:szCs w:val="14"/>
                <w:color w:val="auto"/>
              </w:rPr>
              <w:t>Three months ended</w:t>
            </w:r>
          </w:p>
        </w:tc>
        <w:tc>
          <w:tcPr>
            <w:tcW w:w="218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3"/>
          </w:tcPr>
          <w:p>
            <w:pPr>
              <w:jc w:val="right"/>
              <w:ind w:right="1480"/>
              <w:spacing w:after="0" w:line="149" w:lineRule="exact"/>
              <w:rPr>
                <w:sz w:val="20"/>
                <w:szCs w:val="20"/>
                <w:color w:val="auto"/>
              </w:rPr>
            </w:pPr>
            <w:r>
              <w:rPr>
                <w:rFonts w:ascii="Arial" w:cs="Arial" w:eastAsia="Arial" w:hAnsi="Arial"/>
                <w:sz w:val="14"/>
                <w:szCs w:val="14"/>
                <w:color w:val="auto"/>
                <w:w w:val="88"/>
              </w:rPr>
              <w:t>June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920"/>
              <w:spacing w:after="0" w:line="149" w:lineRule="exact"/>
              <w:rPr>
                <w:sz w:val="20"/>
                <w:szCs w:val="20"/>
                <w:color w:val="auto"/>
              </w:rPr>
            </w:pPr>
            <w:r>
              <w:rPr>
                <w:rFonts w:ascii="Arial" w:cs="Arial" w:eastAsia="Arial" w:hAnsi="Arial"/>
                <w:sz w:val="14"/>
                <w:szCs w:val="14"/>
                <w:color w:val="auto"/>
                <w:w w:val="88"/>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w w:val="95"/>
              </w:rPr>
              <w:t>(in thousands, except per share)</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188,749</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51,188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339,704</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115,409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(10,056)</w:t>
            </w:r>
          </w:p>
        </w:tc>
        <w:tc>
          <w:tcPr>
            <w:tcW w:w="1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(8,468)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Arial" w:cs="Arial" w:eastAsia="Arial" w:hAnsi="Arial"/>
                <w:sz w:val="18"/>
                <w:szCs w:val="18"/>
                <w:color w:val="auto"/>
              </w:rPr>
              <w:t>Amortization of preferred stock discount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(2,605)</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(1,756)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(5,162)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176,088</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40,964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314,429</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96,286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(448)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(4,403)</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173,588</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40,516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310,026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95,105</w:t>
            </w: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shares outstanding (including common stock issuable) and unvested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awards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119,756</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114,485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119,550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(1,267)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118,054</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113,218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117,910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111,836</w:t>
            </w: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120"/>
              <w:spacing w:after="0"/>
              <w:rPr>
                <w:sz w:val="20"/>
                <w:szCs w:val="20"/>
                <w:color w:val="auto"/>
              </w:rPr>
            </w:pPr>
            <w:r>
              <w:rPr>
                <w:rFonts w:ascii="Arial" w:cs="Arial" w:eastAsia="Arial" w:hAnsi="Arial"/>
                <w:sz w:val="14"/>
                <w:szCs w:val="14"/>
                <w:color w:val="auto"/>
              </w:rPr>
              <w:t>Three months ended</w:t>
            </w:r>
          </w:p>
        </w:tc>
        <w:tc>
          <w:tcPr>
            <w:tcW w:w="218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3"/>
          </w:tcPr>
          <w:p>
            <w:pPr>
              <w:jc w:val="right"/>
              <w:ind w:right="1480"/>
              <w:spacing w:after="0" w:line="149" w:lineRule="exact"/>
              <w:rPr>
                <w:sz w:val="20"/>
                <w:szCs w:val="20"/>
                <w:color w:val="auto"/>
              </w:rPr>
            </w:pPr>
            <w:r>
              <w:rPr>
                <w:rFonts w:ascii="Arial" w:cs="Arial" w:eastAsia="Arial" w:hAnsi="Arial"/>
                <w:sz w:val="14"/>
                <w:szCs w:val="14"/>
                <w:color w:val="auto"/>
                <w:w w:val="88"/>
              </w:rPr>
              <w:t>June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920"/>
              <w:spacing w:after="0" w:line="149" w:lineRule="exact"/>
              <w:rPr>
                <w:sz w:val="20"/>
                <w:szCs w:val="20"/>
                <w:color w:val="auto"/>
              </w:rPr>
            </w:pPr>
            <w:r>
              <w:rPr>
                <w:rFonts w:ascii="Arial" w:cs="Arial" w:eastAsia="Arial" w:hAnsi="Arial"/>
                <w:sz w:val="14"/>
                <w:szCs w:val="14"/>
                <w:color w:val="auto"/>
                <w:w w:val="88"/>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w w:val="95"/>
              </w:rPr>
              <w:t>(in thousands, except per share)</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176,088</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40,964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314,429</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96,286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w w:val="98"/>
              </w:rPr>
              <w:t>Less: Income attributable to unvested stock-based compensation awards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(2,491)</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(448)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(4,392)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173,597</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40,516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310,037</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95,105</w:t>
            </w: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and unvested stock-based compensation awards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119,756</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114,485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119,550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Less: Unvested stock-based compensation awards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(1,267)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Plus: Incremental shares from assumed conversion of stock-based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compensation awards and convertible preferred stock</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Adjusted weighted-average shares outstanding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118,878</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113,521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118,569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111,988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six-month periods ended June 30, 2010 and 2009, the Company issued stock-based compensation awards in the form of restricted stock and restricted stock units, which, in accordance with GAAP, are considered participating securities.</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Stock-based compensation awards, warrants to purchase common stock of M&amp;T and preferred stock convertible into shares of M&amp;T stock representing approximately 10.7 million and 15.2 million common shares during the three-month periods ended June 30, 2010 and 2009, respectively, and 11.3 million and 15.1 million common shares during the six-month periods ended June 30, 2010 and 2009, respectively, were not included in the computations of diluted earnings per common share because the effect on those periods would have been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Six months ended June 30, 2010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9"/>
              </w:rPr>
              <w:t>Before-tax</w:t>
            </w:r>
          </w:p>
        </w:tc>
        <w:tc>
          <w:tcPr>
            <w:tcW w:w="3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780"/>
              <w:spacing w:after="0" w:line="123" w:lineRule="exact"/>
              <w:rPr>
                <w:sz w:val="20"/>
                <w:szCs w:val="20"/>
                <w:color w:val="auto"/>
              </w:rPr>
            </w:pPr>
            <w:r>
              <w:rPr>
                <w:rFonts w:ascii="Arial" w:cs="Arial" w:eastAsia="Arial" w:hAnsi="Arial"/>
                <w:sz w:val="14"/>
                <w:szCs w:val="14"/>
                <w:color w:val="auto"/>
              </w:rPr>
              <w:t>Income</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Available for sale (“AFS”) investment securities with other-than-temporary impairment (“OTTI”):</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(50,566)</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19,603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(49,182)</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19,017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(1,384)</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586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170,630</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(66,783)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recognized in net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(50,566)</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19,603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(86,425)</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unrealized holding losses to income during period on investment securities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held to maturity (“HTM”)</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4,374</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(1,716)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224,321</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(87,555)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 on terminated cash flow hedges to income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3,580</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(1,405)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$ 227,677</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(88,877)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138,800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- 20 -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w w:val="90"/>
              </w:rPr>
              <w:t>Six months ended June 30, 2009</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84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rPr>
              <w:t>Before-tax</w:t>
            </w:r>
          </w:p>
        </w:tc>
        <w:tc>
          <w:tcPr>
            <w:tcW w:w="600" w:type="dxa"/>
            <w:vAlign w:val="bottom"/>
          </w:tcPr>
          <w:p>
            <w:pPr>
              <w:spacing w:after="0"/>
              <w:rPr>
                <w:sz w:val="10"/>
                <w:szCs w:val="10"/>
                <w:color w:val="auto"/>
              </w:rPr>
            </w:pPr>
          </w:p>
        </w:tc>
        <w:tc>
          <w:tcPr>
            <w:tcW w:w="1420" w:type="dxa"/>
            <w:vAlign w:val="bottom"/>
            <w:gridSpan w:val="2"/>
          </w:tcPr>
          <w:p>
            <w:pPr>
              <w:jc w:val="right"/>
              <w:ind w:right="820"/>
              <w:spacing w:after="0" w:line="123" w:lineRule="exact"/>
              <w:rPr>
                <w:sz w:val="20"/>
                <w:szCs w:val="20"/>
                <w:color w:val="auto"/>
              </w:rPr>
            </w:pPr>
            <w:r>
              <w:rPr>
                <w:rFonts w:ascii="Arial" w:cs="Arial" w:eastAsia="Arial" w:hAnsi="Arial"/>
                <w:sz w:val="14"/>
                <w:szCs w:val="14"/>
                <w:color w:val="auto"/>
              </w:rPr>
              <w:t>Income</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AFS investment securities with OTTI:</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(138,505)</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54,250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(56,968)</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22,292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(81,537)</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31,958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(49,579)</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180,862</w:t>
            </w:r>
          </w:p>
        </w:tc>
        <w:tc>
          <w:tcPr>
            <w:tcW w:w="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(70,508)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recognized in net income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(138,505)</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54,250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319,446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(124,790)</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unrealized holding losses to income during period on investment securities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HTM</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243,842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(94,444)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760" w:type="dxa"/>
            <w:vAlign w:val="bottom"/>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(946)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$ 255,353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(99,228)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156,125</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- 21 -</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vMerge w:val="restart"/>
          </w:tcPr>
          <w:p>
            <w:pPr>
              <w:jc w:val="right"/>
              <w:ind w:right="78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Cash</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rPr>
              <w:t>flow</w:t>
            </w:r>
          </w:p>
        </w:tc>
        <w:tc>
          <w:tcPr>
            <w:tcW w:w="14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7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7"/>
              </w:rPr>
              <w:t>hedges</w:t>
            </w:r>
          </w:p>
        </w:tc>
        <w:tc>
          <w:tcPr>
            <w:tcW w:w="14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9"/>
              </w:rPr>
              <w:t>plans</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(76,772)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(142,853)</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674</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(117,046)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137,564</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(141)</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2,175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138,800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(77,570)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(5,289)</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533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(114,871)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(197,197)</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color w:val="auto"/>
              </w:rPr>
              <w:t>Balance — January 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(556,668)</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(5,883)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(174,330)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(49,579)</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198,977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156,125</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Balance — June 30,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(49,579)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(357,691)</w:t>
            </w: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109</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(173,595)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(580,756)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June 30, 2010.</w:t>
      </w:r>
    </w:p>
    <w:p>
      <w:pPr>
        <w:spacing w:after="0" w:line="85"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net effect of interest rate swap agreements was to increase net interest income by $11 million and $10 million for the three months ended June 30, 2010 and 2009, respectively, and $22 million and $17 million for the six months ended June 30, 2010 and 2009, respectively. Information about interest rate swap agreements entered into for interest rate risk management purposes summarized by type of financial instrument the swap agreements were intended to hedge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color w:val="auto"/>
              </w:rPr>
              <w:t>Notional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amount</w:t>
            </w: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jc w:val="right"/>
              <w:ind w:right="828"/>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1,037,241</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December 31,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5.30%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1,062,241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vMerge w:val="continue"/>
          </w:tcPr>
          <w:p>
            <w:pPr>
              <w:spacing w:after="0"/>
              <w:rPr>
                <w:sz w:val="19"/>
                <w:szCs w:val="19"/>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$12.4 billion and $13.9 billion at June 30, 2010 and December 31, 2009, respectively. The notional amounts of foreign currency and other option and futures contracts entered into for trading purposes aggregated $680 million and $608 million at June 30, 2010 and December 31, 2009, respectively.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24"/>
              <w:spacing w:after="0" w:line="142" w:lineRule="exact"/>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19"/>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w w:val="85"/>
              </w:rPr>
              <w:t>June 30,</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hedges: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$ 111,087</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54,486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3,269</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111,260</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60,495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3,269</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Mortgage-related commitments to originate real estate loans for sale (a)</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324</w:t>
            </w:r>
          </w:p>
        </w:tc>
        <w:tc>
          <w:tcPr>
            <w:tcW w:w="2080" w:type="dxa"/>
            <w:vAlign w:val="bottom"/>
            <w:gridSpan w:val="3"/>
          </w:tcPr>
          <w:p>
            <w:pPr>
              <w:jc w:val="right"/>
              <w:ind w:right="660"/>
              <w:spacing w:after="0"/>
              <w:rPr>
                <w:sz w:val="20"/>
                <w:szCs w:val="20"/>
                <w:color w:val="auto"/>
              </w:rPr>
            </w:pPr>
            <w:r>
              <w:rPr>
                <w:rFonts w:ascii="Arial" w:cs="Arial" w:eastAsia="Arial" w:hAnsi="Arial"/>
                <w:sz w:val="18"/>
                <w:szCs w:val="18"/>
                <w:color w:val="auto"/>
              </w:rPr>
              <w:t>13,293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13,507</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396,098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317,651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371,421</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290,104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9,044</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427,138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347,280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394,029</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$ 538,398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397,298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40"/>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1980" w:type="dxa"/>
            <w:vAlign w:val="bottom"/>
            <w:gridSpan w:val="4"/>
          </w:tcPr>
          <w:p>
            <w:pPr>
              <w:jc w:val="center"/>
              <w:ind w:right="48"/>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color w:val="auto"/>
                <w:w w:val="90"/>
              </w:rPr>
              <w:t>June 30, 2010</w:t>
            </w:r>
          </w:p>
        </w:tc>
        <w:tc>
          <w:tcPr>
            <w:tcW w:w="10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June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3"/>
          </w:tcPr>
          <w:p>
            <w:pPr>
              <w:jc w:val="center"/>
              <w:ind w:left="548"/>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43,957</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(41,680)</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(60,402)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57,164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43,653</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(41,376)</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5"/>
              </w:rPr>
              <w:t>$ (61,344)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58,102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center"/>
              <w:ind w:right="820"/>
              <w:spacing w:after="0" w:line="123" w:lineRule="exact"/>
              <w:rPr>
                <w:sz w:val="20"/>
                <w:szCs w:val="20"/>
                <w:color w:val="auto"/>
              </w:rPr>
            </w:pPr>
            <w:r>
              <w:rPr>
                <w:rFonts w:ascii="Arial" w:cs="Arial" w:eastAsia="Arial" w:hAnsi="Arial"/>
                <w:sz w:val="14"/>
                <w:szCs w:val="14"/>
                <w:color w:val="auto"/>
                <w:w w:val="92"/>
              </w:rPr>
              <w:t>Six months ended</w:t>
            </w:r>
          </w:p>
        </w:tc>
        <w:tc>
          <w:tcPr>
            <w:tcW w:w="100" w:type="dxa"/>
            <w:vAlign w:val="bottom"/>
          </w:tcPr>
          <w:p>
            <w:pPr>
              <w:spacing w:after="0"/>
              <w:rPr>
                <w:sz w:val="10"/>
                <w:szCs w:val="10"/>
                <w:color w:val="auto"/>
              </w:rPr>
            </w:pPr>
          </w:p>
        </w:tc>
        <w:tc>
          <w:tcPr>
            <w:tcW w:w="1980" w:type="dxa"/>
            <w:vAlign w:val="bottom"/>
            <w:gridSpan w:val="4"/>
          </w:tcPr>
          <w:p>
            <w:pPr>
              <w:jc w:val="center"/>
              <w:ind w:right="48"/>
              <w:spacing w:after="0" w:line="123" w:lineRule="exact"/>
              <w:rPr>
                <w:sz w:val="20"/>
                <w:szCs w:val="20"/>
                <w:color w:val="auto"/>
              </w:rPr>
            </w:pPr>
            <w:r>
              <w:rPr>
                <w:rFonts w:ascii="Arial" w:cs="Arial" w:eastAsia="Arial" w:hAnsi="Arial"/>
                <w:sz w:val="14"/>
                <w:szCs w:val="14"/>
                <w:color w:val="auto"/>
                <w:w w:val="90"/>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color w:val="auto"/>
                <w:w w:val="90"/>
              </w:rPr>
              <w:t>June 30, 2010</w:t>
            </w:r>
          </w:p>
        </w:tc>
        <w:tc>
          <w:tcPr>
            <w:tcW w:w="10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June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3"/>
          </w:tcPr>
          <w:p>
            <w:pPr>
              <w:jc w:val="center"/>
              <w:ind w:left="548"/>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56,427</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(53,661)</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(81,717)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76,825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55,924</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(53,158)</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5"/>
              </w:rPr>
              <w:t>$ (83,111)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78,212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(1,118)</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$22 million and $20 million at June 30, 2010 and December 31, 2009, respectively. Changes in unrealized gains and losses are included in mortgage banking revenues and, in general, are realized in subsequent periods as the related loans are sold and commitments satisfied.</w:t>
      </w:r>
    </w:p>
    <w:p>
      <w:pPr>
        <w:spacing w:after="0" w:line="81"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June 30, 2010 for which the Company was required to post collateral was $280 million. The fair value of collateral posted for such instruments was $274 million.</w:t>
      </w:r>
    </w:p>
    <w:p>
      <w:pPr>
        <w:spacing w:after="0" w:line="62"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Company’s credit exposure with respect to the estimated fair value as of June 30, 2010 of interest rate swap agreements used for managing interest rate risk has been substantially mitigated through master netting agreements with trading account interest rate contracts with the same counterparties as well as counterparty postings of $58 million of collateral with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January 1, 2010, the Financial Accounting Standards Board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w:t>
      </w:r>
    </w:p>
    <w:p>
      <w:pPr>
        <w:spacing w:after="0" w:line="57"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Also effective January 1, 2010, the FASB amended accounting guidance relating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recognition and measurement provisions of the amended guidance were required to be applied prospectively. Additionally, beginning January 1, 2010, the concept of a qualifying special-purpose entity is no longer relevant for accounting purposes. Therefore, formerly qualifying special-purpose entities had to be re-evaluated for consolidation in accordance with applicable consolidation guidance, including the new accounting guidance relating to the consolidation of variable interest entities discussed in the previous paragraph.</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2002 and 2003, the Company transferred approximately $1.9 billion of one-to-four family residential mortgage loans to qualified special-purpose trusts in two non-recourse securitization transactions. In exchange for the loans, the Company received cash, no more than 88% of the resulting securities, and the servicing rights to the loans. Through December 31, 2009, all of the retained securities were classified as investment securities available for sale as the qualified special-purpose trusts were not included in the Company’s consolidated financial statements. Effective January 1, 2010, the Company determined that it was the primary beneficiary of both securitization trusts under the amended consolidation rules considering its role as servicer and its retained subordinated interests in the trusts. As a result, beginning January 1, 2010, the Company has included the one-to-four family residential mortgage loans that were included in the two non-recourse securitization transactions in its consolidated financial statements. The effect of that consolidation on January 1, 2010 was to increase loans receivable by $424 million, decrease the amortized cost of available-for-sale investment securities by $360 million (fair value of $355 million), and increase borrowings by $65 million. The transition adjustment at January 1, 2010 as a result of the Company’s adoption of the new accounting requirements was not significant. In the second quarter of 2010, the 2002 securitization trust was terminated as the Company exercised its right to purchase the underlying mortgage loans pursuant to the clean-up call provisions of the qualified special-purpose trust. At June 30, 2010, the carrying value of the loans in the remaining securitization trust was $302 million. The outstanding principal amount of mortgage-backed securities issued by the qualified special-purpose trust was $305 million at June 30, 2010 and the principal amount of such securities held by the Company was $260 million. The remainder of the outstanding mortgage-backed securities were held by parties unrelated to M&amp;T. Because the transaction was non-recourse, the Company’s maximum exposure to loss as a result of its association with the trust at June 30, 2010 is limited to realizing the carrying value of the loans less the $45 million carrying value of the mortgage-backed securities outstanding to third parties.</w:t>
      </w:r>
    </w:p>
    <w:p>
      <w:pPr>
        <w:spacing w:after="0" w:line="27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the first quarter of 2009, the Company securitized approximately $141 million of one-to-four family residential mortgage loans in guaranteed mortgage securitizations with Fannie Mae.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variable interest entities in which the Company holds a variable interest are described below.</w:t>
      </w:r>
    </w:p>
    <w:p>
      <w:pPr>
        <w:spacing w:after="0" w:line="117"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M&amp;T has a variable interest in a trust that holds AIB ADSs for the purpose of satisfying options to purchase such shares for certain employees. The trust purchased the AIB ADSs with the proceeds of a loan from an entity subsequently acquired by M&amp;T. Proceeds from option exercises and any dividends and other earnings on the trust assets are used to repay the loan plus interest. Option holders have no preferential right with respect to the trust assets and the trust assets are subject to the claims of M&amp;T’s creditors. The trust has been included in the Company’s consolidated financial statements. As a result, included in investment securities available for sale were 591,813 AIB ADSs with a carrying value of approximately $1 million and $2 million at June 30, 2010 and December 31, 2009, respectively. Outstanding options granted to employees who have continued service with M&amp;T totaled 184,350 and 189,450 at June 30, 2010 and December 31, 2009, respectively. All outstanding options were fully vested and exercisable at both June 30, 2010 and December 31, 2009. The options expire at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various dates through October 2011. The AIB ADSs are included in available for sale investment securities and have a fair value and an amortized cost of</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 million at June 30, 2010. An other-than-temporary impairment charge of $12 million was recognized during the second quarter of 2010 on the AIB ADSs due to adverse developments impacting AIB, including significant dilution of AIB common shareholders and further deterioration of AIB’s financial condition.</w:t>
      </w:r>
    </w:p>
    <w:p>
      <w:pPr>
        <w:spacing w:after="0" w:line="82" w:lineRule="exact"/>
        <w:rPr>
          <w:sz w:val="20"/>
          <w:szCs w:val="20"/>
          <w:color w:val="auto"/>
        </w:rPr>
      </w:pPr>
    </w:p>
    <w:p>
      <w:pPr>
        <w:ind w:right="160" w:firstLine="215"/>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2010 and December 31, 2009,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Capital Securities described in note 5.</w:t>
      </w:r>
    </w:p>
    <w:p>
      <w:pPr>
        <w:spacing w:after="0" w:line="70" w:lineRule="exact"/>
        <w:rPr>
          <w:sz w:val="20"/>
          <w:szCs w:val="20"/>
          <w:color w:val="auto"/>
        </w:rPr>
      </w:pPr>
    </w:p>
    <w:p>
      <w:pPr>
        <w:ind w:right="340" w:firstLine="222"/>
        <w:spacing w:after="0" w:line="284" w:lineRule="auto"/>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$1.1 billion and $1.0 billion at June 30, 2010 and December 31, 2009,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$238 million, including $77 million of unfunded commitments, at June 30, 2010 and</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$246 million, including $89 million of unfunded commitments, at December 31, 2009. The Company has not provided financial or other support to the partnerships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2010.</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right="640" w:hanging="436"/>
        <w:spacing w:after="0" w:line="342" w:lineRule="auto"/>
        <w:tabs>
          <w:tab w:leader="none" w:pos="660"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660" w:right="300" w:hanging="436"/>
        <w:spacing w:after="0" w:line="308" w:lineRule="auto"/>
        <w:tabs>
          <w:tab w:leader="none" w:pos="660"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46" w:lineRule="exact"/>
        <w:rPr>
          <w:sz w:val="20"/>
          <w:szCs w:val="20"/>
          <w:color w:val="auto"/>
        </w:rPr>
      </w:pPr>
    </w:p>
    <w:p>
      <w:pPr>
        <w:ind w:right="80" w:firstLine="8"/>
        <w:spacing w:after="0" w:line="295"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were difficult to observe at the individual bond level. Because of the inactivity in the markets and the lack of observable valuation inputs, the Company has classified the valuation of privately issued mortgage-backed securities as Level 3.</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April 2009, the FASB issued new accounting rules that provided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June 30,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144 of its privately issued residential mortgage-backed securities with an amortized cost basis of $1.7 billion at June 30,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144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Weighted-average reliance on internal model pricing for the bonds modeled was 37% with a 63% average weighting placed on the values provided by the independent sources. The Company concluded its estimate of fair value for the $1.7 billion of privately issued residential mortgage-backed securities to approximate $1.5 billion, which implies a weighted-average market yield based on reasonably likely cash flows of 9.25%. Other valuations of privately issued residential mortgage-backed securities were determined by reference to independent pricing sources without adjustment.</w:t>
      </w:r>
    </w:p>
    <w:p>
      <w:pPr>
        <w:spacing w:after="0" w:line="279" w:lineRule="exact"/>
        <w:rPr>
          <w:sz w:val="20"/>
          <w:szCs w:val="20"/>
          <w:color w:val="auto"/>
        </w:rPr>
      </w:pPr>
    </w:p>
    <w:p>
      <w:pPr>
        <w:ind w:right="120" w:firstLine="225"/>
        <w:spacing w:after="0" w:line="290"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2010.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June 30, 2010, the total amortized cost and fair value of securities backed by trust preferred securities issued by financial institutions and other entities was $99 million and $118 million, respectively. Privately issued mortgage-backed securities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securities backed by trust preferred securities issued by financial institutions and other entities constituted all of the available-for-sale investment securities classified as Level 3 valuations as of June 30,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present assets and liabilities at June 30, 2010 and December 31, 2009 measured at estimated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June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2010</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1(a)</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6"/>
              </w:rPr>
              <w:t>Level 2(a)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487,692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51,457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436,235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83,882</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83,882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66,356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66,356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3,856,630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3,856,630</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1,598,033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26,643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118,040</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284,294</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284,294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116,210</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105,839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6,150,088</w:t>
            </w:r>
          </w:p>
        </w:tc>
        <w:tc>
          <w:tcPr>
            <w:tcW w:w="6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105,839</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4,301,533</w:t>
            </w:r>
          </w:p>
        </w:tc>
        <w:tc>
          <w:tcPr>
            <w:tcW w:w="6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475,570</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475,570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assets(b)</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132,484</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111,584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7,245,834</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157,296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5,324,922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1,763,616</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380,465</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378,347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liabilities(b)</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16,833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16,776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397,298</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395,123</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- 31 -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386,984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40,836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346,148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104,686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104,686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62,923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62,923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3,902,282</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3,902,282</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2,064,904</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25,166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115,346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268,201</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267,781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160,870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145,817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6,704,378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4,352,725</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652,761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652,761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78,216</w:t>
            </w:r>
          </w:p>
        </w:tc>
        <w:tc>
          <w:tcPr>
            <w:tcW w:w="620" w:type="dxa"/>
            <w:vAlign w:val="bottom"/>
            <w:gridSpan w:val="2"/>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73,788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7,822,339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186,653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5,425,422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2,210,264</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302,198</w:t>
            </w:r>
          </w:p>
        </w:tc>
        <w:tc>
          <w:tcPr>
            <w:tcW w:w="6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296,621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6,039</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298,152</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There were no significant transfers between Level 1 and Level 2 of the fair value hierarchy during the three and six months ended June 30, 2010.</w:t>
      </w:r>
    </w:p>
    <w:p>
      <w:pPr>
        <w:spacing w:after="0" w:line="88" w:lineRule="exact"/>
        <w:rPr>
          <w:rFonts w:ascii="Arial" w:cs="Arial" w:eastAsia="Arial" w:hAnsi="Arial"/>
          <w:sz w:val="17"/>
          <w:szCs w:val="17"/>
          <w:i w:val="1"/>
          <w:iCs w:val="1"/>
          <w:color w:val="auto"/>
        </w:rPr>
      </w:pPr>
    </w:p>
    <w:p>
      <w:pPr>
        <w:ind w:left="460" w:right="440" w:hanging="452"/>
        <w:spacing w:after="0" w:line="277"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5"/>
          </w:tcPr>
          <w:p>
            <w:pPr>
              <w:jc w:val="right"/>
              <w:ind w:right="640"/>
              <w:spacing w:after="0" w:line="149" w:lineRule="exact"/>
              <w:rPr>
                <w:sz w:val="20"/>
                <w:szCs w:val="20"/>
                <w:color w:val="auto"/>
              </w:rPr>
            </w:pPr>
            <w:r>
              <w:rPr>
                <w:rFonts w:ascii="Arial" w:cs="Arial" w:eastAsia="Arial" w:hAnsi="Arial"/>
                <w:sz w:val="14"/>
                <w:szCs w:val="14"/>
                <w:color w:val="auto"/>
              </w:rPr>
              <w:t>Total gains (losses)</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4"/>
                <w:szCs w:val="14"/>
                <w:color w:val="auto"/>
              </w:rPr>
              <w:t>realized/unrealized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1"/>
              </w:rPr>
              <w:t>Transfer</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assets still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other</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in and/or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March 31,</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Included</w:t>
            </w:r>
          </w:p>
        </w:tc>
        <w:tc>
          <w:tcPr>
            <w:tcW w:w="2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comprehensive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out of</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gridSpan w:val="2"/>
          </w:tcPr>
          <w:p>
            <w:pPr>
              <w:jc w:val="center"/>
              <w:ind w:left="53"/>
              <w:spacing w:after="0"/>
              <w:rPr>
                <w:sz w:val="20"/>
                <w:szCs w:val="20"/>
                <w:color w:val="auto"/>
              </w:rPr>
            </w:pPr>
            <w:r>
              <w:rPr>
                <w:rFonts w:ascii="Arial" w:cs="Arial" w:eastAsia="Arial" w:hAnsi="Arial"/>
                <w:sz w:val="14"/>
                <w:szCs w:val="14"/>
                <w:color w:val="auto"/>
                <w:w w:val="89"/>
              </w:rPr>
              <w:t>2010</w:t>
            </w:r>
          </w:p>
        </w:tc>
        <w:tc>
          <w:tcPr>
            <w:tcW w:w="4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in earnings</w:t>
            </w:r>
          </w:p>
        </w:tc>
        <w:tc>
          <w:tcPr>
            <w:tcW w:w="2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income</w:t>
            </w:r>
          </w:p>
        </w:tc>
        <w:tc>
          <w:tcPr>
            <w:tcW w:w="260" w:type="dxa"/>
            <w:vAlign w:val="bottom"/>
            <w:vMerge w:val="restart"/>
          </w:tcPr>
          <w:p>
            <w:pPr>
              <w:ind w:left="100"/>
              <w:spacing w:after="0"/>
              <w:rPr>
                <w:sz w:val="20"/>
                <w:szCs w:val="20"/>
                <w:color w:val="auto"/>
              </w:rPr>
            </w:pPr>
            <w:r>
              <w:rPr>
                <w:rFonts w:ascii="Arial" w:cs="Arial" w:eastAsia="Arial" w:hAnsi="Arial"/>
                <w:sz w:val="14"/>
                <w:szCs w:val="14"/>
                <w:color w:val="auto"/>
                <w:w w:val="89"/>
              </w:rPr>
              <w:t>(in</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w w:val="94"/>
              </w:rPr>
              <w:t>Settlements</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Level 3</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220" w:type="dxa"/>
            <w:vAlign w:val="bottom"/>
          </w:tcPr>
          <w:p>
            <w:pPr>
              <w:spacing w:after="0"/>
              <w:rPr>
                <w:sz w:val="14"/>
                <w:szCs w:val="14"/>
                <w:color w:val="auto"/>
              </w:rPr>
            </w:pPr>
          </w:p>
        </w:tc>
        <w:tc>
          <w:tcPr>
            <w:tcW w:w="96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2010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92"/>
              </w:rPr>
              <w:t>thousands)</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4"/>
              </w:rPr>
              <w:t>Investment securities available for sale: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8"/>
              </w:rPr>
              <w:t>Privately issued residential mortgage-</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backed securities</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$ 1,664,341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(7,896)(a)</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40,794</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(99,206)</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1,598,033</w:t>
            </w: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(7,896)(a)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Privately issued commercial mortgage-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backed securities</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25,125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4,021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26,643</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125,755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(2,491)(a)</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(5,088)</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(136)</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118,040</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(2,491)(a)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1,815,676</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(10,387)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(101,845)</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1,742,716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other liabilities</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8,171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29,828(b)</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(17,156)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20,097(b)</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- 33 -</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2009 were as follows:</w:t>
      </w:r>
    </w:p>
    <w:p>
      <w:pPr>
        <w:spacing w:after="0" w:line="154"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0"/>
              </w:rPr>
              <w:t>Changes in</w:t>
            </w:r>
          </w:p>
        </w:tc>
      </w:tr>
      <w:tr>
        <w:trPr>
          <w:trHeight w:val="149"/>
        </w:trPr>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9"/>
              </w:rPr>
              <w:t>gains</w:t>
            </w:r>
          </w:p>
        </w:tc>
      </w:tr>
      <w:tr>
        <w:trPr>
          <w:trHeight w:val="149"/>
        </w:trPr>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89"/>
              </w:rPr>
              <w:t>(losses)</w:t>
            </w:r>
          </w:p>
        </w:tc>
      </w:tr>
      <w:tr>
        <w:trPr>
          <w:trHeight w:val="149"/>
        </w:trPr>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5"/>
              </w:rPr>
              <w:t>included in</w:t>
            </w:r>
          </w:p>
        </w:tc>
      </w:tr>
      <w:tr>
        <w:trPr>
          <w:trHeight w:val="149"/>
        </w:trPr>
        <w:tc>
          <w:tcPr>
            <w:tcW w:w="1200" w:type="dxa"/>
            <w:vAlign w:val="bottom"/>
          </w:tcPr>
          <w:p>
            <w:pPr>
              <w:spacing w:after="0"/>
              <w:rPr>
                <w:sz w:val="12"/>
                <w:szCs w:val="12"/>
                <w:color w:val="auto"/>
              </w:rPr>
            </w:pPr>
          </w:p>
        </w:tc>
        <w:tc>
          <w:tcPr>
            <w:tcW w:w="246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Total gains (losses)</w:t>
            </w: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3"/>
              </w:rPr>
              <w:t>earnings</w:t>
            </w:r>
          </w:p>
        </w:tc>
      </w:tr>
      <w:tr>
        <w:trPr>
          <w:trHeight w:val="167"/>
        </w:trPr>
        <w:tc>
          <w:tcPr>
            <w:tcW w:w="1200" w:type="dxa"/>
            <w:vAlign w:val="bottom"/>
          </w:tcPr>
          <w:p>
            <w:pPr>
              <w:spacing w:after="0"/>
              <w:rPr>
                <w:sz w:val="14"/>
                <w:szCs w:val="14"/>
                <w:color w:val="auto"/>
              </w:rPr>
            </w:pPr>
          </w:p>
        </w:tc>
        <w:tc>
          <w:tcPr>
            <w:tcW w:w="2460" w:type="dxa"/>
            <w:vAlign w:val="bottom"/>
            <w:gridSpan w:val="3"/>
          </w:tcPr>
          <w:p>
            <w:pPr>
              <w:ind w:left="560"/>
              <w:spacing w:after="0"/>
              <w:rPr>
                <w:sz w:val="20"/>
                <w:szCs w:val="20"/>
                <w:color w:val="auto"/>
              </w:rPr>
            </w:pPr>
            <w:r>
              <w:rPr>
                <w:rFonts w:ascii="Arial" w:cs="Arial" w:eastAsia="Arial" w:hAnsi="Arial"/>
                <w:sz w:val="14"/>
                <w:szCs w:val="14"/>
                <w:color w:val="auto"/>
              </w:rPr>
              <w:t>realized/unrealized</w:t>
            </w:r>
          </w:p>
        </w:tc>
        <w:tc>
          <w:tcPr>
            <w:tcW w:w="126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Arial" w:cs="Arial" w:eastAsia="Arial" w:hAnsi="Arial"/>
                <w:sz w:val="14"/>
                <w:szCs w:val="14"/>
                <w:color w:val="auto"/>
                <w:w w:val="91"/>
              </w:rPr>
              <w:t>Transfer</w:t>
            </w:r>
          </w:p>
        </w:tc>
        <w:tc>
          <w:tcPr>
            <w:tcW w:w="1240" w:type="dxa"/>
            <w:vAlign w:val="bottom"/>
          </w:tcPr>
          <w:p>
            <w:pPr>
              <w:spacing w:after="0"/>
              <w:rPr>
                <w:sz w:val="14"/>
                <w:szCs w:val="14"/>
                <w:color w:val="auto"/>
              </w:rPr>
            </w:pPr>
          </w:p>
        </w:tc>
        <w:tc>
          <w:tcPr>
            <w:tcW w:w="980" w:type="dxa"/>
            <w:vAlign w:val="bottom"/>
          </w:tcPr>
          <w:p>
            <w:pPr>
              <w:jc w:val="center"/>
              <w:ind w:left="248"/>
              <w:spacing w:after="0"/>
              <w:rPr>
                <w:sz w:val="20"/>
                <w:szCs w:val="20"/>
                <w:color w:val="auto"/>
              </w:rPr>
            </w:pPr>
            <w:r>
              <w:rPr>
                <w:rFonts w:ascii="Arial" w:cs="Arial" w:eastAsia="Arial" w:hAnsi="Arial"/>
                <w:sz w:val="14"/>
                <w:szCs w:val="14"/>
                <w:color w:val="auto"/>
                <w:w w:val="92"/>
              </w:rPr>
              <w:t>related to</w:t>
            </w:r>
          </w:p>
        </w:tc>
      </w:tr>
      <w:tr>
        <w:trPr>
          <w:trHeight w:val="123"/>
        </w:trPr>
        <w:tc>
          <w:tcPr>
            <w:tcW w:w="12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left="248"/>
              <w:spacing w:after="0" w:line="123" w:lineRule="exact"/>
              <w:rPr>
                <w:sz w:val="20"/>
                <w:szCs w:val="20"/>
                <w:color w:val="auto"/>
              </w:rPr>
            </w:pPr>
            <w:r>
              <w:rPr>
                <w:rFonts w:ascii="Arial" w:cs="Arial" w:eastAsia="Arial" w:hAnsi="Arial"/>
                <w:sz w:val="14"/>
                <w:szCs w:val="14"/>
                <w:color w:val="auto"/>
                <w:w w:val="94"/>
              </w:rPr>
              <w:t>Included in</w:t>
            </w:r>
          </w:p>
        </w:tc>
        <w:tc>
          <w:tcPr>
            <w:tcW w:w="260" w:type="dxa"/>
            <w:vAlign w:val="bottom"/>
          </w:tcPr>
          <w:p>
            <w:pPr>
              <w:spacing w:after="0"/>
              <w:rPr>
                <w:sz w:val="10"/>
                <w:szCs w:val="10"/>
                <w:color w:val="auto"/>
              </w:rPr>
            </w:pPr>
          </w:p>
        </w:tc>
        <w:tc>
          <w:tcPr>
            <w:tcW w:w="1260" w:type="dxa"/>
            <w:vAlign w:val="bottom"/>
          </w:tcPr>
          <w:p>
            <w:pPr>
              <w:jc w:val="center"/>
              <w:spacing w:after="0" w:line="123" w:lineRule="exact"/>
              <w:rPr>
                <w:sz w:val="20"/>
                <w:szCs w:val="20"/>
                <w:color w:val="auto"/>
              </w:rPr>
            </w:pPr>
            <w:r>
              <w:rPr>
                <w:rFonts w:ascii="Arial" w:cs="Arial" w:eastAsia="Arial" w:hAnsi="Arial"/>
                <w:sz w:val="14"/>
                <w:szCs w:val="14"/>
                <w:color w:val="auto"/>
                <w:w w:val="85"/>
              </w:rPr>
              <w:t>Purchases,</w:t>
            </w:r>
          </w:p>
        </w:tc>
        <w:tc>
          <w:tcPr>
            <w:tcW w:w="1160" w:type="dxa"/>
            <w:vAlign w:val="bottom"/>
          </w:tcPr>
          <w:p>
            <w:pPr>
              <w:jc w:val="center"/>
              <w:spacing w:after="0" w:line="123" w:lineRule="exact"/>
              <w:rPr>
                <w:sz w:val="20"/>
                <w:szCs w:val="20"/>
                <w:color w:val="auto"/>
              </w:rPr>
            </w:pPr>
            <w:r>
              <w:rPr>
                <w:rFonts w:ascii="Arial" w:cs="Arial" w:eastAsia="Arial" w:hAnsi="Arial"/>
                <w:sz w:val="14"/>
                <w:szCs w:val="14"/>
                <w:color w:val="auto"/>
                <w:w w:val="91"/>
              </w:rPr>
              <w:t>in</w:t>
            </w:r>
          </w:p>
        </w:tc>
        <w:tc>
          <w:tcPr>
            <w:tcW w:w="1240" w:type="dxa"/>
            <w:vAlign w:val="bottom"/>
          </w:tcPr>
          <w:p>
            <w:pPr>
              <w:spacing w:after="0"/>
              <w:rPr>
                <w:sz w:val="10"/>
                <w:szCs w:val="10"/>
                <w:color w:val="auto"/>
              </w:rPr>
            </w:pPr>
          </w:p>
        </w:tc>
        <w:tc>
          <w:tcPr>
            <w:tcW w:w="980" w:type="dxa"/>
            <w:vAlign w:val="bottom"/>
          </w:tcPr>
          <w:p>
            <w:pPr>
              <w:jc w:val="center"/>
              <w:ind w:left="248"/>
              <w:spacing w:after="0" w:line="123" w:lineRule="exact"/>
              <w:rPr>
                <w:sz w:val="20"/>
                <w:szCs w:val="20"/>
                <w:color w:val="auto"/>
              </w:rPr>
            </w:pPr>
            <w:r>
              <w:rPr>
                <w:rFonts w:ascii="Arial" w:cs="Arial" w:eastAsia="Arial" w:hAnsi="Arial"/>
                <w:sz w:val="14"/>
                <w:szCs w:val="14"/>
                <w:color w:val="auto"/>
                <w:w w:val="89"/>
              </w:rPr>
              <w:t>assets still</w:t>
            </w:r>
          </w:p>
        </w:tc>
      </w:tr>
      <w:tr>
        <w:trPr>
          <w:trHeight w:val="149"/>
        </w:trPr>
        <w:tc>
          <w:tcPr>
            <w:tcW w:w="1200" w:type="dxa"/>
            <w:vAlign w:val="bottom"/>
          </w:tcPr>
          <w:p>
            <w:pPr>
              <w:jc w:val="center"/>
              <w:ind w:right="528"/>
              <w:spacing w:after="0" w:line="149" w:lineRule="exact"/>
              <w:rPr>
                <w:sz w:val="20"/>
                <w:szCs w:val="20"/>
                <w:color w:val="auto"/>
              </w:rPr>
            </w:pPr>
            <w:r>
              <w:rPr>
                <w:rFonts w:ascii="Arial" w:cs="Arial" w:eastAsia="Arial" w:hAnsi="Arial"/>
                <w:sz w:val="14"/>
                <w:szCs w:val="14"/>
                <w:color w:val="auto"/>
                <w:w w:val="94"/>
              </w:rPr>
              <w:t>Balance-</w:t>
            </w:r>
          </w:p>
        </w:tc>
        <w:tc>
          <w:tcPr>
            <w:tcW w:w="10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other</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7"/>
              </w:rPr>
              <w:t>sales,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5"/>
              </w:rPr>
              <w:t>and/or</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Balance-</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0"/>
              </w:rPr>
              <w:t>held at</w:t>
            </w:r>
          </w:p>
        </w:tc>
      </w:tr>
      <w:tr>
        <w:trPr>
          <w:trHeight w:val="149"/>
        </w:trPr>
        <w:tc>
          <w:tcPr>
            <w:tcW w:w="1200" w:type="dxa"/>
            <w:vAlign w:val="bottom"/>
          </w:tcPr>
          <w:p>
            <w:pPr>
              <w:jc w:val="center"/>
              <w:ind w:right="528"/>
              <w:spacing w:after="0" w:line="149" w:lineRule="exact"/>
              <w:rPr>
                <w:sz w:val="20"/>
                <w:szCs w:val="20"/>
                <w:color w:val="auto"/>
              </w:rPr>
            </w:pPr>
            <w:r>
              <w:rPr>
                <w:rFonts w:ascii="Arial" w:cs="Arial" w:eastAsia="Arial" w:hAnsi="Arial"/>
                <w:sz w:val="14"/>
                <w:szCs w:val="14"/>
                <w:color w:val="auto"/>
                <w:w w:val="96"/>
              </w:rPr>
              <w:t>March 31,</w:t>
            </w:r>
          </w:p>
        </w:tc>
        <w:tc>
          <w:tcPr>
            <w:tcW w:w="100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4"/>
              </w:rPr>
              <w:t>Included</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0"/>
              </w:rPr>
              <w:t>issuances &amp;</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6"/>
              </w:rPr>
              <w:t>out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30,</w:t>
            </w:r>
          </w:p>
        </w:tc>
        <w:tc>
          <w:tcPr>
            <w:tcW w:w="9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1200" w:type="dxa"/>
            <w:vAlign w:val="bottom"/>
          </w:tcPr>
          <w:p>
            <w:pPr>
              <w:jc w:val="center"/>
              <w:ind w:right="528"/>
              <w:spacing w:after="0"/>
              <w:rPr>
                <w:sz w:val="20"/>
                <w:szCs w:val="20"/>
                <w:color w:val="auto"/>
              </w:rPr>
            </w:pPr>
            <w:r>
              <w:rPr>
                <w:rFonts w:ascii="Arial" w:cs="Arial" w:eastAsia="Arial" w:hAnsi="Arial"/>
                <w:sz w:val="14"/>
                <w:szCs w:val="14"/>
                <w:color w:val="auto"/>
                <w:w w:val="89"/>
              </w:rPr>
              <w:t>2009</w:t>
            </w:r>
          </w:p>
        </w:tc>
        <w:tc>
          <w:tcPr>
            <w:tcW w:w="1000" w:type="dxa"/>
            <w:vAlign w:val="bottom"/>
          </w:tcPr>
          <w:p>
            <w:pPr>
              <w:jc w:val="center"/>
              <w:ind w:right="248"/>
              <w:spacing w:after="0"/>
              <w:rPr>
                <w:sz w:val="20"/>
                <w:szCs w:val="20"/>
                <w:color w:val="auto"/>
              </w:rPr>
            </w:pPr>
            <w:r>
              <w:rPr>
                <w:rFonts w:ascii="Arial" w:cs="Arial" w:eastAsia="Arial" w:hAnsi="Arial"/>
                <w:sz w:val="14"/>
                <w:szCs w:val="14"/>
                <w:color w:val="auto"/>
                <w:w w:val="93"/>
              </w:rPr>
              <w:t>in earnings</w:t>
            </w:r>
          </w:p>
        </w:tc>
        <w:tc>
          <w:tcPr>
            <w:tcW w:w="14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income</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settlements</w:t>
            </w:r>
          </w:p>
        </w:tc>
        <w:tc>
          <w:tcPr>
            <w:tcW w:w="1160" w:type="dxa"/>
            <w:vAlign w:val="bottom"/>
          </w:tcPr>
          <w:p>
            <w:pPr>
              <w:jc w:val="center"/>
              <w:ind w:right="8"/>
              <w:spacing w:after="0"/>
              <w:rPr>
                <w:sz w:val="20"/>
                <w:szCs w:val="20"/>
                <w:color w:val="auto"/>
              </w:rPr>
            </w:pPr>
            <w:r>
              <w:rPr>
                <w:rFonts w:ascii="Arial" w:cs="Arial" w:eastAsia="Arial" w:hAnsi="Arial"/>
                <w:sz w:val="14"/>
                <w:szCs w:val="14"/>
                <w:color w:val="auto"/>
                <w:w w:val="97"/>
              </w:rPr>
              <w:t>Level 3</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980" w:type="dxa"/>
            <w:vAlign w:val="bottom"/>
          </w:tcPr>
          <w:p>
            <w:pPr>
              <w:jc w:val="center"/>
              <w:ind w:left="248"/>
              <w:spacing w:after="0"/>
              <w:rPr>
                <w:sz w:val="20"/>
                <w:szCs w:val="20"/>
                <w:color w:val="auto"/>
              </w:rPr>
            </w:pPr>
            <w:r>
              <w:rPr>
                <w:rFonts w:ascii="Arial" w:cs="Arial" w:eastAsia="Arial" w:hAnsi="Arial"/>
                <w:sz w:val="14"/>
                <w:szCs w:val="14"/>
                <w:color w:val="auto"/>
                <w:w w:val="96"/>
              </w:rPr>
              <w:t>2009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2" w:lineRule="exact"/>
              <w:rPr>
                <w:sz w:val="20"/>
                <w:szCs w:val="20"/>
                <w:color w:val="auto"/>
              </w:rPr>
            </w:pPr>
            <w:r>
              <w:rPr>
                <w:rFonts w:ascii="Arial" w:cs="Arial" w:eastAsia="Arial" w:hAnsi="Arial"/>
                <w:sz w:val="14"/>
                <w:szCs w:val="14"/>
                <w:color w:val="auto"/>
              </w:rPr>
              <w:t>(in</w:t>
            </w:r>
          </w:p>
        </w:tc>
        <w:tc>
          <w:tcPr>
            <w:tcW w:w="7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86"/>
              </w:rPr>
              <w:t>thousands)</w:t>
            </w:r>
          </w:p>
        </w:tc>
        <w:tc>
          <w:tcPr>
            <w:tcW w:w="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 available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12,182</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12,203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720" w:type="dxa"/>
            <w:vAlign w:val="bottom"/>
          </w:tcPr>
          <w:p>
            <w:pPr>
              <w:ind w:left="220"/>
              <w:spacing w:after="0"/>
              <w:rPr>
                <w:sz w:val="20"/>
                <w:szCs w:val="20"/>
                <w:color w:val="auto"/>
              </w:rPr>
            </w:pPr>
            <w:r>
              <w:rPr>
                <w:rFonts w:ascii="Arial" w:cs="Arial" w:eastAsia="Arial" w:hAnsi="Arial"/>
                <w:sz w:val="18"/>
                <w:szCs w:val="18"/>
                <w:color w:val="auto"/>
              </w:rPr>
              <w:t>guaranteed mortgage-backed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2,349,403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(22,269)(a)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37,622</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(122,998)</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2,241,758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(22,269)(a)</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72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32,215</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(5,739)</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(3,458)</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23,018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2,421</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(2,101)(a)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13,787</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98,265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112,372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(2,101)(a)</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765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2,343</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2,398,564</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(24,370)</w:t>
            </w:r>
          </w:p>
        </w:tc>
        <w:tc>
          <w:tcPr>
            <w:tcW w:w="6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(27,481)</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2,392,445</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(24,370)</w:t>
            </w:r>
          </w:p>
        </w:tc>
        <w:tc>
          <w:tcPr>
            <w:tcW w:w="28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other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22,037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(7,768)(b)</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7,946(b)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gridSpan w:val="5"/>
          </w:tcPr>
          <w:p>
            <w:pPr>
              <w:jc w:val="right"/>
              <w:ind w:right="660"/>
              <w:spacing w:after="0" w:line="149" w:lineRule="exact"/>
              <w:rPr>
                <w:sz w:val="20"/>
                <w:szCs w:val="20"/>
                <w:color w:val="auto"/>
              </w:rPr>
            </w:pPr>
            <w:r>
              <w:rPr>
                <w:rFonts w:ascii="Arial" w:cs="Arial" w:eastAsia="Arial" w:hAnsi="Arial"/>
                <w:sz w:val="14"/>
                <w:szCs w:val="14"/>
                <w:color w:val="auto"/>
              </w:rPr>
              <w:t>Total gains (losses)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color w:val="auto"/>
              </w:rPr>
              <w:t>realized/unrealized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Included in</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assets still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Transfer in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Balance-</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January 1,</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Included</w:t>
            </w: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comprehensive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6"/>
              </w:rPr>
              <w:t>and/or out of</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June 30,</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3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in earnings</w:t>
            </w:r>
          </w:p>
        </w:tc>
        <w:tc>
          <w:tcPr>
            <w:tcW w:w="14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income</w:t>
            </w:r>
          </w:p>
        </w:tc>
        <w:tc>
          <w:tcPr>
            <w:tcW w:w="2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Settlements</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color w:val="auto"/>
                <w:w w:val="97"/>
              </w:rPr>
              <w:t>Level 3(c)</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200" w:type="dxa"/>
            <w:vAlign w:val="bottom"/>
          </w:tcPr>
          <w:p>
            <w:pPr>
              <w:spacing w:after="0"/>
              <w:rPr>
                <w:sz w:val="14"/>
                <w:szCs w:val="14"/>
                <w:color w:val="auto"/>
              </w:rPr>
            </w:pPr>
          </w:p>
        </w:tc>
        <w:tc>
          <w:tcPr>
            <w:tcW w:w="940" w:type="dxa"/>
            <w:vAlign w:val="bottom"/>
            <w:gridSpan w:val="2"/>
          </w:tcPr>
          <w:p>
            <w:pPr>
              <w:jc w:val="center"/>
              <w:ind w:left="108"/>
              <w:spacing w:after="0"/>
              <w:rPr>
                <w:sz w:val="20"/>
                <w:szCs w:val="20"/>
                <w:color w:val="auto"/>
              </w:rPr>
            </w:pPr>
            <w:r>
              <w:rPr>
                <w:rFonts w:ascii="Arial" w:cs="Arial" w:eastAsia="Arial" w:hAnsi="Arial"/>
                <w:sz w:val="14"/>
                <w:szCs w:val="14"/>
                <w:color w:val="auto"/>
                <w:w w:val="89"/>
              </w:rPr>
              <w:t>2010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(in thousands)</w:t>
            </w:r>
          </w:p>
        </w:tc>
        <w:tc>
          <w:tcPr>
            <w:tcW w:w="3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Investment securities available for sale:</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Privately issued residential mortgage-</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$ 2,064,904</w:t>
            </w:r>
          </w:p>
        </w:tc>
        <w:tc>
          <w:tcPr>
            <w:tcW w:w="3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(34,343)(a)</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115,248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(192,528)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(355,248)(d)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1,598,033</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(34,343)(a)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Privately issued commercial mortgage-</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backed securities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25,166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(4,617)</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26,643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115,346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(2,846)(a)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5,807</w:t>
            </w:r>
          </w:p>
        </w:tc>
        <w:tc>
          <w:tcPr>
            <w:tcW w:w="18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(267)</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118,040</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(2,846)(a)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(37,189)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127,184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(197,412)</w:t>
            </w:r>
          </w:p>
        </w:tc>
        <w:tc>
          <w:tcPr>
            <w:tcW w:w="3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(355,703)</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1,742,716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other liabilities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47,850(b)</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(26,927)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20,598(b)</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color w:val="auto"/>
              </w:rPr>
              <w:t>- 35 -</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4"/>
          </w:tcPr>
          <w:p>
            <w:pPr>
              <w:jc w:val="right"/>
              <w:ind w:right="640"/>
              <w:spacing w:after="0" w:line="149" w:lineRule="exact"/>
              <w:rPr>
                <w:sz w:val="20"/>
                <w:szCs w:val="20"/>
                <w:color w:val="auto"/>
              </w:rPr>
            </w:pPr>
            <w:r>
              <w:rPr>
                <w:rFonts w:ascii="Arial" w:cs="Arial" w:eastAsia="Arial" w:hAnsi="Arial"/>
                <w:sz w:val="14"/>
                <w:szCs w:val="14"/>
                <w:color w:val="auto"/>
              </w:rPr>
              <w:t>Total gains (losses)</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640"/>
              <w:spacing w:after="0"/>
              <w:rPr>
                <w:sz w:val="20"/>
                <w:szCs w:val="20"/>
                <w:color w:val="auto"/>
              </w:rPr>
            </w:pPr>
            <w:r>
              <w:rPr>
                <w:rFonts w:ascii="Arial" w:cs="Arial" w:eastAsia="Arial" w:hAnsi="Arial"/>
                <w:sz w:val="14"/>
                <w:szCs w:val="14"/>
                <w:color w:val="auto"/>
              </w:rPr>
              <w:t>realized/unrealized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23"/>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85"/>
              </w:rPr>
              <w:t>Purchases,</w:t>
            </w:r>
          </w:p>
        </w:tc>
        <w:tc>
          <w:tcPr>
            <w:tcW w:w="108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1"/>
              </w:rPr>
              <w:t>Transfer</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assets still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other</w:t>
            </w:r>
          </w:p>
        </w:tc>
        <w:tc>
          <w:tcPr>
            <w:tcW w:w="2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sales,</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in and/or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January 1,</w:t>
            </w: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Included</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comprehensive</w:t>
            </w:r>
          </w:p>
        </w:tc>
        <w:tc>
          <w:tcPr>
            <w:tcW w:w="2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issuances &amp;</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out of</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w w:val="89"/>
              </w:rPr>
              <w:t>2009</w:t>
            </w:r>
          </w:p>
        </w:tc>
        <w:tc>
          <w:tcPr>
            <w:tcW w:w="4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color w:val="auto"/>
                <w:w w:val="93"/>
              </w:rPr>
              <w:t>in earnings</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income</w:t>
            </w:r>
          </w:p>
        </w:tc>
        <w:tc>
          <w:tcPr>
            <w:tcW w:w="260" w:type="dxa"/>
            <w:vAlign w:val="bottom"/>
            <w:vMerge w:val="restart"/>
          </w:tcPr>
          <w:p>
            <w:pPr>
              <w:ind w:left="100"/>
              <w:spacing w:after="0"/>
              <w:rPr>
                <w:sz w:val="20"/>
                <w:szCs w:val="20"/>
                <w:color w:val="auto"/>
              </w:rPr>
            </w:pPr>
            <w:r>
              <w:rPr>
                <w:rFonts w:ascii="Arial" w:cs="Arial" w:eastAsia="Arial" w:hAnsi="Arial"/>
                <w:sz w:val="14"/>
                <w:szCs w:val="14"/>
                <w:color w:val="auto"/>
                <w:w w:val="89"/>
              </w:rPr>
              <w:t>(in</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settlements</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Level 3(c)</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220" w:type="dxa"/>
            <w:vAlign w:val="bottom"/>
          </w:tcPr>
          <w:p>
            <w:pPr>
              <w:spacing w:after="0"/>
              <w:rPr>
                <w:sz w:val="14"/>
                <w:szCs w:val="14"/>
                <w:color w:val="auto"/>
              </w:rPr>
            </w:pPr>
          </w:p>
        </w:tc>
        <w:tc>
          <w:tcPr>
            <w:tcW w:w="96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w w:val="92"/>
              </w:rPr>
              <w:t>thousands)</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4"/>
              </w:rPr>
              <w:t>Investment securities available for sale: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5,532</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(5,532)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12,143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12,203</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84,544</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(84,544)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Privately issued residential mortgage-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2,326,554</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(54,468)(a)</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215,127</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(245,455)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2,241,758</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(54,468)(a)</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w w:val="96"/>
              </w:rPr>
              <w:t>Privately issued commercial mortgage-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41,046</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(9,001)</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(9,027)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23,018</w:t>
            </w: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(1,553)(a)</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13,712</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97,717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(1,553)(a)</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725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2,302</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2,462,512</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(56,021)</w:t>
            </w:r>
          </w:p>
        </w:tc>
        <w:tc>
          <w:tcPr>
            <w:tcW w:w="5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(156,014)</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(77,933)</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2,392,445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other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8,266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19,490(b)</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(18,080)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12,046(b)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99" w:lineRule="exact"/>
        <w:rPr>
          <w:rFonts w:ascii="Arial" w:cs="Arial" w:eastAsia="Arial" w:hAnsi="Arial"/>
          <w:sz w:val="16"/>
          <w:szCs w:val="16"/>
          <w:i w:val="1"/>
          <w:iCs w:val="1"/>
          <w:color w:val="auto"/>
        </w:rPr>
      </w:pPr>
    </w:p>
    <w:p>
      <w:pPr>
        <w:ind w:left="460" w:right="220" w:hanging="452"/>
        <w:spacing w:after="0" w:line="277"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8"/>
          <w:szCs w:val="18"/>
          <w:i w:val="1"/>
          <w:iCs w:val="1"/>
          <w:color w:val="auto"/>
        </w:rPr>
      </w:pPr>
    </w:p>
    <w:p>
      <w:pPr>
        <w:ind w:left="460" w:right="240" w:hanging="452"/>
        <w:spacing w:after="0" w:line="264"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 Further information regarding the Company’s adoption of new accounting requirements is included in note 11.</w:t>
      </w:r>
    </w:p>
    <w:p>
      <w:pPr>
        <w:spacing w:after="0" w:line="14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fair value measurements for partial charge-offs of the uncollectible portions of those loans. Nonrecurring adjustments also include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amounts for collateral-dependent loans when establishing the allowance for credit losses. Such amounts are generally based on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collateral supporting the loan and, as a result, the carrying value of the loan less the calculated valuation amount does not necessarily represent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loan. Real estate collateral is typically valued using appraisals or other indications of value based on recent comparable sales of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properties or assumptions generally observable in the marketplace and the related nonrecurring fair value measurement adjustments have generally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Level 2, unless significant adjustments have been made to the valuation that are not readily observable by market participants. Estimates of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used for other collateral supporting commercial loans generally are based on assumptions not observable in the marketplace and therefore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valuations have been classified as Level 3. Loans subject to nonrecurring fair value measurement were $664 million at June 30, 2010, ($378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$286 million of which were classified as Level 2 and Level 3, respectively) and $632 million at June 30, 2009 ($303 million and $329 million of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Level 2 and Level 3, respectively). Changes in fair value recognized for partial charge-offs of loans and loan impairment reserves on loans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on June 30, 2010 were decreases of $64 million and $125 million for the three and six months ended June 30, 2010, respectively, and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held by the Company on June 30, 2009 were decreases of $157 million and $238 million for the three months and six months ended June 30,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June 30, 2010, $18 million of capitalized servicing rights had a carrying value equal to their fair value. The change in fair value of capitalized servicing rights recognized for the three and six months ended June 30, 2010 was a decrease of $2 million. At June 30, 2009,</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$30 million of capitalized servicing rights had a carrying value equal to their fair value. Changes in fair value of capitalized servicing rights recognized for the three and six months ended June 30, 2009 were increases of $13 million and $18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$127 million and $21 million at June 30, 2010 and June 30, 2009, respectively. Changes in fair value recognized for those foreclosed assets held by the Company at June 30, 2010 were $16 million and $21 million for the three and six months ended June 30, 2010, respectively. Changes in fair value recognized for those foreclosed assets held by the Company at June 30, 2009 were $21 million and $22 million for the three and six months ended June 30, 2009,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amounts and calculated estimates of fair value for financial instrument assets (liabilities)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color w:val="auto"/>
              </w:rPr>
              <w:t>June 30, 2010</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w w:val="99"/>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1,055,886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1,055,886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1,246,342</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117,826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117,826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487,692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487,692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386,984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8,097,572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7,989,106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7,780,609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loans and leases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13,017,598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12,693,238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13,479,447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13,090,206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Commercial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20,612,905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20,163,351</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20,949,931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20,426,273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5,729,126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5,441,844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5,463,463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Consumer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11,701,657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11,281,999</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12,043,845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11,575,525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credit losses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(894,667)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(878,022)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Loans and leases, net</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50,166,619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49,580,432</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51,058,664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50,150,767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209,661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209,661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214,692</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 deposits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(13,960,723)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(13,960,723)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(13,794,636)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(13,794,636)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Savings deposits and NOW accounts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(26,476,953)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(26,476,953)</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(25,073,269)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(25,073,269)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(6,533,567)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(6,582,557)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(7,531,495)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Deposits at foreign office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(551,428)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(551,428)</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(1,050,438)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(2,158,957)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(2,158,957)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(2,442,582)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Long-term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(9,255,529)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(9,256,534)</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(10,240,016)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(9,822,153)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(88,187)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(94,838)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liabilities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(380,465)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(380,465)</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(302,198)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(302,198)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Commitments to originate real estate loans for sale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20,843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20,843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to sell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credit-related commitments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(61,031)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(61,031)</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(55,954)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111,087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111,087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54,486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40" w:type="dxa"/>
            <w:vAlign w:val="bottom"/>
            <w:gridSpan w:val="3"/>
          </w:tcPr>
          <w:p>
            <w:pPr>
              <w:jc w:val="right"/>
              <w:ind w:right="592"/>
              <w:spacing w:after="0"/>
              <w:rPr>
                <w:sz w:val="20"/>
                <w:szCs w:val="20"/>
                <w:color w:val="auto"/>
              </w:rPr>
            </w:pPr>
            <w:r>
              <w:rPr>
                <w:rFonts w:ascii="Arial" w:cs="Arial" w:eastAsia="Arial" w:hAnsi="Arial"/>
                <w:sz w:val="18"/>
                <w:szCs w:val="18"/>
                <w:color w:val="auto"/>
              </w:rPr>
              <w:t>- 39 -</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4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5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color w:val="auto"/>
              </w:rPr>
              <w:t>2010</w:t>
            </w:r>
          </w:p>
        </w:tc>
        <w:tc>
          <w:tcPr>
            <w:tcW w:w="2100" w:type="dxa"/>
            <w:vAlign w:val="bottom"/>
            <w:gridSpan w:val="3"/>
          </w:tcPr>
          <w:p>
            <w:pPr>
              <w:jc w:val="right"/>
              <w:ind w:right="46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$6,444,381</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6,482,987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120,758</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180,498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1,442,560</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1,360,805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684,325</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631,090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129,234</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127,788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7,147,137</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7,155,188</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3,810,958</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3,828,586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71,497</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66,377</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20" w:type="dxa"/>
            <w:vAlign w:val="bottom"/>
          </w:tcPr>
          <w:p>
            <w:pPr>
              <w:jc w:val="right"/>
              <w:spacing w:after="0"/>
              <w:rPr>
                <w:sz w:val="20"/>
                <w:szCs w:val="20"/>
                <w:color w:val="auto"/>
              </w:rPr>
            </w:pPr>
            <w:r>
              <w:rPr>
                <w:rFonts w:ascii="Arial" w:cs="Arial" w:eastAsia="Arial" w:hAnsi="Arial"/>
                <w:sz w:val="18"/>
                <w:szCs w:val="18"/>
                <w:color w:val="auto"/>
              </w:rPr>
              <w:t>1,759,008</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1,633,549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979,309</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1,239,001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$1.5 billion and $1.3 billion at June 30, 2010 and December 31, 2009, respectively.</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21" w:lineRule="exact"/>
        <w:rPr>
          <w:sz w:val="20"/>
          <w:szCs w:val="20"/>
          <w:color w:val="auto"/>
        </w:rPr>
      </w:pPr>
    </w:p>
    <w:p>
      <w:pPr>
        <w:jc w:val="both"/>
        <w:ind w:right="680"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$91 million at June 30, 2010. Assets of subsidiaries providing reinsurance that are available to satisfy claims totaled approximately $73 million at June 30, 2010.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7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mortgage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2010, management believes that any remaining liability arising out of the Company’s obligation to loan purchasers is not material to the Company’s consolidated financial position.</w:t>
      </w:r>
    </w:p>
    <w:p>
      <w:pPr>
        <w:spacing w:after="0" w:line="7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reportable segments are Business Banking, Commercial Banking, Commercial Real Estate, Discretionary Portfolio, Residential Mortgage Banking and Retail Banking.</w:t>
      </w:r>
    </w:p>
    <w:p>
      <w:pPr>
        <w:spacing w:after="0" w:line="62"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2009.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2009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7"/>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7"/>
              </w:rPr>
              <w:t>Inter-</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r>
      <w:tr>
        <w:trPr>
          <w:trHeight w:val="149"/>
        </w:trPr>
        <w:tc>
          <w:tcPr>
            <w:tcW w:w="372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Total</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segment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income</w:t>
            </w:r>
          </w:p>
        </w:tc>
        <w:tc>
          <w:tcPr>
            <w:tcW w:w="13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Total</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segment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37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revenues(a)</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revenues(a)</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gridSpan w:val="4"/>
          </w:tcPr>
          <w:p>
            <w:pPr>
              <w:jc w:val="right"/>
              <w:ind w:right="1280"/>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$ 102,610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26,552</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103,132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Commercial Banking</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194,575</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81,612</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186,558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70,003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109,487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43,667</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100,847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5,580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(2,500)</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(4,073)</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16,433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(3,693)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(3,279)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65,766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8,876</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(467)</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80,016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Retail Banking</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315,638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2,690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67,080</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313,025</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2,509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54,184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47,128</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(9,105)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(25,622)</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(26,795)</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(13,851)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(112,999)</w:t>
            </w:r>
          </w:p>
        </w:tc>
      </w:tr>
      <w:tr>
        <w:trPr>
          <w:trHeight w:val="20"/>
        </w:trPr>
        <w:tc>
          <w:tcPr>
            <w:tcW w:w="3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$ 840,784</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188,749</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773,216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51,188</w:t>
            </w:r>
          </w:p>
        </w:tc>
      </w:tr>
      <w:tr>
        <w:trPr>
          <w:trHeight w:val="20"/>
        </w:trPr>
        <w:tc>
          <w:tcPr>
            <w:tcW w:w="3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- 44 -</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right="248"/>
              <w:spacing w:after="0"/>
              <w:rPr>
                <w:sz w:val="20"/>
                <w:szCs w:val="20"/>
                <w:color w:val="auto"/>
              </w:rPr>
            </w:pPr>
            <w:r>
              <w:rPr>
                <w:rFonts w:ascii="Arial" w:cs="Arial" w:eastAsia="Arial" w:hAnsi="Arial"/>
                <w:sz w:val="14"/>
                <w:szCs w:val="14"/>
                <w:color w:val="auto"/>
                <w:w w:val="90"/>
              </w:rPr>
              <w:t>Six months ended June 30</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1"/>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1"/>
              </w:rPr>
              <w:t>Inter-</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Total</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segment</w:t>
            </w:r>
          </w:p>
        </w:tc>
        <w:tc>
          <w:tcPr>
            <w:tcW w:w="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358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revenues(a)</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88"/>
              </w:rPr>
              <w:t>revenues(a)</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gridSpan w:val="4"/>
          </w:tcPr>
          <w:p>
            <w:pPr>
              <w:jc w:val="center"/>
              <w:ind w:left="457"/>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204,406</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2"/>
              </w:rPr>
              <w:t>196,767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60,811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386,981</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158,480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8"/>
                <w:szCs w:val="18"/>
                <w:color w:val="auto"/>
                <w:w w:val="92"/>
              </w:rPr>
              <w:t>351,685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127,157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219,900</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2"/>
              </w:rPr>
              <w:t>189,811</w:t>
            </w:r>
          </w:p>
        </w:tc>
        <w:tc>
          <w:tcPr>
            <w:tcW w:w="17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66,440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(6,653)</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(5,247)</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8"/>
                <w:szCs w:val="18"/>
                <w:color w:val="auto"/>
              </w:rPr>
              <w:t>27,731</w:t>
            </w:r>
          </w:p>
        </w:tc>
        <w:tc>
          <w:tcPr>
            <w:tcW w:w="1720" w:type="dxa"/>
            <w:vAlign w:val="bottom"/>
            <w:gridSpan w:val="4"/>
          </w:tcPr>
          <w:p>
            <w:pPr>
              <w:jc w:val="right"/>
              <w:ind w:right="580"/>
              <w:spacing w:after="0"/>
              <w:rPr>
                <w:sz w:val="20"/>
                <w:szCs w:val="20"/>
                <w:color w:val="auto"/>
              </w:rPr>
            </w:pPr>
            <w:r>
              <w:rPr>
                <w:rFonts w:ascii="Arial" w:cs="Arial" w:eastAsia="Arial" w:hAnsi="Arial"/>
                <w:sz w:val="18"/>
                <w:szCs w:val="18"/>
                <w:color w:val="auto"/>
              </w:rPr>
              <w:t>(6,777)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(8,368)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128,883</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17,073</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2"/>
              </w:rPr>
              <w:t>160,027</w:t>
            </w:r>
          </w:p>
        </w:tc>
        <w:tc>
          <w:tcPr>
            <w:tcW w:w="17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26,871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(5,377)</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623,113</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5,377</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126,117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8"/>
                <w:szCs w:val="18"/>
                <w:color w:val="auto"/>
                <w:w w:val="92"/>
              </w:rPr>
              <w:t>597,677</w:t>
            </w:r>
          </w:p>
        </w:tc>
        <w:tc>
          <w:tcPr>
            <w:tcW w:w="1720" w:type="dxa"/>
            <w:vAlign w:val="bottom"/>
            <w:gridSpan w:val="4"/>
          </w:tcPr>
          <w:p>
            <w:pPr>
              <w:jc w:val="right"/>
              <w:ind w:right="640"/>
              <w:spacing w:after="0"/>
              <w:rPr>
                <w:sz w:val="20"/>
                <w:szCs w:val="20"/>
                <w:color w:val="auto"/>
              </w:rPr>
            </w:pPr>
            <w:r>
              <w:rPr>
                <w:rFonts w:ascii="Arial" w:cs="Arial" w:eastAsia="Arial" w:hAnsi="Arial"/>
                <w:sz w:val="18"/>
                <w:szCs w:val="18"/>
                <w:color w:val="auto"/>
              </w:rPr>
              <w:t>5,164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106,547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98,194</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(17,260)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8"/>
              </w:rPr>
              <w:t>(70,334)</w:t>
            </w:r>
          </w:p>
        </w:tc>
        <w:tc>
          <w:tcPr>
            <w:tcW w:w="17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(25,297)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(231,801)</w:t>
            </w:r>
          </w:p>
        </w:tc>
      </w:tr>
      <w:tr>
        <w:trPr>
          <w:trHeight w:val="20"/>
        </w:trPr>
        <w:tc>
          <w:tcPr>
            <w:tcW w:w="3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1,654,824</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339,704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1,453,364</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115,409</w:t>
            </w: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color w:val="auto"/>
                <w:w w:val="89"/>
              </w:rPr>
              <w:t>Average total assets</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6"/>
          </w:tcPr>
          <w:p>
            <w:pPr>
              <w:jc w:val="right"/>
              <w:ind w:right="1180"/>
              <w:spacing w:after="0" w:line="123" w:lineRule="exact"/>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5"/>
          </w:tcPr>
          <w:p>
            <w:pPr>
              <w:jc w:val="right"/>
              <w:ind w:right="1460"/>
              <w:spacing w:after="0" w:line="149" w:lineRule="exact"/>
              <w:rPr>
                <w:sz w:val="20"/>
                <w:szCs w:val="20"/>
                <w:color w:val="auto"/>
              </w:rPr>
            </w:pPr>
            <w:r>
              <w:rPr>
                <w:rFonts w:ascii="Arial" w:cs="Arial" w:eastAsia="Arial" w:hAnsi="Arial"/>
                <w:sz w:val="14"/>
                <w:szCs w:val="14"/>
                <w:color w:val="auto"/>
              </w:rPr>
              <w:t>June 30</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r>
      <w:tr>
        <w:trPr>
          <w:trHeight w:val="167"/>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4"/>
                <w:szCs w:val="14"/>
                <w:color w:val="auto"/>
              </w:rPr>
            </w:pPr>
          </w:p>
        </w:tc>
        <w:tc>
          <w:tcPr>
            <w:tcW w:w="1040" w:type="dxa"/>
            <w:vAlign w:val="bottom"/>
            <w:gridSpan w:val="3"/>
          </w:tcPr>
          <w:p>
            <w:pPr>
              <w:ind w:left="560"/>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3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15,504</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15,414</w:t>
            </w:r>
          </w:p>
        </w:tc>
        <w:tc>
          <w:tcPr>
            <w:tcW w:w="6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15,399</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13,255</w:t>
            </w:r>
          </w:p>
        </w:tc>
        <w:tc>
          <w:tcPr>
            <w:tcW w:w="3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12,842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14,699</w:t>
            </w:r>
          </w:p>
        </w:tc>
        <w:tc>
          <w:tcPr>
            <w:tcW w:w="3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13,506</w:t>
            </w:r>
          </w:p>
        </w:tc>
        <w:tc>
          <w:tcPr>
            <w:tcW w:w="6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13,763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12,191</w:t>
            </w:r>
          </w:p>
        </w:tc>
        <w:tc>
          <w:tcPr>
            <w:tcW w:w="3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w w:val="79"/>
              </w:rPr>
              <w:t>11,484</w:t>
            </w:r>
          </w:p>
        </w:tc>
        <w:tc>
          <w:tcPr>
            <w:tcW w:w="6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12,024</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3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6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68,607</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65,881</w:t>
            </w:r>
          </w:p>
        </w:tc>
        <w:tc>
          <w:tcPr>
            <w:tcW w:w="6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67,472</w:t>
            </w: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$6,105,000 and</w:t>
      </w:r>
    </w:p>
    <w:p>
      <w:pPr>
        <w:spacing w:after="0" w:line="14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89"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i w:val="1"/>
          <w:iCs w:val="1"/>
          <w:color w:val="auto"/>
        </w:rPr>
        <w:t>$5,214,000 for the three-month periods ended June 30, 2010 and 2009, respectively, and $12,028,000 and $10,147,000 for the six-month periods ended June 30, 2010 and 2009,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2007 M&amp;T invested $300 million to acquire a 20% minority interest in Bayview Lending Group LLC (“BLG”), a privately-held company that, together with its affiliates, specializes in securitizing loans and servicing real estate loans and other assets. M&amp;T recognizes income from BLG using the equity method of accounting.</w:t>
      </w:r>
    </w:p>
    <w:p>
      <w:pPr>
        <w:spacing w:after="0" w:line="7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$5.6 billion and $5.5 billion at June 30, 2010 and December 31, 2009, respectively. Amounts recorded as capitalized servicing assets for such loans totaled $33 million at June 30, 2010 and $40 million at December 31, 2009. Capitalized servicing rights at June 30, 2010 and December 31, 2009 also included $13 million and $17 million, respectively, for servicing rights that were purchased from Bayview Financial related to residential mortgage loans with outstanding principal balances of $3.9 billion at June 30, 2010 and $4.1 billion at December 31, 2009. Revenues from servicing residential and small balance commercial mortgage loans purchased from BLG and Bayview Financial were $12 million and $13 million during the quarters ended June 30, 2010 and 2009, respectively, and $24 million and $26 million for the six months ended June 30, 2010 and 2009, respectively. M&amp;T Bank provided $5 million and $34 million of credit facilities to Bayview Financial at June 30, 2010 and December 31, 2009, respectively, of which $5 million and $24 million were outstanding at June 30, 2010 and December 31, 2009, respectively. In addition, at June 30, 2010 and December 31, 2009, the Company held $27 million and $25 million, respectively, of collateralized mortgage obligations in its available-for-sale investment securities portfolio that were securitized by Bayview Financial. Finally, the Company held $333 million and $352 million of similar investment securities in its held-to-maturity portfolio at June 30, 2010 and December 31,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Relationship of M&amp;T and AIB</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AIB received 26,700,000 shares of M&amp;T common stock on April 1, 2003 as a result of M&amp;T’s acquisition of a subsidiary of AIB on that date. Those shares of common stock owned by AIB represented 22.4% of the issued and outstanding shares of M&amp;T common stock on June 30, 2010. While AIB maintains a significant ownership in M&amp;T, the Agreement and Plan of Reorganization between M&amp;T and AIB (“Reorganization Agreement”) includes several provisions related to the corporate governance of M&amp;T that provide AIB with representation on the M&amp;T and M&amp;T Bank boards of directors and key board committees and certain protections of its rights as a substantial M&amp;T shareholder. In addition, AIB has rights that facilitate its ability to maintain its proportionate ownership position in M&amp;T.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Relationship of M&amp;T and AIB, continued</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With respect to AIB’s right to have representation on the M&amp;T and M&amp;T Bank boards of directors and key board committees, for as long as AIB holds at least 15% of M&amp;T’s outstanding common stock, AIB is entitled to designate four individuals, reasonably acceptable to M&amp;T, on both the M&amp;T and M&amp;T Bank boards of directors. In addition, one of the AIB designees to the M&amp;T board of directors will serve on each of the Executive; Nomination, Compensation and Governance; and Audit and Risk committees. Also, as long as AIB holds at least 15% of M&amp;T’s outstanding common stock, neither the M&amp;T nor the M&amp;T Bank board of directors may consist of more than 28 directors without the consent of the M&amp;T directors designated by AIB. AIB will continue to enjoy these rights if its holdings of M&amp;T common stock drop below 15%, but not below 12%, so long as AIB restores its ownership percentage to 15% within one year. In the event that AIB holds at least 10%, but less than 15%, of M&amp;T’s outstanding common stock, AIB will be entitled to designate at least two individuals on both the M&amp;T and M&amp;T Bank boards of directors and, in the event that AIB holds at least 5%, but less than 10%, of M&amp;T’s outstanding common stock, AIB will be entitled to designate one individual on both the M&amp;T and M&amp;T Bank boards of directors. M&amp;T also has the right to appoint one representative to the AIB board while AIB remains a significant shareholder.</w:t>
      </w:r>
    </w:p>
    <w:p>
      <w:pPr>
        <w:spacing w:after="0" w:line="70"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There are several other corporate governance provisions that serve to protect AIB’s rights as a substantial M&amp;T shareholder and are embodied in M&amp;T’s certificate of incorporation and bylaws. These protections include an effective consent right in connection with certain actions by M&amp;T, such as amending M&amp;T’s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M&amp;T. AIB has the right to limit, with the agreement of at least one non-AIB designee on the M&amp;T board of directors, other actions by M&amp;T, such as reducing M&amp;T’s cash dividend policy such that the ratio of cash dividends to net income is less than 15%, acquisitions and dispositions of significant amounts of assets, and the appointment or election of the chairman of the board of directors or the chief executive officer of M&amp;T. The protective provisions described above will cease to be applicable when AIB no longer owns at least 15% of M&amp;T’s outstanding common stock, calculated as described in the Reorganization Agreement.</w:t>
      </w:r>
    </w:p>
    <w:p>
      <w:pPr>
        <w:spacing w:after="0" w:line="5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an effort to raise its capital position to meet new Irish government-mandated capital requirements, AIB announced in March 2010 that it plans to sell its ownership interest in M&amp;T by the end of 2010.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income for M&amp;T Bank Corporation (“M&amp;T”) in the second quarter of 2010 was $189 million or $1.46 of diluted earnings per common share, compared with $51 million or $.36 of diluted earnings per common share in the corresponding quarter of 2009. During the first quarter of 2010, net income totaled $151 million or $1.15 of diluted earnings per common share. Basic earnings per common share were $1.47 in the recent quarter, compared with $.36 in the year-earlier quarter and $1.16 in the initial quarter of 2010. The after-tax impact of acquisition and integration-related expenses (included herein as merger-related expenses) associated with M&amp;T’s May 23, 2009 acquisition of Provident Bankshares Corporation (“Provident”) was $40 million ($66 million pre-tax) or $.35 of basic and diluted earnings per common share in the second quarter of 2009. There were no merger-related expenses in the first or second quarter of 2010. For the first six months of 2010, net income totaled $340 million or $2.61 of diluted earnings per common share, compared with $115 million or $.85 of diluted earnings per common share in the similar 2009 period. Basic earnings per common share for the six-month periods ended June 30, 2010 and 2009 were $2.63 and $.85, respectively. The after-tax impact of merger-related expenses associated with Provident was $42 million ($69 million pre-tax) or $.37 of basic and diluted earnings per common share during the six-month period ended June 30, 2009.</w:t>
      </w:r>
    </w:p>
    <w:p>
      <w:pPr>
        <w:spacing w:after="0" w:line="6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annualized rate of return on average total assets for M&amp;T and its consolidated subsidiaries (“the Company”) in the recently completed quarter was 1.11%, compared with .31% in the second quarter of 2009 and .89% in the first quarter of 2010. The annualized rate of return on average common stockholders’ equity was 9.67% in the second quarter of 2010, compared with 2.53% in the year-earlier quarter and 7.86% in the initial quarter of 2010. During the six-month period ended June 30, 2010, the annualized rates of return on average assets and average common stockholders’ equity were 1.00% and 8.78%, respectively, compared with .35% and 3.06%, respectively, in the first half of 2009.</w:t>
      </w:r>
    </w:p>
    <w:p>
      <w:pPr>
        <w:spacing w:after="0" w:line="8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condition of the residential real estate marketplace and the U.S. economy has had a significant impact on the financial services industry as a whole, and specifically on the financial results of the Company. A pronounced downturn in the residential real estate market that began in early 2007 has resulted in significantly lower residential real estate values and higher delinquencies and charge-offs of loans, including loans to builders and developers of residential real estate. In addition, the U.S. economy was in recession during 2008 and 2009, and high unemployment continues to hinder any significant recovery. As a result, the Company experienced higher than historical levels of delinquencies and charge-offs related to its commercial loan and commercial real estate loan portfolios during 2009 and in 2010 as well. Investment securities backed by residential and commercial real estate have reflected substantial unrealized losses during the real estate downturn due to a lack of liquidity in the financial markets and anticipated credit losses. Many financial institutions, including the Company, have taken charges for those unrealized losses that were deemed to be other than temporary.</w:t>
      </w:r>
    </w:p>
    <w:p>
      <w:pPr>
        <w:spacing w:after="0" w:line="58"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Reflected in the Company’s second quarter 2010 results were $14 million of after-tax other-than-temporary impairment charges ($22 million before taxes) on certain available-for-sale investment securities, reducing diluted earnings per common share by $.11. Specifically, $12 million (pre-tax) of such charges related to American Depositary Shares of Allied Irish Banks, p.l.c. (“AIB ADSs”) obtained in M&amp;T’s 2003 acquisition of Allfirst Financial Inc. (“Allfirst”) and $10 million (pre-tax) related to certain privately issued collateralized mortgage obligations (“CMOs”) backed by residential real estate loans and collateralized debt obligations (“CDOs”) backed by pooled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trust preferred securities. However, because those investment securities were previously reflected at fair value on the consolidated balance sheet, the impairment charges did not reduce stockholders’ equity.</w:t>
      </w:r>
    </w:p>
    <w:p>
      <w:pPr>
        <w:spacing w:after="0" w:line="62"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Financial Accounting Standards Board (“FASB”) amended generally accepted accounting principles (“GAAP”) in June 2009 relating to: (1) the consolidation of variable interest entities to eliminate the quantitative approach previously required for determining the primary beneficiary of a variable interest entity; and (2)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 on or after the effective date. Additionally, beginning January 1, 2010, the concept of a qualifying special-purpose entity is no longer relevant for accounting purposes. Therefore, formerly qualifying special-purpose entities must now be evaluated for consolidation in accordance with applicable consolidation guidance, including the new accounting guidance relating to the consolidation of variable interest entities.</w:t>
      </w:r>
    </w:p>
    <w:p>
      <w:pPr>
        <w:spacing w:after="0" w:line="58"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 accordance with the new accounting requirements, effective January 1, 2010 the Company included in its consolidated financial statements one-to-four family residential mortgage loans that were included in non-recourse securitization transactions using qualified special trusts. The effect of that consolidation as of January 1, 2010 was to increase residential real estate loans by $424 million, decrease the amortized cost of available-for-sale investment securities by $360 million (fair value of $355 million as of January 1, 2010), and increase borrowings by $65 million. Information concerning those loans is included in note 11 of Notes to Financial Statements.</w:t>
      </w:r>
    </w:p>
    <w:p>
      <w:pPr>
        <w:spacing w:after="0" w:line="80"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On May 23, 2009, M&amp;T completed the acquisition of Provident, a bank holding company based in Baltimore, Maryland. Provident Bank, Provident’s banking subsidiary, was merged into M&amp;T Bank, M&amp;T’s principal bank subsidiary,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in connection with the acquisition. In addition, based on the merger agreement, outstanding and unexercised options to purchase common stock of Provident converted to options to purchase the common stock of M&amp;T. The fair value of those options was approximately $1 million. In total, the purchase price was approximately</w:t>
      </w:r>
    </w:p>
    <w:p>
      <w:pPr>
        <w:spacing w:after="0" w:line="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$274 million based on the fair value on the acquisition date of M&amp;T common stock exchanged and the fair value of the options to purchase M&amp;T common stock. Holders of Provident’s preferred stock were issued shares of new Series B and Series C Preferred Stock of M&amp;T having substantially identical terms. That preferred stock added $156 million to M&amp;T’s stockholders’ equity. The Series B Preferred Stock has a preference value of $27 million, pays non-cumulative dividends at a rate of 10%, and is convertible into 433,148 shares of M&amp;T common stock. The Series C Preferred Stock has a preference value of $152 million, pays cumulative dividends at a rate of 5% through November 2013 and 9% thereafter, and is held by the U.S. Department of Treasury under the Troubled Asset Relief Program — Capital Purchase Program.</w:t>
      </w:r>
    </w:p>
    <w:p>
      <w:pPr>
        <w:spacing w:after="0" w:line="86"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transaction has been accounted for using the acquisition method of accounting. Accordingly, the assets acquired and liabilities assumed were recorded by M&amp;T at their estimated fair values as of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 Company’s presence in the Mid-Atlantic area, gave the Company the second largest deposit share in Maryland, and tripled the Company’s presence in Virginia.</w:t>
      </w:r>
    </w:p>
    <w:p>
      <w:pPr>
        <w:spacing w:after="0" w:line="80"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Application of the acquisition method requires that acquired loans be recorded at fair value and prohibits the carry-over of the acquired entity’s allowance for credit losses. Determining the fair value of the acquired loans required estimating cash flows expected to be collected on the loans. The impact of estimated credit losses on all acquired loans was considered in the estimation of future cash flows used in the determination of estimated fair value as of the acquisition date.</w:t>
      </w:r>
    </w:p>
    <w:p>
      <w:pPr>
        <w:spacing w:after="0" w:line="79"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Merger-related expenses associated with the acquisition of Provident incurred during the three and six months ended June 30, 2009 totaled $66 million ($40 million after tax effect) and $69 million ($42 million after tax effect), respectively. Such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Provident’s customers; severance and incentive compensation costs; travel costs; and printing, supplies and other costs of commencing operations in new markets and offices. Additional information about the acquisition of Provident is provided in note 2 of Notes to Financial Statements.</w:t>
      </w:r>
    </w:p>
    <w:p>
      <w:pPr>
        <w:spacing w:after="0" w:line="5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financial results for the second quarter of 2009 were adversely impacted by certain notable events. During that quarter, the Federal Deposit Insurance Corporation (“FDIC”) announced that it would levy a special assessment on insured financial institutions to rebuild the Deposit Insurance Fund. That special assessment amounted to $33 million ($20 million after tax effect, or $.17 of diluted earnings per common share). Also during 2009’s second quarter, other-than-temporary impairment charges of $25 million (pre-tax) were recorded on certain privately issued CMOs backed by residential real estate loans and CDOs backed by pooled trust preferred securities of financial institutions. Such securities are held in the Company’s available-for-sale investment securities portfolio. Those charges reduced net income and diluted earnings per common share by $15 million and $.13, respectively.</w:t>
      </w:r>
    </w:p>
    <w:p>
      <w:pPr>
        <w:spacing w:after="0" w:line="5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During the first quarter of 2010, the Company recognized other-than-temporary impairment charges of $27 million ($16 million after taxes, or $.14 of diluted earnings per common share) that were recorded on certain privately issued CMOs. Those securities, which are secured by residential real estate loans, are also held in the Company’s available-for-sale investment securities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Dodd-Frank Wall Street Reform and Consumer Protection Act of 2010 (the “Dodd-Frank Act”) was signed into law on July 21, 2010. This new law will significantly change the current bank regulatory structure and affect the lending, deposit, investment, trading and operating activities of financial institutions and their holding companies, and will fundamentally change the system of oversight described in Part I, Item 1 of M&amp;T’s Annual Report on Form 10-K for the fiscal year ended December 31, 2009 under the caption “Supervision and Regulation of the Company.” The Dodd-Frank Act requires various federal agencies to adopt a broad range of new implementing rules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regulations, and to prepare numerous studies and reports for Congress. The federal agencies are given significant discretion in drafting the implementing rules and regulations, and, as a result, many of the details and much of the impact of the Dodd-Frank Act may not be known for many months or years. The Dodd-Frank Act, however, could have a material adverse impact either on the financial services industry as a whole, or on M&amp;T’s business, results of operations, financial condition and liquidity.</w:t>
      </w:r>
    </w:p>
    <w:p>
      <w:pPr>
        <w:spacing w:after="0" w:line="79"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Dodd-Frank Act broadens the base for Federal Deposit Insurance Corporation insurance assessments. Assessments will now be based on the average consolidated total assets less tangible equity capital of a financial institution. The Dodd-Frank Act also permanently increases the maximum amount of deposit insurance for banks, savings institutions and credit unions to $250,000 per depositor, retroactive to January 1, 2009, and non-interest bearing transaction accounts have unlimited deposit insurance through December 31, 2013.</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legislation also requires that publicly traded companies give stockholders a non-binding vote on executive compensation and “golden parachute” payments, and authorizes the Securities and Exchange Commission to promulgate rules that would allow stockholders to nominate their own candidates using a company’s proxy materials. The Dodd-Frank Act also directs the Federal Reserve Board to promulgate rules prohibiting excessive compensation paid to bank holding company executives, regardless of whether the company is publicly traded or not.</w:t>
      </w:r>
    </w:p>
    <w:p>
      <w:pPr>
        <w:spacing w:after="0" w:line="79"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Dodd-Frank Act establishes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 The Dodd-Frank Act also weakens the federal preemption rules that have been applicable for national banks and gives state attorneys general the ability to enforce federal consumer protection laws.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Dodd-Frank Act, among other things:</w:t>
      </w:r>
    </w:p>
    <w:p>
      <w:pPr>
        <w:spacing w:after="0" w:line="117" w:lineRule="exact"/>
        <w:rPr>
          <w:sz w:val="20"/>
          <w:szCs w:val="20"/>
          <w:color w:val="auto"/>
        </w:rPr>
      </w:pPr>
    </w:p>
    <w:p>
      <w:pPr>
        <w:ind w:left="6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Amends the Electronic Fund Transfer Act (EFTA) to, among other things, give the Federal Reserve the authority to issue rules which are expected to limit debit-card interchange fees;</w:t>
      </w:r>
    </w:p>
    <w:p>
      <w:pPr>
        <w:spacing w:after="0" w:line="75"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spacing w:after="0" w:line="86"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Provides for an increase in the FDIC assessment for depository institutions with assets of $10 billion or more and increases the minimum reserve ratio for the deposit insurance fund from 1.15% to 1.35%;</w:t>
      </w:r>
    </w:p>
    <w:p>
      <w:pPr>
        <w:spacing w:after="0" w:line="75" w:lineRule="exact"/>
        <w:rPr>
          <w:rFonts w:ascii="Arial" w:cs="Arial" w:eastAsia="Arial" w:hAnsi="Arial"/>
          <w:sz w:val="18"/>
          <w:szCs w:val="18"/>
          <w:b w:val="1"/>
          <w:bCs w:val="1"/>
          <w:color w:val="auto"/>
        </w:rPr>
      </w:pPr>
    </w:p>
    <w:p>
      <w:pPr>
        <w:ind w:left="660" w:right="6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Imposes comprehensive regulation of the over-the-counter derivatives market, which would include certain provisions that would effectively prohibit insured depository institutions from conducting certain derivatives businesses in the institution itself;</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Repeals the federal prohibitions on the payment of interest on demand deposits, thereby permitting depository institutions to pay interest on business transaction and other accounts;</w:t>
      </w:r>
    </w:p>
    <w:p>
      <w:pPr>
        <w:spacing w:after="0" w:line="143"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86"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Creates a financial stability oversight council that will recommend to the Federal Reserve increasingly strict rules for capital, leverage, liquidity, risk management and other requirements as companies grow in size and complexity.</w:t>
      </w:r>
    </w:p>
    <w:p>
      <w:pPr>
        <w:spacing w:after="0" w:line="62"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environment in which banking organizations will operate after the financial crisis, including legislative and regulatory changes affecting capital, liquidity, supervision, permissible activities, corporate governance and compensation, changes in fiscal policy and steps to eliminate government support for banking organizations, may have long-term effects on the business model and profitability of banking organizations that cannot now be foreseen. Many aspects of the Dodd-Frank Act are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could increase the costs associated with deposits as well as place limitations on certain revenues those deposits may generate. Provisions in the legislation that revoke the Tier 1 capital treatment of trust preferred securities and otherwise require revisions to the capital requirements of M&amp;T and M&amp;T Bank could require M&amp;T and M&amp;T Bank to seek other sources of capital in the future.</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potential impact of new rules relating to overdraft fee practices is included herein under the heading “Other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business combinations and other acquisitions, the Company had intangible assets consisting of goodwill and core deposit and other intangible assets totaling $3.7 billion at each of June 30, 2010, June 30, 2009 and December 31, 2009. Included in such intangible assets was goodwill of $3.5 billion at each of those respective dates. Amortization of core deposit and other intangible assets, after tax effect, was $9 million during each of the second quarters of 2010 and 2009 ($.07 per diluted common share and $.08 per diluted common share, respectively) and $10 million ($.08 per diluted common share) in the first quarter of 2010. For each of the six-month periods ended June 30, 2010 and 2009, amortization of core deposit and other intangible assets, after tax effect, totaled $19 million ($.16 per diluted common share and $.17 per diluted common share, respectively).</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Net operating income was $198 million in the second quarter of 2010, compared with $101 million in the similar 2009 quarter. Diluted net operating earnings per common share for the recent quarter were $1.53, compared with $.79 in the second quarter of 2009. Net operating income and diluted net operating earnings per common share were $161 million and $1.23, respectively, in the initial quarter of 2010. For the first half of 2010, net operating income and diluted net operating earnings per common share were $359 million and $2.77, respectively, compared with $176 million and $1.39, respectively, in the corresponding 2009 period.</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Net operating income expressed as an annualized return on average tangible assets was 1.23% in the recent quarter, compared with .64% in the year-earlier quarter and 1.00% in the first 2010 quarter. Net operating income expressed as an annualized return on average tangible common equity was 20.36% in the recently completed quarter, compared with 12.08% and 17.34% in the quarters ended June 30, 2009 and March 31, 2010, respectively. For the first six months of 2010, net operating income represented an annualized return on average tangible assets and average tangible common stockholders’ equity of 1.11% and 18.89%, respectively, compared with .57% and 10.76%, respectively, in the six-month period ended June 30,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Taxable-equivalent net interest income rose 13% to $573 million in the second quarter of 2010 from $507 million in the year-earlier quarter. The significant improvement was predominantly the result of a 41 basis point (hundredths of one percent) widening of the Company’s net interest margin, or taxable-equivalent net interest income expressed as an annualized percentage of average earning assets. Taxable-equivalent net interest income totaled $562 million in the first quarter of 2010. The recent quarter’s increase from the initial 2010 quarter resulted from a 6 basis point widening of the net interest margin, partially offset by a $520 million, or 1%, decline in average earning assets. The improvement in the net interest margin was largely attributable to an 8 basis point increase in the yields on loans.</w:t>
      </w:r>
    </w:p>
    <w:p>
      <w:pPr>
        <w:spacing w:after="0" w:line="85"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For the first six months of 2010, taxable-equivalent net interest income was $1.14 billion, 18% higher than $960 million in the similar period of 2009. That increase was predominantly attributable to a 50 basis point widening of the Company’s net interest margin due to lower rates paid on deposits and long-term borrowings. Higher average earning assets, which rose $1.7 billion or 3% from $58.4 billion in the first half of 2009 to $60.1 billion in the first six months of 2010 also contributed to the rise. The growth in average earning assets was the result of assets obtained in the acquisition of Provident, which at the May 23, 2009 acquisition date totaled approximately $5.1 billion and which added approximately $2 billion to average earning assets in the second quarter of 2009.</w:t>
      </w:r>
    </w:p>
    <w:p>
      <w:pPr>
        <w:spacing w:after="0" w:line="50" w:lineRule="exact"/>
        <w:rPr>
          <w:sz w:val="20"/>
          <w:szCs w:val="20"/>
          <w:color w:val="auto"/>
        </w:rPr>
      </w:pPr>
    </w:p>
    <w:p>
      <w:pPr>
        <w:ind w:right="80" w:firstLine="215"/>
        <w:spacing w:after="0" w:line="272" w:lineRule="auto"/>
        <w:rPr>
          <w:sz w:val="20"/>
          <w:szCs w:val="20"/>
          <w:color w:val="auto"/>
        </w:rPr>
      </w:pPr>
      <w:r>
        <w:rPr>
          <w:rFonts w:ascii="Arial" w:cs="Arial" w:eastAsia="Arial" w:hAnsi="Arial"/>
          <w:sz w:val="17"/>
          <w:szCs w:val="17"/>
          <w:color w:val="auto"/>
        </w:rPr>
        <w:t>Average loans and leases rose $724 million, or 1%, to $51.3 billion in the second quarter of 2010 from $50.6 billion in the year-earlier quarter. Included in average loans and leases in the recent quarter were loans obtained in the acquisition transactions related to Provident and to Bradford Bank (“Bradford”). M&amp;T Bank assumed all of the deposits and acquired certain assets of Bradford in an agreement with the FDIC which was effective on August 28, 2009. Loans associated with Provident totaled $4.0 billion on the May 23, 2009 acquisition date and loans associated with Bradford totaled $302 million on the August 28, 2009 closing date of that transaction. In total, the acquired loans consisted of approximately $700 million of commercial loans, $1.8 billion of commercial real estate loans, $400 million of residential real estate loans and $1.4 billion of consumer loans. Including the impact of the acquired loan balances, commercial loans and leases averaged $13.1 billion in the second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quarter of 2010, down $971 million or 7% from $14.1 billion in the year-earlier quarter. That decline was the result of generally lower demand for commercial loans. Average commercial real estate loans rose $1.0 billion, or 5%, to $20.8 billion in the recent quarter from $19.7 billion in 2009’s second quarter. That increase was predominantly due to the impact of loans obtained in the acquisition of Provident. Average outstanding residential real estate loans increased $391 million, or 7%, to $5.7 billion in the second quarter of 2010, as compared with the $5.3 billion averaged in the year-earlier quarter. Included in that portfolio were loans held for sale, which averaged $363 million in the recent quarter, compared with $720 million in the second quarter of 2009. Also reflected in average residential real estate loans in the second quarter of 2010 were $359 million of loans related to the January 1, 2010 implementation of the new accounting requirements as previously discussed. Excluding such loans and loans held for sale, average residential real estate loans increased</w:t>
      </w:r>
    </w:p>
    <w:p>
      <w:pPr>
        <w:spacing w:after="0" w:line="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$388 million from the second quarter of 2009 to the second quarter of 2010, due in part to the loans obtained in the 2009 acquisition transactions. Average consumer loans totaled $11.8 billion in the recent quarter, up $264 million, or 2%, from $11.5 billion in the year-earlier period. That growth was due to loans obtained from Provident and Bradford (largely home equity loans and lines of credit) and higher outstanding balances of home equity lines of credit, partially offset by a decline in average outstanding automobile loans.</w:t>
      </w:r>
    </w:p>
    <w:p>
      <w:pPr>
        <w:spacing w:after="0" w:line="82"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Average loan balances in the recent quarter declined $670 million, or 1%, from the first quarter of 2010. Average outstanding commercial loan and lease balances declined $312 million, or 2%, from 2010’s initial quarter, largely due to sluggish loan demand. The average outstanding balances of commercial real estate loans and residential real estate loans were each modestly lower in the recent quarter as compared with the first quarter of 2010. Average consumer loans declined $161 million, or 1%, from 2010’s first quarter, largely due to certain out-of-footprint portions of the consumer loan portfolio that have been allowed to decline where the Company decided it does not want to pursue growth due to competitive loan pricing and economic conditions in those areas. Such loans include out-of-footprint automobile loans and home equity loans. The accompanying table summarizes quarterly changes in the major components of the loan and lease portfolio.</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gridSpan w:val="3"/>
          </w:tcPr>
          <w:p>
            <w:pPr>
              <w:ind w:left="580"/>
              <w:spacing w:after="0"/>
              <w:rPr>
                <w:sz w:val="20"/>
                <w:szCs w:val="20"/>
                <w:color w:val="auto"/>
              </w:rPr>
            </w:pPr>
            <w:r>
              <w:rPr>
                <w:rFonts w:ascii="Arial" w:cs="Arial" w:eastAsia="Arial" w:hAnsi="Arial"/>
                <w:sz w:val="14"/>
                <w:szCs w:val="14"/>
                <w:color w:val="auto"/>
                <w:w w:val="91"/>
              </w:rPr>
              <w:t>Percent increase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5"/>
              </w:rPr>
              <w:t>(decrease) from</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2nd Qtr.</w:t>
            </w:r>
          </w:p>
        </w:tc>
        <w:tc>
          <w:tcPr>
            <w:tcW w:w="1560" w:type="dxa"/>
            <w:vAlign w:val="bottom"/>
            <w:gridSpan w:val="3"/>
          </w:tcPr>
          <w:p>
            <w:pPr>
              <w:jc w:val="center"/>
              <w:ind w:right="900"/>
              <w:spacing w:after="0" w:line="149" w:lineRule="exact"/>
              <w:rPr>
                <w:sz w:val="20"/>
                <w:szCs w:val="20"/>
                <w:color w:val="auto"/>
              </w:rPr>
            </w:pPr>
            <w:r>
              <w:rPr>
                <w:rFonts w:ascii="Arial" w:cs="Arial" w:eastAsia="Arial" w:hAnsi="Arial"/>
                <w:sz w:val="14"/>
                <w:szCs w:val="14"/>
                <w:color w:val="auto"/>
                <w:w w:val="90"/>
              </w:rPr>
              <w:t>2nd Qtr.</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1st Qtr.</w:t>
            </w:r>
          </w:p>
        </w:tc>
        <w:tc>
          <w:tcPr>
            <w:tcW w:w="0" w:type="dxa"/>
            <w:vAlign w:val="bottom"/>
          </w:tcPr>
          <w:p>
            <w:pPr>
              <w:spacing w:after="0"/>
              <w:rPr>
                <w:sz w:val="1"/>
                <w:szCs w:val="1"/>
                <w:color w:val="auto"/>
              </w:rPr>
            </w:pPr>
          </w:p>
        </w:tc>
      </w:tr>
      <w:tr>
        <w:trPr>
          <w:trHeight w:val="167"/>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2009</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13,096</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20,759</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5,653</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2,824</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5,846</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51,278</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first six months of 2010, average loans and leases totaled $51.6 billion, $1.9 billion or 4% above $49.7 billion in the first six months of 2009.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Loans obtained in the 2009 acquisition transactions were the predominant factor for that increase, partially offset by sluggish borrower demand for loans.</w:t>
      </w:r>
    </w:p>
    <w:p>
      <w:pPr>
        <w:spacing w:after="0" w:line="126" w:lineRule="exact"/>
        <w:rPr>
          <w:sz w:val="20"/>
          <w:szCs w:val="20"/>
          <w:color w:val="auto"/>
        </w:rPr>
      </w:pPr>
    </w:p>
    <w:p>
      <w:pPr>
        <w:ind w:right="420" w:firstLine="222"/>
        <w:spacing w:after="0" w:line="264" w:lineRule="auto"/>
        <w:rPr>
          <w:sz w:val="20"/>
          <w:szCs w:val="20"/>
          <w:color w:val="auto"/>
        </w:rPr>
      </w:pPr>
      <w:r>
        <w:rPr>
          <w:rFonts w:ascii="Arial" w:cs="Arial" w:eastAsia="Arial" w:hAnsi="Arial"/>
          <w:sz w:val="18"/>
          <w:szCs w:val="18"/>
          <w:color w:val="auto"/>
        </w:rPr>
        <w:t>The investment securities portfolio averaged $8.4 billion in the second quarter of 2010, compared with $8.5 billion and $8.2 billion in the year-earlier quarter and first quarter of 2010, respectively. The slight decline in such securities from the second quarter of 2009 reflects maturities and paydowns of mortgage-backed securities, maturities of federal agency notes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impact of adopting the new accounting rules on January 1, 2010 as already noted, largely offset by purchases of mortgage-backed securities issued by the Federal National Mortgage Association (“Fannie Mae”) and the Federal Home Loan Mortgage Corporation (“Freddie Mac”) during the recent quarter (approximately $340 million) and the initial 2010 quarter (approximately $960 million), and the full-quarter impact of investment securities obtained in the Provident acquisition. As compared with the first quarter of 2010, the higher average balance of investment securities reflects the impact of the noted purchases of mortgage-backed securities, partially offset by maturities and paydowns of similar securities. For the first six months of 2010 and 2009, average investment securities were $8.3 billion and $8.5 billion, respectively.</w:t>
      </w:r>
    </w:p>
    <w:p>
      <w:pPr>
        <w:spacing w:after="0" w:line="85"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investment securities portfolio is largely comprised of residential mortgage-backed securities and CMOs, debt securities issued by municipalities, capital preferred securities issued by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85"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An other-than-temporary impairment charge of $22 million (pre-tax) was recognized in the second quarter of 2010. Approximately $12 million of that charge related to AIB ADSs and $10 million related to certain privately issued CMOs and CDOs held in the Company’s available-for-sale investment securities portfolio. The AIB ADSs were obtained in the 2003 acquisition of Allfirst and are held to satisfy options to purchase such shares granted by Allfirst to certain employees. Factors contributing to the impairment charge related to the AIB ADSs included mounting credit and other losses incurred by AIB, the issuance of AIB common stock in lieu of dividend payments on certain preferred stock issuances held by the Irish government resulting in significant dilution of AIB common shareholders, and recent public announcements by Irish government officials suggesting that increased government support, which could further dilute AIB common shareholders, may be necessary. Poor economic conditions, high unemployment and depressed real estate values are significant factors contributing to the recognition of the other-than-temporary impairment charges as related to the CMOs and CDOs. Other-than-temporary impairment charges of $25 million (pre-tax) and $27 million (pre-tax) were recognized during the second quarter of 2009 and the initial quarter of 2010, respectively. Those charges related to the Company’s available-for-sale portfolio of privately issued residential CMOs. Based on management’s assessment of future cash flows associated with individual investment securities, as of June 30, 2010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12 of Notes to Financial Statements.</w:t>
      </w:r>
    </w:p>
    <w:p>
      <w:pPr>
        <w:spacing w:after="0" w:line="6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Other earning assets include deposits at banks, trading account assets, federal funds sold and agreements to resell securities. Those other earning assets in the aggregate averaged $157 million in the recent quarter, compared with $235 million and $211 million in the second quarter of 2009 and the first quarter of 2010, respectively.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totaled $59.8 billion in the second quarter of 2010, compared with $59.3 billion in the corresponding quarter of 2009. Average earning assets were $60.3 billion in the initial quarter of 2010, and aggregated $60.1 billion and $58.4 billion during the six-month periods ended June 30, 2010 and 2009, respectively.</w:t>
      </w:r>
    </w:p>
    <w:p>
      <w:pPr>
        <w:spacing w:after="0" w:line="73"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The most significant source of funding for the Company is core deposits, which are comprised of noninterest-bearing deposits, interest-bearing transaction accounts, savings deposits and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Average core deposits aggregated $43.4 billion in the second quarter of 2010, compared with $38.2 billion in the corresponding quarter of 2009 and $42.9 billion in the initial 2010 quarter. The 2009 acquisition transactions added $3.8 billion of core deposits on the respective acquisition dates. Excluding deposits obtained in those transactions, the growth in core deposits since the second quarter of 2009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increased. The following table provides an analysis of quarterly changes in the components of average core deposits. For the six-month periods ended June 30, 2010 and 2009, core deposits averaged $43.2 billion and $36.5 billion,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90"/>
              </w:rPr>
              <w:t>2nd Qtr.</w:t>
            </w:r>
          </w:p>
        </w:tc>
        <w:tc>
          <w:tcPr>
            <w:tcW w:w="15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24,782</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13,610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43,376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Domestic time deposits of $100,000 or more, deposits originated through the Company’s offshore branch office, and brokered deposits provide additional sources of funding for the Company. Domestic time deposits over $100,000, excluding brokered certificates of deposit, averaged $1.7 billion in the second quarter of 2010, compared with $2.7 billion in the year-earlier quarter and $1.8 billion in the initial quarter of 2010. Offshore branch deposits, primarily comprised of accounts with balances of $100,000 or more, averaged $972 million, $1.5 billion and $1.2 billion for the three-month periods ended June 30, 2010, June 30, 2009 and March 31, 2010, respectively. Average brokered time deposits totaled $709 million in the recently completed quarter, compared with $697 million in the year-earlier quarter and $785 million in the first quarter of 2010. The Company also had brokered NOW and brokered money-market deposit accounts which in the aggregate averaged $1.2 billion during the second quarter of 2010, compared with $842 million and $678 million during the corresponding quarter of 2009 and the first quarter of 2010, respectively. The higher level of such deposits in the recent quarter was the result of demand for such deposits, largely resulting from continued uncertain economic markets and the desire of brokerage firms to earn reasonable yields while ensuring that customer deposits were fully insured. Offshore branch deposits and brokered deposits have been used by the Company as alternatives to short-term borrowings. Additional amounts of offshore branch deposits or brokered deposits may be added in the future depending on market conditions, including demand by customers and other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investors for such deposits, and the cost of funds available from alternative sources at the time.</w:t>
      </w:r>
    </w:p>
    <w:p>
      <w:pPr>
        <w:spacing w:after="0" w:line="117" w:lineRule="exact"/>
        <w:rPr>
          <w:sz w:val="20"/>
          <w:szCs w:val="20"/>
          <w:color w:val="auto"/>
        </w:rPr>
      </w:pPr>
    </w:p>
    <w:p>
      <w:pPr>
        <w:ind w:right="440" w:firstLine="222"/>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(“FHLBs”), the Federal Reserve and others as sources of funding. Short-term borrowings averaged $1.8 billion in the recent quarter, compared with $3.2 billion in the second quarter of 2009 and</w:t>
      </w:r>
    </w:p>
    <w:p>
      <w:pPr>
        <w:ind w:right="140"/>
        <w:spacing w:after="0" w:line="251" w:lineRule="auto"/>
        <w:rPr>
          <w:sz w:val="20"/>
          <w:szCs w:val="20"/>
          <w:color w:val="auto"/>
        </w:rPr>
      </w:pPr>
      <w:r>
        <w:rPr>
          <w:rFonts w:ascii="Arial" w:cs="Arial" w:eastAsia="Arial" w:hAnsi="Arial"/>
          <w:sz w:val="18"/>
          <w:szCs w:val="18"/>
          <w:color w:val="auto"/>
        </w:rPr>
        <w:t>$2.4 billion in the first quarter of 2010. Included in average short-term borrowings were unsecured federal funds borrowings, which generally mature on the next business day, that averaged $1.6 billion in each of the second quarters of 2010 and 2009, compared with $2.1 billion in the first quarter of 2010. Overnight federal funds borrowings have historically represented the largest component of the Company’s short-term borrowings and are obtained from a wide variety of banks and other financial institutions. Average short-term borrowings during the recent quarter included $8 million of borrowings from the FHLB of New York and the FHLB of Atlanta, compared with $902 million in the year-earlier quarter and $100 million in the first quarter of 2010. Also included in short-term borrowings were secured borrowings with the Federal Reserve through their Term Auction Facility (“TAF”). Borrowings under the TAF averaged $604 million during the three-month period ended June 30, 2009, while there were no such outstanding borrowings during the quarters ended March 31 and June 30, 2010. The need for short-term borrowings from the FHLBs and the Federal Reserve has diminished with the continued growth in the Company’s core deposits.</w:t>
      </w:r>
    </w:p>
    <w:p>
      <w:pPr>
        <w:spacing w:after="0" w:line="9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Long-term borrowings averaged $9.5 billion in the second quarter of 2010, compared with $11.5 billion in the similar quarter of 2009 and $10.2 billion in the initial 2010 quarter. Included in average long-term borrowings were amounts borrowed from the FHLBs of $4.4 billion and $6.5 billion in the second quarters of 2010 and 2009, respectively, and $5.1 billion in the first quarter of 2010, and subordinated capital notes of $1.9 billion in each of those quarters. Junior subordinated debentures associated with trust preferred securities that were included in average long-term borrowings were $1.2 billion in each of the two most recent quarters, compared with $1.1 billion in the quarter ended June 30, 2009. Information regarding trust preferred securities and the related junior subordinated debentures is provided in note 5 of Notes to Financial Statements. Also included in long-term borrowings were agreements to repurchase securities, which averaged $1.6 billion during each of the second quarters of 2010 and 2009 and the first quarter of 2010. The agreements have various repurchase dates through 2017, however, the contractual maturities of the underlying securities extend beyond such repurchase dates.</w:t>
      </w:r>
    </w:p>
    <w:p>
      <w:pPr>
        <w:spacing w:after="0" w:line="58" w:lineRule="exact"/>
        <w:rPr>
          <w:sz w:val="20"/>
          <w:szCs w:val="20"/>
          <w:color w:val="auto"/>
        </w:rPr>
      </w:pPr>
    </w:p>
    <w:p>
      <w:pPr>
        <w:ind w:right="140" w:firstLine="225"/>
        <w:spacing w:after="0" w:line="285" w:lineRule="auto"/>
        <w:rPr>
          <w:sz w:val="20"/>
          <w:szCs w:val="20"/>
          <w:color w:val="auto"/>
        </w:rPr>
      </w:pPr>
      <w:r>
        <w:rPr>
          <w:rFonts w:ascii="Arial" w:cs="Arial" w:eastAsia="Arial" w:hAnsi="Arial"/>
          <w:sz w:val="16"/>
          <w:szCs w:val="16"/>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3.59% in the second quarter of 2010, compared with 3.15% in the year-earlier quarter. The yield on earning assets during the recent quarter was 4.63%, up one basis point from 4.62% in the second quarter of 2009, while the rate paid on interest-bearing liabilities decreased 43 basis points to 1.04% from 1.47% in the second quarter of 2009. In the first quarter of 2010, the net interest spread was 3.55%, the yield on earning assets was</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4.59% and the rate paid on interest-bearing liabilities was 1.04%. The 44 basis point improvement in spread from the second quarter of 2009 to the recent quarter was due largely to declines in the rates paid on deposits and long-term borrowings. Those lower rates reflected the impact of the stagnant economy and the Federal Reserve’s monetary policies on both short-term and long-term interest rates. In addition, the Federal Open Market Committee noted in early 2010 that low rates of resource utilization, subdued inflation trends, and stable inflation expectations were likely to warrant exceptionally low levels of the federal funds rate for an extended period of time. The 4 basis point improvement in spread from the first quarter of 2010 to the second quarter of 2010 was largely attributable to higher yields earned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loans. For the first six months of 2010, the net interest spread was 3.57%, an increase of 55 basis points from the corresponding 2009 period. The yield on earning assets and the rate paid on interest-bearing liabilities were 4.61% and 1.04%, respectively, in the first half of 2010, compared with 4.63% and 1.61%, respectively, in the similar period of 2009.</w:t>
      </w:r>
    </w:p>
    <w:p>
      <w:pPr>
        <w:spacing w:after="0" w:line="73"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$14.3 billion in the recent quarter, compared with $11.3 billion in the second quarter of 2009 and $13.7 billion in the initial quarter of 2010. The rise in net interest-free funds in the two most recent quarters as compared with the second quarter of 2009 was largely the result of higher average balances of noninterest-bearing deposits. Such deposits averaged $13.6 billion, $10.5 billion and $13.3 billion in the quarters ended June 30, 2010, June 30, 2009 and March 31, 2010, respectively. In connection with the Provident and Bradford transactions, the Company added noninterest-bearing deposits totaling $946 million at the respective acquisition dates. During the first six months of 2010 and 2009, average net interest-free funds aggregated $14.0 billion and $10.4 billion, respectively. Goodwill and core deposit and other intangible assets averaged $3.7 billion during each of the quarters ended June 30, 2010 and March 31, 2010, compared with $3.5 billion during the quarter ended June 30, 2009. The cash surrender value of bank owned life insurance averaged $1.5 billion in the two most recent quarters, and $1.3 billion during the second quarter of 2009. Increases in the cash surrender value of bank owned life insurance are not included in interest income, but rather are recorded in “other revenues from operations.”</w:t>
      </w:r>
    </w:p>
    <w:p>
      <w:pPr>
        <w:spacing w:after="0" w:line="75"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contribution of net interest-free funds to net interest margin was .25% in the recent quarter, compared with .28% and .23% in the second quarter of 2009 and the initial 2010 quarter, respectively. That contribution for the first half of the year was .24% in 2010 and .29% in 2009. The decline in the contribution to net interest margin ascribed to net interest-free funds in the 2010 periods as compared with the 2009 periods resulted largely from the impact of lower interest rates on interest-bearing liabilities used to value such contribution.</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3.84% in the recent quarter, improved from 3.43% in the year-earlier quarter and 3.78% in the first quarter of 2010. During the first six months of 2010 and 2009, the net interest margin was 3.81% and 3.31%,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 $1.0 billion at June 30, 2010 and $1.1 billion at each of June 30, 2009, December 31, 2009 and March 31, 2010. Under the terms of those swap agreements, the Company received payments based on the outstanding notional amount of the swap agreements at fixed rates and made payments at variable rates. Those swap agreements were designated as fair value hedges of certain fixed rate time deposits (except at the recent quarter-end, when there were none outstanding) and long-term borrowings. There were no interest rate swap agreements designated as cash flow hedges at those respective dates.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June 30, 2010 and 2009 and the quarter ended March 31, 2010 were not material to the Company’s results of operations. The estimated aggregate fair value of interest rate swap agreements designated as fair value hedges represented gains of approximately $111 million, $64 million, $67 million and $54 million at June 30, 2010, June 30, 2009, March 31, 2010 and December 31, 2009, respectively. The significant rise in fair value of those interest rate swap agreements at June 30, 2010 as compared with the prior quarter-ends resulted from lower interest rates at the recent quarter-end.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June 30, 2010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$58 million of collateral with the Company.</w:t>
      </w:r>
    </w:p>
    <w:p>
      <w:pPr>
        <w:spacing w:after="0" w:line="75"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6.33% and 2.36%, respectively, at June 30, 2010.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color w:val="auto"/>
              </w:rPr>
              <w:t>Three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40"/>
              <w:spacing w:after="0" w:line="142" w:lineRule="exact"/>
              <w:rPr>
                <w:sz w:val="20"/>
                <w:szCs w:val="20"/>
                <w:color w:val="auto"/>
              </w:rPr>
            </w:pPr>
            <w:r>
              <w:rPr>
                <w:rFonts w:ascii="Arial" w:cs="Arial" w:eastAsia="Arial" w:hAnsi="Arial"/>
                <w:sz w:val="14"/>
                <w:szCs w:val="14"/>
                <w:color w:val="auto"/>
              </w:rPr>
              <w:t>Rate(a)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(10,967)</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1,053,175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1,087,461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color w:val="auto"/>
              </w:rPr>
              <w:t>Six months ended June 30</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40"/>
              <w:spacing w:after="0" w:line="142" w:lineRule="exact"/>
              <w:rPr>
                <w:sz w:val="20"/>
                <w:szCs w:val="20"/>
                <w:color w:val="auto"/>
              </w:rPr>
            </w:pPr>
            <w:r>
              <w:rPr>
                <w:rFonts w:ascii="Arial" w:cs="Arial" w:eastAsia="Arial" w:hAnsi="Arial"/>
                <w:sz w:val="14"/>
                <w:szCs w:val="14"/>
                <w:color w:val="auto"/>
              </w:rPr>
              <w:t>Rate(a)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(22,219)</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(16,934)</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22,219</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16,934</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1,057,683</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1,097,296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57"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were $2.0 billion, $817 million and $2.1 billion at June 30, 2010, June 30, 2009 and December 31, 2009, respectively. In general, these borrowings were unsecured and matured on the following business day. As already noted, offshore branch deposits and brokered deposits have been used by the Company as alternatives to short-term borrowings. Offshore branch deposits also generally mature on the next business day and totaled $551 million at June 30, 2010 and $1.1 billion at each of June 30, 2009 and December 31, 2009. Outstanding brokered time deposits at June 30, 2010, June 30, 2009 and December 31, 2009 were $662 million, $1.2 billion and $868 million, respectively. At June 30, 2010, the weighted-average remaining term to maturity of brokered time deposits was 20 months. Certain of these brokered time deposits have provisions that allow for early redemption. The Company also has brokered NOW and brokered money-market deposit accounts which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aggregated $1.5 billion, $799 million and $618 million at June 30, 2010, June 30, 2009 and December 31, 2009, respectively.</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$22 million and $74 million at June 30, 2010 and 2009, respectively, and $19 million at December 31, 2009. The total amount of VRDBs outstanding backed by M&amp;T Bank letters of credit was $1.9 billion at each of June 30, 2010, June 30, 2009 and December 31, 2009. M&amp;T Bank also serves as remarketing agent for most of those bonds.</w:t>
      </w:r>
    </w:p>
    <w:p>
      <w:pPr>
        <w:spacing w:after="0" w:line="81"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5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2010 approximately $1.3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M&amp;T also maintains a $30 million line of credit with an unaffiliated commercial bank, of which there were no borrowings outstanding at June 30, 2010 or at December 31, 2009.</w:t>
      </w:r>
    </w:p>
    <w:p>
      <w:pPr>
        <w:spacing w:after="0" w:line="70" w:lineRule="exact"/>
        <w:rPr>
          <w:sz w:val="20"/>
          <w:szCs w:val="20"/>
          <w:color w:val="auto"/>
        </w:rPr>
      </w:pPr>
    </w:p>
    <w:p>
      <w:pPr>
        <w:ind w:right="460" w:firstLine="225"/>
        <w:spacing w:after="0" w:line="342" w:lineRule="auto"/>
        <w:rPr>
          <w:sz w:val="20"/>
          <w:szCs w:val="20"/>
          <w:color w:val="auto"/>
        </w:rPr>
      </w:pPr>
      <w:r>
        <w:rPr>
          <w:rFonts w:ascii="Arial" w:cs="Arial" w:eastAsia="Arial" w:hAnsi="Arial"/>
          <w:sz w:val="16"/>
          <w:szCs w:val="16"/>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activities, either currently or in the long-term, for which adequate funding would not be available and would therefore result in a significant strain on liquidity at either M&amp;T or its subsidiary banks.</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accompanying table as of June 30, 2010 and December 31, 2009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360" w:type="dxa"/>
            <w:vAlign w:val="bottom"/>
            <w:gridSpan w:val="3"/>
          </w:tcPr>
          <w:p>
            <w:pPr>
              <w:jc w:val="right"/>
              <w:ind w:right="719"/>
              <w:spacing w:after="0"/>
              <w:rPr>
                <w:sz w:val="20"/>
                <w:szCs w:val="20"/>
                <w:color w:val="auto"/>
              </w:rPr>
            </w:pPr>
            <w:r>
              <w:rPr>
                <w:rFonts w:ascii="Arial" w:cs="Arial" w:eastAsia="Arial" w:hAnsi="Arial"/>
                <w:sz w:val="14"/>
                <w:szCs w:val="14"/>
                <w:color w:val="auto"/>
              </w:rPr>
              <w:t>Calculated increase (decrease)</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360" w:type="dxa"/>
            <w:vAlign w:val="bottom"/>
            <w:gridSpan w:val="3"/>
          </w:tcPr>
          <w:p>
            <w:pPr>
              <w:jc w:val="right"/>
              <w:ind w:right="69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1420" w:type="dxa"/>
            <w:vAlign w:val="bottom"/>
            <w:gridSpan w:val="2"/>
          </w:tcPr>
          <w:p>
            <w:pPr>
              <w:spacing w:after="0"/>
              <w:rPr>
                <w:sz w:val="20"/>
                <w:szCs w:val="20"/>
                <w:color w:val="auto"/>
              </w:rPr>
            </w:pPr>
            <w:r>
              <w:rPr>
                <w:rFonts w:ascii="Arial" w:cs="Arial" w:eastAsia="Arial" w:hAnsi="Arial"/>
                <w:sz w:val="14"/>
                <w:szCs w:val="14"/>
                <w:color w:val="auto"/>
                <w:w w:val="89"/>
              </w:rPr>
              <w:t>Changes in interest rates</w:t>
            </w:r>
          </w:p>
        </w:tc>
        <w:tc>
          <w:tcPr>
            <w:tcW w:w="6640" w:type="dxa"/>
            <w:vAlign w:val="bottom"/>
          </w:tcPr>
          <w:p>
            <w:pPr>
              <w:spacing w:after="0"/>
              <w:rPr>
                <w:sz w:val="14"/>
                <w:szCs w:val="14"/>
                <w:color w:val="auto"/>
              </w:rPr>
            </w:pPr>
          </w:p>
        </w:tc>
        <w:tc>
          <w:tcPr>
            <w:tcW w:w="1240" w:type="dxa"/>
            <w:vAlign w:val="bottom"/>
          </w:tcPr>
          <w:p>
            <w:pPr>
              <w:jc w:val="right"/>
              <w:ind w:right="144"/>
              <w:spacing w:after="0"/>
              <w:rPr>
                <w:sz w:val="20"/>
                <w:szCs w:val="20"/>
                <w:color w:val="auto"/>
              </w:rPr>
            </w:pPr>
            <w:r>
              <w:rPr>
                <w:rFonts w:ascii="Arial" w:cs="Arial" w:eastAsia="Arial" w:hAnsi="Arial"/>
                <w:sz w:val="14"/>
                <w:szCs w:val="14"/>
                <w:color w:val="auto"/>
              </w:rPr>
              <w:t>June 30, 2010</w:t>
            </w:r>
          </w:p>
        </w:tc>
        <w:tc>
          <w:tcPr>
            <w:tcW w:w="560" w:type="dxa"/>
            <w:vAlign w:val="bottom"/>
          </w:tcPr>
          <w:p>
            <w:pPr>
              <w:spacing w:after="0"/>
              <w:rPr>
                <w:sz w:val="14"/>
                <w:szCs w:val="14"/>
                <w:color w:val="auto"/>
              </w:rPr>
            </w:pPr>
          </w:p>
        </w:tc>
        <w:tc>
          <w:tcPr>
            <w:tcW w:w="1560" w:type="dxa"/>
            <w:vAlign w:val="bottom"/>
          </w:tcPr>
          <w:p>
            <w:pPr>
              <w:jc w:val="right"/>
              <w:ind w:right="139"/>
              <w:spacing w:after="0"/>
              <w:rPr>
                <w:sz w:val="20"/>
                <w:szCs w:val="20"/>
                <w:color w:val="auto"/>
              </w:rPr>
            </w:pPr>
            <w:r>
              <w:rPr>
                <w:rFonts w:ascii="Arial" w:cs="Arial" w:eastAsia="Arial" w:hAnsi="Arial"/>
                <w:sz w:val="14"/>
                <w:szCs w:val="14"/>
                <w:color w:val="auto"/>
              </w:rPr>
              <w:t>December 31, 2009</w:t>
            </w:r>
          </w:p>
        </w:tc>
      </w:tr>
      <w:tr>
        <w:trPr>
          <w:trHeight w:val="210"/>
        </w:trPr>
        <w:tc>
          <w:tcPr>
            <w:tcW w:w="2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+200 basis points</w:t>
            </w:r>
          </w:p>
        </w:tc>
        <w:tc>
          <w:tcPr>
            <w:tcW w:w="66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$ 75,060</w:t>
            </w:r>
          </w:p>
        </w:tc>
        <w:tc>
          <w:tcPr>
            <w:tcW w:w="56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33,974</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8"/>
              </w:rPr>
              <w:t>+100 basis points</w:t>
            </w:r>
          </w:p>
        </w:tc>
        <w:tc>
          <w:tcPr>
            <w:tcW w:w="7880" w:type="dxa"/>
            <w:vAlign w:val="bottom"/>
            <w:gridSpan w:val="2"/>
          </w:tcPr>
          <w:p>
            <w:pPr>
              <w:jc w:val="right"/>
              <w:ind w:right="264"/>
              <w:spacing w:after="0"/>
              <w:rPr>
                <w:sz w:val="20"/>
                <w:szCs w:val="20"/>
                <w:color w:val="auto"/>
              </w:rPr>
            </w:pPr>
            <w:r>
              <w:rPr>
                <w:rFonts w:ascii="Arial" w:cs="Arial" w:eastAsia="Arial" w:hAnsi="Arial"/>
                <w:sz w:val="18"/>
                <w:szCs w:val="18"/>
                <w:color w:val="auto"/>
              </w:rPr>
              <w:t>41,494</w:t>
            </w:r>
          </w:p>
        </w:tc>
        <w:tc>
          <w:tcPr>
            <w:tcW w:w="2120" w:type="dxa"/>
            <w:vAlign w:val="bottom"/>
            <w:gridSpan w:val="2"/>
          </w:tcPr>
          <w:p>
            <w:pPr>
              <w:jc w:val="right"/>
              <w:ind w:right="419"/>
              <w:spacing w:after="0"/>
              <w:rPr>
                <w:sz w:val="20"/>
                <w:szCs w:val="20"/>
                <w:color w:val="auto"/>
              </w:rPr>
            </w:pPr>
            <w:r>
              <w:rPr>
                <w:rFonts w:ascii="Arial" w:cs="Arial" w:eastAsia="Arial" w:hAnsi="Arial"/>
                <w:sz w:val="18"/>
                <w:szCs w:val="18"/>
                <w:color w:val="auto"/>
              </w:rPr>
              <w:t>19,989</w:t>
            </w: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78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(38,580)</w:t>
            </w:r>
          </w:p>
        </w:tc>
        <w:tc>
          <w:tcPr>
            <w:tcW w:w="212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(37,775)</w:t>
            </w: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-200 basis points</w:t>
            </w:r>
          </w:p>
        </w:tc>
        <w:tc>
          <w:tcPr>
            <w:tcW w:w="7880" w:type="dxa"/>
            <w:vAlign w:val="bottom"/>
            <w:gridSpan w:val="2"/>
          </w:tcPr>
          <w:p>
            <w:pPr>
              <w:jc w:val="right"/>
              <w:ind w:right="204"/>
              <w:spacing w:after="0"/>
              <w:rPr>
                <w:sz w:val="20"/>
                <w:szCs w:val="20"/>
                <w:color w:val="auto"/>
              </w:rPr>
            </w:pPr>
            <w:r>
              <w:rPr>
                <w:rFonts w:ascii="Arial" w:cs="Arial" w:eastAsia="Arial" w:hAnsi="Arial"/>
                <w:sz w:val="18"/>
                <w:szCs w:val="18"/>
                <w:color w:val="auto"/>
              </w:rPr>
              <w:t>(56,756)</w:t>
            </w:r>
          </w:p>
        </w:tc>
        <w:tc>
          <w:tcPr>
            <w:tcW w:w="2120" w:type="dxa"/>
            <w:vAlign w:val="bottom"/>
            <w:gridSpan w:val="2"/>
          </w:tcPr>
          <w:p>
            <w:pPr>
              <w:jc w:val="right"/>
              <w:ind w:right="359"/>
              <w:spacing w:after="0"/>
              <w:rPr>
                <w:sz w:val="20"/>
                <w:szCs w:val="20"/>
                <w:color w:val="auto"/>
              </w:rPr>
            </w:pPr>
            <w:r>
              <w:rPr>
                <w:rFonts w:ascii="Arial" w:cs="Arial" w:eastAsia="Arial" w:hAnsi="Arial"/>
                <w:sz w:val="18"/>
                <w:szCs w:val="18"/>
                <w:color w:val="auto"/>
              </w:rPr>
              <w:t>(61,729)</w:t>
            </w:r>
          </w:p>
        </w:tc>
      </w:tr>
    </w:tbl>
    <w:p>
      <w:pPr>
        <w:spacing w:after="0" w:line="79"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changes to projected net interest income resulting from rising interest rates from December 31, 2009 to June 30, 2010 were largely due to the projected balance sheet’s funding mix having a higher concentration of core deposits, with less concentration in short-term, floating rate wholesale borrowings. Nevertheless,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73" w:lineRule="exact"/>
        <w:rPr>
          <w:sz w:val="20"/>
          <w:szCs w:val="20"/>
          <w:color w:val="auto"/>
        </w:rPr>
      </w:pPr>
    </w:p>
    <w:p>
      <w:pPr>
        <w:ind w:right="200" w:firstLine="222"/>
        <w:spacing w:after="0" w:line="290"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credit risk associated with counterparties to the Company’s trading activities.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notional amounts of interest rate contracts entered into for trading purposes totaled $12.4 billion at June 30, 2010, compared with $14.9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$13.9 billion at June 30, 2009 and December 31, 2009, respectively. The notional amounts of foreign currency and other option and futures contracts entered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for trading purposes aggregated $680 million, $681 million and $608 million at June 30, 2010, June 30, 2009 and December 31, 2009,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the notional amounts of these trading contracts are not recorded in the consolidated balance sheet, the fair values of all financial instruments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trading activities are recorded in the consolidated balance sheet. The fair values of all trading account assets and liabilities totaled $488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$380 million, respectively, at June 30, 2010, $495 million and $354 million, respectively, at June 30, 2009, and $387 million and $302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2009. Included in trading account assets were assets related to deferred compensation plans totaling $33 million at June 30, 2010,</w:t>
      </w:r>
    </w:p>
    <w:p>
      <w:pPr>
        <w:spacing w:after="0" w:line="21"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$31 million at June 30, 2009 and $36 million at December 31, 2009. Changes in the fair value of such assets are recorded as “trading account and foreign exchange gains” in the consolidated statement of income. Included in “other liabilities” in the consolidated balance sheet at each of June 30, 2010 and June 30, 2009 were $35 million of liabilities related to deferred compensation plans, while at December 31, 2009 $38 million of such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71" w:lineRule="exact"/>
        <w:rPr>
          <w:sz w:val="20"/>
          <w:szCs w:val="20"/>
          <w:color w:val="auto"/>
        </w:rPr>
      </w:pPr>
    </w:p>
    <w:p>
      <w:pPr>
        <w:jc w:val="both"/>
        <w:ind w:right="34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second quarter of 2010 was $85 million, compared with $147 million in the year-earlier quarter and $105 million in the initial quarter of 2010. For the six-month periods ended June 30, 2010 and 2009, the provision for credit losses was $190 million and $305 million, respectively. While the Company has experienced some improvement in its credit quality metrics during the first half of 2010, the levels of the provision since late 2007 have been higher than historical levels, reflecting a pronounced downturn in the U.S. economy, which entered recession in late-2007, and significant deterioration in the residential real estate market that began in early-2007 and continued through the recently completed quarter. Declining real estate valuations and higher levels of delinquencies and charge-offs have significantly affected the quality of the Company’s residential real estate loan portfolio. Specifically, the Company’s Alt-A residential real estate loan portfolio and its residential real estate builder and developer loan portfolio experienced the majority of the credit problems related to the turmoil in the residential real estate market place. As a result of higher unemployment levels and the recessionary economy, the Company also experienced increased levels of consumer and commercial loan charge-offs over the past two years.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90" w:lineRule="auto"/>
        <w:rPr>
          <w:sz w:val="20"/>
          <w:szCs w:val="20"/>
          <w:color w:val="auto"/>
        </w:rPr>
      </w:pPr>
      <w:r>
        <w:rPr>
          <w:rFonts w:ascii="Arial" w:cs="Arial" w:eastAsia="Arial" w:hAnsi="Arial"/>
          <w:sz w:val="16"/>
          <w:szCs w:val="16"/>
          <w:color w:val="auto"/>
        </w:rPr>
        <w:t>Loans acquired in connection with the Provident and Bradford transactions were recorded at fair value with no carry-over of any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generally result in additional interest income to be recognized over the then-remaining lives of the loans.</w:t>
      </w:r>
    </w:p>
    <w:p>
      <w:pPr>
        <w:spacing w:after="0" w:line="58"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Net loan charge-offs were $82 million in the recent quarter, compared with $138 million in the year-earlier quarter and $95 million in the first quarter of 2010. Net charge-offs as an annualized percentage of average loans and leases were .64% in 2010’s second quarter, compared with 1.09% and .74% in the quarters ended June 30, 2009 and March 31, 2010, respectively. Net charge-offs for the six-month period ended June 30 aggregated $176 million in 2010 and $238 million in 2009, representing .69% and .96%, respectively, of average loans and leases. A summary of net charge-offs by loan type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5"/>
              </w:rPr>
              <w:t>1st Qtr.</w:t>
            </w:r>
          </w:p>
        </w:tc>
        <w:tc>
          <w:tcPr>
            <w:tcW w:w="68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2nd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17,994</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9,166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30,226</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35,449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65,675</w:t>
            </w: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15,280</w:t>
            </w:r>
          </w:p>
        </w:tc>
        <w:tc>
          <w:tcPr>
            <w:tcW w:w="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13,182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28,462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31,009</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23,801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94,509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81,598</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7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7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1"/>
              </w:rPr>
              <w:t>1st Qtr.</w:t>
            </w:r>
          </w:p>
        </w:tc>
        <w:tc>
          <w:tcPr>
            <w:tcW w:w="6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2nd Qtr.</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22,301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48,025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70,326</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22,399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49,910</w:t>
            </w: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19,702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31,460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51,162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66,141</w:t>
            </w:r>
          </w:p>
        </w:tc>
      </w:tr>
      <w:tr>
        <w:trPr>
          <w:trHeight w:val="223"/>
        </w:trPr>
        <w:tc>
          <w:tcPr>
            <w:tcW w:w="78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99,933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137,606</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237,539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Net charge-offs of commercial loans and leases in the second quarter of 2010 declined from the year-earlier quarter as a result of a $33 million partial charge-off of an unsecured loan to a single customer in the commercial real estate sector that was recognized in 2009’s second quarter. Included in net charge-offs of commercial real estate loans were net charge-offs of loans to residential homebuilders and developers of $17 million for each of the quarters ended June 30, 2010 and June 30, 2009, and $22 million for the quarter ended March 31, 2010. Included in net charge-offs of residential real estate loans were net charge-offs of Alt-A first mortgage loans of $9 million in the second quarter of 2010, compared with $14 million and $8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quarters ended June 30, 2009 and March 31, 2010, respectively. Also reflected in residential real estate loan charge-offs were charge-offs of construction loans of $1 million in each of the first two quarters of 2010, compared with $12 million in the second quarter of 2009. The higher charge-offs in 2009’s second quarter reflected updated property appraisals and the delinquency status of the loans. Included in net charge-offs of consumer loans and leases were net charge-offs during the quarters ended June 30, 2010, June 30, 2009 and March 31, 2010, respectively, of: indirect automobile loans of $7 million, $14 million and $10 million; recreational vehicle loans of $6 million, $6 million and $7 million; and home equity loans and lines of credit, including Alt-A second lien loans, of $8 million, $9 million and $9 million. Including both first and second lien mortgages, net charge-offs of Alt-A loans totaled $10 million, $16 million and $9 million for the quarters ended June 30, 2010, June 30, 2009 and March 31, 2010, respectively.</w:t>
      </w:r>
    </w:p>
    <w:p>
      <w:pPr>
        <w:spacing w:after="0" w:line="70"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Nonaccrual loans totaled $1.09 billion or 2.13% of total loans and leases outstanding at June 30, 2010, compared with $1.11 billion or 2.11% at June 30, 2009, $1.33 billion or 2.56% at December 31, 2009, and $1.34 billion or 2.60% at March 31, 2010. The continuing turbulence in the residential real estate market place has resulted in deteriorating real estate values and increased delinquencies, both for loans to consumers and loans to builders and developers of residential real estate. The depressed state of the U.S. economy has resulted in generally higher levels of nonaccrual loans. The decline in nonaccrual loans from December 31, 2009 and March 31, 2010 to June 30, 2010 was largely due to recent quarter payments made by a borrower that operates retirement communities and a borrower that is a consumer finance and credit insurance company, and the transfer to real estate and other foreclosed assets during the recent quarter of $98 million of collateral related to a commercial real estate loan that was placed in nonaccrual status during the fourth quarter of 2009.</w:t>
      </w:r>
    </w:p>
    <w:p>
      <w:pPr>
        <w:spacing w:after="0" w:line="59" w:lineRule="exact"/>
        <w:rPr>
          <w:sz w:val="20"/>
          <w:szCs w:val="20"/>
          <w:color w:val="auto"/>
        </w:rPr>
      </w:pPr>
    </w:p>
    <w:p>
      <w:pPr>
        <w:ind w:firstLine="215"/>
        <w:spacing w:after="0" w:line="288" w:lineRule="auto"/>
        <w:rPr>
          <w:sz w:val="20"/>
          <w:szCs w:val="20"/>
          <w:color w:val="auto"/>
        </w:rPr>
      </w:pPr>
      <w:r>
        <w:rPr>
          <w:rFonts w:ascii="Arial" w:cs="Arial" w:eastAsia="Arial" w:hAnsi="Arial"/>
          <w:sz w:val="16"/>
          <w:szCs w:val="16"/>
          <w:color w:val="auto"/>
        </w:rPr>
        <w:t>Accruing loans past due 90 days or more were $203 million or .40% of total loans and leases at each of June 30, 2010 and March 31, 2010, compared with $155 million or .29% at June 30, 2009, and $208 million or .40% at December 31, 2009. Those loans included $188 million, $144 million, $193 million and $195 million at June 30, 2010, June 30, 2009, December 31, 2009 and March 31, 2010, respectively, of loans guaranteed by government-related entities.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$171 million, $138 million, $176 million and $179 million at June 30, 2010, June 30, 2009, December 31, 2009 and March 31, 2010, respectively. Loans past due 90 days or more and accruing interest that were guaranteed by government-related entities also included foreign commercial and industrial loans supported by the Export-Import Bank of the United States that totaled $12 million at June 30, 2010, compared with $3 million at June 30, 2009, $13 million at December 31, 2009 and $11 million at March 31, 2010.</w:t>
      </w:r>
    </w:p>
    <w:p>
      <w:pPr>
        <w:spacing w:after="0" w:line="61"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Loans obtained in the 2009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$62 million at June 30, 2010, or approximately .1% of total loans.</w:t>
      </w:r>
    </w:p>
    <w:p>
      <w:pPr>
        <w:spacing w:after="0" w:line="39"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In an effort to assist borrowers, the Company has modified the terms of select loans secured by residential real estate, largely from the Company’s portfolio of Alt-A loans. Included in loans outstanding, at June 30, 2010 were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$307 million of modified loans, of which $118 million were classified as nonaccrual. The remaining modified loans have demonstrated payment capability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modified terms and, accordingly, were classified as renegotiated loans and were accruing interest at June 30, 2010. Loan modifications</w:t>
      </w:r>
    </w:p>
    <w:p>
      <w:pPr>
        <w:spacing w:after="0" w:line="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$259 million as of June 30, 2009, of which $107 million were in nonaccrual status, and $292 million as of December 31, 2009, of which $108 million were in nonaccrual status.</w:t>
      </w:r>
    </w:p>
    <w:p>
      <w:pPr>
        <w:spacing w:after="0" w:line="8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Commercial loans and leases classified as nonaccrual totaled $248 million at June 30, 2010, $294 million at June 30, 2009, $322 million at December 31, 2009 and $325 million at March 31, 2010. The decline in such loans during the recent quarter reflects payments related to a single borrower that operates retirement communities and the payoff of a $37 million loan to a consumer financial credit insurance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Nonaccrual commercial real estate loans totaled $471 million at June 30, 2010, $448 million at June 30, 2009, $638 million at December 31, 2009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$641 million at March 31, 2010. The decrease in such loans at June 30, 2010 as compared with December 31, 2009 and March 31, 2010 reflects the removal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this category of a loan collateralized by real estate in New York City that initially was placed on nonaccrual status in the fourth quarter of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a $7 million charge-off, the remaining $98 million of the loan’s carrying value was transferred to “Real Estate and Other Foreclosed Assets”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 quarter. Also contributing to the lower level of nonperforming commercial real estate loans at June 30, 2010 as compared with the two prior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ends were decreases in such loans to residential homebuilders and developers, reflecting payments received of $44 million and charge-offs of $17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location of nonaccrual and charged-off loans to residential real estate builders and developers as of and for the three-month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2010 is presented in the accompanying 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4"/>
          </w:tcPr>
          <w:p>
            <w:pPr>
              <w:ind w:left="260"/>
              <w:spacing w:after="0"/>
              <w:rPr>
                <w:sz w:val="20"/>
                <w:szCs w:val="20"/>
                <w:color w:val="auto"/>
              </w:rPr>
            </w:pPr>
            <w:r>
              <w:rPr>
                <w:rFonts w:ascii="Arial" w:cs="Arial" w:eastAsia="Arial" w:hAnsi="Arial"/>
                <w:sz w:val="14"/>
                <w:szCs w:val="14"/>
                <w:color w:val="auto"/>
              </w:rPr>
              <w:t>June 30, 2010</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June 30, 2010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3"/>
          </w:tcPr>
          <w:p>
            <w:pPr>
              <w:jc w:val="center"/>
              <w:ind w:right="59"/>
              <w:spacing w:after="0" w:line="123"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160"/>
              <w:spacing w:after="0"/>
              <w:rPr>
                <w:sz w:val="20"/>
                <w:szCs w:val="20"/>
                <w:color w:val="auto"/>
              </w:rPr>
            </w:pPr>
            <w:r>
              <w:rPr>
                <w:rFonts w:ascii="Arial" w:cs="Arial" w:eastAsia="Arial" w:hAnsi="Arial"/>
                <w:sz w:val="14"/>
                <w:szCs w:val="14"/>
                <w:color w:val="auto"/>
              </w:rPr>
              <w:t>Nonaccrual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Outstanding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balances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1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31,897</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230,892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8,977</w:t>
            </w:r>
          </w:p>
        </w:tc>
        <w:tc>
          <w:tcPr>
            <w:tcW w:w="140" w:type="dxa"/>
            <w:vAlign w:val="bottom"/>
          </w:tcPr>
          <w:p>
            <w:pPr>
              <w:spacing w:after="0"/>
              <w:rPr>
                <w:sz w:val="18"/>
                <w:szCs w:val="18"/>
                <w:color w:val="auto"/>
              </w:rPr>
            </w:pP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(3,588)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748,427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185,061</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13,953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228,207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49,823</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21.83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4,449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1,530,969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275,758</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16,508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Residential real estate loans classified as nonaccrual were $285 million at June 30, 2010, $283 million at June 30, 2009, $281 million at December 31, 2009 and $282 million at March 31, 2009. Declining property values and higher levels of delinquencies have contributed to higher-than-historical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levels of residential real estate loans classified as nonaccrual and to the level of charge-offs, largely in the Company’s Alt-A loans. Included in residential real estate loans classified as nonaccrual were Alt-A loans, which totaled $112 million, $124 million, $112 million and $114 million at June 30, 2010, June 30, 2009, December 31, 2009 and March 31, 2010, respectively. Residential real estate loans past due 90 days or more and accruing interest totaled $172 million at June 30, 2010, compared with $138 million a year earlier, and $178 million and $181 million at December 31, 2009 and March 31, 2010, respectively. A substantial portion of such amounts related to guaranteed loans repurchased from government-related entities. Information about the location of nonaccrual and charged-off residential real estate loans as of and for the quarter ended June 30, 2010 is presented in the accompanying table.</w:t>
      </w:r>
    </w:p>
    <w:p>
      <w:pPr>
        <w:spacing w:after="0" w:line="5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Nonaccrual consumer loans totaled $86 million at each of June 30, 2010 and 2009, compared with $91 million at December 31, 2009 and $92 million at March 31, 2010. As a percentage of consumer loan balances outstanding, nonaccrual consumer loans were .73% at June 30, 2010, compared with .71% a year earlier, .75% at December 31, 2009 and .78% at March 31, 2010. Included in nonaccrual consumer loans at June 30, 2010, June 30, 2009, December 31, 2009 and March 31, 2010 were indirect automobile loans of $30 million, $28 million, $39 million and $35 million, respectively; recreational vehicle loans of</w:t>
      </w:r>
    </w:p>
    <w:p>
      <w:pPr>
        <w:spacing w:after="0" w:line="2" w:lineRule="exact"/>
        <w:rPr>
          <w:sz w:val="20"/>
          <w:szCs w:val="20"/>
          <w:color w:val="auto"/>
        </w:rPr>
      </w:pPr>
    </w:p>
    <w:p>
      <w:pPr>
        <w:ind w:right="620"/>
        <w:spacing w:after="0" w:line="281" w:lineRule="auto"/>
        <w:rPr>
          <w:sz w:val="20"/>
          <w:szCs w:val="20"/>
          <w:color w:val="auto"/>
        </w:rPr>
      </w:pPr>
      <w:r>
        <w:rPr>
          <w:rFonts w:ascii="Arial" w:cs="Arial" w:eastAsia="Arial" w:hAnsi="Arial"/>
          <w:sz w:val="16"/>
          <w:szCs w:val="16"/>
          <w:color w:val="auto"/>
        </w:rPr>
        <w:t>$13 million, $14 million, $15 million and $16 million, respectively; and outstanding balances of home equity loans and lines of credit of $38 million, $38 million, $33 million and $37 million, respectively. Consumer loans delinquent 30-89 days at June 30, 2010 totaled $114 million, compared with</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$133 million a year earlier, $141 million at December 31, 2009 and $108 million at March 31, 2010. Consumer loans past due 90 days or more and accruing interest totaled $4 million at each of June 30, 2010 and December 31, 2009 and $3 million at each of June 30, 2009 and March 31, 2010. Information about the location of nonaccrual and charged-off home equity loans and lines of credit as of and for the quarter ended June 30, 2010 is presented in the accompanying table.</w:t>
      </w:r>
    </w:p>
    <w:p>
      <w:pPr>
        <w:spacing w:after="0" w:line="82"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Real estate and other foreclosed assets were $193 million at June 30, 2010, compared with $90 million at June 30, 2009 and $95 million at each of December 31, 2009 and March 31, 2010. The increase in the recent quarter reflects the $98 million addition of the previously noted commercial real estate property located in New York City. Excluding that property, at June 30, 2010 the Company’s holding of residential real estate-related properties comprised 95% of the remaining foreclosed assets.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42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4"/>
          </w:tcPr>
          <w:p>
            <w:pPr>
              <w:ind w:left="200"/>
              <w:spacing w:after="0"/>
              <w:rPr>
                <w:sz w:val="20"/>
                <w:szCs w:val="20"/>
                <w:color w:val="auto"/>
              </w:rPr>
            </w:pPr>
            <w:r>
              <w:rPr>
                <w:rFonts w:ascii="Arial" w:cs="Arial" w:eastAsia="Arial" w:hAnsi="Arial"/>
                <w:sz w:val="14"/>
                <w:szCs w:val="14"/>
                <w:color w:val="auto"/>
              </w:rPr>
              <w:t>June 30, 2010</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400"/>
              <w:spacing w:after="0"/>
              <w:rPr>
                <w:sz w:val="20"/>
                <w:szCs w:val="20"/>
                <w:color w:val="auto"/>
              </w:rPr>
            </w:pPr>
            <w:r>
              <w:rPr>
                <w:rFonts w:ascii="Arial" w:cs="Arial" w:eastAsia="Arial" w:hAnsi="Arial"/>
                <w:sz w:val="14"/>
                <w:szCs w:val="14"/>
                <w:color w:val="auto"/>
                <w:w w:val="90"/>
              </w:rPr>
              <w:t>June 30, 2010</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3"/>
          </w:tcPr>
          <w:p>
            <w:pPr>
              <w:jc w:val="center"/>
              <w:ind w:right="92"/>
              <w:spacing w:after="0" w:line="123" w:lineRule="exact"/>
              <w:rPr>
                <w:sz w:val="20"/>
                <w:szCs w:val="20"/>
                <w:color w:val="auto"/>
              </w:rPr>
            </w:pPr>
            <w:r>
              <w:rPr>
                <w:rFonts w:ascii="Arial" w:cs="Arial" w:eastAsia="Arial" w:hAnsi="Arial"/>
                <w:sz w:val="14"/>
                <w:szCs w:val="14"/>
                <w:color w:val="auto"/>
                <w:w w:val="91"/>
              </w:rPr>
              <w:t>Net charge-offs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1420"/>
              <w:spacing w:after="0"/>
              <w:rPr>
                <w:sz w:val="20"/>
                <w:szCs w:val="20"/>
                <w:color w:val="auto"/>
              </w:rPr>
            </w:pPr>
            <w:r>
              <w:rPr>
                <w:rFonts w:ascii="Arial" w:cs="Arial" w:eastAsia="Arial" w:hAnsi="Arial"/>
                <w:sz w:val="14"/>
                <w:szCs w:val="14"/>
                <w:color w:val="auto"/>
              </w:rPr>
              <w:t>Nonaccrual</w:t>
            </w:r>
          </w:p>
        </w:tc>
        <w:tc>
          <w:tcPr>
            <w:tcW w:w="180" w:type="dxa"/>
            <w:vAlign w:val="bottom"/>
          </w:tcPr>
          <w:p>
            <w:pPr>
              <w:spacing w:after="0"/>
              <w:rPr>
                <w:sz w:val="14"/>
                <w:szCs w:val="14"/>
                <w:color w:val="auto"/>
              </w:rPr>
            </w:pPr>
          </w:p>
        </w:tc>
        <w:tc>
          <w:tcPr>
            <w:tcW w:w="2040" w:type="dxa"/>
            <w:vAlign w:val="bottom"/>
            <w:gridSpan w:val="4"/>
          </w:tcPr>
          <w:p>
            <w:pPr>
              <w:jc w:val="center"/>
              <w:ind w:right="40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Percent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w w:val="97"/>
              </w:rPr>
              <w:t>Outstanding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outstanding</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96"/>
              </w:rPr>
              <w:t>balances</w:t>
            </w:r>
          </w:p>
        </w:tc>
        <w:tc>
          <w:tcPr>
            <w:tcW w:w="3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(dollars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7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2,106,164</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45,162</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2.14%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707,067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13,842</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1,047,976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42,955</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2,112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1,113,964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4,975,171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162,688</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3,569</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9,124</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9.14%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3,769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2,215</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58.77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43,167</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61,494</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11,040</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17.95%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786</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100,337</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14,506</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14.46%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27,878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126,564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18,054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14.26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1,257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692,461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111,638</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16.12%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8,827</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3,042</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137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5,055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27,083</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772</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40,158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227,348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169,090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2,389</w:t>
            </w:r>
          </w:p>
        </w:tc>
        <w:tc>
          <w:tcPr>
            <w:tcW w:w="160" w:type="dxa"/>
            <w:vAlign w:val="bottom"/>
          </w:tcPr>
          <w:p>
            <w:pPr>
              <w:spacing w:after="0"/>
              <w:rPr>
                <w:sz w:val="18"/>
                <w:szCs w:val="18"/>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438,614</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4,685</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734,731</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8"/>
                <w:szCs w:val="18"/>
                <w:color w:val="auto"/>
              </w:rPr>
            </w:pP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128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500,220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502,377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1,751,481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4,256</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101,785</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1,377</w:t>
            </w:r>
          </w:p>
        </w:tc>
        <w:tc>
          <w:tcPr>
            <w:tcW w:w="160" w:type="dxa"/>
            <w:vAlign w:val="bottom"/>
          </w:tcPr>
          <w:p>
            <w:pPr>
              <w:spacing w:after="0"/>
              <w:rPr>
                <w:sz w:val="18"/>
                <w:szCs w:val="18"/>
                <w:color w:val="auto"/>
              </w:rPr>
            </w:pP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1.35%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284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108,662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176,605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18"/>
                <w:szCs w:val="18"/>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424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404,919</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5,015</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1,822,792</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10,895</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0.60%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3,444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618,458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1,572,485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6,768</w:t>
            </w:r>
          </w:p>
        </w:tc>
        <w:tc>
          <w:tcPr>
            <w:tcW w:w="160" w:type="dxa"/>
            <w:vAlign w:val="bottom"/>
          </w:tcPr>
          <w:p>
            <w:pPr>
              <w:spacing w:after="0"/>
              <w:rPr>
                <w:sz w:val="18"/>
                <w:szCs w:val="18"/>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2,170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78,951</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4,092,686</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21,617</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0.53%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6,384</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- 69 -</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660"/>
              <w:spacing w:after="0"/>
              <w:rPr>
                <w:sz w:val="20"/>
                <w:szCs w:val="20"/>
                <w:color w:val="auto"/>
              </w:rPr>
            </w:pPr>
            <w:r>
              <w:rPr>
                <w:rFonts w:ascii="Arial" w:cs="Arial" w:eastAsia="Arial" w:hAnsi="Arial"/>
                <w:sz w:val="14"/>
                <w:szCs w:val="14"/>
                <w:color w:val="auto"/>
                <w:w w:val="89"/>
              </w:rPr>
              <w:t>2010 Quarters</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color w:val="auto"/>
              </w:rPr>
              <w:t>2009 Quarters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First</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Fourth</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Third</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Second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1,090,135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1,339,992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1,331,702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1,228,341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192,631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95,362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94,604</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84,676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1,282,766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1,435,354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1,426,306</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1,313,017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1,201,884</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203,081</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203,443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208,080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182,750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155,125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228,847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220,885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212,548</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190,917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170,950</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w w:val="95"/>
              </w:rPr>
              <w:t>Government guaranteed loans included in totals above: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40,271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37,048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38,579</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187,682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194,523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193,495</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172,701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 loans(b):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Outstanding customer balance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130,808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148,686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172,772</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209,138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Carrying amount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61,524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73,890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88,170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108,058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2.13%</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2.60%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2.35%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and other foreclosed assets</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2.78%</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and leases, net of 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4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Predominately residential mortgage loans.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Accruing loans that were impaired at acquisition date and recorded at fair value.</w:t>
      </w:r>
    </w:p>
    <w:p>
      <w:pPr>
        <w:spacing w:after="0" w:line="117"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concentration of commercial real estate loans in the Company’s loan portfolio, particularly the large concentration of loans secured by properties</w:t>
      </w:r>
    </w:p>
    <w:p>
      <w:pPr>
        <w:spacing w:after="0" w:line="193" w:lineRule="exact"/>
        <w:rPr>
          <w:rFonts w:ascii="Arial" w:cs="Arial" w:eastAsia="Arial" w:hAnsi="Arial"/>
          <w:sz w:val="16"/>
          <w:szCs w:val="16"/>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0"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2010 in light of (i) lower residential real estate values and higher levels of delinquencies of residential real estate loans; (ii) the recession-like weak economic conditions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which has caused consumer spending to slow; the underlying impact on businesses’ operations and abilities to repay loans as consumer spending slowed;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as compared with other areas of the country, the impact of those conditions was not as pronounced on borrowers in the traditionally slower growth or stagnant regions of upstate New York and central Pennsylvania. Approximately one-half of the Company’s loans are to customers in New York State and Pennsylvania. Home prices in upstate New York and central Pennsylvania were largely unchanged in 2009, in contrast to declines in values in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the Company has conducted detailed reviews of all loans to residential real estate builders and developers that exceeded $2.5 million. Those credit reviews often resulted in commencement of intensified collection efforts, including instances of foreclosure. During 2009, the Company experienced increases in nonaccrual commercial loans, largely the result of a small number of large relationships, and in nonaccrual commercial real estate loans, largely due to builders and developers of residential real estate loans and one large loan in New York City. The Company utilizes an extensive loan grading system which is applied to all commercial and commercial real estate loans. On a quarterly basis, the Company’s loan review department reviews all commercial and commercial real estate loans greater than $350,000 that are classified as Special Mention or worse. Meetings are held with loan officers and their 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factors such as the relative size of the loan, the characteristics of the collateral or the age of the last valuation. In those latter cases, when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65"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but also residential and commercial real estate valuations, in particular, given the size of the real estate loan portfolios. Reflecting the factors and conditions as described herein, the Company has experienced historically high levels of nonaccrual loans and net charge-offs of real estate-related loans, particularly in the Company’s portfolios of residential real estate loans, including first and second lien Alt-A mortgage loans, and loans to builders and developers of residential real estate. The Company has also experienced increases in nonaccrual commercial real estate loans.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4"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Management believes that the allowance for credit losses at June 30, 2010 was adequate to absorb credit losses inherent in the portfolio as of that date. The allowance for credit losses was $895 million, or 1.75% of total loans and leases at June 30, 2010, compared with $855 million or 1.62% a year earlier,</w:t>
      </w:r>
    </w:p>
    <w:p>
      <w:pPr>
        <w:ind w:right="80"/>
        <w:spacing w:after="0" w:line="268" w:lineRule="auto"/>
        <w:rPr>
          <w:sz w:val="20"/>
          <w:szCs w:val="20"/>
          <w:color w:val="auto"/>
        </w:rPr>
      </w:pPr>
      <w:r>
        <w:rPr>
          <w:rFonts w:ascii="Arial" w:cs="Arial" w:eastAsia="Arial" w:hAnsi="Arial"/>
          <w:sz w:val="17"/>
          <w:szCs w:val="17"/>
          <w:color w:val="auto"/>
        </w:rPr>
        <w:t>$878 million or 1.69% at December 31, 2009 and $891 million or 1.73% at March 31, 2010. The ratio of the allowance to total loans at each of those dates reflects the impact of loans obtained in the acquisition of Provident and, except for June 30, 2009, loans obtained in the Bradford transaction that have been recorded at estimated fair value based on estimated future cash flows expected to be received on those loans. Those cash flows reflect the impact of expected defaults on customer repayment performances. As a result, and as required by GAAP, there was no carry-over of the allowance previously recorded by Provident and Bradford. Accordingly, although general in nature, the allowance for credit losses is predominantly intended to provide for losses inherent in the Company’s legacy loans (that is, total loans excluding loans acquired in the Provident and Bradford transactions). The allowance for credit losses applicable to legacy loans expressed as a percentage of such loans was 1.86% at each of June 30 and March 31, 2010, compared with 1.76% and 1.83% at June 30, 2009 and December 31, 2009, respectively. The level of the allowance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82% at June 30, 2010, compared with 77% a year earlier, 66% at December 31, 2009 and 67% at March 31, 2010.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Other income totaled $274 million in the second quarter of 2010, little changed from $272 million in the year-earlier quarter, but 6% higher than $258 million in the first quarter of 2010. Reflected in such income were net losses on investment securities (including other-than-temporary impairment losses) of</w:t>
      </w:r>
    </w:p>
    <w:p>
      <w:pPr>
        <w:spacing w:after="0" w:line="286" w:lineRule="auto"/>
        <w:rPr>
          <w:sz w:val="20"/>
          <w:szCs w:val="20"/>
          <w:color w:val="auto"/>
        </w:rPr>
      </w:pPr>
      <w:r>
        <w:rPr>
          <w:rFonts w:ascii="Arial" w:cs="Arial" w:eastAsia="Arial" w:hAnsi="Arial"/>
          <w:sz w:val="16"/>
          <w:szCs w:val="16"/>
          <w:color w:val="auto"/>
        </w:rPr>
        <w:t>$22 million in the recent quarter, $24 million in 2009’s second quarter and $26 million in the initial quarter of 2010. Other-than-temporary impairment charges of $22 million were recognized in the recent quarter related to a $12 million write-down of AIB ADSs, which were obtained in M&amp;T’s acquisition of Allfirst in 2003, and $10 million of charges related to certain of the Company’s privately issued residential mortgage-backed CMOs and CDOs backed by pooled trust preferred securities. In the second quarter of 2009 and in the first quarter of 2010, other-than-temporary impairment losses of $25 million and $27 million, respectively, were recorded on certain of the Company’s privately issued CMO holdings. Excluding gains and losses on bank investment securities (including other-than-temporary impairment losses), other income aggregated $296 million in each of the second quarters of 2010 and 2009, compared with $284 million in the first quarter of 2010. As compared with 2009’s second quarter, higher service charges on deposit accounts during the recent quarter, largely due to the impact of the 2009 acquisitions, were offset by declines in mortgage banking revenues and trading account and foreign exchange gains and higher losses from M&amp;T’s pro-rata share of the operating results of Bayview Lending Group, LLC (“BLG”). As compared with the initial quarter of 2010, higher mortgage banking revenues and service charges on deposit accounts contributed to the improvement in the recent quarter.</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Mortgage banking revenues were $47 million in the recently completed quarter, down 11% from $53 million in the year-earlier quarter, but up 14% from $41 million in the first quarter of 2010.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9"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$36 million in the second quarter of 2010, compared with $42 million in the corresponding 2009 period and $29 million in the initial 2010 quarter. The decline in residential mortgage banking revenues in the recent quarter as compared with the second quarter of 2009 was largely attributable to a 26% decline in origination volumes that was partially offset by wider margins associated with that activity. The increase in residential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mortgage banking revenues in the recent quarter as compared with the first quarter of 2010 reflects a 12% increase in origination volumes and the realization of wider margins.</w:t>
      </w:r>
    </w:p>
    <w:p>
      <w:pPr>
        <w:spacing w:after="0" w:line="6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New commitments to originate residential mortgage loans to be sold were approximately $1.1 billion in the recent quarter, compared with $1.5 billion and $1.0 billion in the second quarter of 2009 and the initial 2010 quarter, respectively. Similarly, closed residential mortgage loans originated for sale to other investors were approximately $1.0 billion in the two most recent quarters, compared with $1.8 billion during the three-month period ended June 30, 2009. Realized gains from sales of residential mortgage loans and loan servicing rights and recognized net unrealized gains and losses attributable to residential mortgage loans held for sale, commitments to originate loans for sale and commitments to sell loans totaled to a gain of $15 million in the recently completed quarter, compared with gains of $20 million in the second quarter of 2009 and $8 million in the initial 2010 quarter.</w:t>
      </w:r>
    </w:p>
    <w:p>
      <w:pPr>
        <w:spacing w:after="0" w:line="70"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 real estate loans that the Company could have been required to repurchase, 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That variability has not had a material impact on the Company’s results of operations and management believes that any liability arising out of the Company’s obligation to loan purchasers as of June 30, 2010 is not material to the Company’s consolidated financial position. Nevertheless, in recent quarters the Company has received increased requests from loan purchasers for reimbursement. The Company has considered those requests in assessing the estimated impact on the Company’s consolidated financial statements.</w:t>
      </w:r>
    </w:p>
    <w:p>
      <w:pPr>
        <w:spacing w:after="0" w:line="70"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Revenues from servicing residential mortgage loans for others were $20 million in each of the three-month periods ended June 30, 2010 and March 31, 2010, and $21 million in the quarter ended June 30, 2009. Included in servicing revenues were amounts related to purchased servicing rights associated with small balance commercial mortgage loans which totaled $7 million in the two most recent quarters, compared with $8 million in the second quarter of 2009.</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Residential mortgage loans serviced for others totaled $21.4 billion at June 30, 2010, compared with $21.2 billion at June 30, 2009, $21.7 billion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2010 and $21.4 billion at December 31, 2009, including the small balance commercial mortgage loans noted above of approximately $5.6 billion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2010, $5.8 billion at each of June 30, 2009 and March 31, 2010, and $5.5 billion at December 31, 2009. Capitalized residential mortgage servicing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net of a valuation allowance for impairment, were $124 million at June 30, 2010, compared with $148 million a year earlier, $133 million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and $141 million at December 31, 2009. The valuation allowance for possible impairment of residential mortgage servicing assets totaled $2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million and $50 thousand at June 30, 2010, June 30, 2009 and December 31, 2009, respectively. There was no valuation allowance at March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capitalized residential mortgage servicing assets were $33 million at June 30, 2010, $49 million at June 30, 2009, $36 million at March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$40 million at December 31, 2009 of purchased servicing rights associated with the small balance commercial mortgage loans noted above. Servicing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for the small balance commercial mortgage loans were purchased from BLG or its affiliates. In addition, at June 30, 2010, capitalized servicing rights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$13 million for servicing rights for $3.9 billion of residential real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estate loans that were purchased from affiliates of BLG. Additional information about the Company’s relationship with BLG and its affiliates is provided in note 15 of Notes to Financial Statements.</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Loans held for sale that are secured by residential real estate aggregated $450 million at June 30, 2010, $720 million at June 30, 2009 and $530 million at December 31, 2009. Commitments to sell loans and commitments to originate loans for sale at pre-determined rates were $833 million and $684 million, respectively, at June 30, 2010, $1.3 billion and $910 million, respectively, at June 30, 2009, and $936 million and $631 million, respectively, at December 31, 2009. Net unrealized gains on residential mortgage loans held for sale, commitments to sell loans, and commitments to originate loans for sale were</w:t>
      </w:r>
    </w:p>
    <w:p>
      <w:pPr>
        <w:spacing w:after="0" w:line="2"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$19 million and $21 million at June 30, 2010 and 2009, respectively, and $15 million at December 31, 2009. Changes in such net unrealized gains are recorded in mortgage banking revenues and resulted in net increases in revenues of $5 million in the recent quarter and net decreases in revenues of $1 million in each of the second quarter of 2009 and the first quarter of 2010.</w:t>
      </w:r>
    </w:p>
    <w:p>
      <w:pPr>
        <w:spacing w:after="0" w:line="82"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Commercial mortgage banking revenues were $11 million in each of the second quarters of 2010 and 2009, and $12 million in the first quarter of 2010. Included in such amounts were revenues from loan origination and sales activities of $7 million in the recent quarter, compared with $8 million in each of the second quarter of 2009 and the initial 2010 quarter. Commercial mortgage loan servicing revenues were $4 million in each of the first and second quarters of 2010 and $3 million in the second quarter of 2009. Capitalized commercial mortgage servicing assets totaled $37 million and $28 million at June 30, 2010 and 2009, respectively, and $33 million at December 31, 2009. Commercial mortgage loans serviced for other investors totaled $7.6 billion, $6.9 billion and $7.1 billion at June 30, 2010, June 30, 2009 and December 31, 2009, respectively, and included $1.5 billion, $1.2 billion and $1.3 billion, respectively, of loan balances for which investors had recourse to the Company if such balances are ultimately uncollectible. Commitments to sell commercial mortgage loans and commitments to originate commercial mortgage loans for sale were $146 million and $121 million, respectively, at June 30, 2010, $156 million and</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$75 million, respectively, at June 30, 2009 and $303 million and $180 million, respectively, at December 31, 2009. Commercial mortgage loans held for sale at June 30, 2010 and 2009 were $25 million and $81 million, respectively, and $123 million at December 31, 2009.</w:t>
      </w:r>
    </w:p>
    <w:p>
      <w:pPr>
        <w:spacing w:after="0" w:line="76"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Service charges on deposit accounts aggregated $129 million in the second quarter of 2010, compared with $112 million in the corresponding 2009 quarter and $120 million in the first quarter of 2010. Contributing to the rise in such fees from the second quarter of 2009 were service charges on deposit accounts obtained in the 2009 acquisition transactions and higher debit card fees resulting from increased transaction volumes. The increase from the immediately preceding quarter related to consumer deposit service charges and reflects traditional first quarter seasonal declines in customer transaction volumes. The Federal Reserve and other bank regulators have adopted regulations requiring expanded disclosure of overdraft and other fees assessed to consumers and have issued guidance that allows consumers to elect to not be subject to fees for certain deposit account transactions which began July 1, 2010 for new customers and begins August 15, 2010 for pre-existing customers. The Company has engaged in an outreach program to customers, particularly those who are frequent users of overdraft services, to ensure they understand such services and to allow them the opportunity to continue to receive those services. Nevertheless, at the present time, although the Company cannot predict the extent to which customers will elect to not avail themselves of the respective deposit account services, it is reasonable to expect that certain customers will decline such services and that service charges on deposit accounts could decline in the third quarter of 2010. Based on current estimates, that decline could be ten to fifteen percent as compared with the recent quarter’s service charge revenue.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Trust income totaled $30 million in the second quarter of 2010, compared with $32 million and $31 million in the similar 2009 quarter and the first quarter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2010, respectively. The Company has experienced lower levels of trust income over the last two years, reflecting lower balances in proprietary mutual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and fee waivers by the Company in order to continue to pay customers a yield on their investments in proprietary money-market mutual funds.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waived fees totaled approximately $4 million, $2 million and $5 million during the three-month periods ended June 30, 2010, June 30, 2009 and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respectively. Brokerage services income, which includes revenues from the sale of mutual funds and annuities and securities brokerage fees, totaled $13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each of the second quarters of 2010 and 2009 and in the first quarter of 2010. Trading account and foreign exchange activity resulted in gains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million and $8 million during the second quarters of 2010 and 2009, respectively, and $5 million in the initial 2010 quarter. The lower revenues in the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quarters as compared with the second quarter of 2009 were largely attributable to net decreases in the market values of trading account assets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deferred compensation arrangements.</w:t>
      </w:r>
    </w:p>
    <w:p>
      <w:pPr>
        <w:spacing w:after="0" w:line="10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Including other-than-temporary impairment losses, during the second quarter of 2010 the Company recognized losses on investment securities of</w:t>
      </w:r>
    </w:p>
    <w:p>
      <w:pPr>
        <w:spacing w:after="0" w:line="4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$22 million, compared with losses of $24 million in the year-earlier quarter and losses of $26 million in the first quarter of 2010. Other-than-temporary impairment charges of $22 million, $25 million and $27 million were recorded in the quarters ended June 30, 2010, June 30, 2009 and March 31, 2010, respectively. Each reporting period, the Company reviews its investment securities for other-than-temporary impairment. For equity securities, such as the Company’s holding of AIB ADSs,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74"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M&amp;T’s share of the operating results of BLG in each of the two most recent quarters was a loss of $6 million, compared with a loss of $207 thousand in the second quarter of 2009. The operating losses of BLG in the respective quarters reflect the disruptions in the privately issued mortgage-backed securities market and higher provisions for losses associated with securitized loans and other loans held by BLG,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contingent liquidity sources.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In assessing M&amp;T’s investment in BLG for other-than-temporary impairment at June 30, 2010, with respect to BLG’s commercial mortgage origination and securitization activities, the Company conservatively projected no further securitization activities. With respect to mortgage assets held by BLG and its affiliates, M&amp;T estimated future cash flow from those assets using various assumptions for future defaults and loss severities to arrive at an expected amount of cash flow that BLG would be required to distribute to M&amp;T. As of June 30, 2010, the weighted-average assumption of projected default percentage on the underlying mortgage loan collateral supporting those mortgage assets was 32% and the weighted-average loss severity assumption was 60%. Lastly, M&amp;T considered different scenarios of projected cash flows that could be generated by the asset management and servicing operations of BLG’s affiliates. BLG is contractually entitled to participate in any distributions from those affiliates. Such estimates were derived from company-provided forecasts of financial results and through discussions with their senior management with respect to longer-term projections of growth in assets under management and asset servicing portfolios. M&amp;T then discounted the various projections using discount rates that ranged from 8% to 17%. Upon evaluation of those results, management concluded that M&amp;T’s investment in BLG was not other-than-temporarily impaired at June 30, 2010. Nevertheless, if BLG is not able to realize sufficient cash flows for the benefit of M&amp;T, the Company may be required to recognize an other-than-temporary impairment charge in a future period for some portion of the $234 million book value of its investment in BLG. Information about the Company’s relationship with BLG and its affiliates is included in note 15 of Notes to Financial Statements.</w:t>
      </w:r>
    </w:p>
    <w:p>
      <w:pPr>
        <w:spacing w:after="0" w:line="73" w:lineRule="exact"/>
        <w:rPr>
          <w:sz w:val="20"/>
          <w:szCs w:val="20"/>
          <w:color w:val="auto"/>
        </w:rPr>
      </w:pPr>
    </w:p>
    <w:p>
      <w:pPr>
        <w:ind w:right="80" w:firstLine="225"/>
        <w:spacing w:after="0" w:line="285" w:lineRule="auto"/>
        <w:rPr>
          <w:sz w:val="20"/>
          <w:szCs w:val="20"/>
          <w:color w:val="auto"/>
        </w:rPr>
      </w:pPr>
      <w:r>
        <w:rPr>
          <w:rFonts w:ascii="Arial" w:cs="Arial" w:eastAsia="Arial" w:hAnsi="Arial"/>
          <w:sz w:val="16"/>
          <w:szCs w:val="16"/>
          <w:color w:val="auto"/>
        </w:rPr>
        <w:t>Other revenues from operations totaled $79 million in each of the two most recent quarters, compared with $77 million in the second quarter of 2009. Included in other revenues from operations were the following significant components. Letter of credit and other credit-related fees totaled $26 million in the second quarter of 2010, $28 million in the second quarter of 2009, and $29 million in the first quarter of 2010. Tax-exempt income from bank owned life insurance, which includes increases in the cash surrender value of life insurance policies and benefits received, totaled $14 million in the second quarter of 2010, $13 million in the year-earlier quarter and $12 million in the first quarter of 2010. Revenues from merchant discount and credit card fees were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$12 million, $10 million and $11 million in the three-month periods ended June 30, 2010, June 30, 2009 and March 31, 2010, respectively. Insurance-related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commissions and other revenues totaled $9 million in the second quarter of 2010, compared with $12 million in the corresponding 2009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in the initial 2010 quarter. No other revenue source contributed more than $5 million to “other revenues from operations” in any of the quarterly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discussed herein.</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Other income rose 5% to $531 million in the first six months of 2010 from $504 million in the first half of 2009. Reflected in other income were net losses on bank investment securities (including other-than-temporary impairment losses) of $49 million in 2010 and $56 million in 2009. Excluding gains and losses from bank investment securities (including other-than-temporary impairment losses), other income aggregated $580 million and $560 million for the six-month periods ended June 30, 2010 and 2009, respectively. That improvement was attributable to increases in service charges on deposit accounts, largely the result of accounts obtained in the 2009 acquisition transactions, letter of credit and other credit-related fees and income from bank owned life insurance, partially offset by declines in revenues from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providing mortgage banking and trust services and higher losses from M&amp;T’s investment in BLG.</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Mortgage banking revenues were $89 million for the six-month period ended June 30, 2010, 19% below $109 million in the year-earlier period. Residential mortgage banking revenues declined to $65 million in the first half of 2010 from $90 million in the first six months of 2009. New commitments to originate residential mortgage loans to be sold were $2.1 billion and $3.6 billion during the first six months of 2010 and 2009, respectively. Closed residential mortgage loans originated for sale to other investors during the first six months of 2010 totaled $2.0 billion, compared with $3.5 billion in the corresponding 2009 period. Realized gains from sales of residential mortgage loans and loan servicing rights and recognized unrealized gains and losses on residential mortgage loans held for sale, commitments to originate loans for sale and commitments to sell loans totaled to gains of $23 million and $47 million during the first six months of 2010 and 2009, respectively.</w:t>
      </w:r>
    </w:p>
    <w:p>
      <w:pPr>
        <w:spacing w:after="0" w:line="81"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Revenues from servicing residential mortgage loans for others were $40 million and $41 million for the first half of 2010 and 2009, respectively. Included in such amounts were revenues related to purchased servicing rights associated with the previously noted small balance commercial mortgage loans of $14 million and $15 million for the first six months of 2010 and 2009, respectively. Commercial mortgage banking revenues totaled $23 million and</w:t>
      </w:r>
    </w:p>
    <w:p>
      <w:pPr>
        <w:ind w:right="300"/>
        <w:spacing w:after="0" w:line="261" w:lineRule="auto"/>
        <w:rPr>
          <w:sz w:val="20"/>
          <w:szCs w:val="20"/>
          <w:color w:val="auto"/>
        </w:rPr>
      </w:pPr>
      <w:r>
        <w:rPr>
          <w:rFonts w:ascii="Arial" w:cs="Arial" w:eastAsia="Arial" w:hAnsi="Arial"/>
          <w:sz w:val="18"/>
          <w:szCs w:val="18"/>
          <w:color w:val="auto"/>
        </w:rPr>
        <w:t>$19 million during the six-month periods ended June 30, 2010 and 2009, respectively. That increase reflected higher origination activity in the first half of 2010.</w:t>
      </w:r>
    </w:p>
    <w:p>
      <w:pPr>
        <w:spacing w:after="0" w:line="76"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Service charges on deposit accounts totaled $249 million and $214 million during the six-month periods ended June 30, 2010 and 2009, respectively. That improvement resulted largely from the impact of the 2009 acquisition transactions and increased debit card fees resulting from higher transaction volumes. Trust income decreased 9% to $61 million in the first half of 2010 from $67 million a year earlier, and brokerage services income declined 10% to</w:t>
      </w:r>
    </w:p>
    <w:p>
      <w:pPr>
        <w:ind w:right="100"/>
        <w:spacing w:after="0" w:line="281" w:lineRule="auto"/>
        <w:rPr>
          <w:sz w:val="20"/>
          <w:szCs w:val="20"/>
          <w:color w:val="auto"/>
        </w:rPr>
      </w:pPr>
      <w:r>
        <w:rPr>
          <w:rFonts w:ascii="Arial" w:cs="Arial" w:eastAsia="Arial" w:hAnsi="Arial"/>
          <w:sz w:val="16"/>
          <w:szCs w:val="16"/>
          <w:color w:val="auto"/>
        </w:rPr>
        <w:t>$26 million during the first six months of 2010 from $29 million in the corresponding 2009 period. The declines in trust and brokerage services income were largely attributable to lower fees for providing services that are tied to the performance of bond and equity markets. Reflected in trust income were</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$10 million and $2 million of fee waivers during the first six months of 2010 and 2009, respectively, related to proprietary money-market mutual funds. Trading account and foreign exchange activity resulted in gains of $8 million and $9 million for the six-month periods ended June 30, 2010 and 2009, respectively. M&amp;T’s investment in BLG resulted in losses of $12 million and $4 million for the six months ended June 30, 2010 and 2009, respectively. Investment securities gains and losses totaled to losses of $49 million and $56 million for the first six months of 2010 and 2009, respectively. Included in those amounts were other-than-temporary impairment losses of $49 million and $57 million during the first two quarters of 2010 and 2009, respectively. Other revenues from operations were $159 million in the first six months of 2010 and $137 million in the similar 2009 period. Included in other revenues from operations during the six-month periods ended June 30, 2010 and 2009 were letter of credit and other credit-related fees of $54 million and $49 million, respectively, income from bank owned life insurance of $26 million and $23 million, respectively, merchant discount and credit card fees of $22 million and $20 million, respectively, and insurance-related sales commissions and other revenues of $20 million and $18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Other expense totaled $476 million in the second quarter of 2010, down 16% from $564 million in the year-earlier quarter and 3% below $489 million in the initial quarter of 2010. Included in those amounts are expenses considered by management to be “nonoperating” in nature consisting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amortization of core deposit and other intangible assets of $15 million in each of the second quarters of 2010 and 2009, and $16 million in the first quarter of 2010, and merger-related expenses of $66 million in the three-month period ended June 30, 2009. There were no merger-related expenses in the first or second quarters of 2010. Exclusive of these nonoperating expenses, noninterest operating expenses totaled $461 million in the recent quarter, compared with $482 million in the second quarter of 2009 and $473 million in the first quarter of 2010. The major factor in the lower level of operating expenses in the recent quarter as compared with the year-earlier quarter was a decline in FDIC assessments resulting from the special assessment levied on financial institutions by the FDIC during 2009’s second quarter. Also contributing to the improvement were lower costs related to the foreclosure process for residential real estate properties. Partially offsetting those factors were higher levels of personnel and occupancy expenses related to the operations acquired from Provident and a $13 million reduction of the allowance for impairment of capitalized residential mortgage servicing rights in the second quarter of 2009. In comparison, a $2 million addition to the impairment allowance was recognized during the recent quarter. Contributing to the decline in operating expenses in the recent quarter as compared with the initial 2010 quarter were lower personnel costs from seasonally higher first quarter stock-based compensation, payroll-related taxes and contributions for retirement savings plan benefits associated with incentive compensation payments.</w:t>
      </w:r>
    </w:p>
    <w:p>
      <w:pPr>
        <w:spacing w:after="0" w:line="65"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Other expense for the first six months of 2010 aggregated $965 million, down 4% from $1.0 billion in the similar period of 2009. Included in those amounts are expenses considered to be “nonoperating” in nature consisting of amortization of core deposit and other intangible assets of $31 million in each of the six-month periods ended June 30, 2010 and 2009, and merger-related expenses of $69 million in the first two quarters of 2009. Exclusive of these nonoperating expenses, noninterest operating expenses for the first half of 2010 increased 3% to $934 million from $903 million in the corresponding 2009 period. The most significant factors for that increase were costs associated with the acquired operations of Provident. Table 2 provides a reconciliation of other expense to noninterest operating expense.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$246 million in the recent quarter, compared with $250 million in the second quarter of 2009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$264 million in the initial 2010 quarter. As noted in table 2, merger-related salaries and benefits costs were $9 million in the second quarter of 2009.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consisted predominantly of severance expense for Provident employees. Exclusive of those merger-related expenses, salaries and employee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increased 2% in the recent quarter as compared with a year earlier. The decline in salaries and benefit expenses from the first to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reflected decreased costs for stock-based compensation, payroll-related taxes and contributions for retirement savings plan benefits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incentive compensation payments made in the first quarter of each year. Salaries and employee benefits expense were $510 million and $499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first six months of 2010 and 2009, respectively. Exclusive of merger-related expenses, salaries and employee benefits expense rose 4% to $510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first half of 2010 from $491 million in the similar 2009 period. That increase reflects the impact of operations associated with the May 23,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Provident.</w:t>
      </w:r>
    </w:p>
    <w:p>
      <w:pPr>
        <w:spacing w:after="0" w:line="103"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2010 and 2009 included $7 million and $9 million, respectively, that would have been recognized over the normal four-year vesting period if not for the accelerated expense recognition provisions of GAAP. That acceleration had no effect on the value of stock-based compensation awarded to employees. Salaries and benefits expense included stock-based compensation of $12 million, $11 million and $20 million during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quarters ended June 30, 2010, June 30, 2009 and March 31, 2010, and $32 million and $33 million for the six-month periods ended June 30, 2010 and 2009, respectively. The number of full-time equivalent employees was 13,022 at June 30, 2010, 14,187 at June 30, 2009, 13,639 at December 31, 2009 and 13,226 at March 31, 2010.</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Excluding the nonoperating expense items described earlier from each period, nonpersonnel operating expenses were $215 million in the recent quarter,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compared with $241 million in the second quarter of 2009 and $209 million in the initial three months of 2010. On the same basis, such expenses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$424 million and $412 million during the first six months of 2010 and 2009, respectively. The decline in nonpersonnel operating expenses in 2010’s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as compared with the year-earlier quarter was due largely to lower FDIC assessments, attributable to the FDIC’s $33 million special assessment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2009. Also contributing to the lower level of expenses in the recent quarter was a $20 million decline in costs related to foreclosed residential real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estate properties, reflecting second quarter 2009 write-downs of the carrying values of some properties resulting from lower appraised values. Partially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offsetting those factors was a recent quarter $2 million addition to the valuation allowance for capitalized residential mortgage servicing rights,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partial reversal of such allowance of $13 million in the second quarter of 2009. The 3% increase in nonpersonnel operating expenses in the recent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as compared with the initial quarter of 2010 was largely due to higher costs for professional services. The higher level of nonpersonnel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in the first half of 2010 as compared with the corresponding period of 2009 reflects the impact of the operations obtained in the Provident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Also contributing to the higher level of nonpersonnel operating expenses in 2010 was a $2 million addition to the valuation allowance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capitalized residential mortgage servicing rights, compared with partial reversals of that allowance aggregating $18 million in the first half of 2009.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offsetting those factors was a $20 million decline in expenses related to foreclosed residential real estate properties.</w:t>
      </w:r>
    </w:p>
    <w:p>
      <w:pPr>
        <w:spacing w:after="0" w:line="103" w:lineRule="exact"/>
        <w:rPr>
          <w:sz w:val="20"/>
          <w:szCs w:val="20"/>
          <w:color w:val="auto"/>
        </w:rPr>
      </w:pPr>
    </w:p>
    <w:p>
      <w:pPr>
        <w:ind w:right="280" w:firstLine="222"/>
        <w:spacing w:after="0" w:line="270"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and gains on merger-related transactions), measures the relationship of noninterest operating expenses to revenues. The Company’s efficiency ratio was 53.1% during the recent quarter, compared with 60.0% during the year-earlier quarter and 55.9% in the first quarter of 2010. The efficiency ratios for the six-month periods ended June 30, 2010 and 2009 were 54.4% and 59.4%, respectively. Noninterest operating expenses used in calculating the efficiency ratio exclude the amortization of core deposit and other intangible assets and the merger-related expenses noted earlier, but do reflect the previously mentioned amount associated with the FDIC special assessment. If charges for amortization of core deposit and other intangible assets were included, the efficiency ratio for the three-month periods ended June 30, 2010, June 30, 2009 and March 31, 2010 would have been 54.8%, 61.9% and 57.8%, respectively, and for the six-month periods ended June 30, 2010 and 2009 would have been 56.3% and 61.4%,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 for income taxes for the second quarter of 2010 was $91 million, compared with $11 million and $69 million in the year-earlier quarter and first quarter of 2010, respectively. The effective tax rates were 32.5%, 18.1% and 31.3% for the quarters ended June 30, 2010, June 30, 2009 and March 31, 2010, respectively. For the first six months of 2010 and 2009, the provision for income taxes totaled $160 million and $31 million, respectively, and the effective tax rates were 32.0% and 21.1%, respectively. The effective tax rate is affected by the level of income earned that 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although the merger-related expenses incurred during 2009’s second quarter are predominantly deductible for purposes of computing income tax expense, those charges had an impact on the effective tax rate because they lowered pre-tax income relative to the amounts of tax-exempt income and other permanent differences that impact the effective tax rate.</w:t>
      </w:r>
    </w:p>
    <w:p>
      <w:pPr>
        <w:spacing w:after="0" w:line="80"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Stockholders’ equity was $8.1 billion at June 30, 2010, representing 11.89% of total assets, compared with $7.4 billion or 10.58% of total assets a year earlier and $7.8 billion or 11.26% at December 31, 2009. Included in stockholders’ equity at those dates was $600 million of Fixed Rate Cumulative Perpetual Preferred Stock, Series A, and warrants to purchase M&amp;T common stock issued on December 23, 2008 as part of the U.S. Treasury Capital Purchase Program (“CPP”). The financial statement value of that preferred stock was $576 million at June 30, 2010, $570 million at June 30, 2009 and $573 million at December 31, 2009. Provident also participated in the CPP on November 14, 2008. As a result, Provident’s $151.5 million of preferred stock related thereto was converted to M&amp;T Fixed Rate Cumulative Preferred Stock, Series C, with warrants to purchase M&amp;T common stock. The estimated fair value ascribed to the Series C Preferred Stock was $129 million on the May 23, 2009 acquisition date. The financial statement value of the Series C Preferred Stock was $133 million, $129 million and $131 million at June 30, 2010, June 30, 2009 and December 31, 2009, respectively.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acquisition date fair value of the Series B Preferred Stock was approximately equal to that stock’s $26.5 million redemption value.</w:t>
      </w:r>
    </w:p>
    <w:p>
      <w:pPr>
        <w:spacing w:after="0" w:line="75"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Common stockholders’ equity was $7.4 billion, or $61.77 per share, at June 30, 2010, compared with $6.7 billion, or $56.51 per share, at June 30, 2009 and $7.0 billion, or $59.31 per share, at December 31, 2009. Tangible equity per common share, which excludes goodwill and core deposit and other intangible assets and applicable deferred tax balances, was $31.15 at the end of the second quarter of 2010, compared with $25.17 a year earlier and $28.27 at December 31, 2009. The Company’s ratio of tangible common equity to tangible assets was 5.75% at June 30, 2010, compared with 4.49% and 5.13% at June 30, 2009 and December 31, 2009, respectively. A reconciliation of total common stockholders’ equity and tangible common equity and total assets and tangible assets as of each of those respective dates is presented in table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investment securities classified as available-for-sale,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$83 million, or $.70 per common share, at June 30, 2010, compared with similar losses of $407 million, or $3.45 per common share, at June 30, 2009 and $220 million, or $1.86 per common share, at December 31, 2009.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w:t>
      </w:r>
    </w:p>
    <w:p>
      <w:pPr>
        <w:spacing w:after="0" w:line="5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Reflected in net unrealized losses at June 30, 2010 were pre tax-effect unrealized losses of $344 million on available-for-sale investment securities with an amortized cost of $1.9 billion and pre tax-effect unrealized gains of $272 million on securities with an amortized cost of $4.3 billion. The pre tax-effect unrealized losses reflect $276 million of losses on privately issued mortgage-backed securities with an amortized cost of $1.6 million and an estimated fair value of $1.4 billion (considered Level 3 valuations) and $48 million of losses on trust preferred securities issued by financial institutions having an amortized cost of $147 million and an estimated fair value of $99 million (generally considered Level 2 valuations).</w:t>
      </w:r>
    </w:p>
    <w:p>
      <w:pPr>
        <w:spacing w:after="0" w:line="64"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June 30, 2010. As with any accounting estimate or other data, changes in fair values and investment ratings may occur at any time.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6"/>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5"/>
              </w:rPr>
              <w:t>Amortized</w:t>
            </w:r>
          </w:p>
        </w:tc>
        <w:tc>
          <w:tcPr>
            <w:tcW w:w="340" w:type="dxa"/>
            <w:vAlign w:val="bottom"/>
          </w:tcPr>
          <w:p>
            <w:pPr>
              <w:spacing w:after="0"/>
              <w:rPr>
                <w:sz w:val="10"/>
                <w:szCs w:val="10"/>
                <w:color w:val="auto"/>
              </w:rPr>
            </w:pPr>
          </w:p>
        </w:tc>
        <w:tc>
          <w:tcPr>
            <w:tcW w:w="146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1"/>
              </w:rPr>
              <w:t>Fair</w:t>
            </w:r>
          </w:p>
        </w:tc>
        <w:tc>
          <w:tcPr>
            <w:tcW w:w="140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AAA</w:t>
            </w:r>
          </w:p>
        </w:tc>
        <w:tc>
          <w:tcPr>
            <w:tcW w:w="360" w:type="dxa"/>
            <w:vAlign w:val="bottom"/>
          </w:tcPr>
          <w:p>
            <w:pPr>
              <w:spacing w:after="0"/>
              <w:rPr>
                <w:sz w:val="10"/>
                <w:szCs w:val="10"/>
                <w:color w:val="auto"/>
              </w:rPr>
            </w:pPr>
          </w:p>
        </w:tc>
        <w:tc>
          <w:tcPr>
            <w:tcW w:w="13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3"/>
              </w:rPr>
              <w:t>Investment</w:t>
            </w: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color w:val="auto"/>
              </w:rPr>
              <w:t>Senior</w:t>
            </w:r>
          </w:p>
        </w:tc>
        <w:tc>
          <w:tcPr>
            <w:tcW w:w="160" w:type="dxa"/>
            <w:vAlign w:val="bottom"/>
          </w:tcPr>
          <w:p>
            <w:pPr>
              <w:spacing w:after="0"/>
              <w:rPr>
                <w:sz w:val="10"/>
                <w:szCs w:val="10"/>
                <w:color w:val="auto"/>
              </w:rPr>
            </w:pPr>
          </w:p>
        </w:tc>
      </w:tr>
      <w:tr>
        <w:trPr>
          <w:trHeight w:val="167"/>
        </w:trPr>
        <w:tc>
          <w:tcPr>
            <w:tcW w:w="2780" w:type="dxa"/>
            <w:vAlign w:val="bottom"/>
            <w:gridSpan w:val="3"/>
          </w:tcPr>
          <w:p>
            <w:pPr>
              <w:spacing w:after="0"/>
              <w:rPr>
                <w:sz w:val="20"/>
                <w:szCs w:val="20"/>
                <w:color w:val="auto"/>
              </w:rPr>
            </w:pPr>
            <w:r>
              <w:rPr>
                <w:rFonts w:ascii="Arial" w:cs="Arial" w:eastAsia="Arial" w:hAnsi="Arial"/>
                <w:sz w:val="14"/>
                <w:szCs w:val="14"/>
                <w:color w:val="auto"/>
              </w:rPr>
              <w:t>Collateral type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cost</w:t>
            </w:r>
          </w:p>
        </w:tc>
        <w:tc>
          <w:tcPr>
            <w:tcW w:w="34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value</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gains(losses)</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rated</w:t>
            </w:r>
          </w:p>
        </w:tc>
        <w:tc>
          <w:tcPr>
            <w:tcW w:w="36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grade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tranche</w:t>
            </w: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6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Residential mortgage loans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Prime — Fixed</w:t>
            </w:r>
          </w:p>
        </w:tc>
        <w:tc>
          <w:tcPr>
            <w:tcW w:w="8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121,337</w:t>
            </w:r>
          </w:p>
        </w:tc>
        <w:tc>
          <w:tcPr>
            <w:tcW w:w="1800" w:type="dxa"/>
            <w:vAlign w:val="bottom"/>
            <w:tcBorders>
              <w:top w:val="single" w:sz="8" w:color="CCEEFF"/>
            </w:tcBorders>
            <w:gridSpan w:val="3"/>
          </w:tcPr>
          <w:p>
            <w:pPr>
              <w:jc w:val="right"/>
              <w:ind w:right="640"/>
              <w:spacing w:after="0"/>
              <w:rPr>
                <w:sz w:val="20"/>
                <w:szCs w:val="20"/>
                <w:color w:val="auto"/>
              </w:rPr>
            </w:pPr>
            <w:r>
              <w:rPr>
                <w:rFonts w:ascii="Arial" w:cs="Arial" w:eastAsia="Arial" w:hAnsi="Arial"/>
                <w:sz w:val="18"/>
                <w:szCs w:val="18"/>
                <w:color w:val="auto"/>
              </w:rPr>
              <w:t>126,821</w:t>
            </w:r>
          </w:p>
        </w:tc>
        <w:tc>
          <w:tcPr>
            <w:tcW w:w="1400" w:type="dxa"/>
            <w:vAlign w:val="bottom"/>
            <w:tcBorders>
              <w:top w:val="single" w:sz="8" w:color="CCEEFF"/>
            </w:tcBorders>
            <w:gridSpan w:val="2"/>
          </w:tcPr>
          <w:p>
            <w:pPr>
              <w:jc w:val="right"/>
              <w:ind w:right="620"/>
              <w:spacing w:after="0"/>
              <w:rPr>
                <w:sz w:val="20"/>
                <w:szCs w:val="20"/>
                <w:color w:val="auto"/>
              </w:rPr>
            </w:pPr>
            <w:r>
              <w:rPr>
                <w:rFonts w:ascii="Arial" w:cs="Arial" w:eastAsia="Arial" w:hAnsi="Arial"/>
                <w:sz w:val="18"/>
                <w:szCs w:val="18"/>
                <w:color w:val="auto"/>
              </w:rPr>
              <w:t>5,484</w:t>
            </w:r>
          </w:p>
        </w:tc>
        <w:tc>
          <w:tcPr>
            <w:tcW w:w="100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69%</w:t>
            </w:r>
          </w:p>
        </w:tc>
        <w:tc>
          <w:tcPr>
            <w:tcW w:w="1740" w:type="dxa"/>
            <w:vAlign w:val="bottom"/>
            <w:tcBorders>
              <w:top w:val="single" w:sz="8" w:color="CCEEFF"/>
            </w:tcBorders>
            <w:gridSpan w:val="3"/>
          </w:tcPr>
          <w:p>
            <w:pPr>
              <w:jc w:val="right"/>
              <w:ind w:right="560"/>
              <w:spacing w:after="0"/>
              <w:rPr>
                <w:sz w:val="20"/>
                <w:szCs w:val="20"/>
                <w:color w:val="auto"/>
              </w:rPr>
            </w:pPr>
            <w:r>
              <w:rPr>
                <w:rFonts w:ascii="Arial" w:cs="Arial" w:eastAsia="Arial" w:hAnsi="Arial"/>
                <w:sz w:val="18"/>
                <w:szCs w:val="18"/>
                <w:color w:val="auto"/>
              </w:rPr>
              <w:t>71%</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 Hybrid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1,536,218</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1,333,057</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(203,161)</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Prime —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1,917</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1,649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(268)</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Fixed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8,972</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10,242</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1,270</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Alt-A — Hybrid ARMs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188,525</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122,908</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(65,617)</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Option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5,261</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3,171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(2,090)</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1,862,608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1,598,033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(264,575)</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r>
      <w:tr>
        <w:trPr>
          <w:trHeight w:val="20"/>
        </w:trPr>
        <w:tc>
          <w:tcPr>
            <w:tcW w:w="1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439"/>
        </w:trPr>
        <w:tc>
          <w:tcPr>
            <w:tcW w:w="278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29,447</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26,643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(2,804)</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15</w:t>
            </w:r>
          </w:p>
        </w:tc>
        <w:tc>
          <w:tcPr>
            <w:tcW w:w="340" w:type="dxa"/>
            <w:vAlign w:val="bottom"/>
          </w:tcPr>
          <w:p>
            <w:pPr>
              <w:spacing w:after="0"/>
              <w:rPr>
                <w:sz w:val="24"/>
                <w:szCs w:val="24"/>
                <w:color w:val="auto"/>
              </w:rPr>
            </w:pP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1,892,055</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1,624,676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(267,379)</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18%</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June 30, 2010.</w:t>
      </w:r>
    </w:p>
    <w:p>
      <w:pPr>
        <w:spacing w:after="0" w:line="117" w:lineRule="exact"/>
        <w:rPr>
          <w:sz w:val="20"/>
          <w:szCs w:val="20"/>
          <w:color w:val="auto"/>
        </w:rPr>
      </w:pPr>
    </w:p>
    <w:p>
      <w:pPr>
        <w:ind w:right="620" w:firstLine="225"/>
        <w:spacing w:after="0" w:line="342" w:lineRule="auto"/>
        <w:rPr>
          <w:sz w:val="20"/>
          <w:szCs w:val="20"/>
          <w:color w:val="auto"/>
        </w:rPr>
      </w:pPr>
      <w:r>
        <w:rPr>
          <w:rFonts w:ascii="Arial" w:cs="Arial" w:eastAsia="Arial" w:hAnsi="Arial"/>
          <w:sz w:val="16"/>
          <w:szCs w:val="16"/>
          <w:color w:val="auto"/>
        </w:rPr>
        <w:t>Reflecting the credit stress associated with residential mortgage loans, trading activity for privately issued mortgage-backed securities has been dramatically reduced. In estimating values for such securities, the Company was significantly restricted in the level of market observable assumptions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used in the valuation of its privately issued mortgage-backed securities portfolio. Because of the relative inactivity and lack of observable valuation inputs, the Company classifies its privately issued mortgage-backed securities portfolio as Level 3. To assist in the determination of fair value for its privately issued mortgage-backed securities, the Company engaged two independent pricing sources at June 30, 2010 and December 31, 2009. In April 2009, guidance was provided by the FASB for estimating fair value when the volume and level of trading activity for an asset or liability have significantly decreased. In consideration of that guidance, the Company performed internal modeling to estimate the cash flows and fair value of 144 of its privately issued residential mortgage-backed securities with an amortized cost basis of $1.7 billion at June 30,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144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was 37%, compared with a 63% weighting on valuations provided by the independent sources. Generally, the range of weights placed on internal valuations was between 0% and 40%. Further information concerning the Company’s valuations of privately issued mortgage-backed securities can be found in note 12 of Notes to Financial Statements.</w:t>
      </w:r>
    </w:p>
    <w:p>
      <w:pPr>
        <w:spacing w:after="0" w:line="65"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color w:val="auto"/>
        </w:rPr>
        <w:t>During the quarter ended June 30, 2010 the Company recognized $22 million (pre-tax) of other-than-temporary impairment losses related to AIB ADSs with an amortized cost basis (before impairment charge) of $13 million, privately issued residential mortgage-backed securities with an amortized cost basis (before impairment charge) of $152 million and securities backed by trust preferred securities issued by financial institutions with an amortized cost basis</w:t>
      </w:r>
    </w:p>
    <w:p>
      <w:pPr>
        <w:spacing w:after="0" w:line="287" w:lineRule="auto"/>
        <w:rPr>
          <w:sz w:val="20"/>
          <w:szCs w:val="20"/>
          <w:color w:val="auto"/>
        </w:rPr>
      </w:pPr>
      <w:r>
        <w:rPr>
          <w:rFonts w:ascii="Arial" w:cs="Arial" w:eastAsia="Arial" w:hAnsi="Arial"/>
          <w:sz w:val="16"/>
          <w:szCs w:val="16"/>
          <w:color w:val="auto"/>
        </w:rPr>
        <w:t>(before impairment charge) of $5 million. In assessing impairment losses for debt securities, the Company performed internal modeling to estimate bond-specific cash flows, which considered the placement of the bond in the overall securitization structure and the remaining levels of subordination. For privately issued residential mortgage-backed securities, the model utilized assumptions about the underlying performance of the mortgage loan collateral considering recent collateral performance and future assumptions regarding default and loss severity. At June 30, 2010, projected model default percentages on the underlying mortgage loan collateral ranged from 2% to 41% and loss severities ranged from 10% to 74%. For bonds in which the Company has recognized an other-than-temporary impairment charge, the weighted-average percentage of default collateral was 24% and the weighted-average loss severity was 50%. For bonds without other-than-temporary impairment losses, the weighted-average default percentage and loss severity were 11% and 37%, respectively. Underlying mortgage loan collateral cash flows, after considering the impact of estimated credit losses, were distributed by the model to the various securities within the securitization structure to determine the timing and extent of losses at the bond-level, if any. As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result of the procedures, the Company recognized pre-tax other-than-temporary impairment losses of $8 million on privately issued mortgage-backed securities during the quarter ended June 30, 2010. Despite rising levels of delinquencies and losses in the underlying residential mortgage loan collateral, given credit enhancements resulting from the structures of individual bonds, the Company has concluded that as of June 30, 2010 its remaining privately issued mortgage-backed securities were not other-than-temporarily impaired. Nevertheless, given recent market conditions, it is possible that adverse changes in repayment performance and fair value could occur in the remainder of 2010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7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AIB ADSs were obtained in the 2003 acquisition of Allfirst and are held to satisfy options to purchase such shares granted by Allfirst to certain employees. Factors contributing to the $12 million other-than-temporary impairment charge in the recent quarter related to the AIB ADSs included mounting credit and other losses incurred by AIB, the issuance of AIB common stock in lieu of dividend payments on certain preferred stock issuances held by the Irish government resulting in significant dilution of AIB common shareholders, and recent public announcements by Irish government officials suggesting that increased government support, which could further dilute AIB common shareholders, may be necessary.</w:t>
      </w:r>
    </w:p>
    <w:p>
      <w:pPr>
        <w:spacing w:after="0" w:line="64"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At June 30, 2010, the Company also had net pre-tax unrealized losses of $9 million on $402 million of trust preferred securities issued by financial institutions, securities backed by trust preferred securities issued by financial institutions and other entities, and other debt securities (including $19 million of unrealized gains on $118 million of securities using a Level 3 valuation and $27 million of net unrealized losses on $284 million of securities classified as Level 2 valuations). Pre-tax net unrealized losses of $29 million existed on $384 million of such securities at December 31, 2009. After evaluating the expected repayment performance of financial institutions where trust preferred securities were held directly by the Company or were within the CDOs backed by trust preferred securities obtained in acquisitions, the Company recognized pre-tax other-than-temporary impairment losses of $2 million related to those securities during the quarter ended June 30, 2010.</w:t>
      </w:r>
    </w:p>
    <w:p>
      <w:pPr>
        <w:spacing w:after="0" w:line="8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also holds municipal bonds, mortgage-backed securities guaranteed by government agencies and certain collateralized mortgage obligations securitized by Bayview Financial Holdings, L.P. (together with its affiliates, “Bayview Financial”), a privately-held specialty mortgage finance company and the majority investor of BLG, in its held-to-maturity investment securities portfolio. The Company purchased certain private placement CMOs during the third quarter of 2008 that had been securitized by Bayview Financial. Given the Company’s relationship with Bayview Financial, at that time the Company reconsidered its intention to hold other CMOs securitized by Bayview Financial with a cost basis of $385 million and a fair value of $298 million and transferred such securities from its available-for-sale investment securities portfolio to its held-to-maturity investment securities portfolio. As a result, at June 30, 2010 and December 31, 2009, the Company had in its held-to-maturity portfolio CMOs securitized by Bayview Financial with an amortized cost basis of $333 million and $352 million, respectively, (including the effect of $63 million and $68 million, respectively, of unamortized fair value adjustment (pre-tax) residing in accumulated other comprehensive income from the time of transfer) and a fair value of $197 million and $201 million, respectively. Given the credit enhancements within each of the individual bond structures, the Company has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determined that it expects to fully collect its contractual principal and interest payments on the private CMOs securitized by Bayview Financial and therefore believes such securities were not other-than-temporarily impaired at June 30, 2010.</w:t>
      </w:r>
    </w:p>
    <w:p>
      <w:pPr>
        <w:spacing w:after="0" w:line="62" w:lineRule="exact"/>
        <w:rPr>
          <w:sz w:val="20"/>
          <w:szCs w:val="20"/>
          <w:color w:val="auto"/>
        </w:rPr>
      </w:pPr>
    </w:p>
    <w:p>
      <w:pPr>
        <w:ind w:right="40" w:firstLine="215"/>
        <w:spacing w:after="0" w:line="288" w:lineRule="auto"/>
        <w:rPr>
          <w:sz w:val="20"/>
          <w:szCs w:val="20"/>
          <w:color w:val="auto"/>
        </w:rPr>
      </w:pPr>
      <w:r>
        <w:rPr>
          <w:rFonts w:ascii="Arial" w:cs="Arial" w:eastAsia="Arial" w:hAnsi="Arial"/>
          <w:sz w:val="16"/>
          <w:szCs w:val="16"/>
          <w:color w:val="auto"/>
        </w:rPr>
        <w:t>As of June 30, 2010, based on a review of each of the remaining securities in the investment securities portfolio, the Company concluded that the declines in the values of those securities were temporary and that any additional other-than-temporary impairment charges were not appropriate at June 30, 2010.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on available-for-sale investment securities have generally already 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stockholders’ equity. Additional information concerning fair value measurements and the Company’s approach to the classification of such measurements is included in note 12 of Notes to Financial Statements.</w:t>
      </w:r>
    </w:p>
    <w:p>
      <w:pPr>
        <w:spacing w:after="0" w:line="61" w:lineRule="exact"/>
        <w:rPr>
          <w:sz w:val="20"/>
          <w:szCs w:val="20"/>
          <w:color w:val="auto"/>
        </w:rPr>
      </w:pPr>
    </w:p>
    <w:p>
      <w:pPr>
        <w:ind w:right="100" w:firstLine="215"/>
        <w:spacing w:after="0" w:line="291"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$115 million or $.96 per common share, at June 30, 2010, $174 million, or $1.47 per common share, at June 30, 2009 and</w:t>
      </w:r>
    </w:p>
    <w:p>
      <w:pPr>
        <w:spacing w:after="0" w:line="295" w:lineRule="auto"/>
        <w:rPr>
          <w:sz w:val="20"/>
          <w:szCs w:val="20"/>
          <w:color w:val="auto"/>
        </w:rPr>
      </w:pPr>
      <w:r>
        <w:rPr>
          <w:rFonts w:ascii="Arial" w:cs="Arial" w:eastAsia="Arial" w:hAnsi="Arial"/>
          <w:sz w:val="16"/>
          <w:szCs w:val="16"/>
          <w:color w:val="auto"/>
        </w:rPr>
        <w:t>$117 million or $.99 per common share, at December 31, 2009. The decrease in such adjustment at June 30, 2010 and December 31, 2009 as compared with June 30, 2009 was predominantly the result of actual investment performance of assets held by the Company’s qualified pension plan being significantly better than that assumed for actuarial purposes. During the second quarter of 2009, the Company contributed 900,000 shares of M&amp;T common stock having a then fair value of $44 million to the Company’s qualified defined benefit pension plan. Those shares were issued from previously held treasury stock.</w:t>
      </w:r>
    </w:p>
    <w:p>
      <w:pPr>
        <w:spacing w:after="0" w:line="53"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Cash dividends paid on M&amp;T’s common stock totaled approximately $84 million in each of the two most recent quarters, compared with $82 million in the quarter ended June 30, 2009, and represented a quarterly dividend payment of $.70 per common share in each of those three quarters. Common stock dividends during the six-month periods ended June 30, 2010 and 2009 were $167 million and $160 million, respectively. A cash dividend of $7.5 million, or $12.50 per share, was paid in each of the second quarters of 2010 and 2009 and in the initial 2010 quarter to the U.S. Treasury on M&amp;T’s Series A Preferred Stock, issued on December 23, 2008. Similar dividends paid during the first half of 2010 were $15 million, compared with $12 million in the corresponding 2009 period. Cash dividends of $663 thousand and $2 million ($25.00 per share and $12.50 per share) were paid on M&amp;T’s Series B and Series C Preferred Stock, respectively, during each of the first two quarters of 2010. Those series of preferred stock were created in connection with the Provident transaction. No similar dividends were paid during 2009’s second quarter.</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2009 or the first half of 2010.</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Federal regulators generally require banking institutions to maintain “Tier 1 capital” and “total capital” ratios of at least 4% and 8%, respectively, of risk-adjusted total assets. In addition to the risk-based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measures, Federal bank regulators have also implemented a minimum “Tier 1 leverage” ratio guideline of 3% of the quarterly average of total assets. As of June 30, 2010, Tier 1 capital included trust preferred securities of $1.1 billion as described in note 5 of Notes to Financial Statements and total capital further included subordinated capital notes of $1.5 billion.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June 30, 2010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9.16%</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8.49%</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21.91%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12.80%</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12.17%</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22.53%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8.89%</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8.19%</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20.74%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38"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Net income earned by the Business Banking segment totaled $27 million in the second quarter of 2010, down 14% from $31 million earned in the three months ended June 30, 2009, but 5% higher than $25 million in 2010’s first quarter. Contributing to the recent quarter’s unfavorable performance as compared with the second quarter of 2009 were a $7 million rise in the provision for credit losses, due to higher net charge-offs, and a decline in net interest income of $3 million. The lower net interest income resulted from an 83 basis point narrowing of the net interest margin on deposits offset, in part, by the impact of a $581 million increase in average deposit balances. Those unfavorable factors were partially offset by a $3 million decline in FDIC assessments and a $2 million increase in fees earned for providing deposit account services. The improvement in net income as compared with the immediately preceding quarter was predominantly due to a $3 million decline in the provision for credit losses, due to lower net charge-offs. For the first six months of 2010, the Business Banking segment’s net income declined to $52 million from $61 million in the year-earlier period. That decline was due to an $18 million increase in the provision for credit losses, resulting from higher net charge-offs of loans, offset, in part, by $3 million improvements in each of net interest income and fees earned for providing deposit account services. The increase in net interest income was the result of increases in average deposit and average loan balances of $728 million and $199 million, respectively, due in part to the impact of the Provident acquisition, partially offset by a 79 basis point narrowing of the net interest margin on deposits.</w:t>
      </w:r>
    </w:p>
    <w:p>
      <w:pPr>
        <w:spacing w:after="0" w:line="7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Commercial Banking segment recorded net income of $82 million in the quarter ended June 30, 2010, 17% higher than $70 million earned in the year-earlier quarter and 6% above 2010’s first quarter net income of $77 million. As compared with the second quarter of 2009, a $12 million decrease in the provision for credit losses, mainly the result of lower net charge-offs, and an $11 million increase in net interest income, due predominately to a 29 basis point widening of the net interest margin on loans, were partially offset by a $3 million reduction in fees for providing corporate advisory services. Contributing to the recent quarter’s rise in net income as compared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the first quarter of 2010 was an $8 million decline in the provision for credit losses, due to lower net charge-offs, and a $6 million rise in net interest income, the result of an 11 basis point expansion of the net interest margin on loans. Partially offsetting those favorable factors was a $3 million decrease in fees earned for providing loan syndication services. Net income for the Commercial Banking segment aggregated $158 million during the first half of 2010, a 25% increase from the $127 million earned in the six months ended June 30, 2009. Factors contributing to that increase were a $31 million improvement in net interest income, reflecting a $2.7 billion increase in average deposit balances, and a $22 million decrease in the provision for credit losses, partly due to lower net charge-offs.</w:t>
      </w:r>
    </w:p>
    <w:p>
      <w:pPr>
        <w:spacing w:after="0" w:line="85" w:lineRule="exact"/>
        <w:rPr>
          <w:sz w:val="20"/>
          <w:szCs w:val="20"/>
          <w:color w:val="auto"/>
        </w:rPr>
      </w:pPr>
    </w:p>
    <w:p>
      <w:pPr>
        <w:ind w:right="240" w:firstLine="222"/>
        <w:spacing w:after="0" w:line="284" w:lineRule="auto"/>
        <w:rPr>
          <w:sz w:val="20"/>
          <w:szCs w:val="20"/>
          <w:color w:val="auto"/>
        </w:rPr>
      </w:pPr>
      <w:r>
        <w:rPr>
          <w:rFonts w:ascii="Arial" w:cs="Arial" w:eastAsia="Arial" w:hAnsi="Arial"/>
          <w:sz w:val="16"/>
          <w:szCs w:val="16"/>
          <w:color w:val="auto"/>
        </w:rPr>
        <w:t>The Commercial Real Estate segment contributed net income of $44 million in each of the two most recent quarters, compared with $23 million in the second quarter of 2009. The favorable performance in 2010’s second quarter as compared with the year-earlier quarter was the result of a decline in the provision for credit losses of $28 million, primarily due to lower net charge-offs, and a $10 million rise in net interest income, the result of a 21 basis point widening of the net interest margin on loans and a $704 million increase in average loan balances, which predominantly resulted from the acquisition of Provident. Partially offsetting those factors were higher foreclosure-related costs of $3 million and other noninterest expenses of $2 million. As compared with 2010’s first quarter, growth in net interest income of $3 million, the result of a 7 basis point widening of the net interest margin on loans, and a</w:t>
      </w:r>
    </w:p>
    <w:p>
      <w:pPr>
        <w:spacing w:after="0" w:line="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$2 million decrease in the provision for credit losses, were largely offset by a $2 million decline in mortgage banking revenues and higher foreclosure-related costs of $2 million. Net contribution for the Commercial Real Estate segment increased to $87 million for the first six months of 2010, up 32% from</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$66 million in the similar 2009 period. Contributing to that improvement were higher net interest income of $27 million, resulting from the combination of a 22 basis point widening of the net interest margin on loans and higher average loan balances of $1.1 billion (predominantly the result of the Provident acquisition), and a $13 million decrease in the provision for credit losses, mainly due to lower net charge-offs of loans, partially offset by $3 million increases in each of personnel and foreclosure-related costs.</w:t>
      </w:r>
    </w:p>
    <w:p>
      <w:pPr>
        <w:spacing w:after="0" w:line="82"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Discretionary Portfolio segment incurred net losses of $4 million, $3 million and $16 million in the quarters ended June 30, 2010, June 30, 2009, and March 31, 2010, respectively. Included in the results of each of those quarters were pre-tax OTTI charges of $10 million, $25 million and $27 million, respectively. The impairment charges recorded in this segment relate predominantly to privately issued CMOs held in the Company’s available-for-sale investment securities portfolio. Excluding the impairment losses, the decline in the recent quarter’s performance as compared with the year-earlier period resulted from a $29 million decrease in net interest income, resulting from a 43 basis point narrowing of this segment’s net interest margin, partially offset by a decrease in the provision for credit losses of $8 million, due to reduced net charge-offs. On that same basis, the recent quarter’s improved performance as compared with the initial 2010 quarter resulted from higher income from bank owned life insurance. For the first six months of 2010, the Discretionary Portfolio incurred a net loss of $20 million, compared with an $8 million net loss in 2009’s first half. Excluding the impact of impairment charges aggregating $37 million and $57 million in those respective periods, net income in 2010 was $2 million, compared with $25 million in 2009. That decline in performance reflects a $57 million decrease in net interest income, due to a 42 basis point narrowing of the net interest margin, that was partly offset by a lower provision for credit losses of $13 million, primarily due to decreased net charge-offs.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84" w:lineRule="auto"/>
        <w:rPr>
          <w:sz w:val="20"/>
          <w:szCs w:val="20"/>
          <w:color w:val="auto"/>
        </w:rPr>
      </w:pPr>
      <w:r>
        <w:rPr>
          <w:rFonts w:ascii="Arial" w:cs="Arial" w:eastAsia="Arial" w:hAnsi="Arial"/>
          <w:sz w:val="16"/>
          <w:szCs w:val="16"/>
          <w:color w:val="auto"/>
        </w:rPr>
        <w:t>The Residential Mortgage Banking segment recorded net losses of $467 thousand and $11 million in the quarters ended June 30, 2010 and 2009, respectively, compared with net income of $595 thousand in the first quarter of 2010. As compared with the year-earlier quarter, factors contributing to the recent quarter’s improved results included a $21 million decline in foreclosure-related costs (the result of updated appraised values on certain previously foreclosed-upon residential real estate development projects in the 2009’s second quarter), a lower provision for credit losses of $10 million, due to lower net charge-offs of loans to builders and developers of residential real estate, and a decrease in personnel expenses of $5 million. Partially offsetting those positive factors were the impact of a $9 million partial reversal of the capitalized mortgage servicing rights valuation allowance in the second quarter of 2009 (a $2 million addition to such allowance was recorded in the recent quarter) and lower revenues from residential mortgage origination and sales activities of</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$5 million. When comparing the recent quarter’s performance with the first 2010 quarter, a $4 million rise in the provision for credit losses, resulting from higher net charge-offs, was partially offset by a $2 million increase in revenues from residential mortgage origination and sales activities. Net income of this segment for the first half of 2010 was $128 thousand, compared with a net loss of $5 million for the corresponding 2009 period. The main factors contributing to the improvement were a $21 million decline in the provision for credit losses, due to lower net charge-offs of loans to builders and developers of residential real estate, and a $20 million decrease in foreclosure-related expenses offset, in part, by reduced revenues relating to residential mortgage origination and sales activities of $18 million and a $13 million partial reversal of the capitalized mortgage servicing rights valuation allowance in the 2009 period, compared with a $2 million addition recorded during the 2010 period.</w:t>
      </w:r>
    </w:p>
    <w:p>
      <w:pPr>
        <w:spacing w:after="0" w:line="73"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Net contribution from the Retail Banking segment totaled $67 million in 2010’s second quarter, 24% above $54 million earned in the second quarter of 2009 and 14% higher than $59 million in the initial quarter of 2010. Factors contributing to the higher net income as compared with 2009’s second quarter included a $15 million increase in fees earned for providing deposit account services, due in part to the Provident acquisition, a decline of $15 million in FDIC assessments, and a $5 million reduction in the provision for credit losses, primarily due to lower net charge-offs of loans. Partially offsetting those factors was a $13 million decrease in net interest income, mainly the result of a 34 basis point narrowing of the net interest margin on deposits. The improved net income as compared with the three months ended March 31, 2010 was driven by an $11 million increase in fees earned for providing deposit account services. Through June 30, net income for this segment aggregated $126 million in 2010, up 18% from $107 million in 2009. The improvement in net income was due largely to the following factors: a $32 million rise in fees earned for providing deposit account services, largely the result of the Provident acquisition; reduced FDIC assessments of $12 million; and a lower provision for credit losses of $10 million, mostly the result of a decline in net charge-offs. Offsetting those factors were a $9 million increase in each of personnel and net occupancy expenses, predominantly due to the acquired operations of Provident, and an $8 million decline in net interest income. The lower net interest income resulted from a 30 basis point narrowing of the net interest margin on deposits, offset by an 11 basis point widening of the net interest margin on loans and increases in average deposit and loan balances of $791 million and $686 million, respectively, largely due to the Provident acquisition.</w:t>
      </w:r>
    </w:p>
    <w:p>
      <w:pPr>
        <w:spacing w:after="0" w:line="80"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equity in the earnings (loss) of BLG, merger-related gains and expenses resulting from acquisitions of financial institutions and the net impact of the Company’s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allocation methodologies for internal transfers for funding charges and credits associated with the earning assets and interest-bearing liabilities of the Company’s reportable segments and the provision for credit losses. The various components of the “All Other” category resulted in net losses of $26 million in the recently completed quarter, $113 million in the year-earlier quarter and $38 million in the first quarter of 2010. As compared with 2009’s second quarter, the lower net loss in the second quarter of 2010 was mainly due to the favorable impact from the Company’s allocation methodologies for internal transfers for funding charges and credits associated with the earning assets and interest-bearing liabilities of the Company’s reportable segments and the provision for credit losses, and merger-related costs incurred in 2009’s second quarter associated with M&amp;T’s acquisition of Provident, which totaled</w:t>
      </w:r>
    </w:p>
    <w:p>
      <w:pPr>
        <w:spacing w:after="0" w:line="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$66 million (there were no merger-related costs in the recent quarter). Partly offsetting those favorable factors was the recent quarter $12 million OTTI charge related to AIB ADSs which were obtained in M&amp;T’s acquisition of Allfirst in 2003. The recent quarter’s lower net loss as compared with the prior quarter was due to the impact of the Company’s allocation methodologies for internal transfers for funding charges and credits associated with the earning assets and interest-bearing liabilities of the Company’s reportable segments and the provision for credit losses, and a $17 million decline in personnel costs, reflecting decreased costs for stock-based compensation, payroll-related taxes and contributions to retirement savings plan benefits associated with annual incentive compensation payments made in the first quarter of each year, partially offset by the recent quarter’s OTTI charge. For the first six months of 2010, the “All Other” category recorded a net loss of $64 million, compared with a net loss of $232 million in the corresponding 2009 period. The lower net loss experienced in 2010 reflects the favorable impact from the Company’s allocation methodologies for internal transfers for funding charges and credits associated with the earning assets and interest-bearing liabilities of the Company’s reportable segments and the provision for credit losses, as well as $69 million of merger-related expenses associated with M&amp;T’s acquisition of Provident. There were no merger-related expenses in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2009, the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 The amended guidance became effective as of January 1, 2010.</w:t>
      </w:r>
    </w:p>
    <w:p>
      <w:pPr>
        <w:spacing w:after="0" w:line="8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June 2009, the FASB also issued amended accounting guidance relating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 on or after the effective date. Additionally, beginning January 1, 2010, the concept of a qualifying special-purpose entity is no longer relevant for accounting purposes. Therefore, formerly qualifying special-purpose entities must now be evaluated for consolidation in accordance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with applicable consolidation guidance, including the new accounting guidance relating to the consolidation of variable interest entities discussed in the previous paragraph.</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Effective January 1, 2010, the Company included in its consolidated financial statements one-to-four family residential mortgage loans that were included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two separate non-recourse securitization transactions using qualified special trusts. The effect of that consolidation was to increase loans receivable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$424 million, decrease the amortized cost of available-for-sale investment securities by $360 million (fair value of $355 million), and increase borrowings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$65 million as of January 1, 2010. Information concerning these securitization transactions is included in note 11 of Notes to Financial Statements.</w:t>
      </w:r>
    </w:p>
    <w:p>
      <w:pPr>
        <w:spacing w:after="0" w:line="114"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January 2010, the FASB amended fair value measurement and disclosure guidance to require disclosure of significant transfers in and out of Level 1 and Level 2 fair value measurements and the reasons for the transfers and to require separate presentation of information about purchases, sales, issuances and settlements in the roll forward of activity in Level 3 fair value measurements. The amended guidance also clarifies existing requirements that (i) fair value measurement disclosures should be disaggregated for each class of asset and liability and (ii) disclosures about valuation techniques and inputs for both recurring and nonrecurring Level 2 and Level 3 fair value measurements should be provided. The guidance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years. The adoption of this guidance did not impact the Company’s financial position or results of operations.</w:t>
      </w:r>
    </w:p>
    <w:p>
      <w:pPr>
        <w:spacing w:after="0" w:line="7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March 2010, the FASB amended accounting guidance relating to a scope exception for derivative accounting to clarify that only embedded credit derivative features related to the transfer of credit risk in the form of subordination of one financial instrument to another should not be analyzed for potential bifurcation from the host contract and separate accounting as a derivative. Embedded credit derivative features in a form other than subordination do not qualify for the scope exception, even if their effects are allocated according to subordination provisions. The guidance is effective at the beginning of the first quarter beginning after June 15, 2010. The Company does not anticipate that the adoption of this guidance will have a significant impact on the reporting of its financial position or results of its operations.</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April 2010, the FASB issued amended accounting guidance relating to the effect of a loan modification when the loan is part of a pool that is accounted for as a single asset under the guidance for loans and debt securities acquired with deteriorated credit quality. The amended guidance requires modifications of loans that are accounted for within a pool to remain in the pool even if the modification would be considered a troubled debt restructuring. Companies are required to continue to review the pool of assets in which the modified loan is included to determine whether the pool is impaired if the expected cash flows for the pool change. The guidance is effective for prospective modifications of loans accounted for within pools occurring in the first interim or annual period ending on or after July 15, 2010. The Company does not anticipate that the adoption of this guidance will have a significant impact on the reporting of its financial position or results of its operations.</w:t>
      </w:r>
    </w:p>
    <w:p>
      <w:pPr>
        <w:spacing w:after="0" w:line="8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July 2010, the FASB issued amended disclosure guidance relating to credit risk inherent in an entity’s portfolio of financing receivables and the related allowance for credit losses. The amended disclosures will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required at two disaggregated levels. One level of disaggregation is the portfolio segment which represents the level at which an entity develops and documents a systematic method for determining its allowance for credit losses. The second level of disaggregation is the class of financing receivables which generally represents a disaggregation of a portfolio segment. The amended disclosures include a rollforward of the allowance for credit losses by portfolio segment with the ending balance further disaggregated on the basis of the impairment method, the related recorded investment in each portfolio segment, the nonaccrual status of financing receivables by class, the impaired financing receivables by class, the credit quality indicators of financing receivables at the end of the reporting period by class, the aging of past due financing receivables at the end of the reporting period by class, the nature and extent of troubled debt restructurings that occurred during the period by class and their effect on the allowance for credit losses, the nature and extent of financing receivables modified as troubled debt restructurings within the previous twelve months that defaulted during the reporting period by class and their effect on the allowance for credit losses, and the significant purchases and sales of financing receivables during the reporting period by portfolio segment. The disclosures as of the end of a reporting period are effective for interim and annual reporting periods ending on or after December 15, 2010 and the disclosures about activity that occurs during a reporting period are effective for interim and annual reporting periods beginning on or after December 15, 2010. Upon initial application, the disclosures are not required for earlier periods that are presented for comparative purposes. The Company intends to comply with the disclosure requirements when they become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38"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w w:val="89"/>
              </w:rPr>
              <w:t>Table 1</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4"/>
                <w:szCs w:val="14"/>
                <w:color w:val="auto"/>
              </w:rPr>
              <w:t>2010 Quarters</w:t>
            </w:r>
          </w:p>
        </w:tc>
        <w:tc>
          <w:tcPr>
            <w:tcW w:w="1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4"/>
                <w:szCs w:val="14"/>
                <w:color w:val="auto"/>
              </w:rPr>
              <w:t>2009 Quarters</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color w:val="auto"/>
              </w:rPr>
              <w:t>Second</w:t>
            </w:r>
          </w:p>
        </w:tc>
        <w:tc>
          <w:tcPr>
            <w:tcW w:w="1380" w:type="dxa"/>
            <w:vAlign w:val="bottom"/>
            <w:tcBorders>
              <w:bottom w:val="single" w:sz="8" w:color="auto"/>
            </w:tcBorders>
          </w:tcPr>
          <w:p>
            <w:pPr>
              <w:jc w:val="right"/>
              <w:ind w:right="510"/>
              <w:spacing w:after="0" w:line="142" w:lineRule="exact"/>
              <w:rPr>
                <w:sz w:val="20"/>
                <w:szCs w:val="20"/>
                <w:color w:val="auto"/>
              </w:rPr>
            </w:pPr>
            <w:r>
              <w:rPr>
                <w:rFonts w:ascii="Arial" w:cs="Arial" w:eastAsia="Arial" w:hAnsi="Arial"/>
                <w:sz w:val="14"/>
                <w:szCs w:val="14"/>
                <w:color w:val="auto"/>
              </w:rPr>
              <w:t>First</w:t>
            </w:r>
          </w:p>
        </w:tc>
        <w:tc>
          <w:tcPr>
            <w:tcW w:w="138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color w:val="auto"/>
              </w:rPr>
              <w:t>Fourth</w:t>
            </w:r>
          </w:p>
        </w:tc>
        <w:tc>
          <w:tcPr>
            <w:tcW w:w="138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color w:val="auto"/>
              </w:rPr>
              <w:t>Third</w:t>
            </w:r>
          </w:p>
        </w:tc>
        <w:tc>
          <w:tcPr>
            <w:tcW w:w="140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color w:val="auto"/>
              </w:rPr>
              <w:t>Second</w:t>
            </w:r>
          </w:p>
        </w:tc>
        <w:tc>
          <w:tcPr>
            <w:tcW w:w="1180" w:type="dxa"/>
            <w:vAlign w:val="bottom"/>
            <w:tcBorders>
              <w:bottom w:val="single" w:sz="8" w:color="auto"/>
            </w:tcBorders>
          </w:tcPr>
          <w:p>
            <w:pPr>
              <w:jc w:val="right"/>
              <w:ind w:right="31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690,889</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682,309</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698,556</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706,388</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682,637</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659,445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89"/>
              </w:rPr>
              <w:t>117,557</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120,052</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133,950</w:t>
            </w: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152,938</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175,856</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206,705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573,332</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562,257</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564,606</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553,450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506,781</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452,740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85,000</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105,000</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145,000</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154,000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147,000</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158,000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273,557</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257,706</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265,890</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278,226</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271,649</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232,341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89"/>
              </w:rPr>
              <w:t>476,068</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489,362</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478,451</w:t>
            </w: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500,056</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563,710</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438,346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285,821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225,601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207,045</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177,620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67,720</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88,735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90,967</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68,723</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64,340</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44,161</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11,318</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19,581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6,105</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5,923</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5,887</w:t>
            </w:r>
          </w:p>
        </w:tc>
        <w:tc>
          <w:tcPr>
            <w:tcW w:w="13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5,795</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5,214</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89"/>
              </w:rPr>
              <w:t>188,749</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150,955</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136,818</w:t>
            </w: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127,664</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51,188</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64,221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176,088</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138,341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124,251</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115,143</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40,964</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55,322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 common share data</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1.47</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1.16</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1.05</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.97</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Diluted earnings</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1.46</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1.15</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.97</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.70</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118,054</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117,765</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117,506</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117,370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113,218</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89"/>
              </w:rPr>
              <w:t>118,878</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118,256</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117,672</w:t>
            </w: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117,547</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113,521</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110,439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Return 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1.11%</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w:t>
            </w:r>
          </w:p>
        </w:tc>
        <w:tc>
          <w:tcPr>
            <w:tcW w:w="13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Average common stockholders’ equity</w:t>
            </w: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9.67%</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7.86%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7.09%</w:t>
            </w:r>
          </w:p>
        </w:tc>
        <w:tc>
          <w:tcPr>
            <w:tcW w:w="1380" w:type="dxa"/>
            <w:vAlign w:val="bottom"/>
          </w:tcPr>
          <w:p>
            <w:pPr>
              <w:jc w:val="right"/>
              <w:ind w:right="231"/>
              <w:spacing w:after="0"/>
              <w:rPr>
                <w:sz w:val="20"/>
                <w:szCs w:val="20"/>
                <w:color w:val="auto"/>
              </w:rPr>
            </w:pPr>
            <w:r>
              <w:rPr>
                <w:rFonts w:ascii="Arial" w:cs="Arial" w:eastAsia="Arial" w:hAnsi="Arial"/>
                <w:sz w:val="18"/>
                <w:szCs w:val="18"/>
                <w:color w:val="auto"/>
              </w:rPr>
              <w:t>6.72%</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2.53%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interest margin on average earning</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(taxable-equivalent basis)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3.84%</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3.78%</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3.71%</w:t>
            </w:r>
          </w:p>
        </w:tc>
        <w:tc>
          <w:tcPr>
            <w:tcW w:w="13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3.61%</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w w:val="98"/>
              </w:rPr>
              <w:t>Nonaccrual loans to total loans and leases,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net of unearned discount</w:t>
            </w:r>
          </w:p>
        </w:tc>
        <w:tc>
          <w:tcPr>
            <w:tcW w:w="220" w:type="dxa"/>
            <w:vAlign w:val="bottom"/>
          </w:tcPr>
          <w:p>
            <w:pPr>
              <w:spacing w:after="0"/>
              <w:rPr>
                <w:sz w:val="20"/>
                <w:szCs w:val="20"/>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2.13%</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2.60%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2.56%</w:t>
            </w:r>
          </w:p>
        </w:tc>
        <w:tc>
          <w:tcPr>
            <w:tcW w:w="1380" w:type="dxa"/>
            <w:vAlign w:val="bottom"/>
          </w:tcPr>
          <w:p>
            <w:pPr>
              <w:jc w:val="right"/>
              <w:ind w:right="231"/>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2.11%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54.77%</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57.82%</w:t>
            </w: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54.62%</w:t>
            </w:r>
          </w:p>
        </w:tc>
        <w:tc>
          <w:tcPr>
            <w:tcW w:w="1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57.21%</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61.93%</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60.82%</w:t>
            </w:r>
          </w:p>
        </w:tc>
        <w:tc>
          <w:tcPr>
            <w:tcW w:w="20" w:type="dxa"/>
            <w:vAlign w:val="bottom"/>
          </w:tcPr>
          <w:p>
            <w:pPr>
              <w:spacing w:after="0"/>
              <w:rPr>
                <w:sz w:val="18"/>
                <w:szCs w:val="18"/>
                <w:color w:val="auto"/>
              </w:rPr>
            </w:pPr>
          </w:p>
        </w:tc>
      </w:tr>
      <w:tr>
        <w:trPr>
          <w:trHeight w:val="20"/>
        </w:trPr>
        <w:tc>
          <w:tcPr>
            <w:tcW w:w="3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(in thousands)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89"/>
              </w:rPr>
              <w:t>197,752</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160,953</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150,776</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128,761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100,805</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75,034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Diluted net operating income per common</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1.53</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1.23</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1.16</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.98</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.79</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Average tangible assets</w:t>
            </w: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1.23%</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1380" w:type="dxa"/>
            <w:vAlign w:val="bottom"/>
          </w:tcPr>
          <w:p>
            <w:pPr>
              <w:jc w:val="right"/>
              <w:ind w:right="231"/>
              <w:spacing w:after="0"/>
              <w:rPr>
                <w:sz w:val="20"/>
                <w:szCs w:val="20"/>
                <w:color w:val="auto"/>
              </w:rPr>
            </w:pPr>
            <w:r>
              <w:rPr>
                <w:rFonts w:ascii="Arial" w:cs="Arial" w:eastAsia="Arial" w:hAnsi="Arial"/>
                <w:sz w:val="18"/>
                <w:szCs w:val="18"/>
                <w:color w:val="auto"/>
              </w:rPr>
              <w:t>.78%</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tangible common equity</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20.36%</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17.34%</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16.73%</w:t>
            </w:r>
          </w:p>
        </w:tc>
        <w:tc>
          <w:tcPr>
            <w:tcW w:w="13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14.87%</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12.08%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53.06%</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55.88%</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52.69%</w:t>
            </w:r>
          </w:p>
        </w:tc>
        <w:tc>
          <w:tcPr>
            <w:tcW w:w="13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55.21%</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60.03%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68,334</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68,883</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68,919</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69,154</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66,984</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64,766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64,679</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65,216</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65,240</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65,462</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63,500</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59,811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60,331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60,451</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60,900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59,297</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57,509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8,376</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8,172</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8,197</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8,420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8,508</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8,490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200"/>
              <w:spacing w:after="0" w:line="201" w:lineRule="exact"/>
              <w:rPr>
                <w:sz w:val="20"/>
                <w:szCs w:val="20"/>
                <w:color w:val="auto"/>
              </w:rPr>
            </w:pPr>
            <w:r>
              <w:rPr>
                <w:rFonts w:ascii="Arial" w:cs="Arial" w:eastAsia="Arial" w:hAnsi="Arial"/>
                <w:sz w:val="18"/>
                <w:szCs w:val="18"/>
                <w:color w:val="auto"/>
              </w:rPr>
              <w:t>Loans and leases, net of unearned</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400"/>
              <w:spacing w:after="0"/>
              <w:rPr>
                <w:sz w:val="20"/>
                <w:szCs w:val="20"/>
                <w:color w:val="auto"/>
              </w:rPr>
            </w:pPr>
            <w:r>
              <w:rPr>
                <w:rFonts w:ascii="Arial" w:cs="Arial" w:eastAsia="Arial" w:hAnsi="Arial"/>
                <w:sz w:val="18"/>
                <w:szCs w:val="18"/>
                <w:color w:val="auto"/>
              </w:rPr>
              <w:t>discount</w:t>
            </w:r>
          </w:p>
        </w:tc>
        <w:tc>
          <w:tcPr>
            <w:tcW w:w="22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51,278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51,948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52,087</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52,320</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50,554</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48,824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47,932</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47,394</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47,365</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46,720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43,846</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41,487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Common equity (c)</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7,302</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7,136</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6,957</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6,794</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6,491</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Tangible common equity (c)</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3,647</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3,469</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3,278</w:t>
            </w:r>
          </w:p>
        </w:tc>
        <w:tc>
          <w:tcPr>
            <w:tcW w:w="13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3,102</w:t>
            </w: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3,007</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At end of quarter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68,154</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68,439</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68,880</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68,997</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69,913</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64,505</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64,778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65,208</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65,312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66,215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61,544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59,368</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59,741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59,928</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59,993</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61,044</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56,823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8,098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8,105</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7,781</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7,634</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8,155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7,687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and leases, net of unearned</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51,061</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51,444</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51,937</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52,204</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52,715</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48,918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47,523</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47,538</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47,450</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46,862</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46,755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42,477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equity, net of undeclared</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dividends (c)</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7,360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7,177</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7,017</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6,879</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6,669</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Tangible common equity (c)</w:t>
            </w:r>
          </w:p>
        </w:tc>
        <w:tc>
          <w:tcPr>
            <w:tcW w:w="22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3,711</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3,516</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3,345</w:t>
            </w:r>
          </w:p>
        </w:tc>
        <w:tc>
          <w:tcPr>
            <w:tcW w:w="1380" w:type="dxa"/>
            <w:vAlign w:val="bottom"/>
          </w:tcPr>
          <w:p>
            <w:pPr>
              <w:jc w:val="right"/>
              <w:ind w:right="391"/>
              <w:spacing w:after="0"/>
              <w:rPr>
                <w:sz w:val="20"/>
                <w:szCs w:val="20"/>
                <w:color w:val="auto"/>
              </w:rPr>
            </w:pPr>
            <w:r>
              <w:rPr>
                <w:rFonts w:ascii="Arial" w:cs="Arial" w:eastAsia="Arial" w:hAnsi="Arial"/>
                <w:sz w:val="18"/>
                <w:szCs w:val="18"/>
                <w:color w:val="auto"/>
              </w:rPr>
              <w:t>3,194</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2,971</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per common share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61.77</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60.40</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59.31</w:t>
            </w:r>
          </w:p>
        </w:tc>
        <w:tc>
          <w:tcPr>
            <w:tcW w:w="13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58.22</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56.51</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Tangible equity per common share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31.15</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29.59</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28.27</w:t>
            </w: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27.03</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25.17</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Market price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2160" w:type="dxa"/>
            <w:vAlign w:val="bottom"/>
          </w:tcPr>
          <w:p>
            <w:pPr>
              <w:ind w:left="220"/>
              <w:spacing w:after="0"/>
              <w:rPr>
                <w:sz w:val="20"/>
                <w:szCs w:val="20"/>
                <w:color w:val="auto"/>
              </w:rPr>
            </w:pPr>
            <w:r>
              <w:rPr>
                <w:rFonts w:ascii="Arial" w:cs="Arial" w:eastAsia="Arial" w:hAnsi="Arial"/>
                <w:sz w:val="18"/>
                <w:szCs w:val="18"/>
                <w:color w:val="auto"/>
              </w:rPr>
              <w:t>High</w:t>
            </w:r>
          </w:p>
        </w:tc>
        <w:tc>
          <w:tcPr>
            <w:tcW w:w="2560" w:type="dxa"/>
            <w:vAlign w:val="bottom"/>
          </w:tcPr>
          <w:p>
            <w:pPr>
              <w:jc w:val="right"/>
              <w:ind w:right="390"/>
              <w:spacing w:after="0"/>
              <w:rPr>
                <w:sz w:val="20"/>
                <w:szCs w:val="20"/>
                <w:color w:val="auto"/>
              </w:rPr>
            </w:pPr>
            <w:r>
              <w:rPr>
                <w:rFonts w:ascii="Arial" w:cs="Arial" w:eastAsia="Arial" w:hAnsi="Arial"/>
                <w:sz w:val="18"/>
                <w:szCs w:val="18"/>
                <w:color w:val="auto"/>
              </w:rPr>
              <w:t>$  96.15</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85.00</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69.89</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67.46</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61.87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59.08</w:t>
            </w:r>
          </w:p>
        </w:tc>
      </w:tr>
      <w:tr>
        <w:trPr>
          <w:trHeight w:val="21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2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74.11</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66.32</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59.09</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50.33</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43.50</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29.11</w:t>
            </w:r>
          </w:p>
        </w:tc>
      </w:tr>
      <w:tr>
        <w:trPr>
          <w:trHeight w:val="216"/>
        </w:trPr>
        <w:tc>
          <w:tcPr>
            <w:tcW w:w="2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Closing</w:t>
            </w:r>
          </w:p>
        </w:tc>
        <w:tc>
          <w:tcPr>
            <w:tcW w:w="2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84.95</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79.38</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66.89</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62.32</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50.93</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45.24</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76" w:lineRule="exact"/>
        <w:rPr>
          <w:rFonts w:ascii="Arial" w:cs="Arial" w:eastAsia="Arial" w:hAnsi="Arial"/>
          <w:sz w:val="18"/>
          <w:szCs w:val="18"/>
          <w:i w:val="1"/>
          <w:iCs w:val="1"/>
          <w:color w:val="auto"/>
        </w:rPr>
      </w:pPr>
    </w:p>
    <w:p>
      <w:pPr>
        <w:ind w:left="460" w:right="320" w:hanging="452"/>
        <w:spacing w:after="0" w:line="264" w:lineRule="auto"/>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pacing w:after="0" w:line="32" w:lineRule="exact"/>
        <w:rPr>
          <w:rFonts w:ascii="Arial" w:cs="Arial" w:eastAsia="Arial" w:hAnsi="Arial"/>
          <w:sz w:val="18"/>
          <w:szCs w:val="18"/>
          <w:i w:val="1"/>
          <w:iCs w:val="1"/>
          <w:color w:val="auto"/>
        </w:rPr>
      </w:pPr>
    </w:p>
    <w:p>
      <w:pPr>
        <w:ind w:left="460" w:right="280" w:hanging="452"/>
        <w:spacing w:after="0" w:line="277" w:lineRule="auto"/>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difference between total assets and total tangible assets, and common equity and tangible common equity, represents goodwill, core deposit and other intangible assets, net of applicable deferred tax balances. A reconciliation of such balances appears in table 2.</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89"/>
              </w:rPr>
              <w:t>Table 2</w:t>
            </w:r>
          </w:p>
        </w:tc>
      </w:tr>
      <w:tr>
        <w:trPr>
          <w:trHeight w:val="432"/>
        </w:trPr>
        <w:tc>
          <w:tcPr>
            <w:tcW w:w="5900" w:type="dxa"/>
            <w:vAlign w:val="bottom"/>
            <w:gridSpan w:val="5"/>
          </w:tcPr>
          <w:p>
            <w:pPr>
              <w:spacing w:after="0"/>
              <w:rPr>
                <w:sz w:val="20"/>
                <w:szCs w:val="20"/>
                <w:color w:val="auto"/>
              </w:rPr>
            </w:pPr>
            <w:r>
              <w:rPr>
                <w:rFonts w:ascii="Arial" w:cs="Arial" w:eastAsia="Arial" w:hAnsi="Arial"/>
                <w:sz w:val="18"/>
                <w:szCs w:val="18"/>
                <w:color w:val="auto"/>
                <w:w w:val="99"/>
              </w:rPr>
              <w:t>RECONCILIATION OF QUARTERLY GAAP TO NON-GAAP MEASURES</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 Quarters</w:t>
            </w: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Quarters</w:t>
            </w: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71"/>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770"/>
              <w:spacing w:after="0" w:line="142" w:lineRule="exact"/>
              <w:rPr>
                <w:sz w:val="20"/>
                <w:szCs w:val="20"/>
                <w:color w:val="auto"/>
              </w:rPr>
            </w:pPr>
            <w:r>
              <w:rPr>
                <w:rFonts w:ascii="Arial" w:cs="Arial" w:eastAsia="Arial" w:hAnsi="Arial"/>
                <w:sz w:val="14"/>
                <w:szCs w:val="14"/>
                <w:color w:val="auto"/>
              </w:rPr>
              <w:t>First</w:t>
            </w:r>
          </w:p>
        </w:tc>
        <w:tc>
          <w:tcPr>
            <w:tcW w:w="128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Fourth</w:t>
            </w:r>
          </w:p>
        </w:tc>
        <w:tc>
          <w:tcPr>
            <w:tcW w:w="1880" w:type="dxa"/>
            <w:vAlign w:val="bottom"/>
            <w:tcBorders>
              <w:bottom w:val="single" w:sz="8" w:color="auto"/>
            </w:tcBorders>
          </w:tcPr>
          <w:p>
            <w:pPr>
              <w:jc w:val="right"/>
              <w:ind w:right="931"/>
              <w:spacing w:after="0" w:line="142" w:lineRule="exact"/>
              <w:rPr>
                <w:sz w:val="20"/>
                <w:szCs w:val="20"/>
                <w:color w:val="auto"/>
              </w:rPr>
            </w:pPr>
            <w:r>
              <w:rPr>
                <w:rFonts w:ascii="Arial" w:cs="Arial" w:eastAsia="Arial" w:hAnsi="Arial"/>
                <w:sz w:val="14"/>
                <w:szCs w:val="14"/>
                <w:color w:val="auto"/>
              </w:rPr>
              <w:t>Third</w:t>
            </w:r>
          </w:p>
        </w:tc>
        <w:tc>
          <w:tcPr>
            <w:tcW w:w="110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188,749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150,955</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136,818</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127,664</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51,188</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64,221</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9,003</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9,998</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10,152</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10,270</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9,247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9,337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Merger-related gain (a)</w:t>
            </w:r>
          </w:p>
        </w:tc>
        <w:tc>
          <w:tcPr>
            <w:tcW w:w="420" w:type="dxa"/>
            <w:vAlign w:val="bottom"/>
          </w:tcPr>
          <w:p>
            <w:pPr>
              <w:spacing w:after="0"/>
              <w:rPr>
                <w:sz w:val="18"/>
                <w:szCs w:val="18"/>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(17,684)</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3,806</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8,511</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40,370</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operating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w w:val="89"/>
              </w:rPr>
              <w:t>197,752</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89"/>
              </w:rPr>
              <w:t>160,953</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150,776</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128,761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100,805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75,034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Diluted earnings per common</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1.46</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1.15</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.97</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.36</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.07</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.08</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.09</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Merger-related gain (a)</w:t>
            </w:r>
          </w:p>
        </w:tc>
        <w:tc>
          <w:tcPr>
            <w:tcW w:w="420" w:type="dxa"/>
            <w:vAlign w:val="bottom"/>
          </w:tcPr>
          <w:p>
            <w:pPr>
              <w:spacing w:after="0"/>
              <w:rPr>
                <w:sz w:val="18"/>
                <w:szCs w:val="18"/>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.03</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.07</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.35</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Diluted net operating earnings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per common share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1.53</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1.23</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1.16</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.98</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.79</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476,068</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489,362</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478,451</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500,056</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563,710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438,346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5"/>
              </w:rPr>
              <w:t>(14,833)</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5"/>
              </w:rPr>
              <w:t>(16,475)</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(16,730)</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(16,924)</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5"/>
              </w:rPr>
              <w:t>(15,231)</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(15,370)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(6,264)</w:t>
            </w:r>
          </w:p>
        </w:tc>
        <w:tc>
          <w:tcPr>
            <w:tcW w:w="188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(14,010)</w:t>
            </w: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5"/>
              </w:rPr>
              <w:t>(66,457)</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461,235</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89"/>
              </w:rPr>
              <w:t>472,887</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455,457</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469,122</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482,022</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420,550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381</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870</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8,768</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20" w:type="dxa"/>
            <w:vAlign w:val="bottom"/>
          </w:tcPr>
          <w:p>
            <w:pPr>
              <w:spacing w:after="0"/>
              <w:rPr>
                <w:sz w:val="18"/>
                <w:szCs w:val="18"/>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545</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1,845</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581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233</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629</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2,514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5,105</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10,666</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54,594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6,264</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14,010</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66,457</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r>
      <w:tr>
        <w:trPr>
          <w:trHeight w:val="20"/>
        </w:trPr>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68,334</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68,883</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68,919</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69,154</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66,984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64,766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(3,525)</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(3,525)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(3,525)</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(3,326)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(160)</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(208)</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(188)</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34</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37</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64,679</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65,216</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65,240</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65,462</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63,500</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61,420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8,036</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7,868</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7,686</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7,521</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7,127</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(734)</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(732)</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(729)</w:t>
            </w:r>
          </w:p>
        </w:tc>
        <w:tc>
          <w:tcPr>
            <w:tcW w:w="188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(727)</w:t>
            </w: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(636)</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equity</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7,302</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7,136</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6,957</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6,794</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6,491</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(3,525)</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(3,525)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(3,525)</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(3,326)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(160)</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(208)</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(188)</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34</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37</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3,647</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3,469</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3,278</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3,102</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3,007</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20"/>
                <w:szCs w:val="20"/>
                <w:color w:val="auto"/>
              </w:rPr>
            </w:pPr>
          </w:p>
        </w:tc>
      </w:tr>
      <w:tr>
        <w:trPr>
          <w:trHeight w:val="20"/>
        </w:trPr>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68,154</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68,439</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68,880</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68,997</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69,913</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64,883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(3,525)</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(3,525)</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(3,525)</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(3,525)</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(3,525)</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(152)</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(167)</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(182)</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(199)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31</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43</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64,505</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64,778</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65,208</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65,312</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66,215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61,544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equity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8,102</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7,916</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7,753</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7,612</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7,400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6,902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(735)</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(733)</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(730)</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(728)</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(725)</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Undeclared dividends —</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w:t>
            </w:r>
          </w:p>
        </w:tc>
        <w:tc>
          <w:tcPr>
            <w:tcW w:w="188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(5)</w:t>
            </w: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bl>
    <w:p>
      <w:pPr>
        <w:sectPr>
          <w:pgSz w:w="11900" w:h="16900" w:orient="portrait"/>
          <w:cols w:equalWidth="0" w:num="1">
            <w:col w:w="11420"/>
          </w:cols>
          <w:pgMar w:left="240" w:top="419"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net of</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7,360</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7,177</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7,017</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6,879</w:t>
            </w:r>
          </w:p>
        </w:tc>
        <w:tc>
          <w:tcPr>
            <w:tcW w:w="1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6,669</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6,329</w:t>
            </w:r>
          </w:p>
        </w:tc>
      </w:tr>
      <w:tr>
        <w:trPr>
          <w:trHeight w:val="230"/>
        </w:trPr>
        <w:tc>
          <w:tcPr>
            <w:tcW w:w="20" w:type="dxa"/>
            <w:vAlign w:val="bottom"/>
          </w:tcPr>
          <w:p>
            <w:pPr>
              <w:spacing w:after="0"/>
              <w:rPr>
                <w:sz w:val="20"/>
                <w:szCs w:val="20"/>
                <w:color w:val="auto"/>
              </w:rPr>
            </w:pPr>
          </w:p>
        </w:tc>
        <w:tc>
          <w:tcPr>
            <w:tcW w:w="2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undeclared preferred dividends</w:t>
            </w:r>
          </w:p>
        </w:tc>
        <w:tc>
          <w:tcPr>
            <w:tcW w:w="15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(3,525)</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(3,525)</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(3,525)</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(3,192)</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15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(152)</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(167)</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(182)</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(199)</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(216)</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35</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39</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43</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tangible common equity</w:t>
            </w:r>
          </w:p>
        </w:tc>
        <w:tc>
          <w:tcPr>
            <w:tcW w:w="15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  3,711</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3,516</w:t>
            </w:r>
          </w:p>
        </w:tc>
        <w:tc>
          <w:tcPr>
            <w:tcW w:w="15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3,345</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3,194</w:t>
            </w: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2,971</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2,990</w:t>
            </w: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86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Average</w:t>
            </w:r>
          </w:p>
        </w:tc>
        <w:tc>
          <w:tcPr>
            <w:tcW w:w="1320" w:type="dxa"/>
            <w:vAlign w:val="bottom"/>
          </w:tcPr>
          <w:p>
            <w:pPr>
              <w:jc w:val="right"/>
              <w:spacing w:after="0"/>
              <w:rPr>
                <w:sz w:val="20"/>
                <w:szCs w:val="20"/>
                <w:color w:val="auto"/>
              </w:rPr>
            </w:pPr>
            <w:r>
              <w:rPr>
                <w:rFonts w:ascii="Arial" w:cs="Arial" w:eastAsia="Arial" w:hAnsi="Arial"/>
                <w:sz w:val="14"/>
                <w:szCs w:val="14"/>
                <w:color w:val="auto"/>
                <w:w w:val="91"/>
              </w:rPr>
              <w:t>2010 Second Quarter</w:t>
            </w: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w w:val="98"/>
              </w:rPr>
              <w:t>2010 First Quarter</w:t>
            </w: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300" w:type="dxa"/>
            <w:vAlign w:val="bottom"/>
          </w:tcPr>
          <w:p>
            <w:pPr>
              <w:jc w:val="right"/>
              <w:spacing w:after="0"/>
              <w:rPr>
                <w:sz w:val="20"/>
                <w:szCs w:val="20"/>
                <w:color w:val="auto"/>
              </w:rPr>
            </w:pPr>
            <w:r>
              <w:rPr>
                <w:rFonts w:ascii="Arial" w:cs="Arial" w:eastAsia="Arial" w:hAnsi="Arial"/>
                <w:sz w:val="14"/>
                <w:szCs w:val="14"/>
                <w:color w:val="auto"/>
                <w:w w:val="94"/>
              </w:rPr>
              <w:t>2009 Fourth Quarter</w:t>
            </w: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Balance</w:t>
            </w:r>
          </w:p>
        </w:tc>
        <w:tc>
          <w:tcPr>
            <w:tcW w:w="1320" w:type="dxa"/>
            <w:vAlign w:val="bottom"/>
          </w:tcPr>
          <w:p>
            <w:pPr>
              <w:jc w:val="right"/>
              <w:ind w:right="331"/>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Interest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30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680" w:type="dxa"/>
            <w:vAlign w:val="bottom"/>
          </w:tcPr>
          <w:p>
            <w:pPr>
              <w:jc w:val="right"/>
              <w:ind w:right="13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13,096</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$131,460</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4.03%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13,408</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128,147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3.88%</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13,527</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132,068</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20,759</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240,728</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4.64</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20,867</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233,561</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4.48</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20,950</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234,541</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5,653</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75,643</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5.35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5,742</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76,283</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5.31</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5,457</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73,290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11,770</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153,728</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5.24</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11,931</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154,688</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5.26</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12,153</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162,832</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51,278</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601,559</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4.71</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51,948</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592,679</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4.63</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52,087</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602,731</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13</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159</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121</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117</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U.S. Treasury and federal agencies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51,282</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4.32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49,131</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4.53</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44,984</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3,963</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5.85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3,741</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5.66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4,084</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33,910</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4.07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3,508</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36,618</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4.23</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4,047</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46,615</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89,155</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4.27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8,172</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89,490</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4.44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8,197</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95,683</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59,811</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690,889</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4.63</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60,331</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682,309</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4.59</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60,451</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698,556</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w:t>
            </w: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1,136</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8,316</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8,174</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68,334</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68,883</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68,919</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Liabilities and stockholders’ equity</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219</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200</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261</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25,942</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21,464</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.33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25,068</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20,449</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.33</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24,237</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22,190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3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26,254</w:t>
            </w:r>
          </w:p>
        </w:tc>
        <w:tc>
          <w:tcPr>
            <w:tcW w:w="7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7,210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29,446</w:t>
            </w:r>
          </w:p>
        </w:tc>
        <w:tc>
          <w:tcPr>
            <w:tcW w:w="8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1.66</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8,304</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39,516</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376</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1,237</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325</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1,300</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353</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34,322</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48,313</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.56</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34,100</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50,420</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.60</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34,420</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62,320</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1,763</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726</w:t>
            </w:r>
          </w:p>
        </w:tc>
        <w:tc>
          <w:tcPr>
            <w:tcW w:w="760" w:type="dxa"/>
            <w:vAlign w:val="bottom"/>
          </w:tcPr>
          <w:p>
            <w:pPr>
              <w:jc w:val="right"/>
              <w:ind w:right="231"/>
              <w:spacing w:after="0"/>
              <w:rPr>
                <w:sz w:val="20"/>
                <w:szCs w:val="20"/>
                <w:color w:val="auto"/>
              </w:rPr>
            </w:pPr>
            <w:r>
              <w:rPr>
                <w:rFonts w:ascii="Arial" w:cs="Arial" w:eastAsia="Arial" w:hAnsi="Arial"/>
                <w:sz w:val="18"/>
                <w:szCs w:val="18"/>
                <w:color w:val="auto"/>
              </w:rPr>
              <w:t>.17</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2,367</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887</w:t>
            </w:r>
          </w:p>
        </w:tc>
        <w:tc>
          <w:tcPr>
            <w:tcW w:w="800" w:type="dxa"/>
            <w:vAlign w:val="bottom"/>
          </w:tcPr>
          <w:p>
            <w:pPr>
              <w:jc w:val="right"/>
              <w:ind w:right="251"/>
              <w:spacing w:after="0"/>
              <w:rPr>
                <w:sz w:val="20"/>
                <w:szCs w:val="20"/>
                <w:color w:val="auto"/>
              </w:rPr>
            </w:pPr>
            <w:r>
              <w:rPr>
                <w:rFonts w:ascii="Arial" w:cs="Arial" w:eastAsia="Arial" w:hAnsi="Arial"/>
                <w:sz w:val="18"/>
                <w:szCs w:val="18"/>
                <w:color w:val="auto"/>
              </w:rPr>
              <w:t>.15</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2,308</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1,002</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3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68,518</w:t>
            </w: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2.91</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10,160</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68,745</w:t>
            </w: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2.74</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10,253</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70,628</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Total interest-bearing liabilities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45,539</w:t>
            </w: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117,557</w:t>
            </w: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1.04</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46,627</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120,052</w:t>
            </w: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46,981</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133,950</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13,610</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13,294</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12,945</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1,094</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1,307</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60,298</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61,015</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61,233</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7,868</w:t>
            </w: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7,686</w:t>
            </w:r>
          </w:p>
        </w:tc>
        <w:tc>
          <w:tcPr>
            <w:tcW w:w="1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stockholders’</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68,334</w:t>
            </w:r>
          </w:p>
        </w:tc>
        <w:tc>
          <w:tcPr>
            <w:tcW w:w="1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68,883</w:t>
            </w:r>
          </w:p>
        </w:tc>
        <w:tc>
          <w:tcPr>
            <w:tcW w:w="1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68,919</w:t>
            </w:r>
          </w:p>
        </w:tc>
        <w:tc>
          <w:tcPr>
            <w:tcW w:w="1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3.59</w:t>
            </w:r>
          </w:p>
        </w:tc>
        <w:tc>
          <w:tcPr>
            <w:tcW w:w="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3.55</w:t>
            </w:r>
          </w:p>
        </w:tc>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.23</w:t>
            </w:r>
          </w:p>
        </w:tc>
        <w:tc>
          <w:tcPr>
            <w:tcW w:w="7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$573,332</w:t>
            </w: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3.84%</w:t>
            </w: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562,257</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3.78%</w:t>
            </w: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564,606</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432"/>
        </w:trPr>
        <w:tc>
          <w:tcPr>
            <w:tcW w:w="776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jc w:val="right"/>
              <w:ind w:right="231"/>
              <w:spacing w:after="0"/>
              <w:rPr>
                <w:sz w:val="20"/>
                <w:szCs w:val="20"/>
                <w:color w:val="auto"/>
              </w:rPr>
            </w:pPr>
            <w:r>
              <w:rPr>
                <w:rFonts w:ascii="Arial" w:cs="Arial" w:eastAsia="Arial" w:hAnsi="Arial"/>
                <w:sz w:val="14"/>
                <w:szCs w:val="14"/>
                <w:color w:val="auto"/>
              </w:rPr>
              <w:t>2009 Third Quarter</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2"/>
          </w:tcPr>
          <w:p>
            <w:pPr>
              <w:jc w:val="right"/>
              <w:ind w:right="1191"/>
              <w:spacing w:after="0"/>
              <w:rPr>
                <w:sz w:val="20"/>
                <w:szCs w:val="20"/>
                <w:color w:val="auto"/>
              </w:rPr>
            </w:pPr>
            <w:r>
              <w:rPr>
                <w:rFonts w:ascii="Arial" w:cs="Arial" w:eastAsia="Arial" w:hAnsi="Arial"/>
                <w:sz w:val="14"/>
                <w:szCs w:val="14"/>
                <w:color w:val="auto"/>
              </w:rPr>
              <w:t>2009 Second Quarter</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91"/>
              </w:rPr>
              <w:t>Average</w:t>
            </w:r>
          </w:p>
        </w:tc>
        <w:tc>
          <w:tcPr>
            <w:tcW w:w="1680" w:type="dxa"/>
            <w:vAlign w:val="bottom"/>
          </w:tcPr>
          <w:p>
            <w:pPr>
              <w:spacing w:after="0"/>
              <w:rPr>
                <w:sz w:val="12"/>
                <w:szCs w:val="12"/>
                <w:color w:val="auto"/>
              </w:rPr>
            </w:pPr>
          </w:p>
        </w:tc>
        <w:tc>
          <w:tcPr>
            <w:tcW w:w="1540" w:type="dxa"/>
            <w:vAlign w:val="bottom"/>
          </w:tcPr>
          <w:p>
            <w:pPr>
              <w:jc w:val="right"/>
              <w:ind w:right="631"/>
              <w:spacing w:after="0" w:line="149" w:lineRule="exact"/>
              <w:rPr>
                <w:sz w:val="20"/>
                <w:szCs w:val="20"/>
                <w:color w:val="auto"/>
              </w:rPr>
            </w:pPr>
            <w:r>
              <w:rPr>
                <w:rFonts w:ascii="Arial" w:cs="Arial" w:eastAsia="Arial" w:hAnsi="Arial"/>
                <w:sz w:val="14"/>
                <w:szCs w:val="14"/>
                <w:color w:val="auto"/>
              </w:rPr>
              <w:t>Average</w:t>
            </w:r>
          </w:p>
        </w:tc>
        <w:tc>
          <w:tcPr>
            <w:tcW w:w="92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Average</w:t>
            </w:r>
          </w:p>
        </w:tc>
        <w:tc>
          <w:tcPr>
            <w:tcW w:w="1280" w:type="dxa"/>
            <w:vAlign w:val="bottom"/>
          </w:tcPr>
          <w:p>
            <w:pPr>
              <w:spacing w:after="0"/>
              <w:rPr>
                <w:sz w:val="12"/>
                <w:szCs w:val="12"/>
                <w:color w:val="auto"/>
              </w:rPr>
            </w:pPr>
          </w:p>
        </w:tc>
        <w:tc>
          <w:tcPr>
            <w:tcW w:w="146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6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color w:val="auto"/>
                <w:w w:val="90"/>
              </w:rPr>
              <w:t>Balance</w:t>
            </w:r>
          </w:p>
        </w:tc>
        <w:tc>
          <w:tcPr>
            <w:tcW w:w="1680" w:type="dxa"/>
            <w:vAlign w:val="bottom"/>
          </w:tcPr>
          <w:p>
            <w:pPr>
              <w:jc w:val="right"/>
              <w:ind w:right="491"/>
              <w:spacing w:after="0"/>
              <w:rPr>
                <w:sz w:val="20"/>
                <w:szCs w:val="20"/>
                <w:color w:val="auto"/>
              </w:rPr>
            </w:pPr>
            <w:r>
              <w:rPr>
                <w:rFonts w:ascii="Arial" w:cs="Arial" w:eastAsia="Arial" w:hAnsi="Arial"/>
                <w:sz w:val="14"/>
                <w:szCs w:val="14"/>
                <w:color w:val="auto"/>
              </w:rPr>
              <w:t>Interest</w:t>
            </w:r>
          </w:p>
        </w:tc>
        <w:tc>
          <w:tcPr>
            <w:tcW w:w="1540" w:type="dxa"/>
            <w:vAlign w:val="bottom"/>
          </w:tcPr>
          <w:p>
            <w:pPr>
              <w:jc w:val="right"/>
              <w:ind w:right="751"/>
              <w:spacing w:after="0"/>
              <w:rPr>
                <w:sz w:val="20"/>
                <w:szCs w:val="20"/>
                <w:color w:val="auto"/>
              </w:rPr>
            </w:pPr>
            <w:r>
              <w:rPr>
                <w:rFonts w:ascii="Arial" w:cs="Arial" w:eastAsia="Arial" w:hAnsi="Arial"/>
                <w:sz w:val="14"/>
                <w:szCs w:val="14"/>
                <w:color w:val="auto"/>
              </w:rPr>
              <w:t>Rate</w:t>
            </w:r>
          </w:p>
        </w:tc>
        <w:tc>
          <w:tcPr>
            <w:tcW w:w="920" w:type="dxa"/>
            <w:vAlign w:val="bottom"/>
          </w:tcPr>
          <w:p>
            <w:pPr>
              <w:jc w:val="right"/>
              <w:ind w:right="23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1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Earning assets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13,801</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$131,433</w:t>
            </w:r>
          </w:p>
        </w:tc>
        <w:tc>
          <w:tcPr>
            <w:tcW w:w="1540" w:type="dxa"/>
            <w:vAlign w:val="bottom"/>
          </w:tcPr>
          <w:p>
            <w:pPr>
              <w:jc w:val="right"/>
              <w:ind w:right="591"/>
              <w:spacing w:after="0"/>
              <w:rPr>
                <w:sz w:val="20"/>
                <w:szCs w:val="20"/>
                <w:color w:val="auto"/>
              </w:rPr>
            </w:pPr>
            <w:r>
              <w:rPr>
                <w:rFonts w:ascii="Arial" w:cs="Arial" w:eastAsia="Arial" w:hAnsi="Arial"/>
                <w:sz w:val="18"/>
                <w:szCs w:val="18"/>
                <w:color w:val="auto"/>
              </w:rPr>
              <w:t>3.78%</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14,067</w:t>
            </w:r>
          </w:p>
        </w:tc>
        <w:tc>
          <w:tcPr>
            <w:tcW w:w="1280" w:type="dxa"/>
            <w:vAlign w:val="bottom"/>
          </w:tcPr>
          <w:p>
            <w:pPr>
              <w:jc w:val="right"/>
              <w:spacing w:after="0"/>
              <w:rPr>
                <w:sz w:val="20"/>
                <w:szCs w:val="20"/>
                <w:color w:val="auto"/>
              </w:rPr>
            </w:pPr>
            <w:r>
              <w:rPr>
                <w:rFonts w:ascii="Arial" w:cs="Arial" w:eastAsia="Arial" w:hAnsi="Arial"/>
                <w:sz w:val="18"/>
                <w:szCs w:val="18"/>
                <w:color w:val="auto"/>
              </w:rPr>
              <w:t>131,886</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20,843</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233,370</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4.48</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19,719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219,813</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4.46</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5,429</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73,752</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5.43</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5,262</w:t>
            </w:r>
          </w:p>
        </w:tc>
        <w:tc>
          <w:tcPr>
            <w:tcW w:w="1280" w:type="dxa"/>
            <w:vAlign w:val="bottom"/>
          </w:tcPr>
          <w:p>
            <w:pPr>
              <w:jc w:val="right"/>
              <w:spacing w:after="0"/>
              <w:rPr>
                <w:sz w:val="20"/>
                <w:szCs w:val="20"/>
                <w:color w:val="auto"/>
              </w:rPr>
            </w:pPr>
            <w:r>
              <w:rPr>
                <w:rFonts w:ascii="Arial" w:cs="Arial" w:eastAsia="Arial" w:hAnsi="Arial"/>
                <w:sz w:val="18"/>
                <w:szCs w:val="18"/>
                <w:color w:val="auto"/>
              </w:rPr>
              <w:t>71,079</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12,247</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165,665</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5.37</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11,506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155,609</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5.42</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52,320</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604,220</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4.58</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50,554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578,387</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4.59</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66</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.05</w:t>
            </w: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11</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17</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.58</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73</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83</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169</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.82</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securities**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3,803</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45,216</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4.72</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3,806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4.88</w:t>
            </w: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278</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3,965</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5.66</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198</w:t>
            </w:r>
          </w:p>
        </w:tc>
        <w:tc>
          <w:tcPr>
            <w:tcW w:w="1280" w:type="dxa"/>
            <w:vAlign w:val="bottom"/>
          </w:tcPr>
          <w:p>
            <w:pPr>
              <w:jc w:val="right"/>
              <w:spacing w:after="0"/>
              <w:rPr>
                <w:sz w:val="20"/>
                <w:szCs w:val="20"/>
                <w:color w:val="auto"/>
              </w:rPr>
            </w:pPr>
            <w:r>
              <w:rPr>
                <w:rFonts w:ascii="Arial" w:cs="Arial" w:eastAsia="Arial" w:hAnsi="Arial"/>
                <w:sz w:val="18"/>
                <w:szCs w:val="18"/>
                <w:color w:val="auto"/>
              </w:rPr>
              <w:t>2,924</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5.94</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4,339</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52,794</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4.83</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4,504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4.87</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8,420</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101,975</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4.81</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8,508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103,971</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60,900</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706,388</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4.60</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59,297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682,637</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4.62</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6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(882)</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(867)</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1,135</w:t>
            </w: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1,077</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8,001</w:t>
            </w:r>
          </w:p>
        </w:tc>
        <w:tc>
          <w:tcPr>
            <w:tcW w:w="1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7,477</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69,154</w:t>
            </w: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66,984</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541</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288</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.21</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23,367</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22,076</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.37</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22,480</w:t>
            </w:r>
          </w:p>
        </w:tc>
        <w:tc>
          <w:tcPr>
            <w:tcW w:w="1280" w:type="dxa"/>
            <w:vAlign w:val="bottom"/>
          </w:tcPr>
          <w:p>
            <w:pPr>
              <w:jc w:val="right"/>
              <w:spacing w:after="0"/>
              <w:rPr>
                <w:sz w:val="20"/>
                <w:szCs w:val="20"/>
                <w:color w:val="auto"/>
              </w:rPr>
            </w:pPr>
            <w:r>
              <w:rPr>
                <w:rFonts w:ascii="Arial" w:cs="Arial" w:eastAsia="Arial" w:hAnsi="Arial"/>
                <w:sz w:val="18"/>
                <w:szCs w:val="18"/>
                <w:color w:val="auto"/>
              </w:rPr>
              <w:t>26,362</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9,246</w:t>
            </w:r>
          </w:p>
        </w:tc>
        <w:tc>
          <w:tcPr>
            <w:tcW w:w="1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50,678</w:t>
            </w:r>
          </w:p>
        </w:tc>
        <w:tc>
          <w:tcPr>
            <w:tcW w:w="15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2.17</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8,858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2.52</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1,444</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481</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1,460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34,598</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73,523</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.84</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33,313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Short-term borrowings</w:t>
            </w:r>
          </w:p>
        </w:tc>
        <w:tc>
          <w:tcPr>
            <w:tcW w:w="460" w:type="dxa"/>
            <w:vAlign w:val="bottom"/>
          </w:tcPr>
          <w:p>
            <w:pPr>
              <w:spacing w:after="0"/>
              <w:rPr>
                <w:sz w:val="19"/>
                <w:szCs w:val="19"/>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2,663</w:t>
            </w:r>
          </w:p>
        </w:tc>
        <w:tc>
          <w:tcPr>
            <w:tcW w:w="1680" w:type="dxa"/>
            <w:vAlign w:val="bottom"/>
          </w:tcPr>
          <w:p>
            <w:pPr>
              <w:jc w:val="right"/>
              <w:ind w:right="411"/>
              <w:spacing w:after="0"/>
              <w:rPr>
                <w:sz w:val="20"/>
                <w:szCs w:val="20"/>
                <w:color w:val="auto"/>
              </w:rPr>
            </w:pPr>
            <w:r>
              <w:rPr>
                <w:rFonts w:ascii="Arial" w:cs="Arial" w:eastAsia="Arial" w:hAnsi="Arial"/>
                <w:sz w:val="18"/>
                <w:szCs w:val="18"/>
                <w:color w:val="auto"/>
              </w:rPr>
              <w:t>1,764</w:t>
            </w:r>
          </w:p>
        </w:tc>
        <w:tc>
          <w:tcPr>
            <w:tcW w:w="1540" w:type="dxa"/>
            <w:vAlign w:val="bottom"/>
          </w:tcPr>
          <w:p>
            <w:pPr>
              <w:jc w:val="right"/>
              <w:ind w:right="731"/>
              <w:spacing w:after="0"/>
              <w:rPr>
                <w:sz w:val="20"/>
                <w:szCs w:val="20"/>
                <w:color w:val="auto"/>
              </w:rPr>
            </w:pPr>
            <w:r>
              <w:rPr>
                <w:rFonts w:ascii="Arial" w:cs="Arial" w:eastAsia="Arial" w:hAnsi="Arial"/>
                <w:sz w:val="18"/>
                <w:szCs w:val="18"/>
                <w:color w:val="auto"/>
              </w:rPr>
              <w:t>.26</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3,211</w:t>
            </w:r>
          </w:p>
        </w:tc>
        <w:tc>
          <w:tcPr>
            <w:tcW w:w="1280" w:type="dxa"/>
            <w:vAlign w:val="bottom"/>
          </w:tcPr>
          <w:p>
            <w:pPr>
              <w:jc w:val="right"/>
              <w:spacing w:after="0"/>
              <w:rPr>
                <w:sz w:val="20"/>
                <w:szCs w:val="20"/>
                <w:color w:val="auto"/>
              </w:rPr>
            </w:pPr>
            <w:r>
              <w:rPr>
                <w:rFonts w:ascii="Arial" w:cs="Arial" w:eastAsia="Arial" w:hAnsi="Arial"/>
                <w:sz w:val="18"/>
                <w:szCs w:val="18"/>
                <w:color w:val="auto"/>
              </w:rPr>
              <w:t>2,015</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11,008</w:t>
            </w:r>
          </w:p>
        </w:tc>
        <w:tc>
          <w:tcPr>
            <w:tcW w:w="16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77,651</w:t>
            </w: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2.80</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11,482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90,960</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3.18</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48,269</w:t>
            </w: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152,938</w:t>
            </w: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1.26</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48,006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175,856</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12,122</w:t>
            </w:r>
          </w:p>
        </w:tc>
        <w:tc>
          <w:tcPr>
            <w:tcW w:w="1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10,533</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1,242</w:t>
            </w:r>
          </w:p>
        </w:tc>
        <w:tc>
          <w:tcPr>
            <w:tcW w:w="1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1,318</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61,633</w:t>
            </w: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59,857</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7,521</w:t>
            </w:r>
          </w:p>
        </w:tc>
        <w:tc>
          <w:tcPr>
            <w:tcW w:w="1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7,127</w:t>
            </w: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69,154</w:t>
            </w:r>
          </w:p>
        </w:tc>
        <w:tc>
          <w:tcPr>
            <w:tcW w:w="16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66,984</w:t>
            </w:r>
          </w:p>
        </w:tc>
        <w:tc>
          <w:tcPr>
            <w:tcW w:w="1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rPr>
              <w:t>3.34</w:t>
            </w: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.27</w:t>
            </w:r>
          </w:p>
        </w:tc>
        <w:tc>
          <w:tcPr>
            <w:tcW w:w="9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.28</w:t>
            </w: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$553,450</w:t>
            </w: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3.61%</w:t>
            </w: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506,781</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3.43%</w:t>
            </w: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360" w:firstLine="450"/>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100" w:firstLine="458"/>
        <w:spacing w:after="0" w:line="312"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2010.</w:t>
      </w:r>
    </w:p>
    <w:p>
      <w:pPr>
        <w:spacing w:after="0" w:line="38" w:lineRule="exact"/>
        <w:rPr>
          <w:rFonts w:ascii="Arial" w:cs="Arial" w:eastAsia="Arial" w:hAnsi="Arial"/>
          <w:sz w:val="16"/>
          <w:szCs w:val="16"/>
          <w:color w:val="auto"/>
        </w:rPr>
      </w:pPr>
    </w:p>
    <w:p>
      <w:pPr>
        <w:ind w:right="20" w:firstLine="458"/>
        <w:spacing w:after="0" w:line="279"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2010 that have materially affected, or are reasonably likely to materially affect, M&amp;T’s internal control over financial reporting.</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380" w:firstLine="450"/>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In addition to the risk factors relating to M&amp;T that were disclosed in response to Item 1A. to Part I of Form 10-K for the year ended December 31, 2009, the following risk factor could significantly impact M&amp;T’s operations and its financial results:</w:t>
      </w:r>
    </w:p>
    <w:p>
      <w:pPr>
        <w:spacing w:after="0" w:line="62" w:lineRule="exact"/>
        <w:rPr>
          <w:sz w:val="20"/>
          <w:szCs w:val="20"/>
          <w:color w:val="auto"/>
        </w:rPr>
      </w:pPr>
    </w:p>
    <w:p>
      <w:pPr>
        <w:ind w:left="660" w:hanging="436"/>
        <w:spacing w:after="0" w:line="272" w:lineRule="auto"/>
        <w:tabs>
          <w:tab w:leader="none" w:pos="6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Legislative actions taken now or in the future may have a significant adverse effect on M&amp;T’s operations. A number of regulatory initiatives directed at the financial services industry have been proposed in recent months. One of those initiatives, the Dodd-Frank Wall Street Reform and Consumer Protection Act of 2010 (the “Dodd-Frank Act”), was signed into law by President Obama on July 21, 2010. The Dodd-Frank Act represents a comprehensive overhaul of the financial services industry within the United States and will require the newly created Bureau of Consumer Financial Protection and other federal agencies to implement many new rules. At this time, it is difficult to predict the extent to which the Dodd-Frank Act or the forthcoming rules and regulations will impact M&amp;T’s business. It is expected, however, that at a minimum they will result in increased costs and therefore may adversely impact M&amp;T’s business, results of operations, financial condition and liquidity.</w:t>
      </w:r>
    </w:p>
    <w:p>
      <w:pPr>
        <w:spacing w:after="0" w:line="83" w:lineRule="exact"/>
        <w:rPr>
          <w:rFonts w:ascii="Arial" w:cs="Arial" w:eastAsia="Arial" w:hAnsi="Arial"/>
          <w:sz w:val="17"/>
          <w:szCs w:val="17"/>
          <w:b w:val="1"/>
          <w:bCs w:val="1"/>
          <w:color w:val="auto"/>
        </w:rPr>
      </w:pPr>
    </w:p>
    <w:p>
      <w:pPr>
        <w:ind w:left="660" w:right="3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Another such initiative relates to the restricted ability of financial institutions to impose overdraft charges on certain customer transactions. Beginning on July 1, 2010 for new customers and August 15, 2010 for existing customers, federal rules will prohibit a financial institution from assessing a fee to complete an ATM withdrawal or one-time debit card transaction which will cause an overdraft unless the customer consents in advance. It is expected that such rules will</w:t>
      </w:r>
    </w:p>
    <w:p>
      <w:pPr>
        <w:spacing w:after="0" w:line="159" w:lineRule="exact"/>
        <w:rPr>
          <w:rFonts w:ascii="Arial" w:cs="Arial" w:eastAsia="Arial" w:hAnsi="Arial"/>
          <w:sz w:val="17"/>
          <w:szCs w:val="17"/>
          <w:b w:val="1"/>
          <w:bCs w:val="1"/>
          <w:color w:val="auto"/>
        </w:rPr>
      </w:pPr>
    </w:p>
    <w:p>
      <w:pPr>
        <w:ind w:left="5620" w:hanging="101"/>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result in a decline in service charges on deposit accounts as discussed in more detail under the caption “Other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7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left="464"/>
              <w:spacing w:after="0" w:line="123" w:lineRule="exact"/>
              <w:rPr>
                <w:sz w:val="20"/>
                <w:szCs w:val="20"/>
                <w:color w:val="auto"/>
              </w:rPr>
            </w:pPr>
            <w:r>
              <w:rPr>
                <w:rFonts w:ascii="Arial" w:cs="Arial" w:eastAsia="Arial" w:hAnsi="Arial"/>
                <w:sz w:val="14"/>
                <w:szCs w:val="14"/>
                <w:color w:val="auto"/>
              </w:rPr>
              <w:t>(d)Maximum</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(c)Total</w:t>
            </w:r>
          </w:p>
        </w:tc>
        <w:tc>
          <w:tcPr>
            <w:tcW w:w="1480" w:type="dxa"/>
            <w:vAlign w:val="bottom"/>
          </w:tcPr>
          <w:p>
            <w:pPr>
              <w:jc w:val="center"/>
              <w:ind w:left="444"/>
              <w:spacing w:after="0" w:line="149" w:lineRule="exact"/>
              <w:rPr>
                <w:sz w:val="20"/>
                <w:szCs w:val="20"/>
                <w:color w:val="auto"/>
              </w:rPr>
            </w:pPr>
            <w:r>
              <w:rPr>
                <w:rFonts w:ascii="Arial" w:cs="Arial" w:eastAsia="Arial" w:hAnsi="Arial"/>
                <w:sz w:val="14"/>
                <w:szCs w:val="14"/>
                <w:color w:val="auto"/>
                <w:w w:val="95"/>
              </w:rPr>
              <w:t>Number (or</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Number of</w:t>
            </w:r>
          </w:p>
        </w:tc>
        <w:tc>
          <w:tcPr>
            <w:tcW w:w="1480" w:type="dxa"/>
            <w:vAlign w:val="bottom"/>
          </w:tcPr>
          <w:p>
            <w:pPr>
              <w:jc w:val="center"/>
              <w:ind w:left="444"/>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Shares</w:t>
            </w:r>
          </w:p>
        </w:tc>
        <w:tc>
          <w:tcPr>
            <w:tcW w:w="1480" w:type="dxa"/>
            <w:vAlign w:val="bottom"/>
          </w:tcPr>
          <w:p>
            <w:pPr>
              <w:jc w:val="center"/>
              <w:ind w:left="464"/>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7"/>
              </w:rPr>
              <w:t>(or Units)</w:t>
            </w:r>
          </w:p>
        </w:tc>
        <w:tc>
          <w:tcPr>
            <w:tcW w:w="1480" w:type="dxa"/>
            <w:vAlign w:val="bottom"/>
          </w:tcPr>
          <w:p>
            <w:pPr>
              <w:jc w:val="center"/>
              <w:ind w:left="464"/>
              <w:spacing w:after="0" w:line="149" w:lineRule="exact"/>
              <w:rPr>
                <w:sz w:val="20"/>
                <w:szCs w:val="20"/>
                <w:color w:val="auto"/>
              </w:rPr>
            </w:pPr>
            <w:r>
              <w:rPr>
                <w:rFonts w:ascii="Arial" w:cs="Arial" w:eastAsia="Arial" w:hAnsi="Arial"/>
                <w:sz w:val="14"/>
                <w:szCs w:val="14"/>
                <w:color w:val="auto"/>
                <w:w w:val="90"/>
              </w:rPr>
              <w:t>of Shares</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9"/>
              </w:rPr>
              <w:t>Purchased</w:t>
            </w:r>
          </w:p>
        </w:tc>
        <w:tc>
          <w:tcPr>
            <w:tcW w:w="1480" w:type="dxa"/>
            <w:vAlign w:val="bottom"/>
          </w:tcPr>
          <w:p>
            <w:pPr>
              <w:jc w:val="center"/>
              <w:ind w:left="444"/>
              <w:spacing w:after="0" w:line="149" w:lineRule="exact"/>
              <w:rPr>
                <w:sz w:val="20"/>
                <w:szCs w:val="20"/>
                <w:color w:val="auto"/>
              </w:rPr>
            </w:pPr>
            <w:r>
              <w:rPr>
                <w:rFonts w:ascii="Arial" w:cs="Arial" w:eastAsia="Arial" w:hAnsi="Arial"/>
                <w:sz w:val="14"/>
                <w:szCs w:val="14"/>
                <w:color w:val="auto"/>
                <w:w w:val="97"/>
              </w:rPr>
              <w:t>(or Units)</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60" w:type="dxa"/>
            <w:vAlign w:val="bottom"/>
            <w:gridSpan w:val="3"/>
          </w:tcPr>
          <w:p>
            <w:pPr>
              <w:jc w:val="center"/>
              <w:ind w:right="1220"/>
              <w:spacing w:after="0" w:line="149" w:lineRule="exact"/>
              <w:rPr>
                <w:sz w:val="20"/>
                <w:szCs w:val="20"/>
                <w:color w:val="auto"/>
              </w:rPr>
            </w:pPr>
            <w:r>
              <w:rPr>
                <w:rFonts w:ascii="Arial" w:cs="Arial" w:eastAsia="Arial" w:hAnsi="Arial"/>
                <w:sz w:val="14"/>
                <w:szCs w:val="14"/>
                <w:color w:val="auto"/>
                <w:w w:val="95"/>
              </w:rPr>
              <w:t>(a)Total</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as Part of</w:t>
            </w:r>
          </w:p>
        </w:tc>
        <w:tc>
          <w:tcPr>
            <w:tcW w:w="1480" w:type="dxa"/>
            <w:vAlign w:val="bottom"/>
          </w:tcPr>
          <w:p>
            <w:pPr>
              <w:jc w:val="center"/>
              <w:ind w:left="464"/>
              <w:spacing w:after="0" w:line="149" w:lineRule="exact"/>
              <w:rPr>
                <w:sz w:val="20"/>
                <w:szCs w:val="20"/>
                <w:color w:val="auto"/>
              </w:rPr>
            </w:pPr>
            <w:r>
              <w:rPr>
                <w:rFonts w:ascii="Arial" w:cs="Arial" w:eastAsia="Arial" w:hAnsi="Arial"/>
                <w:sz w:val="14"/>
                <w:szCs w:val="14"/>
                <w:color w:val="auto"/>
                <w:w w:val="91"/>
              </w:rPr>
              <w:t>that may yet</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60" w:type="dxa"/>
            <w:vAlign w:val="bottom"/>
            <w:gridSpan w:val="3"/>
          </w:tcPr>
          <w:p>
            <w:pPr>
              <w:jc w:val="center"/>
              <w:ind w:right="1220"/>
              <w:spacing w:after="0" w:line="149" w:lineRule="exact"/>
              <w:rPr>
                <w:sz w:val="20"/>
                <w:szCs w:val="20"/>
                <w:color w:val="auto"/>
              </w:rPr>
            </w:pPr>
            <w:r>
              <w:rPr>
                <w:rFonts w:ascii="Arial" w:cs="Arial" w:eastAsia="Arial" w:hAnsi="Arial"/>
                <w:sz w:val="14"/>
                <w:szCs w:val="14"/>
                <w:color w:val="auto"/>
                <w:w w:val="92"/>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(b)Average</w:t>
            </w:r>
          </w:p>
        </w:tc>
        <w:tc>
          <w:tcPr>
            <w:tcW w:w="12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9"/>
              </w:rPr>
              <w:t>Publicly</w:t>
            </w:r>
          </w:p>
        </w:tc>
        <w:tc>
          <w:tcPr>
            <w:tcW w:w="1480" w:type="dxa"/>
            <w:vAlign w:val="bottom"/>
          </w:tcPr>
          <w:p>
            <w:pPr>
              <w:jc w:val="center"/>
              <w:ind w:left="444"/>
              <w:spacing w:after="0" w:line="149" w:lineRule="exact"/>
              <w:rPr>
                <w:sz w:val="20"/>
                <w:szCs w:val="20"/>
                <w:color w:val="auto"/>
              </w:rPr>
            </w:pPr>
            <w:r>
              <w:rPr>
                <w:rFonts w:ascii="Arial" w:cs="Arial" w:eastAsia="Arial" w:hAnsi="Arial"/>
                <w:sz w:val="14"/>
                <w:szCs w:val="14"/>
                <w:color w:val="auto"/>
                <w:w w:val="87"/>
              </w:rPr>
              <w:t>be Purchased</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60" w:type="dxa"/>
            <w:vAlign w:val="bottom"/>
            <w:gridSpan w:val="3"/>
          </w:tcPr>
          <w:p>
            <w:pPr>
              <w:jc w:val="center"/>
              <w:ind w:right="1220"/>
              <w:spacing w:after="0" w:line="149" w:lineRule="exact"/>
              <w:rPr>
                <w:sz w:val="20"/>
                <w:szCs w:val="20"/>
                <w:color w:val="auto"/>
              </w:rPr>
            </w:pPr>
            <w:r>
              <w:rPr>
                <w:rFonts w:ascii="Arial" w:cs="Arial" w:eastAsia="Arial" w:hAnsi="Arial"/>
                <w:sz w:val="14"/>
                <w:szCs w:val="14"/>
                <w:color w:val="auto"/>
                <w:w w:val="90"/>
              </w:rPr>
              <w:t>of Shares</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122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Announced</w:t>
            </w:r>
          </w:p>
        </w:tc>
        <w:tc>
          <w:tcPr>
            <w:tcW w:w="1480" w:type="dxa"/>
            <w:vAlign w:val="bottom"/>
          </w:tcPr>
          <w:p>
            <w:pPr>
              <w:jc w:val="center"/>
              <w:ind w:left="464"/>
              <w:spacing w:after="0" w:line="149" w:lineRule="exact"/>
              <w:rPr>
                <w:sz w:val="20"/>
                <w:szCs w:val="20"/>
                <w:color w:val="auto"/>
              </w:rPr>
            </w:pPr>
            <w:r>
              <w:rPr>
                <w:rFonts w:ascii="Arial" w:cs="Arial" w:eastAsia="Arial" w:hAnsi="Arial"/>
                <w:sz w:val="14"/>
                <w:szCs w:val="14"/>
                <w:color w:val="auto"/>
                <w:w w:val="94"/>
              </w:rPr>
              <w:t>Under the</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60" w:type="dxa"/>
            <w:vAlign w:val="bottom"/>
            <w:gridSpan w:val="3"/>
          </w:tcPr>
          <w:p>
            <w:pPr>
              <w:jc w:val="center"/>
              <w:ind w:right="1200"/>
              <w:spacing w:after="0" w:line="149" w:lineRule="exact"/>
              <w:rPr>
                <w:sz w:val="20"/>
                <w:szCs w:val="20"/>
                <w:color w:val="auto"/>
              </w:rPr>
            </w:pPr>
            <w:r>
              <w:rPr>
                <w:rFonts w:ascii="Arial" w:cs="Arial" w:eastAsia="Arial" w:hAnsi="Arial"/>
                <w:sz w:val="14"/>
                <w:szCs w:val="14"/>
                <w:color w:val="auto"/>
                <w:w w:val="97"/>
              </w:rPr>
              <w:t>(or Units)</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 Share</w:t>
            </w:r>
          </w:p>
        </w:tc>
        <w:tc>
          <w:tcPr>
            <w:tcW w:w="122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Plans or</w:t>
            </w:r>
          </w:p>
        </w:tc>
        <w:tc>
          <w:tcPr>
            <w:tcW w:w="1480" w:type="dxa"/>
            <w:vAlign w:val="bottom"/>
          </w:tcPr>
          <w:p>
            <w:pPr>
              <w:jc w:val="center"/>
              <w:ind w:left="464"/>
              <w:spacing w:after="0" w:line="149" w:lineRule="exact"/>
              <w:rPr>
                <w:sz w:val="20"/>
                <w:szCs w:val="20"/>
                <w:color w:val="auto"/>
              </w:rPr>
            </w:pPr>
            <w:r>
              <w:rPr>
                <w:rFonts w:ascii="Arial" w:cs="Arial" w:eastAsia="Arial" w:hAnsi="Arial"/>
                <w:sz w:val="14"/>
                <w:szCs w:val="14"/>
                <w:color w:val="auto"/>
                <w:w w:val="89"/>
              </w:rPr>
              <w:t>Plans or</w:t>
            </w:r>
          </w:p>
        </w:tc>
      </w:tr>
      <w:tr>
        <w:trPr>
          <w:trHeight w:val="174"/>
        </w:trPr>
        <w:tc>
          <w:tcPr>
            <w:tcW w:w="47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960" w:type="dxa"/>
            <w:vAlign w:val="bottom"/>
            <w:gridSpan w:val="3"/>
          </w:tcPr>
          <w:p>
            <w:pPr>
              <w:jc w:val="right"/>
              <w:ind w:right="1200"/>
              <w:spacing w:after="0"/>
              <w:rPr>
                <w:sz w:val="20"/>
                <w:szCs w:val="20"/>
                <w:color w:val="auto"/>
              </w:rPr>
            </w:pPr>
            <w:r>
              <w:rPr>
                <w:rFonts w:ascii="Arial" w:cs="Arial" w:eastAsia="Arial" w:hAnsi="Arial"/>
                <w:sz w:val="14"/>
                <w:szCs w:val="14"/>
                <w:color w:val="auto"/>
                <w:w w:val="88"/>
              </w:rPr>
              <w:t>Purchased(1)</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8"/>
              </w:rPr>
              <w:t>(or Unit)</w:t>
            </w:r>
          </w:p>
        </w:tc>
        <w:tc>
          <w:tcPr>
            <w:tcW w:w="1220" w:type="dxa"/>
            <w:vAlign w:val="bottom"/>
          </w:tcPr>
          <w:p>
            <w:pPr>
              <w:spacing w:after="0"/>
              <w:rPr>
                <w:sz w:val="15"/>
                <w:szCs w:val="15"/>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Programs</w:t>
            </w:r>
          </w:p>
        </w:tc>
        <w:tc>
          <w:tcPr>
            <w:tcW w:w="1480" w:type="dxa"/>
            <w:vAlign w:val="bottom"/>
          </w:tcPr>
          <w:p>
            <w:pPr>
              <w:jc w:val="center"/>
              <w:ind w:left="444"/>
              <w:spacing w:after="0"/>
              <w:rPr>
                <w:sz w:val="20"/>
                <w:szCs w:val="20"/>
                <w:color w:val="auto"/>
              </w:rPr>
            </w:pPr>
            <w:r>
              <w:rPr>
                <w:rFonts w:ascii="Arial" w:cs="Arial" w:eastAsia="Arial" w:hAnsi="Arial"/>
                <w:sz w:val="14"/>
                <w:szCs w:val="14"/>
                <w:color w:val="auto"/>
                <w:w w:val="92"/>
              </w:rPr>
              <w:t>Programs (2)</w:t>
            </w:r>
          </w:p>
        </w:tc>
      </w:tr>
      <w:tr>
        <w:trPr>
          <w:trHeight w:val="216"/>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2010</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w:t>
            </w: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May 1 - May 31, 2010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83.92</w:t>
            </w:r>
          </w:p>
        </w:tc>
        <w:tc>
          <w:tcPr>
            <w:tcW w:w="122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2,181,500</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2,962</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2,181,500</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2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31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42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auto"/>
        </w:rPr>
        <w:t>Exhibit</w:t>
      </w:r>
    </w:p>
    <w:p>
      <w:pPr>
        <w:jc w:val="center"/>
        <w:ind w:right="1060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143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31.1</w:t>
            </w:r>
          </w:p>
        </w:tc>
        <w:tc>
          <w:tcPr>
            <w:tcW w:w="103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31.2</w:t>
            </w:r>
          </w:p>
        </w:tc>
        <w:tc>
          <w:tcPr>
            <w:tcW w:w="103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32.1</w:t>
            </w:r>
          </w:p>
        </w:tc>
        <w:tc>
          <w:tcPr>
            <w:tcW w:w="1036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43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32.2</w:t>
            </w:r>
          </w:p>
        </w:tc>
        <w:tc>
          <w:tcPr>
            <w:tcW w:w="1036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M&amp;T BANK CORPORATION</w:t>
            </w:r>
          </w:p>
        </w:tc>
        <w:tc>
          <w:tcPr>
            <w:tcW w:w="168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August 4, 2010</w:t>
            </w:r>
          </w:p>
        </w:tc>
        <w:tc>
          <w:tcPr>
            <w:tcW w:w="6280" w:type="dxa"/>
            <w:vAlign w:val="bottom"/>
            <w:gridSpan w:val="2"/>
          </w:tcPr>
          <w:p>
            <w:pPr>
              <w:jc w:val="right"/>
              <w:ind w:right="2730"/>
              <w:spacing w:after="0"/>
              <w:rPr>
                <w:sz w:val="20"/>
                <w:szCs w:val="20"/>
                <w:color w:val="auto"/>
              </w:rPr>
            </w:pPr>
            <w:r>
              <w:rPr>
                <w:rFonts w:ascii="Arial" w:cs="Arial" w:eastAsia="Arial" w:hAnsi="Arial"/>
                <w:sz w:val="18"/>
                <w:szCs w:val="18"/>
                <w:color w:val="auto"/>
              </w:rPr>
              <w:t>By: /s/ René F. Jones</w:t>
            </w:r>
          </w:p>
        </w:tc>
        <w:tc>
          <w:tcPr>
            <w:tcW w:w="1680" w:type="dxa"/>
            <w:vAlign w:val="bottom"/>
          </w:tcPr>
          <w:p>
            <w:pPr>
              <w:spacing w:after="0"/>
              <w:rPr>
                <w:sz w:val="24"/>
                <w:szCs w:val="24"/>
                <w:color w:val="auto"/>
              </w:rPr>
            </w:pP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c>
          <w:tcPr>
            <w:tcW w:w="168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68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20"/>
                <w:szCs w:val="20"/>
                <w:color w:val="auto"/>
              </w:rPr>
            </w:pPr>
          </w:p>
        </w:tc>
      </w:tr>
      <w:tr>
        <w:trPr>
          <w:trHeight w:val="621"/>
        </w:trPr>
        <w:tc>
          <w:tcPr>
            <w:tcW w:w="3460" w:type="dxa"/>
            <w:vAlign w:val="bottom"/>
          </w:tcPr>
          <w:p>
            <w:pPr>
              <w:spacing w:after="0"/>
              <w:rPr>
                <w:sz w:val="24"/>
                <w:szCs w:val="24"/>
                <w:color w:val="auto"/>
              </w:rPr>
            </w:pPr>
          </w:p>
        </w:tc>
        <w:tc>
          <w:tcPr>
            <w:tcW w:w="6280" w:type="dxa"/>
            <w:vAlign w:val="bottom"/>
            <w:gridSpan w:val="2"/>
          </w:tcPr>
          <w:p>
            <w:pPr>
              <w:jc w:val="right"/>
              <w:ind w:right="3750"/>
              <w:spacing w:after="0"/>
              <w:rPr>
                <w:sz w:val="20"/>
                <w:szCs w:val="20"/>
                <w:color w:val="auto"/>
              </w:rPr>
            </w:pPr>
            <w:r>
              <w:rPr>
                <w:rFonts w:ascii="Arial" w:cs="Arial" w:eastAsia="Arial" w:hAnsi="Arial"/>
                <w:sz w:val="18"/>
                <w:szCs w:val="18"/>
                <w:color w:val="auto"/>
              </w:rPr>
              <w:t>- 99 -</w:t>
            </w:r>
          </w:p>
        </w:tc>
        <w:tc>
          <w:tcPr>
            <w:tcW w:w="1680" w:type="dxa"/>
            <w:vAlign w:val="bottom"/>
          </w:tcPr>
          <w:p>
            <w:pPr>
              <w:spacing w:after="0"/>
              <w:rPr>
                <w:sz w:val="24"/>
                <w:szCs w:val="24"/>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400" w:type="dxa"/>
            <w:vAlign w:val="bottom"/>
          </w:tcPr>
          <w:p>
            <w:pPr>
              <w:ind w:left="4240"/>
              <w:spacing w:after="0"/>
              <w:rPr>
                <w:sz w:val="20"/>
                <w:szCs w:val="20"/>
                <w:color w:val="auto"/>
              </w:rPr>
            </w:pPr>
            <w:r>
              <w:rPr>
                <w:rFonts w:ascii="Arial" w:cs="Arial" w:eastAsia="Arial" w:hAnsi="Arial"/>
                <w:sz w:val="18"/>
                <w:szCs w:val="18"/>
                <w:color w:val="auto"/>
              </w:rPr>
              <w:t>EXHIBIT INDEX</w:t>
            </w:r>
          </w:p>
        </w:tc>
      </w:tr>
      <w:tr>
        <w:trPr>
          <w:trHeight w:val="346"/>
        </w:trPr>
        <w:tc>
          <w:tcPr>
            <w:tcW w:w="8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10400" w:type="dxa"/>
            <w:vAlign w:val="bottom"/>
          </w:tcPr>
          <w:p>
            <w:pPr>
              <w:spacing w:after="0"/>
              <w:rPr>
                <w:sz w:val="24"/>
                <w:szCs w:val="24"/>
                <w:color w:val="auto"/>
              </w:rPr>
            </w:pPr>
          </w:p>
        </w:tc>
      </w:tr>
      <w:tr>
        <w:trPr>
          <w:trHeight w:val="167"/>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0400" w:type="dxa"/>
            <w:vAlign w:val="bottom"/>
          </w:tcPr>
          <w:p>
            <w:pPr>
              <w:spacing w:after="0"/>
              <w:rPr>
                <w:sz w:val="14"/>
                <w:szCs w:val="14"/>
                <w:color w:val="auto"/>
              </w:rPr>
            </w:pPr>
          </w:p>
        </w:tc>
      </w:tr>
      <w:tr>
        <w:trPr>
          <w:trHeight w:val="426"/>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405"/>
        </w:trPr>
        <w:tc>
          <w:tcPr>
            <w:tcW w:w="82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8"/>
                <w:szCs w:val="18"/>
                <w:color w:val="auto"/>
              </w:rPr>
              <w:t>- 100 -</w:t>
            </w:r>
          </w:p>
        </w:tc>
      </w:tr>
    </w:tbl>
    <w:p>
      <w:pPr>
        <w:sectPr>
          <w:pgSz w:w="11900" w:h="16838" w:orient="portrait"/>
          <w:cols w:equalWidth="0" w:num="1">
            <w:col w:w="11220"/>
          </w:cols>
          <w:pgMar w:left="240" w:top="419"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3069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3069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2010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579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2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2010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579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lowerLetter"/>
      <w:start w:val="1"/>
    </w:lvl>
    <w:lvl w:ilvl="1">
      <w:lvlJc w:val="left"/>
      <w:lvlText w:val="-"/>
      <w:numFmt w:val="bullet"/>
      <w:start w:val="1"/>
    </w:lvl>
  </w:abstractNum>
  <w:abstractNum w:abstractNumId="3">
    <w:nsid w:val="62BBD95A"/>
    <w:multiLevelType w:val="hybridMultilevel"/>
    <w:lvl w:ilvl="0">
      <w:lvlJc w:val="left"/>
      <w:lvlText w:val="(%1)"/>
      <w:numFmt w:val="lowerLetter"/>
      <w:start w:val="1"/>
    </w:lvl>
    <w:lvl w:ilvl="1">
      <w:lvlJc w:val="left"/>
      <w:lvlText w:val="-"/>
      <w:numFmt w:val="bullet"/>
      <w:start w:val="1"/>
    </w:lvl>
  </w:abstractNum>
  <w:abstractNum w:abstractNumId="4">
    <w:nsid w:val="436C6125"/>
    <w:multiLevelType w:val="hybridMultilevel"/>
    <w:lvl w:ilvl="0">
      <w:lvlJc w:val="left"/>
      <w:lvlText w:val="(%1)"/>
      <w:numFmt w:val="lowerLetter"/>
      <w:start w:val="1"/>
    </w:lvl>
    <w:lvl w:ilvl="1">
      <w:lvlJc w:val="left"/>
      <w:lvlText w:val="-"/>
      <w:numFmt w:val="bullet"/>
      <w:start w:val="1"/>
    </w:lvl>
  </w:abstractNum>
  <w:abstractNum w:abstractNumId="5">
    <w:nsid w:val="628C895D"/>
    <w:multiLevelType w:val="hybridMultilevel"/>
    <w:lvl w:ilvl="0">
      <w:lvlJc w:val="left"/>
      <w:lvlText w:val="%1."/>
      <w:numFmt w:val="decimal"/>
      <w:start w:val="12"/>
    </w:lvl>
    <w:lvl w:ilvl="1">
      <w:lvlJc w:val="left"/>
      <w:lvlText w:val="•"/>
      <w:numFmt w:val="bullet"/>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lowerLetter"/>
      <w:start w:val="1"/>
    </w:lvl>
    <w:lvl w:ilvl="1">
      <w:lvlJc w:val="left"/>
      <w:lvlText w:val="-"/>
      <w:numFmt w:val="bullet"/>
      <w:start w:val="1"/>
    </w:lvl>
  </w:abstractNum>
  <w:abstractNum w:abstractNumId="8">
    <w:nsid w:val="2443A858"/>
    <w:multiLevelType w:val="hybridMultilevel"/>
    <w:lvl w:ilvl="0">
      <w:lvlJc w:val="left"/>
      <w:lvlText w:val="(%1)"/>
      <w:numFmt w:val="lowerLetter"/>
      <w:start w:val="1"/>
    </w:lvl>
    <w:lvl w:ilvl="1">
      <w:lvlJc w:val="left"/>
      <w:lvlText w:val="-"/>
      <w:numFmt w:val="bullet"/>
      <w:start w:val="1"/>
    </w:lvl>
  </w:abstractNum>
  <w:abstractNum w:abstractNumId="9">
    <w:nsid w:val="2D1D5AE9"/>
    <w:multiLevelType w:val="hybridMultilevel"/>
    <w:lvl w:ilvl="0">
      <w:lvlJc w:val="left"/>
      <w:lvlText w:val="(%1)"/>
      <w:numFmt w:val="lowerLetter"/>
      <w:start w:val="1"/>
    </w:lvl>
    <w:lvl w:ilvl="1">
      <w:lvlJc w:val="left"/>
      <w:lvlText w:val="-"/>
      <w:numFmt w:val="bullet"/>
      <w:start w:val="1"/>
    </w:lvl>
  </w:abstractNum>
  <w:abstractNum w:abstractNumId="10">
    <w:nsid w:val="6763845E"/>
    <w:multiLevelType w:val="hybridMultilevel"/>
    <w:lvl w:ilvl="0">
      <w:lvlJc w:val="left"/>
      <w:lvlText w:val="(%1)"/>
      <w:numFmt w:val="lowerLetter"/>
      <w:start w:val="1"/>
    </w:lvl>
    <w:lvl w:ilvl="1">
      <w:lvlJc w:val="left"/>
      <w:lvlText w:val="-"/>
      <w:numFmt w:val="bullet"/>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Roman"/>
      <w:start w:val="3"/>
    </w:lvl>
    <w:lvl w:ilvl="1">
      <w:lvlJc w:val="left"/>
      <w:lvlText w:val="-"/>
      <w:numFmt w:val="bullet"/>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lvl w:ilvl="1">
      <w:lvlJc w:val="left"/>
      <w:lvlText w:val="-"/>
      <w:numFmt w:val="bullet"/>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
      <w:numFmt w:val="bullet"/>
      <w:start w:val="1"/>
    </w:lvl>
    <w:lvl w:ilvl="1">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2019-12-10T00:42:57Z</dcterms:created>
  <dcterms:modified xsi:type="dcterms:W3CDTF">2019-12-10T00:42:57Z</dcterms:modified>
</cp:coreProperties>
</file>