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230215.xml.htm"/>
      <w:bookmarkStart w:id="1" w:name="kswkform4_17842302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PEARSON KEVIN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LIGHT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BALTIMORE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M&amp;T BANK CORP</w:t>
              </w:r>
            </w:hyperlink>
            <w:r>
              <w:rPr/>
              <w:t xml:space="preserve"> [ </w:t>
            </w:r>
            <w:r>
              <w:rPr>
                <w:rFonts w:ascii="Times;serif" w:hAnsi="Times;serif"/>
                <w:color w:val="0000FF"/>
                <w:sz w:val="24"/>
                <w:shd w:fill="FFFFFF" w:val="clear"/>
              </w:rPr>
              <w:t>MTB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60"/>
        <w:gridCol w:w="465"/>
        <w:gridCol w:w="638"/>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w:t>
            </w:r>
            <w:r>
              <w:rPr/>
              <w:t xml:space="preserve"> </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44,107</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3,541</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401(k) Plan</w:t>
            </w:r>
            <w:r>
              <w:rPr>
                <w:rFonts w:ascii="Times;serif" w:hAnsi="Times;serif"/>
                <w:color w:val="008000"/>
                <w:position w:val="7"/>
                <w:sz w:val="16"/>
                <w:sz w:val="20"/>
                <w:shd w:fill="FFFFFF" w:val="clear"/>
              </w:rPr>
              <w:t>(2)</w:t>
            </w:r>
            <w:r>
              <w:rPr/>
              <w:t xml:space="preserve"> </w:t>
            </w:r>
          </w:p>
        </w:tc>
      </w:tr>
    </w:tbl>
    <w:tbl>
      <w:tblPr>
        <w:tblW w:w="12248"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681"/>
        <w:gridCol w:w="801"/>
        <w:gridCol w:w="936"/>
        <w:gridCol w:w="831"/>
        <w:gridCol w:w="1281"/>
      </w:tblGrid>
      <w:tr>
        <w:trPr>
          <w:tblHeader w:val="true"/>
        </w:trPr>
        <w:tc>
          <w:tcPr>
            <w:tcW w:w="1224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2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Common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Supplemental 401(k) Plan</w:t>
            </w:r>
            <w:r>
              <w:rPr>
                <w:rFonts w:ascii="Times;serif" w:hAnsi="Times;serif"/>
                <w:color w:val="008000"/>
                <w:position w:val="7"/>
                <w:sz w:val="16"/>
                <w:sz w:val="20"/>
                <w:shd w:fill="FFFFFF" w:val="clear"/>
              </w:rPr>
              <w:t>(2)</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occurred automatically pursuant to a Rule 10b5-1 trading plan adopted by the reporting person on March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information presented is as of June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phantom common stock units are held by the reporting person in a plan account maintained by M&amp;T Bank Corporation under the M&amp;T Bank Corporation Leadership Retirement Savings Plan and represent a like number of shares of M&amp;T Bank Corporation common stock. The phantom common stock units are payable in cash and distributed in accordance with the terms of the plan. The reported phantom common stock units also include units acquired through the dividend reinvestment feature of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Stephen T. Wilson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45781" TargetMode="External"/><Relationship Id="rId5" Type="http://schemas.openxmlformats.org/officeDocument/2006/relationships/hyperlink" Target="http://www.sec.gov/cgi-bin/browse-edgar?action=getcompany&amp;CIK=00000362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3738</Characters>
  <CharactersWithSpaces>4363</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